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B3783D8">
      <w:pPr>
        <w:spacing w:before="1920" w:beforeLines="800"/>
        <w:jc w:val="center"/>
        <w:outlineLvl w:val="0"/>
        <w:rPr>
          <w:rFonts w:eastAsia="方正小标宋_GBK"/>
          <w:bCs/>
          <w:color w:val="000000" w:themeColor="text1"/>
          <w:sz w:val="72"/>
          <w:szCs w:val="72"/>
          <w14:textFill>
            <w14:solidFill>
              <w14:schemeClr w14:val="tx1"/>
            </w14:solidFill>
          </w14:textFill>
        </w:rPr>
      </w:pPr>
      <w:bookmarkStart w:id="0" w:name="_Toc25378"/>
      <w:bookmarkStart w:id="1" w:name="_Toc13407"/>
      <w:r>
        <w:rPr>
          <w:rFonts w:eastAsia="方正小标宋_GBK"/>
          <w:bCs/>
          <w:color w:val="000000" w:themeColor="text1"/>
          <w:sz w:val="72"/>
          <w:szCs w:val="72"/>
          <w14:textFill>
            <w14:solidFill>
              <w14:schemeClr w14:val="tx1"/>
            </w14:solidFill>
          </w14:textFill>
        </w:rPr>
        <w:t>建设项目环境影响报告表</w:t>
      </w:r>
      <w:bookmarkEnd w:id="0"/>
      <w:bookmarkEnd w:id="1"/>
    </w:p>
    <w:p w14:paraId="72225E5F">
      <w:pPr>
        <w:adjustRightInd w:val="0"/>
        <w:snapToGrid w:val="0"/>
        <w:spacing w:before="192" w:beforeLines="80"/>
        <w:jc w:val="center"/>
        <w:rPr>
          <w:rFonts w:eastAsia="楷体_GB2312"/>
          <w:bCs/>
          <w:color w:val="000000" w:themeColor="text1"/>
          <w:sz w:val="48"/>
          <w:szCs w:val="48"/>
          <w14:textFill>
            <w14:solidFill>
              <w14:schemeClr w14:val="tx1"/>
            </w14:solidFill>
          </w14:textFill>
        </w:rPr>
      </w:pPr>
      <w:r>
        <w:rPr>
          <w:rFonts w:eastAsia="楷体_GB2312"/>
          <w:bCs/>
          <w:color w:val="000000" w:themeColor="text1"/>
          <w:sz w:val="48"/>
          <w:szCs w:val="48"/>
          <w14:textFill>
            <w14:solidFill>
              <w14:schemeClr w14:val="tx1"/>
            </w14:solidFill>
          </w14:textFill>
        </w:rPr>
        <w:t>（污染影响类）</w:t>
      </w:r>
    </w:p>
    <w:p w14:paraId="5FCF0EBE">
      <w:pPr>
        <w:spacing w:before="3600" w:beforeLines="1500" w:line="360" w:lineRule="auto"/>
        <w:ind w:firstLine="640" w:firstLineChars="200"/>
        <w:rPr>
          <w:rFonts w:hint="eastAsia" w:eastAsia="仿宋_GB2312"/>
          <w:color w:val="000000" w:themeColor="text1"/>
          <w:sz w:val="32"/>
          <w:szCs w:val="32"/>
          <w:u w:val="single"/>
          <w:lang w:eastAsia="zh-CN"/>
          <w14:textFill>
            <w14:solidFill>
              <w14:schemeClr w14:val="tx1"/>
            </w14:solidFill>
          </w14:textFill>
        </w:rPr>
      </w:pPr>
      <w:r>
        <w:rPr>
          <w:rFonts w:eastAsia="仿宋_GB2312"/>
          <w:color w:val="000000" w:themeColor="text1"/>
          <w:sz w:val="32"/>
          <w:szCs w:val="32"/>
          <w14:textFill>
            <w14:solidFill>
              <w14:schemeClr w14:val="tx1"/>
            </w14:solidFill>
          </w14:textFill>
        </w:rPr>
        <w:t>项目名称：</w:t>
      </w:r>
      <w:r>
        <w:rPr>
          <w:rFonts w:hint="eastAsia" w:eastAsia="仿宋_GB2312"/>
          <w:color w:val="000000" w:themeColor="text1"/>
          <w:sz w:val="32"/>
          <w:szCs w:val="32"/>
          <w:u w:val="single"/>
          <w:lang w:eastAsia="zh-CN"/>
          <w14:textFill>
            <w14:solidFill>
              <w14:schemeClr w14:val="tx1"/>
            </w14:solidFill>
          </w14:textFill>
        </w:rPr>
        <w:t>黑龙江龙煤双鸭山矿业有限责任公司中央选煤厂</w:t>
      </w:r>
      <w:r>
        <w:rPr>
          <w:rFonts w:hint="eastAsia" w:eastAsia="仿宋_GB2312"/>
          <w:color w:val="000000" w:themeColor="text1"/>
          <w:sz w:val="32"/>
          <w:szCs w:val="32"/>
          <w:highlight w:val="none"/>
          <w:u w:val="single"/>
          <w:lang w:val="en-US" w:eastAsia="zh-CN"/>
          <w14:textFill>
            <w14:solidFill>
              <w14:schemeClr w14:val="tx1"/>
            </w14:solidFill>
          </w14:textFill>
        </w:rPr>
        <w:t>改扩建</w:t>
      </w:r>
      <w:r>
        <w:rPr>
          <w:rFonts w:hint="eastAsia" w:eastAsia="仿宋_GB2312"/>
          <w:color w:val="000000" w:themeColor="text1"/>
          <w:sz w:val="32"/>
          <w:szCs w:val="32"/>
          <w:highlight w:val="none"/>
          <w:u w:val="single"/>
          <w:lang w:eastAsia="zh-CN"/>
          <w14:textFill>
            <w14:solidFill>
              <w14:schemeClr w14:val="tx1"/>
            </w14:solidFill>
          </w14:textFill>
        </w:rPr>
        <w:t>项目</w:t>
      </w:r>
    </w:p>
    <w:p w14:paraId="0363510B">
      <w:pPr>
        <w:spacing w:line="360" w:lineRule="auto"/>
        <w:ind w:firstLine="640" w:firstLineChars="200"/>
        <w:rPr>
          <w:rFonts w:hint="eastAsia" w:eastAsia="仿宋_GB2312"/>
          <w:color w:val="000000" w:themeColor="text1"/>
          <w:sz w:val="32"/>
          <w:szCs w:val="32"/>
          <w:u w:val="single"/>
          <w:lang w:val="en-US" w:eastAsia="zh-CN"/>
          <w14:textFill>
            <w14:solidFill>
              <w14:schemeClr w14:val="tx1"/>
            </w14:solidFill>
          </w14:textFill>
        </w:rPr>
      </w:pPr>
      <w:r>
        <w:rPr>
          <w:rFonts w:eastAsia="仿宋_GB2312"/>
          <w:color w:val="000000" w:themeColor="text1"/>
          <w:sz w:val="32"/>
          <w:szCs w:val="32"/>
          <w14:textFill>
            <w14:solidFill>
              <w14:schemeClr w14:val="tx1"/>
            </w14:solidFill>
          </w14:textFill>
        </w:rPr>
        <w:t>建设单位（盖章）：</w:t>
      </w:r>
      <w:r>
        <w:rPr>
          <w:rFonts w:hint="eastAsia" w:eastAsia="仿宋_GB2312"/>
          <w:color w:val="000000" w:themeColor="text1"/>
          <w:sz w:val="32"/>
          <w:szCs w:val="32"/>
          <w:u w:val="single"/>
          <w14:textFill>
            <w14:solidFill>
              <w14:schemeClr w14:val="tx1"/>
            </w14:solidFill>
          </w14:textFill>
        </w:rPr>
        <w:t>黑龙江</w:t>
      </w:r>
      <w:r>
        <w:rPr>
          <w:rFonts w:hint="eastAsia" w:eastAsia="仿宋_GB2312"/>
          <w:color w:val="000000" w:themeColor="text1"/>
          <w:sz w:val="32"/>
          <w:szCs w:val="32"/>
          <w:u w:val="single"/>
          <w:lang w:val="en-US" w:eastAsia="zh-CN"/>
          <w14:textFill>
            <w14:solidFill>
              <w14:schemeClr w14:val="tx1"/>
            </w14:solidFill>
          </w14:textFill>
        </w:rPr>
        <w:t>龙煤双鸭山矿业</w:t>
      </w:r>
      <w:r>
        <w:rPr>
          <w:rFonts w:hint="eastAsia" w:eastAsia="仿宋_GB2312"/>
          <w:color w:val="000000" w:themeColor="text1"/>
          <w:sz w:val="32"/>
          <w:szCs w:val="32"/>
          <w:u w:val="single"/>
          <w14:textFill>
            <w14:solidFill>
              <w14:schemeClr w14:val="tx1"/>
            </w14:solidFill>
          </w14:textFill>
        </w:rPr>
        <w:t>有限</w:t>
      </w:r>
      <w:r>
        <w:rPr>
          <w:rFonts w:hint="eastAsia" w:eastAsia="仿宋_GB2312"/>
          <w:color w:val="000000" w:themeColor="text1"/>
          <w:sz w:val="32"/>
          <w:szCs w:val="32"/>
          <w:u w:val="single"/>
          <w:lang w:val="en-US" w:eastAsia="zh-CN"/>
          <w14:textFill>
            <w14:solidFill>
              <w14:schemeClr w14:val="tx1"/>
            </w14:solidFill>
          </w14:textFill>
        </w:rPr>
        <w:t>责任</w:t>
      </w:r>
      <w:r>
        <w:rPr>
          <w:rFonts w:hint="eastAsia" w:eastAsia="仿宋_GB2312"/>
          <w:color w:val="000000" w:themeColor="text1"/>
          <w:sz w:val="32"/>
          <w:szCs w:val="32"/>
          <w:u w:val="single"/>
          <w14:textFill>
            <w14:solidFill>
              <w14:schemeClr w14:val="tx1"/>
            </w14:solidFill>
          </w14:textFill>
        </w:rPr>
        <w:t xml:space="preserve">公司  </w:t>
      </w:r>
    </w:p>
    <w:p w14:paraId="32207981">
      <w:pPr>
        <w:spacing w:line="360" w:lineRule="auto"/>
        <w:ind w:firstLine="640" w:firstLineChars="200"/>
        <w:rPr>
          <w:rFonts w:eastAsia="仿宋_GB2312"/>
          <w:color w:val="000000" w:themeColor="text1"/>
          <w:sz w:val="36"/>
          <w:szCs w:val="36"/>
          <w:u w:val="single"/>
          <w14:textFill>
            <w14:solidFill>
              <w14:schemeClr w14:val="tx1"/>
            </w14:solidFill>
          </w14:textFill>
        </w:rPr>
      </w:pPr>
      <w:r>
        <w:rPr>
          <w:rFonts w:eastAsia="仿宋_GB2312"/>
          <w:color w:val="000000" w:themeColor="text1"/>
          <w:sz w:val="32"/>
          <w:szCs w:val="32"/>
          <w14:textFill>
            <w14:solidFill>
              <w14:schemeClr w14:val="tx1"/>
            </w14:solidFill>
          </w14:textFill>
        </w:rPr>
        <w:t>编制日期：</w:t>
      </w:r>
      <w:r>
        <w:rPr>
          <w:rFonts w:eastAsia="仿宋_GB2312"/>
          <w:color w:val="000000" w:themeColor="text1"/>
          <w:sz w:val="32"/>
          <w:szCs w:val="32"/>
          <w:u w:val="single"/>
          <w14:textFill>
            <w14:solidFill>
              <w14:schemeClr w14:val="tx1"/>
            </w14:solidFill>
          </w14:textFill>
        </w:rPr>
        <w:t xml:space="preserve">  </w:t>
      </w:r>
      <w:r>
        <w:rPr>
          <w:rFonts w:hint="eastAsia" w:eastAsia="仿宋_GB2312"/>
          <w:color w:val="000000" w:themeColor="text1"/>
          <w:sz w:val="32"/>
          <w:szCs w:val="32"/>
          <w:u w:val="single"/>
          <w:lang w:val="en-US" w:eastAsia="zh-CN"/>
          <w14:textFill>
            <w14:solidFill>
              <w14:schemeClr w14:val="tx1"/>
            </w14:solidFill>
          </w14:textFill>
        </w:rPr>
        <w:t xml:space="preserve">            </w:t>
      </w:r>
      <w:r>
        <w:rPr>
          <w:rFonts w:hint="eastAsia" w:eastAsia="仿宋_GB2312"/>
          <w:color w:val="000000" w:themeColor="text1"/>
          <w:sz w:val="32"/>
          <w:szCs w:val="32"/>
          <w:u w:val="single"/>
          <w14:textFill>
            <w14:solidFill>
              <w14:schemeClr w14:val="tx1"/>
            </w14:solidFill>
          </w14:textFill>
        </w:rPr>
        <w:t>202</w:t>
      </w:r>
      <w:r>
        <w:rPr>
          <w:rFonts w:hint="eastAsia" w:eastAsia="仿宋_GB2312"/>
          <w:color w:val="000000" w:themeColor="text1"/>
          <w:sz w:val="32"/>
          <w:szCs w:val="32"/>
          <w:u w:val="single"/>
          <w:lang w:val="en-US" w:eastAsia="zh-CN"/>
          <w14:textFill>
            <w14:solidFill>
              <w14:schemeClr w14:val="tx1"/>
            </w14:solidFill>
          </w14:textFill>
        </w:rPr>
        <w:t>5</w:t>
      </w:r>
      <w:r>
        <w:rPr>
          <w:rFonts w:eastAsia="仿宋_GB2312"/>
          <w:color w:val="000000" w:themeColor="text1"/>
          <w:sz w:val="32"/>
          <w:szCs w:val="32"/>
          <w:u w:val="single"/>
          <w14:textFill>
            <w14:solidFill>
              <w14:schemeClr w14:val="tx1"/>
            </w14:solidFill>
          </w14:textFill>
        </w:rPr>
        <w:t>年</w:t>
      </w:r>
      <w:r>
        <w:rPr>
          <w:rFonts w:hint="eastAsia" w:eastAsia="仿宋_GB2312"/>
          <w:color w:val="000000" w:themeColor="text1"/>
          <w:sz w:val="32"/>
          <w:szCs w:val="32"/>
          <w:u w:val="single"/>
          <w:lang w:val="en-US" w:eastAsia="zh-CN"/>
          <w14:textFill>
            <w14:solidFill>
              <w14:schemeClr w14:val="tx1"/>
            </w14:solidFill>
          </w14:textFill>
        </w:rPr>
        <w:t>10</w:t>
      </w:r>
      <w:r>
        <w:rPr>
          <w:rFonts w:eastAsia="仿宋_GB2312"/>
          <w:color w:val="000000" w:themeColor="text1"/>
          <w:sz w:val="32"/>
          <w:szCs w:val="32"/>
          <w:u w:val="single"/>
          <w14:textFill>
            <w14:solidFill>
              <w14:schemeClr w14:val="tx1"/>
            </w14:solidFill>
          </w14:textFill>
        </w:rPr>
        <w:t xml:space="preserve">月 </w:t>
      </w:r>
      <w:r>
        <w:rPr>
          <w:rFonts w:hint="eastAsia" w:eastAsia="仿宋_GB2312"/>
          <w:color w:val="000000" w:themeColor="text1"/>
          <w:sz w:val="32"/>
          <w:szCs w:val="32"/>
          <w:u w:val="single"/>
          <w:lang w:val="en-US" w:eastAsia="zh-CN"/>
          <w14:textFill>
            <w14:solidFill>
              <w14:schemeClr w14:val="tx1"/>
            </w14:solidFill>
          </w14:textFill>
        </w:rPr>
        <w:t xml:space="preserve">              </w:t>
      </w:r>
      <w:r>
        <w:rPr>
          <w:rFonts w:eastAsia="仿宋_GB2312"/>
          <w:color w:val="000000" w:themeColor="text1"/>
          <w:sz w:val="32"/>
          <w:szCs w:val="32"/>
          <w:u w:val="single"/>
          <w14:textFill>
            <w14:solidFill>
              <w14:schemeClr w14:val="tx1"/>
            </w14:solidFill>
          </w14:textFill>
        </w:rPr>
        <w:t xml:space="preserve"> </w:t>
      </w:r>
    </w:p>
    <w:p w14:paraId="42319ECB">
      <w:pPr>
        <w:spacing w:before="1200" w:beforeLines="500" w:line="288" w:lineRule="auto"/>
        <w:jc w:val="center"/>
        <w:rPr>
          <w:rFonts w:eastAsia="楷体_GB2312"/>
          <w:color w:val="000000" w:themeColor="text1"/>
          <w:sz w:val="36"/>
          <w:szCs w:val="36"/>
          <w14:textFill>
            <w14:solidFill>
              <w14:schemeClr w14:val="tx1"/>
            </w14:solidFill>
          </w14:textFill>
        </w:rPr>
      </w:pPr>
      <w:r>
        <w:rPr>
          <w:rFonts w:eastAsia="楷体_GB2312"/>
          <w:color w:val="000000" w:themeColor="text1"/>
          <w:sz w:val="36"/>
          <w:szCs w:val="36"/>
          <w14:textFill>
            <w14:solidFill>
              <w14:schemeClr w14:val="tx1"/>
            </w14:solidFill>
          </w14:textFill>
        </w:rPr>
        <w:t>中华人民共和国生态环境部制</w:t>
      </w:r>
    </w:p>
    <w:p w14:paraId="64C4218F">
      <w:pPr>
        <w:adjustRightInd w:val="0"/>
        <w:snapToGrid w:val="0"/>
        <w:spacing w:line="288" w:lineRule="auto"/>
        <w:ind w:firstLine="1040"/>
        <w:rPr>
          <w:rFonts w:eastAsia="仿宋_GB2312"/>
          <w:color w:val="000000" w:themeColor="text1"/>
          <w:sz w:val="36"/>
          <w:szCs w:val="36"/>
          <w14:textFill>
            <w14:solidFill>
              <w14:schemeClr w14:val="tx1"/>
            </w14:solidFill>
          </w14:textFill>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31B0E525">
      <w:pPr>
        <w:pStyle w:val="20"/>
        <w:tabs>
          <w:tab w:val="right" w:leader="dot" w:pos="8844"/>
        </w:tabs>
        <w:jc w:val="center"/>
        <w:rPr>
          <w:rFonts w:hint="eastAsia"/>
          <w:b/>
          <w:bCs/>
          <w:color w:val="000000" w:themeColor="text1"/>
          <w:sz w:val="36"/>
          <w:szCs w:val="36"/>
          <w:lang w:eastAsia="zh-CN"/>
          <w14:textFill>
            <w14:solidFill>
              <w14:schemeClr w14:val="tx1"/>
            </w14:solidFill>
          </w14:textFill>
        </w:rPr>
      </w:pPr>
      <w:r>
        <w:rPr>
          <w:rFonts w:hint="eastAsia"/>
          <w:b/>
          <w:bCs/>
          <w:color w:val="000000" w:themeColor="text1"/>
          <w:sz w:val="36"/>
          <w:szCs w:val="36"/>
          <w:lang w:eastAsia="zh-CN"/>
          <w14:textFill>
            <w14:solidFill>
              <w14:schemeClr w14:val="tx1"/>
            </w14:solidFill>
          </w14:textFill>
        </w:rPr>
        <w:drawing>
          <wp:inline distT="0" distB="0" distL="114300" distR="114300">
            <wp:extent cx="5603875" cy="8009255"/>
            <wp:effectExtent l="0" t="0" r="15875" b="10795"/>
            <wp:docPr id="61" name="图片 61" descr="633dfde69f267a2e2e3fc0bce99e0e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633dfde69f267a2e2e3fc0bce99e0e8d"/>
                    <pic:cNvPicPr>
                      <a:picLocks noChangeAspect="1"/>
                    </pic:cNvPicPr>
                  </pic:nvPicPr>
                  <pic:blipFill>
                    <a:blip r:embed="rId9"/>
                    <a:stretch>
                      <a:fillRect/>
                    </a:stretch>
                  </pic:blipFill>
                  <pic:spPr>
                    <a:xfrm>
                      <a:off x="0" y="0"/>
                      <a:ext cx="5603875" cy="8009255"/>
                    </a:xfrm>
                    <a:prstGeom prst="rect">
                      <a:avLst/>
                    </a:prstGeom>
                  </pic:spPr>
                </pic:pic>
              </a:graphicData>
            </a:graphic>
          </wp:inline>
        </w:drawing>
      </w:r>
    </w:p>
    <w:p w14:paraId="0ECB8CDE">
      <w:pPr>
        <w:pStyle w:val="20"/>
        <w:tabs>
          <w:tab w:val="right" w:leader="dot" w:pos="8844"/>
        </w:tabs>
        <w:jc w:val="center"/>
        <w:rPr>
          <w:rFonts w:hint="eastAsia"/>
          <w:b/>
          <w:bCs/>
          <w:color w:val="000000" w:themeColor="text1"/>
          <w:sz w:val="36"/>
          <w:szCs w:val="36"/>
          <w:lang w:eastAsia="zh-CN"/>
          <w14:textFill>
            <w14:solidFill>
              <w14:schemeClr w14:val="tx1"/>
            </w14:solidFill>
          </w14:textFill>
        </w:rPr>
      </w:pPr>
    </w:p>
    <w:p w14:paraId="73E47451">
      <w:pPr>
        <w:pStyle w:val="20"/>
        <w:tabs>
          <w:tab w:val="right" w:leader="dot" w:pos="8844"/>
        </w:tabs>
        <w:jc w:val="center"/>
        <w:rPr>
          <w:rFonts w:hint="eastAsia"/>
          <w:b/>
          <w:bCs/>
          <w:color w:val="000000" w:themeColor="text1"/>
          <w:sz w:val="36"/>
          <w:szCs w:val="36"/>
          <w:lang w:eastAsia="zh-CN"/>
          <w14:textFill>
            <w14:solidFill>
              <w14:schemeClr w14:val="tx1"/>
            </w14:solidFill>
          </w14:textFill>
        </w:rPr>
      </w:pPr>
      <w:r>
        <w:rPr>
          <w:rFonts w:hint="eastAsia"/>
          <w:b/>
          <w:bCs/>
          <w:color w:val="000000" w:themeColor="text1"/>
          <w:sz w:val="36"/>
          <w:szCs w:val="36"/>
          <w:lang w:eastAsia="zh-CN"/>
          <w14:textFill>
            <w14:solidFill>
              <w14:schemeClr w14:val="tx1"/>
            </w14:solidFill>
          </w14:textFill>
        </w:rPr>
        <w:t>目</w:t>
      </w:r>
      <w:r>
        <w:rPr>
          <w:rFonts w:hint="eastAsia"/>
          <w:b/>
          <w:bCs/>
          <w:color w:val="000000" w:themeColor="text1"/>
          <w:sz w:val="36"/>
          <w:szCs w:val="36"/>
          <w:lang w:val="en-US" w:eastAsia="zh-CN"/>
          <w14:textFill>
            <w14:solidFill>
              <w14:schemeClr w14:val="tx1"/>
            </w14:solidFill>
          </w14:textFill>
        </w:rPr>
        <w:t xml:space="preserve">  </w:t>
      </w:r>
      <w:r>
        <w:rPr>
          <w:rFonts w:hint="eastAsia"/>
          <w:b/>
          <w:bCs/>
          <w:color w:val="000000" w:themeColor="text1"/>
          <w:sz w:val="36"/>
          <w:szCs w:val="36"/>
          <w:lang w:eastAsia="zh-CN"/>
          <w14:textFill>
            <w14:solidFill>
              <w14:schemeClr w14:val="tx1"/>
            </w14:solidFill>
          </w14:textFill>
        </w:rPr>
        <w:t>录</w:t>
      </w:r>
    </w:p>
    <w:p w14:paraId="3EC35824">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highlight w:val="yellow"/>
          <w14:textFill>
            <w14:solidFill>
              <w14:schemeClr w14:val="tx1"/>
            </w14:solidFill>
          </w14:textFill>
        </w:rPr>
      </w:pPr>
      <w:r>
        <w:rPr>
          <w:rFonts w:hint="default" w:ascii="Times New Roman" w:hAnsi="Times New Roman" w:eastAsia="宋体" w:cs="Times New Roman"/>
          <w:color w:val="000000" w:themeColor="text1"/>
          <w:sz w:val="24"/>
          <w:szCs w:val="24"/>
          <w:highlight w:val="yellow"/>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yellow"/>
          <w14:textFill>
            <w14:solidFill>
              <w14:schemeClr w14:val="tx1"/>
            </w14:solidFill>
          </w14:textFill>
        </w:rPr>
        <w:instrText xml:space="preserve">TOC \o "1-1" \h \u </w:instrText>
      </w:r>
      <w:r>
        <w:rPr>
          <w:rFonts w:hint="default" w:ascii="Times New Roman" w:hAnsi="Times New Roman" w:eastAsia="宋体" w:cs="Times New Roman"/>
          <w:color w:val="000000" w:themeColor="text1"/>
          <w:sz w:val="24"/>
          <w:szCs w:val="24"/>
          <w:highlight w:val="yellow"/>
          <w14:textFill>
            <w14:solidFill>
              <w14:schemeClr w14:val="tx1"/>
            </w14:solidFill>
          </w14:textFill>
        </w:rPr>
        <w:fldChar w:fldCharType="separate"/>
      </w:r>
    </w:p>
    <w:p w14:paraId="1FC43F5E">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_Toc20654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一、建设项目基本情况</w:t>
      </w:r>
      <w:r>
        <w:rPr>
          <w:rFonts w:hint="default" w:ascii="Times New Roman" w:hAnsi="Times New Roman" w:eastAsia="宋体" w:cs="Times New Roman"/>
          <w:color w:val="000000" w:themeColor="text1"/>
          <w:sz w:val="24"/>
          <w:szCs w:val="24"/>
          <w:highlight w:val="none"/>
          <w14:textFill>
            <w14:solidFill>
              <w14:schemeClr w14:val="tx1"/>
            </w14:solidFill>
          </w14:textFill>
        </w:rPr>
        <w:tab/>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PAGEREF _Toc20654 \h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1</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6300C906">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_Toc22318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二、建设项目工程分析</w:t>
      </w:r>
      <w:r>
        <w:rPr>
          <w:rFonts w:hint="default" w:ascii="Times New Roman" w:hAnsi="Times New Roman" w:eastAsia="宋体" w:cs="Times New Roman"/>
          <w:color w:val="000000" w:themeColor="text1"/>
          <w:sz w:val="24"/>
          <w:szCs w:val="24"/>
          <w:highlight w:val="none"/>
          <w14:textFill>
            <w14:solidFill>
              <w14:schemeClr w14:val="tx1"/>
            </w14:solidFill>
          </w14:textFill>
        </w:rPr>
        <w:tab/>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PAGEREF _Toc22318 \h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22</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7AE5D30D">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_Toc19158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三、区域环境质量现状、环境保护目标及评价标准</w:t>
      </w:r>
      <w:r>
        <w:rPr>
          <w:rFonts w:hint="default" w:ascii="Times New Roman" w:hAnsi="Times New Roman" w:eastAsia="宋体" w:cs="Times New Roman"/>
          <w:color w:val="000000" w:themeColor="text1"/>
          <w:sz w:val="24"/>
          <w:szCs w:val="24"/>
          <w:highlight w:val="none"/>
          <w14:textFill>
            <w14:solidFill>
              <w14:schemeClr w14:val="tx1"/>
            </w14:solidFill>
          </w14:textFill>
        </w:rPr>
        <w:tab/>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PAGEREF _Toc19158 \h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39</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0D7EB8EC">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_Toc19045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四、主要环境影响和保护措施</w:t>
      </w:r>
      <w:r>
        <w:rPr>
          <w:rFonts w:hint="default" w:ascii="Times New Roman" w:hAnsi="Times New Roman" w:eastAsia="宋体" w:cs="Times New Roman"/>
          <w:color w:val="000000" w:themeColor="text1"/>
          <w:sz w:val="24"/>
          <w:szCs w:val="24"/>
          <w:highlight w:val="none"/>
          <w14:textFill>
            <w14:solidFill>
              <w14:schemeClr w14:val="tx1"/>
            </w14:solidFill>
          </w14:textFill>
        </w:rPr>
        <w:tab/>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PAGEREF _Toc19045 \h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50</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6BE3260D">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_Toc21317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五、环境保护措施监督检查清单</w:t>
      </w:r>
      <w:r>
        <w:rPr>
          <w:rFonts w:hint="default" w:ascii="Times New Roman" w:hAnsi="Times New Roman" w:eastAsia="宋体" w:cs="Times New Roman"/>
          <w:color w:val="000000" w:themeColor="text1"/>
          <w:sz w:val="24"/>
          <w:szCs w:val="24"/>
          <w:highlight w:val="none"/>
          <w14:textFill>
            <w14:solidFill>
              <w14:schemeClr w14:val="tx1"/>
            </w14:solidFill>
          </w14:textFill>
        </w:rPr>
        <w:tab/>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PAGEREF _Toc21317 \h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69</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23591979">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_Toc28639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六、结论</w:t>
      </w:r>
      <w:r>
        <w:rPr>
          <w:rFonts w:hint="default" w:ascii="Times New Roman" w:hAnsi="Times New Roman" w:eastAsia="宋体" w:cs="Times New Roman"/>
          <w:color w:val="000000" w:themeColor="text1"/>
          <w:sz w:val="24"/>
          <w:szCs w:val="24"/>
          <w:highlight w:val="none"/>
          <w14:textFill>
            <w14:solidFill>
              <w14:schemeClr w14:val="tx1"/>
            </w14:solidFill>
          </w14:textFill>
        </w:rPr>
        <w:tab/>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PAGEREF _Toc28639 \h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73</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6A1C5A98">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附表</w:t>
      </w:r>
    </w:p>
    <w:p w14:paraId="2754FA7C">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highlight w:val="yellow"/>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_Toc27618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附表</w:t>
      </w:r>
      <w:r>
        <w:rPr>
          <w:rFonts w:hint="eastAsia" w:cs="Times New Roman"/>
          <w:color w:val="000000" w:themeColor="text1"/>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4"/>
          <w:szCs w:val="24"/>
          <w:highlight w:val="none"/>
          <w14:textFill>
            <w14:solidFill>
              <w14:schemeClr w14:val="tx1"/>
            </w14:solidFill>
          </w14:textFill>
        </w:rPr>
        <w:t>建设项目污染物排放量汇总表</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514FB667">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附图</w:t>
      </w:r>
    </w:p>
    <w:p w14:paraId="5B91D5A6">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_Toc15827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 xml:space="preserve">附图1 </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地理位置</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r>
        <w:rPr>
          <w:rFonts w:hint="eastAsia" w:cs="Times New Roman"/>
          <w:color w:val="000000" w:themeColor="text1"/>
          <w:sz w:val="24"/>
          <w:szCs w:val="24"/>
          <w:highlight w:val="none"/>
          <w:lang w:val="en-US" w:eastAsia="zh-CN"/>
          <w14:textFill>
            <w14:solidFill>
              <w14:schemeClr w14:val="tx1"/>
            </w14:solidFill>
          </w14:textFill>
        </w:rPr>
        <w:t>图</w:t>
      </w:r>
    </w:p>
    <w:p w14:paraId="2C4DD2C1">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_Toc10193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 xml:space="preserve">附图2 </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平面布置图</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762DFDC8">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_Toc2418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 xml:space="preserve">附图3 </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双鸭山市综合管控单元图</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52B6CC34">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_Toc22767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附图4 大气环境保护目标分布图</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0CF0335A">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_Toc21450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 xml:space="preserve">附图5 </w:t>
      </w:r>
      <w:r>
        <w:rPr>
          <w:rFonts w:hint="eastAsia" w:cs="Times New Roman"/>
          <w:color w:val="000000" w:themeColor="text1"/>
          <w:sz w:val="24"/>
          <w:szCs w:val="24"/>
          <w:highlight w:val="none"/>
          <w:lang w:val="en-US" w:eastAsia="zh-CN"/>
          <w14:textFill>
            <w14:solidFill>
              <w14:schemeClr w14:val="tx1"/>
            </w14:solidFill>
          </w14:textFill>
        </w:rPr>
        <w:t>声环境保护目标分布图</w:t>
      </w:r>
    </w:p>
    <w:p w14:paraId="5288F4C1">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eastAsia"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附图6 分区防渗图</w:t>
      </w:r>
    </w:p>
    <w:p w14:paraId="208682E5">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 xml:space="preserve">附图7 </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全本公示</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r>
        <w:rPr>
          <w:rFonts w:hint="eastAsia" w:cs="Times New Roman"/>
          <w:color w:val="000000" w:themeColor="text1"/>
          <w:sz w:val="24"/>
          <w:szCs w:val="24"/>
          <w:highlight w:val="none"/>
          <w:lang w:val="en-US" w:eastAsia="zh-CN"/>
          <w14:textFill>
            <w14:solidFill>
              <w14:schemeClr w14:val="tx1"/>
            </w14:solidFill>
          </w14:textFill>
        </w:rPr>
        <w:t>截图</w:t>
      </w:r>
    </w:p>
    <w:p w14:paraId="07F9337C">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eastAsia"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附图8 原煤段洒水降尘系统设计图</w:t>
      </w:r>
    </w:p>
    <w:p w14:paraId="660FA10B">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附图9 厂内雨水管路路线图</w:t>
      </w:r>
    </w:p>
    <w:p w14:paraId="5B2053C5">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附件</w:t>
      </w:r>
    </w:p>
    <w:p w14:paraId="48470F31">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_Toc27148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 xml:space="preserve">附件1 </w:t>
      </w:r>
      <w:r>
        <w:rPr>
          <w:rFonts w:hint="eastAsia" w:cs="Times New Roman"/>
          <w:color w:val="000000" w:themeColor="text1"/>
          <w:sz w:val="24"/>
          <w:szCs w:val="24"/>
          <w:highlight w:val="none"/>
          <w:lang w:val="en-US" w:eastAsia="zh-CN"/>
          <w14:textFill>
            <w14:solidFill>
              <w14:schemeClr w14:val="tx1"/>
            </w14:solidFill>
          </w14:textFill>
        </w:rPr>
        <w:t>营业执照</w:t>
      </w:r>
    </w:p>
    <w:p w14:paraId="5E06B604">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附件2</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现有</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r>
        <w:rPr>
          <w:rFonts w:hint="eastAsia" w:cs="Times New Roman"/>
          <w:color w:val="000000" w:themeColor="text1"/>
          <w:sz w:val="24"/>
          <w:szCs w:val="24"/>
          <w:highlight w:val="none"/>
          <w:lang w:val="en-US" w:eastAsia="zh-CN"/>
          <w14:textFill>
            <w14:solidFill>
              <w14:schemeClr w14:val="tx1"/>
            </w14:solidFill>
          </w14:textFill>
        </w:rPr>
        <w:t>工程环评批复</w:t>
      </w:r>
    </w:p>
    <w:p w14:paraId="6363A622">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_Toc28148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附件</w:t>
      </w:r>
      <w:r>
        <w:rPr>
          <w:rFonts w:hint="eastAsia"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 xml:space="preserve"> </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现有</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r>
        <w:rPr>
          <w:rFonts w:hint="eastAsia" w:cs="Times New Roman"/>
          <w:color w:val="000000" w:themeColor="text1"/>
          <w:sz w:val="24"/>
          <w:szCs w:val="24"/>
          <w:highlight w:val="none"/>
          <w:lang w:val="en-US" w:eastAsia="zh-CN"/>
          <w14:textFill>
            <w14:solidFill>
              <w14:schemeClr w14:val="tx1"/>
            </w14:solidFill>
          </w14:textFill>
        </w:rPr>
        <w:t>工程验收意见</w:t>
      </w:r>
    </w:p>
    <w:p w14:paraId="1E8A8270">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_Toc12166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附件</w:t>
      </w:r>
      <w:r>
        <w:rPr>
          <w:rFonts w:hint="eastAsia"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14:textFill>
            <w14:solidFill>
              <w14:schemeClr w14:val="tx1"/>
            </w14:solidFill>
          </w14:textFill>
        </w:rPr>
        <w:t xml:space="preserve"> 放射性核素检测报告</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2E024813">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_Toc5548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附件</w:t>
      </w:r>
      <w:r>
        <w:rPr>
          <w:rFonts w:hint="eastAsia"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14:textFill>
            <w14:solidFill>
              <w14:schemeClr w14:val="tx1"/>
            </w14:solidFill>
          </w14:textFill>
        </w:rPr>
        <w:t xml:space="preserve"> </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突发环境事件应急预案备案表</w:t>
      </w:r>
    </w:p>
    <w:p w14:paraId="06B2FD59">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 xml:space="preserve">附件6 </w:t>
      </w:r>
      <w:r>
        <w:rPr>
          <w:rFonts w:hint="default" w:ascii="Times New Roman" w:hAnsi="Times New Roman" w:eastAsia="宋体" w:cs="Times New Roman"/>
          <w:color w:val="000000" w:themeColor="text1"/>
          <w:sz w:val="24"/>
          <w:szCs w:val="24"/>
          <w:highlight w:val="none"/>
          <w14:textFill>
            <w14:solidFill>
              <w14:schemeClr w14:val="tx1"/>
            </w14:solidFill>
          </w14:textFill>
        </w:rPr>
        <w:t>检测报告</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09077BA7">
      <w:pPr>
        <w:spacing w:line="360" w:lineRule="auto"/>
        <w:rPr>
          <w:rFonts w:hint="eastAsia"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附件7生态环境分区管控分析报告</w:t>
      </w:r>
    </w:p>
    <w:p w14:paraId="032623C2">
      <w:pPr>
        <w:spacing w:line="360" w:lineRule="auto"/>
        <w:rPr>
          <w:rFonts w:hint="default" w:eastAsia="宋体"/>
          <w:lang w:val="en-US" w:eastAsia="zh-CN"/>
        </w:rPr>
      </w:pPr>
      <w:r>
        <w:rPr>
          <w:rFonts w:hint="eastAsia" w:cs="Times New Roman"/>
          <w:color w:val="000000" w:themeColor="text1"/>
          <w:sz w:val="24"/>
          <w:szCs w:val="24"/>
          <w:highlight w:val="none"/>
          <w:lang w:val="en-US" w:eastAsia="zh-CN"/>
          <w14:textFill>
            <w14:solidFill>
              <w14:schemeClr w14:val="tx1"/>
            </w14:solidFill>
          </w14:textFill>
        </w:rPr>
        <w:t>附件8竣工验收检测报告</w:t>
      </w:r>
    </w:p>
    <w:p w14:paraId="620969FD">
      <w:pPr>
        <w:pStyle w:val="20"/>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highlight w:val="yellow"/>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default" w:ascii="Times New Roman" w:hAnsi="Times New Roman" w:eastAsia="宋体" w:cs="Times New Roman"/>
          <w:color w:val="000000" w:themeColor="text1"/>
          <w:sz w:val="24"/>
          <w:szCs w:val="24"/>
          <w:highlight w:val="yellow"/>
          <w14:textFill>
            <w14:solidFill>
              <w14:schemeClr w14:val="tx1"/>
            </w14:solidFill>
          </w14:textFill>
        </w:rPr>
        <w:fldChar w:fldCharType="end"/>
      </w:r>
    </w:p>
    <w:p w14:paraId="5B94F177">
      <w:pPr>
        <w:pStyle w:val="24"/>
        <w:spacing w:before="0" w:beforeAutospacing="0" w:after="0" w:afterAutospacing="0" w:line="360" w:lineRule="auto"/>
        <w:jc w:val="center"/>
        <w:outlineLvl w:val="0"/>
        <w:rPr>
          <w:rFonts w:ascii="Times New Roman" w:hAnsi="Times New Roman" w:eastAsia="黑体"/>
          <w:snapToGrid w:val="0"/>
          <w:color w:val="000000" w:themeColor="text1"/>
          <w:sz w:val="30"/>
          <w:szCs w:val="30"/>
          <w14:textFill>
            <w14:solidFill>
              <w14:schemeClr w14:val="tx1"/>
            </w14:solidFill>
          </w14:textFill>
        </w:rPr>
      </w:pPr>
      <w:bookmarkStart w:id="2" w:name="_Toc20654"/>
      <w:r>
        <w:rPr>
          <w:rFonts w:ascii="Times New Roman" w:hAnsi="Times New Roman" w:eastAsia="黑体"/>
          <w:snapToGrid w:val="0"/>
          <w:color w:val="000000" w:themeColor="text1"/>
          <w:sz w:val="30"/>
          <w:szCs w:val="30"/>
          <w14:textFill>
            <w14:solidFill>
              <w14:schemeClr w14:val="tx1"/>
            </w14:solidFill>
          </w14:textFill>
        </w:rPr>
        <w:t>一、建设项目基本情况</w:t>
      </w:r>
      <w:bookmarkEnd w:id="2"/>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789"/>
        <w:gridCol w:w="2230"/>
        <w:gridCol w:w="2212"/>
        <w:gridCol w:w="2639"/>
      </w:tblGrid>
      <w:tr w14:paraId="56C6FD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89" w:type="dxa"/>
            <w:tcMar>
              <w:top w:w="16" w:type="dxa"/>
              <w:left w:w="16" w:type="dxa"/>
              <w:right w:w="16" w:type="dxa"/>
            </w:tcMar>
            <w:vAlign w:val="center"/>
          </w:tcPr>
          <w:p w14:paraId="6BA05964">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建设项目名称</w:t>
            </w:r>
          </w:p>
        </w:tc>
        <w:tc>
          <w:tcPr>
            <w:tcW w:w="7081" w:type="dxa"/>
            <w:gridSpan w:val="3"/>
            <w:vAlign w:val="center"/>
          </w:tcPr>
          <w:p w14:paraId="0C1BFC2A">
            <w:pPr>
              <w:adjustRightInd w:val="0"/>
              <w:snapToGrid w:val="0"/>
              <w:jc w:val="center"/>
              <w:rPr>
                <w:rFonts w:hint="eastAsia" w:eastAsia="宋体"/>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黑龙江龙煤双鸭山矿业有限责任公司中央选煤厂</w:t>
            </w:r>
            <w:r>
              <w:rPr>
                <w:rFonts w:hint="eastAsia"/>
                <w:color w:val="000000" w:themeColor="text1"/>
                <w:sz w:val="24"/>
                <w:highlight w:val="none"/>
                <w:lang w:val="en-US" w:eastAsia="zh-CN"/>
                <w14:textFill>
                  <w14:solidFill>
                    <w14:schemeClr w14:val="tx1"/>
                  </w14:solidFill>
                </w14:textFill>
              </w:rPr>
              <w:t>改扩建</w:t>
            </w:r>
            <w:r>
              <w:rPr>
                <w:rFonts w:hint="eastAsia"/>
                <w:color w:val="000000" w:themeColor="text1"/>
                <w:sz w:val="24"/>
                <w:highlight w:val="none"/>
                <w:lang w:eastAsia="zh-CN"/>
                <w14:textFill>
                  <w14:solidFill>
                    <w14:schemeClr w14:val="tx1"/>
                  </w14:solidFill>
                </w14:textFill>
              </w:rPr>
              <w:t>项目</w:t>
            </w:r>
          </w:p>
        </w:tc>
      </w:tr>
      <w:tr w14:paraId="6C5C15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89" w:type="dxa"/>
            <w:tcMar>
              <w:top w:w="16" w:type="dxa"/>
              <w:left w:w="16" w:type="dxa"/>
              <w:right w:w="16" w:type="dxa"/>
            </w:tcMar>
            <w:vAlign w:val="center"/>
          </w:tcPr>
          <w:p w14:paraId="3DEED9C6">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项目代码</w:t>
            </w:r>
          </w:p>
        </w:tc>
        <w:tc>
          <w:tcPr>
            <w:tcW w:w="7081" w:type="dxa"/>
            <w:gridSpan w:val="3"/>
            <w:vAlign w:val="center"/>
          </w:tcPr>
          <w:p w14:paraId="17ADA10A">
            <w:pPr>
              <w:adjustRightInd w:val="0"/>
              <w:snapToGrid w:val="0"/>
              <w:jc w:val="center"/>
              <w:rPr>
                <w:rFonts w:hint="eastAsia" w:eastAsia="宋体"/>
                <w:color w:val="000000" w:themeColor="text1"/>
                <w:sz w:val="24"/>
                <w:lang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无</w:t>
            </w:r>
          </w:p>
        </w:tc>
      </w:tr>
      <w:tr w14:paraId="1FC131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89" w:type="dxa"/>
            <w:tcMar>
              <w:top w:w="16" w:type="dxa"/>
              <w:left w:w="16" w:type="dxa"/>
              <w:right w:w="16" w:type="dxa"/>
            </w:tcMar>
            <w:vAlign w:val="center"/>
          </w:tcPr>
          <w:p w14:paraId="7F3C78CC">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建设单位联系人</w:t>
            </w:r>
          </w:p>
        </w:tc>
        <w:tc>
          <w:tcPr>
            <w:tcW w:w="2230" w:type="dxa"/>
            <w:vAlign w:val="center"/>
          </w:tcPr>
          <w:p w14:paraId="6970EFF3">
            <w:pPr>
              <w:adjustRightInd w:val="0"/>
              <w:snapToGrid w:val="0"/>
              <w:jc w:val="center"/>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张永坤</w:t>
            </w:r>
          </w:p>
        </w:tc>
        <w:tc>
          <w:tcPr>
            <w:tcW w:w="2212" w:type="dxa"/>
            <w:vAlign w:val="center"/>
          </w:tcPr>
          <w:p w14:paraId="3378ADAB">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联系方式</w:t>
            </w:r>
          </w:p>
        </w:tc>
        <w:tc>
          <w:tcPr>
            <w:tcW w:w="2639" w:type="dxa"/>
            <w:vAlign w:val="center"/>
          </w:tcPr>
          <w:p w14:paraId="6612935F">
            <w:pPr>
              <w:adjustRightInd w:val="0"/>
              <w:snapToGrid w:val="0"/>
              <w:jc w:val="center"/>
              <w:rPr>
                <w:color w:val="000000" w:themeColor="text1"/>
                <w:sz w:val="24"/>
                <w:highlight w:val="yellow"/>
                <w14:textFill>
                  <w14:solidFill>
                    <w14:schemeClr w14:val="tx1"/>
                  </w14:solidFill>
                </w14:textFill>
              </w:rPr>
            </w:pPr>
            <w:r>
              <w:rPr>
                <w:rFonts w:hint="eastAsia"/>
                <w:color w:val="000000" w:themeColor="text1"/>
                <w:sz w:val="24"/>
                <w:highlight w:val="none"/>
                <w:lang w:eastAsia="zh-CN"/>
                <w14:textFill>
                  <w14:solidFill>
                    <w14:schemeClr w14:val="tx1"/>
                  </w14:solidFill>
                </w14:textFill>
              </w:rPr>
              <w:t>15</w:t>
            </w:r>
            <w:r>
              <w:rPr>
                <w:rFonts w:hint="eastAsia"/>
                <w:color w:val="000000" w:themeColor="text1"/>
                <w:sz w:val="24"/>
                <w:highlight w:val="none"/>
                <w:lang w:val="en-US" w:eastAsia="zh-CN"/>
                <w14:textFill>
                  <w14:solidFill>
                    <w14:schemeClr w14:val="tx1"/>
                  </w14:solidFill>
                </w14:textFill>
              </w:rPr>
              <w:t>046909892</w:t>
            </w:r>
          </w:p>
        </w:tc>
      </w:tr>
      <w:tr w14:paraId="4A0E5D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89" w:type="dxa"/>
            <w:tcMar>
              <w:top w:w="16" w:type="dxa"/>
              <w:left w:w="16" w:type="dxa"/>
              <w:right w:w="16" w:type="dxa"/>
            </w:tcMar>
            <w:vAlign w:val="center"/>
          </w:tcPr>
          <w:p w14:paraId="2407999B">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建设地点</w:t>
            </w:r>
          </w:p>
        </w:tc>
        <w:tc>
          <w:tcPr>
            <w:tcW w:w="7081" w:type="dxa"/>
            <w:gridSpan w:val="3"/>
            <w:vAlign w:val="center"/>
          </w:tcPr>
          <w:p w14:paraId="6FE9931C">
            <w:pPr>
              <w:adjustRightInd w:val="0"/>
              <w:snapToGrid w:val="0"/>
              <w:jc w:val="center"/>
              <w:rPr>
                <w:color w:val="000000" w:themeColor="text1"/>
                <w:sz w:val="24"/>
                <w:highlight w:val="yellow"/>
                <w14:textFill>
                  <w14:solidFill>
                    <w14:schemeClr w14:val="tx1"/>
                  </w14:solidFill>
                </w14:textFill>
              </w:rPr>
            </w:pPr>
            <w:r>
              <w:rPr>
                <w:rFonts w:hint="eastAsia"/>
                <w:color w:val="000000" w:themeColor="text1"/>
                <w:sz w:val="24"/>
                <w:highlight w:val="none"/>
                <w14:textFill>
                  <w14:solidFill>
                    <w14:schemeClr w14:val="tx1"/>
                  </w14:solidFill>
                </w14:textFill>
              </w:rPr>
              <w:t>黑龙江省</w:t>
            </w:r>
            <w:r>
              <w:rPr>
                <w:rFonts w:hint="eastAsia"/>
                <w:color w:val="000000" w:themeColor="text1"/>
                <w:sz w:val="24"/>
                <w:highlight w:val="none"/>
                <w:lang w:val="en-US" w:eastAsia="zh-CN"/>
                <w14:textFill>
                  <w14:solidFill>
                    <w14:schemeClr w14:val="tx1"/>
                  </w14:solidFill>
                </w14:textFill>
              </w:rPr>
              <w:t>双鸭山市尖山区三马路和西平行路交叉处西南</w:t>
            </w:r>
          </w:p>
        </w:tc>
      </w:tr>
      <w:tr w14:paraId="34D512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89" w:type="dxa"/>
            <w:tcMar>
              <w:top w:w="16" w:type="dxa"/>
              <w:left w:w="16" w:type="dxa"/>
              <w:right w:w="16" w:type="dxa"/>
            </w:tcMar>
            <w:vAlign w:val="center"/>
          </w:tcPr>
          <w:p w14:paraId="3FD81ED8">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地理坐标</w:t>
            </w:r>
          </w:p>
        </w:tc>
        <w:tc>
          <w:tcPr>
            <w:tcW w:w="7081" w:type="dxa"/>
            <w:gridSpan w:val="3"/>
            <w:vAlign w:val="center"/>
          </w:tcPr>
          <w:p w14:paraId="35A476C2">
            <w:pPr>
              <w:jc w:val="center"/>
              <w:rPr>
                <w:color w:val="000000" w:themeColor="text1"/>
                <w:sz w:val="24"/>
                <w:highlight w:val="yellow"/>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东经131°8′11.89</w:t>
            </w:r>
            <w:r>
              <w:rPr>
                <w:rFonts w:hint="eastAsia" w:cs="Times New Roman"/>
                <w:color w:val="000000" w:themeColor="text1"/>
                <w:sz w:val="24"/>
                <w:highlight w:val="none"/>
                <w:lang w:val="en-US" w:eastAsia="zh-CN"/>
                <w14:textFill>
                  <w14:solidFill>
                    <w14:schemeClr w14:val="tx1"/>
                  </w14:solidFill>
                </w14:textFill>
              </w:rPr>
              <w:t>1</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eastAsia"/>
                <w:color w:val="000000" w:themeColor="text1"/>
                <w:sz w:val="24"/>
                <w:highlight w:val="none"/>
                <w14:textFill>
                  <w14:solidFill>
                    <w14:schemeClr w14:val="tx1"/>
                  </w14:solidFill>
                </w14:textFill>
              </w:rPr>
              <w:t>北纬</w:t>
            </w:r>
            <w:r>
              <w:rPr>
                <w:rFonts w:hint="default" w:ascii="Times New Roman" w:hAnsi="Times New Roman" w:cs="Times New Roman"/>
                <w:color w:val="000000" w:themeColor="text1"/>
                <w:sz w:val="24"/>
                <w:highlight w:val="none"/>
                <w:u w:val="none"/>
                <w14:textFill>
                  <w14:solidFill>
                    <w14:schemeClr w14:val="tx1"/>
                  </w14:solidFill>
                </w14:textFill>
              </w:rPr>
              <w:t>46°38′0.271</w:t>
            </w:r>
            <w:r>
              <w:rPr>
                <w:rFonts w:hint="default" w:ascii="Times New Roman" w:hAnsi="Times New Roman" w:cs="Times New Roman"/>
                <w:color w:val="000000" w:themeColor="text1"/>
                <w:sz w:val="24"/>
                <w:highlight w:val="none"/>
                <w:u w:val="none"/>
                <w:lang w:val="en-US" w:eastAsia="zh-CN"/>
                <w14:textFill>
                  <w14:solidFill>
                    <w14:schemeClr w14:val="tx1"/>
                  </w14:solidFill>
                </w14:textFill>
              </w:rPr>
              <w:t>″</w:t>
            </w:r>
          </w:p>
        </w:tc>
      </w:tr>
      <w:tr w14:paraId="0CFBFB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789" w:type="dxa"/>
            <w:tcMar>
              <w:top w:w="16" w:type="dxa"/>
              <w:left w:w="16" w:type="dxa"/>
              <w:right w:w="16" w:type="dxa"/>
            </w:tcMar>
            <w:vAlign w:val="center"/>
          </w:tcPr>
          <w:p w14:paraId="75C1433F">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国民经济</w:t>
            </w:r>
          </w:p>
          <w:p w14:paraId="3D5C0A51">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行业类别</w:t>
            </w:r>
          </w:p>
        </w:tc>
        <w:tc>
          <w:tcPr>
            <w:tcW w:w="2230" w:type="dxa"/>
            <w:vAlign w:val="center"/>
          </w:tcPr>
          <w:p w14:paraId="7F5874B4">
            <w:pPr>
              <w:pStyle w:val="7"/>
              <w:snapToGrid/>
              <w:spacing w:before="0" w:after="0" w:line="240" w:lineRule="auto"/>
              <w:ind w:left="0" w:firstLine="0"/>
              <w:jc w:val="center"/>
              <w:rPr>
                <w:b w:val="0"/>
                <w:bCs w:val="0"/>
                <w:color w:val="000000" w:themeColor="text1"/>
                <w:sz w:val="24"/>
                <w:szCs w:val="24"/>
                <w14:textFill>
                  <w14:solidFill>
                    <w14:schemeClr w14:val="tx1"/>
                  </w14:solidFill>
                </w14:textFill>
              </w:rPr>
            </w:pPr>
            <w:bookmarkStart w:id="3" w:name="_Toc17072"/>
            <w:bookmarkStart w:id="4" w:name="_Toc10336"/>
            <w:r>
              <w:rPr>
                <w:rFonts w:eastAsia="宋体"/>
                <w:b w:val="0"/>
                <w:bCs w:val="0"/>
                <w:color w:val="000000" w:themeColor="text1"/>
                <w:sz w:val="24"/>
                <w:szCs w:val="24"/>
                <w14:textFill>
                  <w14:solidFill>
                    <w14:schemeClr w14:val="tx1"/>
                  </w14:solidFill>
                </w14:textFill>
              </w:rPr>
              <w:t>B0610 烟煤和无烟煤开采洗选</w:t>
            </w:r>
            <w:bookmarkEnd w:id="3"/>
            <w:bookmarkEnd w:id="4"/>
          </w:p>
        </w:tc>
        <w:tc>
          <w:tcPr>
            <w:tcW w:w="2212" w:type="dxa"/>
            <w:vAlign w:val="center"/>
          </w:tcPr>
          <w:p w14:paraId="79DC8458">
            <w:pPr>
              <w:jc w:val="center"/>
              <w:rPr>
                <w:color w:val="000000" w:themeColor="text1"/>
                <w:sz w:val="24"/>
                <w14:textFill>
                  <w14:solidFill>
                    <w14:schemeClr w14:val="tx1"/>
                  </w14:solidFill>
                </w14:textFill>
              </w:rPr>
            </w:pPr>
            <w:bookmarkStart w:id="5" w:name="_Hlk49843745"/>
            <w:r>
              <w:rPr>
                <w:color w:val="000000" w:themeColor="text1"/>
                <w:sz w:val="24"/>
                <w14:textFill>
                  <w14:solidFill>
                    <w14:schemeClr w14:val="tx1"/>
                  </w14:solidFill>
                </w14:textFill>
              </w:rPr>
              <w:t>建设项目</w:t>
            </w:r>
          </w:p>
          <w:p w14:paraId="333F2C16">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行业类别</w:t>
            </w:r>
            <w:bookmarkEnd w:id="5"/>
          </w:p>
        </w:tc>
        <w:tc>
          <w:tcPr>
            <w:tcW w:w="2639" w:type="dxa"/>
            <w:vAlign w:val="center"/>
          </w:tcPr>
          <w:p w14:paraId="647697C3">
            <w:pPr>
              <w:numPr>
                <w:ilvl w:val="0"/>
                <w:numId w:val="4"/>
              </w:numPr>
              <w:adjustRightInd w:val="0"/>
              <w:snapToGrid w:val="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煤炭开采和洗选业06</w:t>
            </w:r>
          </w:p>
          <w:p w14:paraId="00024B01">
            <w:pP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烟煤和无烟煤开采洗选061</w:t>
            </w:r>
          </w:p>
        </w:tc>
      </w:tr>
      <w:tr w14:paraId="380071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789" w:type="dxa"/>
            <w:tcMar>
              <w:top w:w="16" w:type="dxa"/>
              <w:left w:w="16" w:type="dxa"/>
              <w:right w:w="16" w:type="dxa"/>
            </w:tcMar>
            <w:vAlign w:val="center"/>
          </w:tcPr>
          <w:p w14:paraId="413D4B86">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建设性质</w:t>
            </w:r>
          </w:p>
        </w:tc>
        <w:tc>
          <w:tcPr>
            <w:tcW w:w="2230" w:type="dxa"/>
            <w:vAlign w:val="center"/>
          </w:tcPr>
          <w:p w14:paraId="420910DA">
            <w:pPr>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sym w:font="Wingdings" w:char="00A8"/>
            </w:r>
            <w:r>
              <w:rPr>
                <w:color w:val="000000" w:themeColor="text1"/>
                <w:sz w:val="24"/>
                <w:highlight w:val="none"/>
                <w14:textFill>
                  <w14:solidFill>
                    <w14:schemeClr w14:val="tx1"/>
                  </w14:solidFill>
                </w14:textFill>
              </w:rPr>
              <w:t>新建（迁建）</w:t>
            </w:r>
          </w:p>
          <w:p w14:paraId="2182BDEE">
            <w:pPr>
              <w:jc w:val="left"/>
              <w:rPr>
                <w:color w:val="FF0000"/>
                <w:sz w:val="24"/>
                <w:highlight w:val="none"/>
              </w:rPr>
            </w:pPr>
            <w:r>
              <w:rPr>
                <w:color w:val="FF0000"/>
                <w:sz w:val="24"/>
                <w:highlight w:val="none"/>
              </w:rPr>
              <w:sym w:font="Wingdings" w:char="00FE"/>
            </w:r>
            <w:r>
              <w:rPr>
                <w:color w:val="FF0000"/>
                <w:sz w:val="24"/>
                <w:highlight w:val="none"/>
              </w:rPr>
              <w:t>改建</w:t>
            </w:r>
          </w:p>
          <w:p w14:paraId="18833BB3">
            <w:pPr>
              <w:jc w:val="left"/>
              <w:rPr>
                <w:color w:val="FF0000"/>
                <w:sz w:val="24"/>
                <w:highlight w:val="none"/>
              </w:rPr>
            </w:pPr>
            <w:r>
              <w:rPr>
                <w:color w:val="FF0000"/>
                <w:sz w:val="24"/>
                <w:highlight w:val="none"/>
              </w:rPr>
              <w:sym w:font="Wingdings" w:char="00FE"/>
            </w:r>
            <w:r>
              <w:rPr>
                <w:color w:val="FF0000"/>
                <w:sz w:val="24"/>
                <w:highlight w:val="none"/>
              </w:rPr>
              <w:t>扩建</w:t>
            </w:r>
          </w:p>
          <w:p w14:paraId="6C23898B">
            <w:pPr>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sym w:font="Wingdings" w:char="00A8"/>
            </w:r>
            <w:r>
              <w:rPr>
                <w:color w:val="000000" w:themeColor="text1"/>
                <w:sz w:val="24"/>
                <w:highlight w:val="none"/>
                <w14:textFill>
                  <w14:solidFill>
                    <w14:schemeClr w14:val="tx1"/>
                  </w14:solidFill>
                </w14:textFill>
              </w:rPr>
              <w:t>技术改造</w:t>
            </w:r>
          </w:p>
        </w:tc>
        <w:tc>
          <w:tcPr>
            <w:tcW w:w="2212" w:type="dxa"/>
            <w:vAlign w:val="center"/>
          </w:tcPr>
          <w:p w14:paraId="1C407630">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建设项目</w:t>
            </w:r>
          </w:p>
          <w:p w14:paraId="2A4E83F9">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申报情形</w:t>
            </w:r>
          </w:p>
        </w:tc>
        <w:tc>
          <w:tcPr>
            <w:tcW w:w="2639" w:type="dxa"/>
            <w:vAlign w:val="center"/>
          </w:tcPr>
          <w:p w14:paraId="1D33659A">
            <w:pPr>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sym w:font="Wingdings" w:char="00FE"/>
            </w:r>
            <w:r>
              <w:rPr>
                <w:color w:val="000000" w:themeColor="text1"/>
                <w:sz w:val="24"/>
                <w14:textFill>
                  <w14:solidFill>
                    <w14:schemeClr w14:val="tx1"/>
                  </w14:solidFill>
                </w14:textFill>
              </w:rPr>
              <w:t>首次申报项目</w:t>
            </w:r>
          </w:p>
          <w:p w14:paraId="55C34842">
            <w:pPr>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sym w:font="Wingdings" w:char="00A8"/>
            </w:r>
            <w:r>
              <w:rPr>
                <w:color w:val="000000" w:themeColor="text1"/>
                <w:sz w:val="24"/>
                <w14:textFill>
                  <w14:solidFill>
                    <w14:schemeClr w14:val="tx1"/>
                  </w14:solidFill>
                </w14:textFill>
              </w:rPr>
              <w:t>不予批准后再次申报项目</w:t>
            </w:r>
          </w:p>
          <w:p w14:paraId="50E80657">
            <w:pPr>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sym w:font="Wingdings" w:char="00A8"/>
            </w:r>
            <w:r>
              <w:rPr>
                <w:color w:val="000000" w:themeColor="text1"/>
                <w:sz w:val="24"/>
                <w14:textFill>
                  <w14:solidFill>
                    <w14:schemeClr w14:val="tx1"/>
                  </w14:solidFill>
                </w14:textFill>
              </w:rPr>
              <w:t>超五年重新审核项目</w:t>
            </w:r>
          </w:p>
          <w:p w14:paraId="4215323F">
            <w:pPr>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sym w:font="Wingdings" w:char="00A8"/>
            </w:r>
            <w:r>
              <w:rPr>
                <w:color w:val="000000" w:themeColor="text1"/>
                <w:sz w:val="24"/>
                <w14:textFill>
                  <w14:solidFill>
                    <w14:schemeClr w14:val="tx1"/>
                  </w14:solidFill>
                </w14:textFill>
              </w:rPr>
              <w:t>重大变动重新报批项目</w:t>
            </w:r>
          </w:p>
        </w:tc>
      </w:tr>
      <w:tr w14:paraId="5612FA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74" w:hRule="atLeast"/>
          <w:jc w:val="center"/>
        </w:trPr>
        <w:tc>
          <w:tcPr>
            <w:tcW w:w="1789" w:type="dxa"/>
            <w:tcMar>
              <w:top w:w="16" w:type="dxa"/>
              <w:left w:w="16" w:type="dxa"/>
              <w:right w:w="16" w:type="dxa"/>
            </w:tcMar>
            <w:vAlign w:val="center"/>
          </w:tcPr>
          <w:p w14:paraId="62737367">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项目审批（核准/</w:t>
            </w:r>
          </w:p>
          <w:p w14:paraId="64114977">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备案）部门（选填）</w:t>
            </w:r>
          </w:p>
        </w:tc>
        <w:tc>
          <w:tcPr>
            <w:tcW w:w="2230" w:type="dxa"/>
            <w:vAlign w:val="center"/>
          </w:tcPr>
          <w:p w14:paraId="74440757">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w:t>
            </w:r>
          </w:p>
        </w:tc>
        <w:tc>
          <w:tcPr>
            <w:tcW w:w="2212" w:type="dxa"/>
            <w:vAlign w:val="center"/>
          </w:tcPr>
          <w:p w14:paraId="2B917750">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项目审批（核准/</w:t>
            </w:r>
          </w:p>
          <w:p w14:paraId="3D42B293">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备案）文号（选填）</w:t>
            </w:r>
          </w:p>
        </w:tc>
        <w:tc>
          <w:tcPr>
            <w:tcW w:w="2639" w:type="dxa"/>
            <w:vAlign w:val="center"/>
          </w:tcPr>
          <w:p w14:paraId="03231604">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w:t>
            </w:r>
          </w:p>
        </w:tc>
      </w:tr>
      <w:tr w14:paraId="136848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89" w:type="dxa"/>
            <w:tcMar>
              <w:top w:w="16" w:type="dxa"/>
              <w:left w:w="16" w:type="dxa"/>
              <w:right w:w="16" w:type="dxa"/>
            </w:tcMar>
            <w:vAlign w:val="center"/>
          </w:tcPr>
          <w:p w14:paraId="4924DE93">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总投资（万元）</w:t>
            </w:r>
          </w:p>
        </w:tc>
        <w:tc>
          <w:tcPr>
            <w:tcW w:w="2230" w:type="dxa"/>
            <w:vAlign w:val="center"/>
          </w:tcPr>
          <w:p w14:paraId="47DD4709">
            <w:pPr>
              <w:adjustRightInd w:val="0"/>
              <w:snapToGrid w:val="0"/>
              <w:jc w:val="center"/>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2700</w:t>
            </w:r>
          </w:p>
        </w:tc>
        <w:tc>
          <w:tcPr>
            <w:tcW w:w="2212" w:type="dxa"/>
            <w:tcMar>
              <w:top w:w="16" w:type="dxa"/>
              <w:left w:w="16" w:type="dxa"/>
              <w:right w:w="16" w:type="dxa"/>
            </w:tcMar>
            <w:vAlign w:val="center"/>
          </w:tcPr>
          <w:p w14:paraId="719D23A3">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环保投资（万元）</w:t>
            </w:r>
          </w:p>
        </w:tc>
        <w:tc>
          <w:tcPr>
            <w:tcW w:w="2639" w:type="dxa"/>
            <w:vAlign w:val="center"/>
          </w:tcPr>
          <w:p w14:paraId="2C3CC1D7">
            <w:pPr>
              <w:adjustRightInd w:val="0"/>
              <w:snapToGrid w:val="0"/>
              <w:jc w:val="center"/>
              <w:rPr>
                <w:rFonts w:hint="default" w:eastAsia="宋体"/>
                <w:color w:val="000000" w:themeColor="text1"/>
                <w:sz w:val="24"/>
                <w:highlight w:val="yellow"/>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26.5</w:t>
            </w:r>
          </w:p>
        </w:tc>
      </w:tr>
      <w:tr w14:paraId="2B9FAB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89" w:type="dxa"/>
            <w:tcMar>
              <w:top w:w="16" w:type="dxa"/>
              <w:left w:w="16" w:type="dxa"/>
              <w:right w:w="16" w:type="dxa"/>
            </w:tcMar>
            <w:vAlign w:val="center"/>
          </w:tcPr>
          <w:p w14:paraId="7A639F16">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环保投资占比（%）</w:t>
            </w:r>
          </w:p>
        </w:tc>
        <w:tc>
          <w:tcPr>
            <w:tcW w:w="2230" w:type="dxa"/>
            <w:vAlign w:val="center"/>
          </w:tcPr>
          <w:p w14:paraId="3873FE0F">
            <w:pPr>
              <w:adjustRightInd w:val="0"/>
              <w:snapToGrid w:val="0"/>
              <w:jc w:val="center"/>
              <w:rPr>
                <w:rFonts w:hint="default" w:eastAsia="宋体"/>
                <w:color w:val="000000" w:themeColor="text1"/>
                <w:sz w:val="24"/>
                <w:highlight w:val="yellow"/>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0.98</w:t>
            </w:r>
          </w:p>
        </w:tc>
        <w:tc>
          <w:tcPr>
            <w:tcW w:w="2212" w:type="dxa"/>
            <w:tcMar>
              <w:top w:w="16" w:type="dxa"/>
              <w:left w:w="16" w:type="dxa"/>
              <w:right w:w="16" w:type="dxa"/>
            </w:tcMar>
            <w:vAlign w:val="center"/>
          </w:tcPr>
          <w:p w14:paraId="72609791">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施工工期</w:t>
            </w:r>
          </w:p>
        </w:tc>
        <w:tc>
          <w:tcPr>
            <w:tcW w:w="2639" w:type="dxa"/>
            <w:vAlign w:val="center"/>
          </w:tcPr>
          <w:p w14:paraId="673A9513">
            <w:pPr>
              <w:adjustRightInd w:val="0"/>
              <w:snapToGrid w:val="0"/>
              <w:jc w:val="center"/>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2025年11</w:t>
            </w:r>
            <w:r>
              <w:rPr>
                <w:rFonts w:hint="eastAsia"/>
                <w:color w:val="000000" w:themeColor="text1"/>
                <w:sz w:val="24"/>
                <w:highlight w:val="none"/>
                <w14:textFill>
                  <w14:solidFill>
                    <w14:schemeClr w14:val="tx1"/>
                  </w14:solidFill>
                </w14:textFill>
              </w:rPr>
              <w:t>月</w:t>
            </w:r>
            <w:r>
              <w:rPr>
                <w:rFonts w:hint="eastAsia"/>
                <w:color w:val="000000" w:themeColor="text1"/>
                <w:sz w:val="24"/>
                <w:highlight w:val="none"/>
                <w:lang w:val="en-US" w:eastAsia="zh-CN"/>
                <w14:textFill>
                  <w14:solidFill>
                    <w14:schemeClr w14:val="tx1"/>
                  </w14:solidFill>
                </w14:textFill>
              </w:rPr>
              <w:t>-2025年12月</w:t>
            </w:r>
          </w:p>
        </w:tc>
      </w:tr>
      <w:tr w14:paraId="0CA402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89" w:type="dxa"/>
            <w:tcMar>
              <w:top w:w="16" w:type="dxa"/>
              <w:left w:w="16" w:type="dxa"/>
              <w:right w:w="16" w:type="dxa"/>
            </w:tcMar>
            <w:vAlign w:val="center"/>
          </w:tcPr>
          <w:p w14:paraId="2533AD7F">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是否开工建设</w:t>
            </w:r>
          </w:p>
        </w:tc>
        <w:tc>
          <w:tcPr>
            <w:tcW w:w="2230" w:type="dxa"/>
            <w:vAlign w:val="center"/>
          </w:tcPr>
          <w:p w14:paraId="46A87132">
            <w:pPr>
              <w:adjustRightInd w:val="0"/>
              <w:snapToGrid w:val="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sym w:font="Wingdings" w:char="00FE"/>
            </w:r>
            <w:r>
              <w:rPr>
                <w:color w:val="000000" w:themeColor="text1"/>
                <w:sz w:val="24"/>
                <w:highlight w:val="none"/>
                <w14:textFill>
                  <w14:solidFill>
                    <w14:schemeClr w14:val="tx1"/>
                  </w14:solidFill>
                </w14:textFill>
              </w:rPr>
              <w:t>否</w:t>
            </w:r>
          </w:p>
          <w:p w14:paraId="11669C3F">
            <w:pPr>
              <w:adjustRightInd w:val="0"/>
              <w:snapToGrid w:val="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sym w:font="Wingdings" w:char="00A8"/>
            </w:r>
            <w:r>
              <w:rPr>
                <w:color w:val="000000" w:themeColor="text1"/>
                <w:sz w:val="24"/>
                <w:highlight w:val="none"/>
                <w14:textFill>
                  <w14:solidFill>
                    <w14:schemeClr w14:val="tx1"/>
                  </w14:solidFill>
                </w14:textFill>
              </w:rPr>
              <w:t>是：</w:t>
            </w:r>
            <w:r>
              <w:rPr>
                <w:color w:val="000000" w:themeColor="text1"/>
                <w:sz w:val="24"/>
                <w:highlight w:val="none"/>
                <w:u w:val="single"/>
                <w14:textFill>
                  <w14:solidFill>
                    <w14:schemeClr w14:val="tx1"/>
                  </w14:solidFill>
                </w14:textFill>
              </w:rPr>
              <w:t xml:space="preserve">             </w:t>
            </w:r>
          </w:p>
        </w:tc>
        <w:tc>
          <w:tcPr>
            <w:tcW w:w="2212" w:type="dxa"/>
            <w:tcMar>
              <w:top w:w="16" w:type="dxa"/>
              <w:left w:w="16" w:type="dxa"/>
              <w:right w:w="16" w:type="dxa"/>
            </w:tcMar>
            <w:vAlign w:val="center"/>
          </w:tcPr>
          <w:p w14:paraId="6B635ACE">
            <w:pPr>
              <w:adjustRightInd w:val="0"/>
              <w:snapToGrid w:val="0"/>
              <w:jc w:val="center"/>
              <w:rPr>
                <w:color w:val="000000" w:themeColor="text1"/>
                <w:sz w:val="24"/>
                <w:highlight w:val="none"/>
                <w14:textFill>
                  <w14:solidFill>
                    <w14:schemeClr w14:val="tx1"/>
                  </w14:solidFill>
                </w14:textFill>
              </w:rPr>
            </w:pPr>
            <w:r>
              <w:rPr>
                <w:color w:val="000000" w:themeColor="text1"/>
                <w:spacing w:val="-6"/>
                <w:sz w:val="24"/>
                <w:highlight w:val="none"/>
                <w14:textFill>
                  <w14:solidFill>
                    <w14:schemeClr w14:val="tx1"/>
                  </w14:solidFill>
                </w14:textFill>
              </w:rPr>
              <w:t>用地面积（m</w:t>
            </w:r>
            <w:r>
              <w:rPr>
                <w:color w:val="000000" w:themeColor="text1"/>
                <w:spacing w:val="-6"/>
                <w:sz w:val="24"/>
                <w:highlight w:val="none"/>
                <w:vertAlign w:val="superscript"/>
                <w14:textFill>
                  <w14:solidFill>
                    <w14:schemeClr w14:val="tx1"/>
                  </w14:solidFill>
                </w14:textFill>
              </w:rPr>
              <w:t>2</w:t>
            </w:r>
            <w:r>
              <w:rPr>
                <w:color w:val="000000" w:themeColor="text1"/>
                <w:spacing w:val="-6"/>
                <w:sz w:val="24"/>
                <w:highlight w:val="none"/>
                <w14:textFill>
                  <w14:solidFill>
                    <w14:schemeClr w14:val="tx1"/>
                  </w14:solidFill>
                </w14:textFill>
              </w:rPr>
              <w:t>）</w:t>
            </w:r>
          </w:p>
        </w:tc>
        <w:tc>
          <w:tcPr>
            <w:tcW w:w="2639" w:type="dxa"/>
            <w:vAlign w:val="center"/>
          </w:tcPr>
          <w:p w14:paraId="09BC03B6">
            <w:pPr>
              <w:adjustRightInd w:val="0"/>
              <w:snapToGrid w:val="0"/>
              <w:jc w:val="center"/>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0</w:t>
            </w:r>
          </w:p>
        </w:tc>
      </w:tr>
      <w:tr w14:paraId="48DF1C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89" w:type="dxa"/>
            <w:vAlign w:val="center"/>
          </w:tcPr>
          <w:p w14:paraId="297A1A04">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专项评价设置情况</w:t>
            </w:r>
          </w:p>
        </w:tc>
        <w:tc>
          <w:tcPr>
            <w:tcW w:w="7081" w:type="dxa"/>
            <w:gridSpan w:val="3"/>
            <w:vAlign w:val="center"/>
          </w:tcPr>
          <w:p w14:paraId="39D83593">
            <w:pPr>
              <w:ind w:left="0" w:leftChars="0" w:right="0" w:rightChars="0" w:firstLine="0" w:firstLineChars="0"/>
              <w:jc w:val="center"/>
              <w:rPr>
                <w:rFonts w:hint="eastAsia"/>
                <w:color w:val="FF0000"/>
                <w:sz w:val="24"/>
                <w:highlight w:val="none"/>
                <w:lang w:val="en-US" w:eastAsia="zh-CN"/>
              </w:rPr>
            </w:pPr>
            <w:r>
              <w:rPr>
                <w:rFonts w:hint="eastAsia"/>
                <w:color w:val="FF0000"/>
                <w:sz w:val="24"/>
                <w:highlight w:val="none"/>
                <w:lang w:val="en-US" w:eastAsia="zh-CN"/>
              </w:rPr>
              <w:t>表1-1专项评价设置情况</w:t>
            </w:r>
          </w:p>
          <w:tbl>
            <w:tblPr>
              <w:tblStyle w:val="29"/>
              <w:tblW w:w="68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4"/>
              <w:gridCol w:w="2578"/>
              <w:gridCol w:w="2159"/>
              <w:gridCol w:w="1274"/>
            </w:tblGrid>
            <w:tr w14:paraId="3C6FD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4" w:type="dxa"/>
                  <w:tcBorders>
                    <w:top w:val="single" w:color="auto" w:sz="12" w:space="0"/>
                  </w:tcBorders>
                  <w:shd w:val="clear" w:color="auto" w:fill="auto"/>
                  <w:vAlign w:val="top"/>
                </w:tcPr>
                <w:p w14:paraId="16BA26BF">
                  <w:pPr>
                    <w:autoSpaceDE w:val="0"/>
                    <w:autoSpaceDN w:val="0"/>
                    <w:adjustRightInd w:val="0"/>
                    <w:snapToGrid w:val="0"/>
                    <w:jc w:val="center"/>
                    <w:rPr>
                      <w:rFonts w:hint="eastAsia" w:ascii="Times New Roman" w:hAnsi="Times New Roman" w:eastAsia="宋体" w:cs="Times New Roman"/>
                      <w:color w:val="FF0000"/>
                      <w:kern w:val="0"/>
                      <w:sz w:val="21"/>
                      <w:szCs w:val="21"/>
                      <w:lang w:val="en-US" w:eastAsia="zh-CN" w:bidi="ar-SA"/>
                    </w:rPr>
                  </w:pPr>
                  <w:r>
                    <w:rPr>
                      <w:rFonts w:hint="eastAsia"/>
                      <w:color w:val="FF0000"/>
                      <w:kern w:val="0"/>
                      <w:szCs w:val="21"/>
                    </w:rPr>
                    <w:t>类别</w:t>
                  </w:r>
                </w:p>
              </w:tc>
              <w:tc>
                <w:tcPr>
                  <w:tcW w:w="2578" w:type="dxa"/>
                  <w:tcBorders>
                    <w:top w:val="single" w:color="auto" w:sz="12" w:space="0"/>
                  </w:tcBorders>
                  <w:shd w:val="clear" w:color="auto" w:fill="auto"/>
                  <w:vAlign w:val="top"/>
                </w:tcPr>
                <w:p w14:paraId="259DD1FB">
                  <w:pPr>
                    <w:autoSpaceDE w:val="0"/>
                    <w:autoSpaceDN w:val="0"/>
                    <w:adjustRightInd w:val="0"/>
                    <w:snapToGrid w:val="0"/>
                    <w:jc w:val="center"/>
                    <w:rPr>
                      <w:rFonts w:hint="eastAsia" w:ascii="Times New Roman" w:hAnsi="Times New Roman" w:eastAsia="宋体" w:cs="Times New Roman"/>
                      <w:color w:val="FF0000"/>
                      <w:kern w:val="0"/>
                      <w:sz w:val="21"/>
                      <w:szCs w:val="21"/>
                      <w:lang w:val="en-US" w:eastAsia="zh-CN" w:bidi="ar-SA"/>
                    </w:rPr>
                  </w:pPr>
                  <w:r>
                    <w:rPr>
                      <w:rFonts w:hint="eastAsia"/>
                      <w:color w:val="FF0000"/>
                      <w:kern w:val="0"/>
                      <w:szCs w:val="21"/>
                    </w:rPr>
                    <w:t>设置原则</w:t>
                  </w:r>
                </w:p>
              </w:tc>
              <w:tc>
                <w:tcPr>
                  <w:tcW w:w="2159" w:type="dxa"/>
                  <w:tcBorders>
                    <w:top w:val="single" w:color="auto" w:sz="12" w:space="0"/>
                  </w:tcBorders>
                  <w:shd w:val="clear" w:color="auto" w:fill="auto"/>
                  <w:vAlign w:val="center"/>
                </w:tcPr>
                <w:p w14:paraId="19813EA5">
                  <w:pPr>
                    <w:autoSpaceDE w:val="0"/>
                    <w:autoSpaceDN w:val="0"/>
                    <w:adjustRightInd w:val="0"/>
                    <w:snapToGrid w:val="0"/>
                    <w:jc w:val="center"/>
                    <w:rPr>
                      <w:rFonts w:hint="eastAsia" w:ascii="Times New Roman" w:hAnsi="Times New Roman" w:eastAsia="宋体" w:cs="Times New Roman"/>
                      <w:color w:val="FF0000"/>
                      <w:kern w:val="0"/>
                      <w:sz w:val="21"/>
                      <w:szCs w:val="21"/>
                      <w:lang w:val="en-US" w:eastAsia="zh-CN" w:bidi="ar-SA"/>
                    </w:rPr>
                  </w:pPr>
                  <w:r>
                    <w:rPr>
                      <w:rFonts w:hint="eastAsia"/>
                      <w:color w:val="FF0000"/>
                      <w:kern w:val="0"/>
                      <w:szCs w:val="21"/>
                    </w:rPr>
                    <w:t>本项目</w:t>
                  </w:r>
                </w:p>
              </w:tc>
              <w:tc>
                <w:tcPr>
                  <w:tcW w:w="1274" w:type="dxa"/>
                  <w:tcBorders>
                    <w:top w:val="single" w:color="auto" w:sz="12" w:space="0"/>
                    <w:right w:val="nil"/>
                  </w:tcBorders>
                </w:tcPr>
                <w:p w14:paraId="7137BC57">
                  <w:pPr>
                    <w:autoSpaceDE w:val="0"/>
                    <w:autoSpaceDN w:val="0"/>
                    <w:adjustRightInd w:val="0"/>
                    <w:snapToGrid w:val="0"/>
                    <w:jc w:val="center"/>
                    <w:rPr>
                      <w:rFonts w:hint="eastAsia"/>
                      <w:color w:val="FF0000"/>
                      <w:sz w:val="24"/>
                      <w:highlight w:val="none"/>
                      <w:vertAlign w:val="baseline"/>
                      <w:lang w:val="en-US" w:eastAsia="zh-CN"/>
                    </w:rPr>
                  </w:pPr>
                  <w:r>
                    <w:rPr>
                      <w:rFonts w:hint="eastAsia"/>
                      <w:color w:val="FF0000"/>
                      <w:kern w:val="0"/>
                      <w:szCs w:val="21"/>
                      <w:lang w:val="en-US" w:eastAsia="zh-CN"/>
                    </w:rPr>
                    <w:t>设置情况</w:t>
                  </w:r>
                </w:p>
              </w:tc>
            </w:tr>
            <w:tr w14:paraId="57733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4" w:type="dxa"/>
                  <w:tcBorders>
                    <w:left w:val="nil"/>
                  </w:tcBorders>
                  <w:shd w:val="clear" w:color="auto" w:fill="auto"/>
                  <w:vAlign w:val="center"/>
                </w:tcPr>
                <w:p w14:paraId="16983ED3">
                  <w:pPr>
                    <w:autoSpaceDE w:val="0"/>
                    <w:autoSpaceDN w:val="0"/>
                    <w:adjustRightInd w:val="0"/>
                    <w:snapToGrid w:val="0"/>
                    <w:ind w:left="0" w:leftChars="0" w:right="0" w:rightChars="0" w:firstLine="0" w:firstLineChars="0"/>
                    <w:jc w:val="center"/>
                    <w:rPr>
                      <w:rFonts w:hint="eastAsia" w:ascii="Times New Roman" w:hAnsi="Times New Roman" w:eastAsia="宋体" w:cs="Times New Roman"/>
                      <w:color w:val="FF0000"/>
                      <w:kern w:val="0"/>
                      <w:sz w:val="21"/>
                      <w:szCs w:val="21"/>
                      <w:lang w:val="en-US" w:eastAsia="zh-CN" w:bidi="ar-SA"/>
                    </w:rPr>
                  </w:pPr>
                  <w:r>
                    <w:rPr>
                      <w:rFonts w:hint="eastAsia"/>
                      <w:color w:val="FF0000"/>
                      <w:kern w:val="0"/>
                      <w:szCs w:val="21"/>
                    </w:rPr>
                    <w:t>大气</w:t>
                  </w:r>
                </w:p>
              </w:tc>
              <w:tc>
                <w:tcPr>
                  <w:tcW w:w="2578" w:type="dxa"/>
                  <w:shd w:val="clear" w:color="auto" w:fill="auto"/>
                  <w:vAlign w:val="center"/>
                </w:tcPr>
                <w:p w14:paraId="4DA83A6B">
                  <w:pPr>
                    <w:autoSpaceDE w:val="0"/>
                    <w:autoSpaceDN w:val="0"/>
                    <w:adjustRightInd w:val="0"/>
                    <w:snapToGrid w:val="0"/>
                    <w:ind w:left="0" w:leftChars="0" w:right="0" w:rightChars="0" w:firstLine="0" w:firstLineChars="0"/>
                    <w:jc w:val="center"/>
                    <w:rPr>
                      <w:rFonts w:hint="eastAsia" w:ascii="Times New Roman" w:hAnsi="Times New Roman" w:eastAsia="宋体" w:cs="Times New Roman"/>
                      <w:color w:val="FF0000"/>
                      <w:kern w:val="0"/>
                      <w:sz w:val="21"/>
                      <w:szCs w:val="21"/>
                      <w:lang w:val="en-US" w:eastAsia="zh-CN" w:bidi="ar-SA"/>
                    </w:rPr>
                  </w:pPr>
                  <w:r>
                    <w:rPr>
                      <w:rFonts w:hint="eastAsia"/>
                      <w:color w:val="FF0000"/>
                      <w:kern w:val="0"/>
                      <w:szCs w:val="21"/>
                    </w:rPr>
                    <w:t>排放废气含有毒有害污染物、二噁英、苯并[a]芘、氰化物、氯气且厂界外500米范围内有环境空气保护目标的建设项目</w:t>
                  </w:r>
                </w:p>
              </w:tc>
              <w:tc>
                <w:tcPr>
                  <w:tcW w:w="2159" w:type="dxa"/>
                  <w:shd w:val="clear" w:color="auto" w:fill="auto"/>
                  <w:vAlign w:val="center"/>
                </w:tcPr>
                <w:p w14:paraId="4A324327">
                  <w:pPr>
                    <w:widowControl/>
                    <w:ind w:left="0" w:leftChars="0" w:right="0" w:rightChars="0" w:firstLine="0" w:firstLineChars="0"/>
                    <w:jc w:val="center"/>
                    <w:rPr>
                      <w:rFonts w:hint="eastAsia" w:ascii="Times New Roman" w:hAnsi="Times New Roman" w:eastAsia="宋体" w:cs="Times New Roman"/>
                      <w:color w:val="FF0000"/>
                      <w:kern w:val="0"/>
                      <w:sz w:val="21"/>
                      <w:szCs w:val="21"/>
                      <w:lang w:val="en-US" w:eastAsia="zh-CN" w:bidi="ar-SA"/>
                    </w:rPr>
                  </w:pPr>
                  <w:r>
                    <w:rPr>
                      <w:rFonts w:hint="eastAsia"/>
                      <w:color w:val="FF0000"/>
                      <w:kern w:val="0"/>
                      <w:szCs w:val="21"/>
                    </w:rPr>
                    <w:t>本项目排放的废气污染物主要为颗粒物、</w:t>
                  </w:r>
                  <w:r>
                    <w:rPr>
                      <w:rFonts w:hint="eastAsia"/>
                      <w:color w:val="FF0000"/>
                      <w:kern w:val="0"/>
                      <w:szCs w:val="21"/>
                      <w:highlight w:val="none"/>
                      <w:lang w:val="en-US" w:eastAsia="zh-CN"/>
                    </w:rPr>
                    <w:t>非甲烷总烃</w:t>
                  </w:r>
                  <w:r>
                    <w:rPr>
                      <w:rFonts w:hint="eastAsia"/>
                      <w:color w:val="FF0000"/>
                      <w:kern w:val="0"/>
                      <w:szCs w:val="21"/>
                      <w:highlight w:val="none"/>
                    </w:rPr>
                    <w:t>，</w:t>
                  </w:r>
                  <w:r>
                    <w:rPr>
                      <w:rFonts w:hint="eastAsia"/>
                      <w:color w:val="FF0000"/>
                      <w:kern w:val="0"/>
                      <w:szCs w:val="21"/>
                    </w:rPr>
                    <w:t>排放废气</w:t>
                  </w:r>
                  <w:r>
                    <w:rPr>
                      <w:rFonts w:hint="eastAsia"/>
                      <w:color w:val="FF0000"/>
                      <w:kern w:val="0"/>
                      <w:szCs w:val="21"/>
                      <w:lang w:val="en-US" w:eastAsia="zh-CN"/>
                    </w:rPr>
                    <w:t>不</w:t>
                  </w:r>
                  <w:r>
                    <w:rPr>
                      <w:rFonts w:hint="eastAsia"/>
                      <w:color w:val="FF0000"/>
                      <w:kern w:val="0"/>
                      <w:szCs w:val="21"/>
                    </w:rPr>
                    <w:t>含有毒有害污染物、二噁英、苯并[a]芘、氰化物、氯气</w:t>
                  </w:r>
                </w:p>
              </w:tc>
              <w:tc>
                <w:tcPr>
                  <w:tcW w:w="1274" w:type="dxa"/>
                  <w:tcBorders>
                    <w:right w:val="nil"/>
                  </w:tcBorders>
                  <w:vAlign w:val="center"/>
                </w:tcPr>
                <w:p w14:paraId="4BC40457">
                  <w:pPr>
                    <w:autoSpaceDE w:val="0"/>
                    <w:autoSpaceDN w:val="0"/>
                    <w:adjustRightInd w:val="0"/>
                    <w:snapToGrid w:val="0"/>
                    <w:jc w:val="center"/>
                    <w:rPr>
                      <w:rFonts w:hint="eastAsia"/>
                      <w:color w:val="FF0000"/>
                      <w:sz w:val="24"/>
                      <w:highlight w:val="none"/>
                      <w:vertAlign w:val="baseline"/>
                      <w:lang w:val="en-US" w:eastAsia="zh-CN"/>
                    </w:rPr>
                  </w:pPr>
                  <w:r>
                    <w:rPr>
                      <w:rFonts w:hint="eastAsia"/>
                      <w:color w:val="FF0000"/>
                      <w:kern w:val="0"/>
                      <w:szCs w:val="21"/>
                    </w:rPr>
                    <w:t>不设置</w:t>
                  </w:r>
                </w:p>
              </w:tc>
            </w:tr>
            <w:tr w14:paraId="599AA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4" w:type="dxa"/>
                  <w:tcBorders>
                    <w:left w:val="nil"/>
                  </w:tcBorders>
                  <w:shd w:val="clear" w:color="auto" w:fill="auto"/>
                  <w:vAlign w:val="center"/>
                </w:tcPr>
                <w:p w14:paraId="4C66A605">
                  <w:pPr>
                    <w:autoSpaceDE w:val="0"/>
                    <w:autoSpaceDN w:val="0"/>
                    <w:adjustRightInd w:val="0"/>
                    <w:snapToGrid w:val="0"/>
                    <w:ind w:left="0" w:leftChars="0" w:right="0" w:rightChars="0" w:firstLine="0" w:firstLineChars="0"/>
                    <w:jc w:val="center"/>
                    <w:rPr>
                      <w:rFonts w:hint="eastAsia" w:ascii="Times New Roman" w:hAnsi="Times New Roman" w:eastAsia="宋体" w:cs="Times New Roman"/>
                      <w:color w:val="FF0000"/>
                      <w:kern w:val="0"/>
                      <w:sz w:val="21"/>
                      <w:szCs w:val="21"/>
                      <w:lang w:val="en-US" w:eastAsia="zh-CN" w:bidi="ar-SA"/>
                    </w:rPr>
                  </w:pPr>
                  <w:r>
                    <w:rPr>
                      <w:rFonts w:hint="eastAsia"/>
                      <w:color w:val="FF0000"/>
                      <w:kern w:val="0"/>
                      <w:szCs w:val="21"/>
                    </w:rPr>
                    <w:t>地表水</w:t>
                  </w:r>
                </w:p>
              </w:tc>
              <w:tc>
                <w:tcPr>
                  <w:tcW w:w="2578" w:type="dxa"/>
                  <w:shd w:val="clear" w:color="auto" w:fill="auto"/>
                  <w:vAlign w:val="center"/>
                </w:tcPr>
                <w:p w14:paraId="670BEDD1">
                  <w:pPr>
                    <w:autoSpaceDE w:val="0"/>
                    <w:autoSpaceDN w:val="0"/>
                    <w:adjustRightInd w:val="0"/>
                    <w:snapToGrid w:val="0"/>
                    <w:ind w:left="0" w:leftChars="0" w:right="0" w:rightChars="0" w:firstLine="0" w:firstLineChars="0"/>
                    <w:jc w:val="center"/>
                    <w:rPr>
                      <w:color w:val="FF0000"/>
                      <w:kern w:val="0"/>
                      <w:szCs w:val="21"/>
                    </w:rPr>
                  </w:pPr>
                  <w:r>
                    <w:rPr>
                      <w:rFonts w:hint="eastAsia"/>
                      <w:color w:val="FF0000"/>
                      <w:kern w:val="0"/>
                      <w:szCs w:val="21"/>
                    </w:rPr>
                    <w:t>新增工业废水直排建设项目（槽罐车外送污水处理厂的除外）；</w:t>
                  </w:r>
                </w:p>
                <w:p w14:paraId="6482B2F1">
                  <w:pPr>
                    <w:autoSpaceDE w:val="0"/>
                    <w:autoSpaceDN w:val="0"/>
                    <w:adjustRightInd w:val="0"/>
                    <w:snapToGrid w:val="0"/>
                    <w:ind w:left="0" w:leftChars="0" w:right="0" w:rightChars="0" w:firstLine="0" w:firstLineChars="0"/>
                    <w:jc w:val="center"/>
                    <w:rPr>
                      <w:rFonts w:hint="eastAsia" w:ascii="Times New Roman" w:hAnsi="Times New Roman" w:eastAsia="宋体" w:cs="Times New Roman"/>
                      <w:color w:val="FF0000"/>
                      <w:kern w:val="0"/>
                      <w:sz w:val="21"/>
                      <w:szCs w:val="21"/>
                      <w:lang w:val="en-US" w:eastAsia="zh-CN" w:bidi="ar-SA"/>
                    </w:rPr>
                  </w:pPr>
                  <w:r>
                    <w:rPr>
                      <w:rFonts w:hint="eastAsia"/>
                      <w:color w:val="FF0000"/>
                      <w:kern w:val="0"/>
                      <w:szCs w:val="21"/>
                    </w:rPr>
                    <w:t>新增废水直排的污水集中处理厂</w:t>
                  </w:r>
                </w:p>
              </w:tc>
              <w:tc>
                <w:tcPr>
                  <w:tcW w:w="2159" w:type="dxa"/>
                  <w:shd w:val="clear" w:color="auto" w:fill="auto"/>
                  <w:vAlign w:val="center"/>
                </w:tcPr>
                <w:p w14:paraId="19536FFB">
                  <w:pPr>
                    <w:autoSpaceDE w:val="0"/>
                    <w:autoSpaceDN w:val="0"/>
                    <w:adjustRightInd w:val="0"/>
                    <w:snapToGrid w:val="0"/>
                    <w:ind w:left="0" w:leftChars="0" w:right="0" w:rightChars="0" w:firstLine="0" w:firstLineChars="0"/>
                    <w:jc w:val="center"/>
                    <w:rPr>
                      <w:rFonts w:hint="eastAsia" w:ascii="Times New Roman" w:hAnsi="Times New Roman" w:eastAsia="宋体" w:cs="Times New Roman"/>
                      <w:color w:val="FF0000"/>
                      <w:kern w:val="0"/>
                      <w:sz w:val="21"/>
                      <w:szCs w:val="21"/>
                      <w:lang w:val="en-US" w:eastAsia="zh-CN" w:bidi="ar-SA"/>
                    </w:rPr>
                  </w:pPr>
                  <w:r>
                    <w:rPr>
                      <w:rFonts w:hint="eastAsia"/>
                      <w:color w:val="FF0000"/>
                      <w:kern w:val="0"/>
                      <w:szCs w:val="21"/>
                      <w:highlight w:val="none"/>
                      <w:lang w:val="en-US" w:eastAsia="zh-CN"/>
                    </w:rPr>
                    <w:t>本项目生产废水采用一级闭路循环，全部回用，不外排</w:t>
                  </w:r>
                  <w:r>
                    <w:rPr>
                      <w:rFonts w:hint="eastAsia"/>
                      <w:color w:val="FF0000"/>
                      <w:kern w:val="0"/>
                      <w:szCs w:val="21"/>
                      <w:highlight w:val="none"/>
                    </w:rPr>
                    <w:t>；</w:t>
                  </w:r>
                  <w:r>
                    <w:rPr>
                      <w:rFonts w:hint="eastAsia"/>
                      <w:color w:val="FF0000"/>
                      <w:kern w:val="0"/>
                      <w:szCs w:val="21"/>
                      <w:highlight w:val="none"/>
                      <w:lang w:val="en-US" w:eastAsia="zh-CN"/>
                    </w:rPr>
                    <w:t>初期</w:t>
                  </w:r>
                  <w:r>
                    <w:rPr>
                      <w:rFonts w:hint="eastAsia"/>
                      <w:color w:val="FF0000"/>
                      <w:kern w:val="0"/>
                      <w:szCs w:val="21"/>
                      <w:highlight w:val="none"/>
                    </w:rPr>
                    <w:t>雨水进入雨水收集池沉淀后</w:t>
                  </w:r>
                  <w:r>
                    <w:rPr>
                      <w:rFonts w:hint="eastAsia"/>
                      <w:color w:val="FF0000"/>
                      <w:kern w:val="0"/>
                      <w:szCs w:val="21"/>
                      <w:highlight w:val="none"/>
                      <w:lang w:val="en-US" w:eastAsia="zh-CN"/>
                    </w:rPr>
                    <w:t>回用于生产</w:t>
                  </w:r>
                  <w:r>
                    <w:rPr>
                      <w:rFonts w:hint="eastAsia"/>
                      <w:color w:val="FF0000"/>
                      <w:kern w:val="0"/>
                      <w:szCs w:val="21"/>
                      <w:highlight w:val="none"/>
                    </w:rPr>
                    <w:t>，</w:t>
                  </w:r>
                  <w:r>
                    <w:rPr>
                      <w:rFonts w:hint="eastAsia"/>
                      <w:color w:val="FF0000"/>
                      <w:kern w:val="0"/>
                      <w:szCs w:val="21"/>
                      <w:highlight w:val="none"/>
                      <w:lang w:val="en-US" w:eastAsia="zh-CN"/>
                    </w:rPr>
                    <w:t>不</w:t>
                  </w:r>
                  <w:r>
                    <w:rPr>
                      <w:rFonts w:hint="eastAsia"/>
                      <w:color w:val="FF0000"/>
                      <w:kern w:val="0"/>
                      <w:szCs w:val="21"/>
                      <w:highlight w:val="none"/>
                    </w:rPr>
                    <w:t>外排。</w:t>
                  </w:r>
                  <w:r>
                    <w:rPr>
                      <w:rFonts w:hint="eastAsia"/>
                      <w:color w:val="FF0000"/>
                      <w:kern w:val="0"/>
                      <w:szCs w:val="21"/>
                      <w:highlight w:val="none"/>
                      <w:lang w:val="en-US" w:eastAsia="zh-CN"/>
                    </w:rPr>
                    <w:t>食堂废水经现有隔油池处理后同其他生活污水一起排入化粪池，处理后排入市政管网，进入双鸭山市城市污水处理厂处理</w:t>
                  </w:r>
                  <w:r>
                    <w:rPr>
                      <w:rFonts w:hint="eastAsia"/>
                      <w:color w:val="FF0000"/>
                      <w:kern w:val="0"/>
                      <w:szCs w:val="21"/>
                      <w:highlight w:val="none"/>
                    </w:rPr>
                    <w:t>。</w:t>
                  </w:r>
                </w:p>
              </w:tc>
              <w:tc>
                <w:tcPr>
                  <w:tcW w:w="1274" w:type="dxa"/>
                  <w:tcBorders>
                    <w:right w:val="nil"/>
                  </w:tcBorders>
                  <w:vAlign w:val="center"/>
                </w:tcPr>
                <w:p w14:paraId="4450E25E">
                  <w:pPr>
                    <w:autoSpaceDE w:val="0"/>
                    <w:autoSpaceDN w:val="0"/>
                    <w:adjustRightInd w:val="0"/>
                    <w:snapToGrid w:val="0"/>
                    <w:jc w:val="center"/>
                    <w:rPr>
                      <w:rFonts w:hint="eastAsia"/>
                      <w:color w:val="FF0000"/>
                      <w:sz w:val="24"/>
                      <w:highlight w:val="none"/>
                      <w:vertAlign w:val="baseline"/>
                      <w:lang w:val="en-US" w:eastAsia="zh-CN"/>
                    </w:rPr>
                  </w:pPr>
                  <w:r>
                    <w:rPr>
                      <w:rFonts w:hint="eastAsia"/>
                      <w:color w:val="FF0000"/>
                      <w:kern w:val="0"/>
                      <w:szCs w:val="21"/>
                    </w:rPr>
                    <w:t>不设置</w:t>
                  </w:r>
                </w:p>
              </w:tc>
            </w:tr>
            <w:tr w14:paraId="4FA06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4" w:type="dxa"/>
                  <w:tcBorders>
                    <w:left w:val="nil"/>
                  </w:tcBorders>
                  <w:shd w:val="clear" w:color="auto" w:fill="auto"/>
                  <w:vAlign w:val="center"/>
                </w:tcPr>
                <w:p w14:paraId="29C64889">
                  <w:pPr>
                    <w:autoSpaceDE w:val="0"/>
                    <w:autoSpaceDN w:val="0"/>
                    <w:adjustRightInd w:val="0"/>
                    <w:snapToGrid w:val="0"/>
                    <w:ind w:left="0" w:leftChars="0" w:right="0" w:rightChars="0" w:firstLine="0" w:firstLineChars="0"/>
                    <w:jc w:val="center"/>
                    <w:rPr>
                      <w:rFonts w:hint="eastAsia" w:ascii="Times New Roman" w:hAnsi="Times New Roman" w:eastAsia="宋体" w:cs="Times New Roman"/>
                      <w:color w:val="FF0000"/>
                      <w:kern w:val="0"/>
                      <w:sz w:val="21"/>
                      <w:szCs w:val="21"/>
                      <w:lang w:val="en-US" w:eastAsia="zh-CN" w:bidi="ar-SA"/>
                    </w:rPr>
                  </w:pPr>
                  <w:r>
                    <w:rPr>
                      <w:rFonts w:hint="eastAsia"/>
                      <w:color w:val="FF0000"/>
                      <w:kern w:val="0"/>
                      <w:szCs w:val="21"/>
                    </w:rPr>
                    <w:t>环境风险</w:t>
                  </w:r>
                </w:p>
              </w:tc>
              <w:tc>
                <w:tcPr>
                  <w:tcW w:w="2578" w:type="dxa"/>
                  <w:shd w:val="clear" w:color="auto" w:fill="auto"/>
                  <w:vAlign w:val="center"/>
                </w:tcPr>
                <w:p w14:paraId="5EF01769">
                  <w:pPr>
                    <w:autoSpaceDE w:val="0"/>
                    <w:autoSpaceDN w:val="0"/>
                    <w:adjustRightInd w:val="0"/>
                    <w:snapToGrid w:val="0"/>
                    <w:ind w:left="0" w:leftChars="0" w:right="0" w:rightChars="0" w:firstLine="0" w:firstLineChars="0"/>
                    <w:jc w:val="center"/>
                    <w:rPr>
                      <w:rFonts w:hint="eastAsia" w:ascii="Times New Roman" w:hAnsi="Times New Roman" w:eastAsia="宋体" w:cs="Times New Roman"/>
                      <w:color w:val="FF0000"/>
                      <w:kern w:val="0"/>
                      <w:sz w:val="21"/>
                      <w:szCs w:val="21"/>
                      <w:lang w:val="en-US" w:eastAsia="zh-CN" w:bidi="ar-SA"/>
                    </w:rPr>
                  </w:pPr>
                  <w:r>
                    <w:rPr>
                      <w:rFonts w:hint="eastAsia"/>
                      <w:color w:val="FF0000"/>
                      <w:kern w:val="0"/>
                      <w:szCs w:val="21"/>
                    </w:rPr>
                    <w:t>有毒有害和易燃易爆危险物质存储量超过临界量的建设项目</w:t>
                  </w:r>
                </w:p>
              </w:tc>
              <w:tc>
                <w:tcPr>
                  <w:tcW w:w="2159" w:type="dxa"/>
                  <w:shd w:val="clear" w:color="auto" w:fill="auto"/>
                  <w:vAlign w:val="center"/>
                </w:tcPr>
                <w:p w14:paraId="7CAD151B">
                  <w:pPr>
                    <w:autoSpaceDE w:val="0"/>
                    <w:autoSpaceDN w:val="0"/>
                    <w:adjustRightInd w:val="0"/>
                    <w:snapToGrid w:val="0"/>
                    <w:ind w:left="0" w:leftChars="0" w:right="0" w:rightChars="0" w:firstLine="0" w:firstLineChars="0"/>
                    <w:jc w:val="center"/>
                    <w:rPr>
                      <w:rFonts w:hint="eastAsia" w:ascii="Times New Roman" w:hAnsi="Times New Roman" w:eastAsia="宋体" w:cs="Times New Roman"/>
                      <w:color w:val="FF0000"/>
                      <w:kern w:val="0"/>
                      <w:sz w:val="21"/>
                      <w:szCs w:val="21"/>
                      <w:lang w:val="en-US" w:eastAsia="zh-CN" w:bidi="ar-SA"/>
                    </w:rPr>
                  </w:pPr>
                  <w:r>
                    <w:rPr>
                      <w:rFonts w:hint="eastAsia"/>
                      <w:color w:val="FF0000"/>
                      <w:kern w:val="0"/>
                      <w:szCs w:val="21"/>
                    </w:rPr>
                    <w:t>本项目涉及易燃易爆</w:t>
                  </w:r>
                  <w:r>
                    <w:rPr>
                      <w:rFonts w:hint="eastAsia"/>
                      <w:color w:val="FF0000"/>
                      <w:kern w:val="0"/>
                      <w:szCs w:val="21"/>
                      <w:lang w:val="en-US" w:eastAsia="zh-CN"/>
                    </w:rPr>
                    <w:t>油类</w:t>
                  </w:r>
                  <w:r>
                    <w:rPr>
                      <w:rFonts w:hint="eastAsia"/>
                      <w:color w:val="FF0000"/>
                      <w:kern w:val="0"/>
                      <w:szCs w:val="21"/>
                    </w:rPr>
                    <w:t>物质存储量</w:t>
                  </w:r>
                  <w:r>
                    <w:rPr>
                      <w:rFonts w:hint="eastAsia"/>
                      <w:color w:val="FF0000"/>
                      <w:kern w:val="0"/>
                      <w:szCs w:val="21"/>
                      <w:lang w:val="en-US" w:eastAsia="zh-CN"/>
                    </w:rPr>
                    <w:t>未</w:t>
                  </w:r>
                  <w:r>
                    <w:rPr>
                      <w:rFonts w:hint="eastAsia"/>
                      <w:color w:val="FF0000"/>
                      <w:kern w:val="0"/>
                      <w:szCs w:val="21"/>
                    </w:rPr>
                    <w:t>超过临界量</w:t>
                  </w:r>
                </w:p>
              </w:tc>
              <w:tc>
                <w:tcPr>
                  <w:tcW w:w="1274" w:type="dxa"/>
                  <w:tcBorders>
                    <w:right w:val="nil"/>
                  </w:tcBorders>
                  <w:vAlign w:val="center"/>
                </w:tcPr>
                <w:p w14:paraId="7692B536">
                  <w:pPr>
                    <w:autoSpaceDE w:val="0"/>
                    <w:autoSpaceDN w:val="0"/>
                    <w:adjustRightInd w:val="0"/>
                    <w:snapToGrid w:val="0"/>
                    <w:jc w:val="center"/>
                    <w:rPr>
                      <w:rFonts w:hint="eastAsia"/>
                      <w:color w:val="FF0000"/>
                      <w:sz w:val="24"/>
                      <w:highlight w:val="none"/>
                      <w:vertAlign w:val="baseline"/>
                      <w:lang w:val="en-US" w:eastAsia="zh-CN"/>
                    </w:rPr>
                  </w:pPr>
                  <w:r>
                    <w:rPr>
                      <w:rFonts w:hint="eastAsia"/>
                      <w:color w:val="FF0000"/>
                      <w:kern w:val="0"/>
                      <w:szCs w:val="21"/>
                    </w:rPr>
                    <w:t>不设置</w:t>
                  </w:r>
                </w:p>
              </w:tc>
            </w:tr>
            <w:tr w14:paraId="093B8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4" w:type="dxa"/>
                  <w:tcBorders>
                    <w:left w:val="nil"/>
                  </w:tcBorders>
                  <w:shd w:val="clear" w:color="auto" w:fill="auto"/>
                  <w:vAlign w:val="center"/>
                </w:tcPr>
                <w:p w14:paraId="6E31F104">
                  <w:pPr>
                    <w:autoSpaceDE w:val="0"/>
                    <w:autoSpaceDN w:val="0"/>
                    <w:adjustRightInd w:val="0"/>
                    <w:snapToGrid w:val="0"/>
                    <w:ind w:left="0" w:leftChars="0" w:right="0" w:rightChars="0" w:firstLine="0" w:firstLineChars="0"/>
                    <w:jc w:val="center"/>
                    <w:rPr>
                      <w:rFonts w:hint="eastAsia" w:ascii="Times New Roman" w:hAnsi="Times New Roman" w:eastAsia="宋体" w:cs="Times New Roman"/>
                      <w:color w:val="FF0000"/>
                      <w:kern w:val="0"/>
                      <w:sz w:val="21"/>
                      <w:szCs w:val="21"/>
                      <w:lang w:val="en-US" w:eastAsia="zh-CN" w:bidi="ar-SA"/>
                    </w:rPr>
                  </w:pPr>
                  <w:r>
                    <w:rPr>
                      <w:rFonts w:hint="eastAsia"/>
                      <w:color w:val="FF0000"/>
                      <w:kern w:val="0"/>
                      <w:szCs w:val="21"/>
                    </w:rPr>
                    <w:t>生态</w:t>
                  </w:r>
                </w:p>
              </w:tc>
              <w:tc>
                <w:tcPr>
                  <w:tcW w:w="2578" w:type="dxa"/>
                  <w:shd w:val="clear" w:color="auto" w:fill="auto"/>
                  <w:vAlign w:val="center"/>
                </w:tcPr>
                <w:p w14:paraId="1D5DF790">
                  <w:pPr>
                    <w:autoSpaceDE w:val="0"/>
                    <w:autoSpaceDN w:val="0"/>
                    <w:adjustRightInd w:val="0"/>
                    <w:snapToGrid w:val="0"/>
                    <w:ind w:left="0" w:leftChars="0" w:right="0" w:rightChars="0" w:firstLine="0" w:firstLineChars="0"/>
                    <w:jc w:val="center"/>
                    <w:rPr>
                      <w:color w:val="FF0000"/>
                      <w:kern w:val="0"/>
                      <w:szCs w:val="21"/>
                    </w:rPr>
                  </w:pPr>
                  <w:r>
                    <w:rPr>
                      <w:rFonts w:hint="eastAsia"/>
                      <w:color w:val="FF0000"/>
                      <w:kern w:val="0"/>
                      <w:szCs w:val="21"/>
                    </w:rPr>
                    <w:t>取水口下游500米范围内有重要水生生物的自然产卵场、索饵场、越冬场和</w:t>
                  </w:r>
                </w:p>
                <w:p w14:paraId="662DF3F6">
                  <w:pPr>
                    <w:autoSpaceDE w:val="0"/>
                    <w:autoSpaceDN w:val="0"/>
                    <w:adjustRightInd w:val="0"/>
                    <w:snapToGrid w:val="0"/>
                    <w:ind w:left="0" w:leftChars="0" w:right="0" w:rightChars="0" w:firstLine="0" w:firstLineChars="0"/>
                    <w:jc w:val="center"/>
                    <w:rPr>
                      <w:rFonts w:hint="eastAsia" w:ascii="Times New Roman" w:hAnsi="Times New Roman" w:eastAsia="宋体" w:cs="Times New Roman"/>
                      <w:color w:val="FF0000"/>
                      <w:kern w:val="0"/>
                      <w:sz w:val="21"/>
                      <w:szCs w:val="21"/>
                      <w:lang w:val="en-US" w:eastAsia="zh-CN" w:bidi="ar-SA"/>
                    </w:rPr>
                  </w:pPr>
                  <w:r>
                    <w:rPr>
                      <w:rFonts w:hint="eastAsia"/>
                      <w:color w:val="FF0000"/>
                      <w:kern w:val="0"/>
                      <w:szCs w:val="21"/>
                    </w:rPr>
                    <w:t>洄游通道的新增河道取水的污染类建设项目</w:t>
                  </w:r>
                </w:p>
              </w:tc>
              <w:tc>
                <w:tcPr>
                  <w:tcW w:w="2159" w:type="dxa"/>
                  <w:shd w:val="clear" w:color="auto" w:fill="auto"/>
                  <w:vAlign w:val="center"/>
                </w:tcPr>
                <w:p w14:paraId="7EDB67BB">
                  <w:pPr>
                    <w:autoSpaceDE w:val="0"/>
                    <w:autoSpaceDN w:val="0"/>
                    <w:adjustRightInd w:val="0"/>
                    <w:snapToGrid w:val="0"/>
                    <w:ind w:left="0" w:leftChars="0" w:right="0" w:rightChars="0" w:firstLine="0" w:firstLineChars="0"/>
                    <w:jc w:val="center"/>
                    <w:rPr>
                      <w:rFonts w:hint="eastAsia" w:ascii="Times New Roman" w:hAnsi="Times New Roman" w:eastAsia="宋体" w:cs="Times New Roman"/>
                      <w:color w:val="FF0000"/>
                      <w:kern w:val="0"/>
                      <w:sz w:val="21"/>
                      <w:szCs w:val="21"/>
                      <w:lang w:val="en-US" w:eastAsia="zh-CN" w:bidi="ar-SA"/>
                    </w:rPr>
                  </w:pPr>
                  <w:r>
                    <w:rPr>
                      <w:rFonts w:hint="eastAsia"/>
                      <w:color w:val="FF0000"/>
                      <w:kern w:val="0"/>
                      <w:szCs w:val="21"/>
                    </w:rPr>
                    <w:t>本项目不涉及取水口</w:t>
                  </w:r>
                </w:p>
              </w:tc>
              <w:tc>
                <w:tcPr>
                  <w:tcW w:w="1274" w:type="dxa"/>
                  <w:tcBorders>
                    <w:right w:val="nil"/>
                  </w:tcBorders>
                  <w:vAlign w:val="center"/>
                </w:tcPr>
                <w:p w14:paraId="5D429A8E">
                  <w:pPr>
                    <w:autoSpaceDE w:val="0"/>
                    <w:autoSpaceDN w:val="0"/>
                    <w:adjustRightInd w:val="0"/>
                    <w:snapToGrid w:val="0"/>
                    <w:jc w:val="center"/>
                    <w:rPr>
                      <w:rFonts w:hint="eastAsia"/>
                      <w:color w:val="FF0000"/>
                      <w:sz w:val="24"/>
                      <w:highlight w:val="none"/>
                      <w:vertAlign w:val="baseline"/>
                      <w:lang w:val="en-US" w:eastAsia="zh-CN"/>
                    </w:rPr>
                  </w:pPr>
                  <w:r>
                    <w:rPr>
                      <w:rFonts w:hint="eastAsia"/>
                      <w:color w:val="FF0000"/>
                      <w:kern w:val="0"/>
                      <w:szCs w:val="21"/>
                    </w:rPr>
                    <w:t>不设置</w:t>
                  </w:r>
                </w:p>
              </w:tc>
            </w:tr>
            <w:tr w14:paraId="714C6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4" w:type="dxa"/>
                  <w:tcBorders>
                    <w:left w:val="nil"/>
                    <w:bottom w:val="single" w:color="auto" w:sz="12" w:space="0"/>
                  </w:tcBorders>
                  <w:shd w:val="clear" w:color="auto" w:fill="auto"/>
                  <w:vAlign w:val="center"/>
                </w:tcPr>
                <w:p w14:paraId="04431A45">
                  <w:pPr>
                    <w:autoSpaceDE w:val="0"/>
                    <w:autoSpaceDN w:val="0"/>
                    <w:adjustRightInd w:val="0"/>
                    <w:snapToGrid w:val="0"/>
                    <w:ind w:left="0" w:leftChars="0" w:right="0" w:rightChars="0" w:firstLine="0" w:firstLineChars="0"/>
                    <w:jc w:val="center"/>
                    <w:rPr>
                      <w:rFonts w:hint="eastAsia" w:ascii="Times New Roman" w:hAnsi="Times New Roman" w:eastAsia="宋体" w:cs="Times New Roman"/>
                      <w:color w:val="FF0000"/>
                      <w:kern w:val="0"/>
                      <w:sz w:val="21"/>
                      <w:szCs w:val="21"/>
                      <w:lang w:val="en-US" w:eastAsia="zh-CN" w:bidi="ar-SA"/>
                    </w:rPr>
                  </w:pPr>
                  <w:r>
                    <w:rPr>
                      <w:rFonts w:hint="eastAsia"/>
                      <w:color w:val="FF0000"/>
                      <w:kern w:val="0"/>
                      <w:szCs w:val="21"/>
                    </w:rPr>
                    <w:t>海洋</w:t>
                  </w:r>
                </w:p>
              </w:tc>
              <w:tc>
                <w:tcPr>
                  <w:tcW w:w="2578" w:type="dxa"/>
                  <w:tcBorders>
                    <w:bottom w:val="single" w:color="auto" w:sz="12" w:space="0"/>
                  </w:tcBorders>
                  <w:shd w:val="clear" w:color="auto" w:fill="auto"/>
                  <w:vAlign w:val="center"/>
                </w:tcPr>
                <w:p w14:paraId="448E2EE8">
                  <w:pPr>
                    <w:autoSpaceDE w:val="0"/>
                    <w:autoSpaceDN w:val="0"/>
                    <w:adjustRightInd w:val="0"/>
                    <w:snapToGrid w:val="0"/>
                    <w:ind w:left="0" w:leftChars="0" w:right="0" w:rightChars="0" w:firstLine="0" w:firstLineChars="0"/>
                    <w:jc w:val="center"/>
                    <w:rPr>
                      <w:rFonts w:hint="eastAsia" w:ascii="Times New Roman" w:hAnsi="Times New Roman" w:eastAsia="宋体" w:cs="Times New Roman"/>
                      <w:color w:val="FF0000"/>
                      <w:kern w:val="0"/>
                      <w:sz w:val="21"/>
                      <w:szCs w:val="21"/>
                      <w:lang w:val="en-US" w:eastAsia="zh-CN" w:bidi="ar-SA"/>
                    </w:rPr>
                  </w:pPr>
                  <w:r>
                    <w:rPr>
                      <w:rFonts w:hint="eastAsia"/>
                      <w:color w:val="FF0000"/>
                      <w:kern w:val="0"/>
                      <w:szCs w:val="21"/>
                    </w:rPr>
                    <w:t>直接向海排放污染物的海洋工程建设项目</w:t>
                  </w:r>
                </w:p>
              </w:tc>
              <w:tc>
                <w:tcPr>
                  <w:tcW w:w="2159" w:type="dxa"/>
                  <w:tcBorders>
                    <w:bottom w:val="single" w:color="auto" w:sz="12" w:space="0"/>
                  </w:tcBorders>
                  <w:shd w:val="clear" w:color="auto" w:fill="auto"/>
                  <w:vAlign w:val="center"/>
                </w:tcPr>
                <w:p w14:paraId="7F24FCF6">
                  <w:pPr>
                    <w:autoSpaceDE w:val="0"/>
                    <w:autoSpaceDN w:val="0"/>
                    <w:adjustRightInd w:val="0"/>
                    <w:snapToGrid w:val="0"/>
                    <w:ind w:left="0" w:leftChars="0" w:right="0" w:rightChars="0" w:firstLine="0" w:firstLineChars="0"/>
                    <w:jc w:val="center"/>
                    <w:rPr>
                      <w:rFonts w:hint="eastAsia" w:ascii="Times New Roman" w:hAnsi="Times New Roman" w:eastAsia="宋体" w:cs="Times New Roman"/>
                      <w:color w:val="FF0000"/>
                      <w:kern w:val="0"/>
                      <w:sz w:val="21"/>
                      <w:szCs w:val="21"/>
                      <w:lang w:val="en-US" w:eastAsia="zh-CN" w:bidi="ar-SA"/>
                    </w:rPr>
                  </w:pPr>
                  <w:r>
                    <w:rPr>
                      <w:rFonts w:hint="eastAsia"/>
                      <w:color w:val="FF0000"/>
                      <w:kern w:val="0"/>
                      <w:szCs w:val="21"/>
                    </w:rPr>
                    <w:t>本项目不属于海洋工程</w:t>
                  </w:r>
                </w:p>
              </w:tc>
              <w:tc>
                <w:tcPr>
                  <w:tcW w:w="1274" w:type="dxa"/>
                  <w:tcBorders>
                    <w:bottom w:val="single" w:color="auto" w:sz="12" w:space="0"/>
                    <w:right w:val="nil"/>
                  </w:tcBorders>
                  <w:vAlign w:val="center"/>
                </w:tcPr>
                <w:p w14:paraId="597477A7">
                  <w:pPr>
                    <w:autoSpaceDE w:val="0"/>
                    <w:autoSpaceDN w:val="0"/>
                    <w:adjustRightInd w:val="0"/>
                    <w:snapToGrid w:val="0"/>
                    <w:jc w:val="center"/>
                    <w:rPr>
                      <w:rFonts w:hint="eastAsia"/>
                      <w:color w:val="FF0000"/>
                      <w:sz w:val="24"/>
                      <w:highlight w:val="none"/>
                      <w:vertAlign w:val="baseline"/>
                      <w:lang w:val="en-US" w:eastAsia="zh-CN"/>
                    </w:rPr>
                  </w:pPr>
                  <w:r>
                    <w:rPr>
                      <w:rFonts w:hint="eastAsia"/>
                      <w:color w:val="FF0000"/>
                      <w:kern w:val="0"/>
                      <w:szCs w:val="21"/>
                    </w:rPr>
                    <w:t>不设置</w:t>
                  </w:r>
                </w:p>
              </w:tc>
            </w:tr>
          </w:tbl>
          <w:p w14:paraId="072AF2FC">
            <w:pPr>
              <w:ind w:left="0" w:leftChars="0" w:right="0" w:rightChars="0" w:firstLine="0" w:firstLineChars="0"/>
              <w:jc w:val="center"/>
              <w:rPr>
                <w:rFonts w:hint="eastAsia" w:eastAsia="宋体"/>
                <w:color w:val="000000" w:themeColor="text1"/>
                <w:sz w:val="24"/>
                <w:highlight w:val="none"/>
                <w:lang w:val="en-US" w:eastAsia="zh-CN"/>
                <w14:textFill>
                  <w14:solidFill>
                    <w14:schemeClr w14:val="tx1"/>
                  </w14:solidFill>
                </w14:textFill>
              </w:rPr>
            </w:pPr>
          </w:p>
        </w:tc>
      </w:tr>
      <w:tr w14:paraId="6707E8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6" w:hRule="atLeast"/>
          <w:jc w:val="center"/>
        </w:trPr>
        <w:tc>
          <w:tcPr>
            <w:tcW w:w="1789" w:type="dxa"/>
            <w:vAlign w:val="center"/>
          </w:tcPr>
          <w:p w14:paraId="1850D45E">
            <w:pPr>
              <w:autoSpaceDE w:val="0"/>
              <w:autoSpaceDN w:val="0"/>
              <w:adjustRightInd w:val="0"/>
              <w:snapToGrid w:val="0"/>
              <w:jc w:val="center"/>
              <w:rPr>
                <w:color w:val="000000" w:themeColor="text1"/>
                <w:kern w:val="0"/>
                <w:sz w:val="24"/>
                <w:highlight w:val="none"/>
                <w14:textFill>
                  <w14:solidFill>
                    <w14:schemeClr w14:val="tx1"/>
                  </w14:solidFill>
                </w14:textFill>
              </w:rPr>
            </w:pPr>
            <w:r>
              <w:rPr>
                <w:color w:val="000000" w:themeColor="text1"/>
                <w:sz w:val="24"/>
                <w:highlight w:val="none"/>
                <w14:textFill>
                  <w14:solidFill>
                    <w14:schemeClr w14:val="tx1"/>
                  </w14:solidFill>
                </w14:textFill>
              </w:rPr>
              <w:t>规划情况</w:t>
            </w:r>
          </w:p>
        </w:tc>
        <w:tc>
          <w:tcPr>
            <w:tcW w:w="7081" w:type="dxa"/>
            <w:gridSpan w:val="3"/>
            <w:vAlign w:val="center"/>
          </w:tcPr>
          <w:p w14:paraId="27E683A2">
            <w:pPr>
              <w:ind w:left="0" w:leftChars="0" w:right="0" w:rightChars="0" w:firstLine="0" w:firstLineChars="0"/>
              <w:jc w:val="center"/>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无</w:t>
            </w:r>
          </w:p>
        </w:tc>
      </w:tr>
      <w:tr w14:paraId="3038E9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02" w:hRule="atLeast"/>
          <w:jc w:val="center"/>
        </w:trPr>
        <w:tc>
          <w:tcPr>
            <w:tcW w:w="1789" w:type="dxa"/>
            <w:vAlign w:val="center"/>
          </w:tcPr>
          <w:p w14:paraId="136A89D7">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规划环境影响</w:t>
            </w:r>
          </w:p>
          <w:p w14:paraId="29F24E39">
            <w:pPr>
              <w:adjustRightInd w:val="0"/>
              <w:snapToGrid w:val="0"/>
              <w:jc w:val="center"/>
              <w:rPr>
                <w:color w:val="000000" w:themeColor="text1"/>
                <w:kern w:val="0"/>
                <w:sz w:val="24"/>
                <w:highlight w:val="none"/>
                <w14:textFill>
                  <w14:solidFill>
                    <w14:schemeClr w14:val="tx1"/>
                  </w14:solidFill>
                </w14:textFill>
              </w:rPr>
            </w:pPr>
            <w:r>
              <w:rPr>
                <w:color w:val="000000" w:themeColor="text1"/>
                <w:sz w:val="24"/>
                <w:highlight w:val="none"/>
                <w14:textFill>
                  <w14:solidFill>
                    <w14:schemeClr w14:val="tx1"/>
                  </w14:solidFill>
                </w14:textFill>
              </w:rPr>
              <w:t>评价情况</w:t>
            </w:r>
          </w:p>
        </w:tc>
        <w:tc>
          <w:tcPr>
            <w:tcW w:w="7081" w:type="dxa"/>
            <w:gridSpan w:val="3"/>
            <w:vAlign w:val="center"/>
          </w:tcPr>
          <w:p w14:paraId="6772681A">
            <w:pPr>
              <w:ind w:left="0" w:leftChars="0" w:right="0" w:rightChars="0" w:firstLine="0" w:firstLineChars="0"/>
              <w:jc w:val="center"/>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无</w:t>
            </w:r>
          </w:p>
        </w:tc>
      </w:tr>
      <w:tr w14:paraId="5C8575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25" w:hRule="atLeast"/>
          <w:jc w:val="center"/>
        </w:trPr>
        <w:tc>
          <w:tcPr>
            <w:tcW w:w="1789" w:type="dxa"/>
            <w:vAlign w:val="center"/>
          </w:tcPr>
          <w:p w14:paraId="308EB36B">
            <w:pPr>
              <w:autoSpaceDE w:val="0"/>
              <w:autoSpaceDN w:val="0"/>
              <w:adjustRightInd w:val="0"/>
              <w:snapToGrid w:val="0"/>
              <w:ind w:left="0" w:leftChars="0" w:right="0" w:rightChars="0" w:firstLine="0" w:firstLineChars="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规划及规划环境影响评价符合性分析</w:t>
            </w:r>
          </w:p>
        </w:tc>
        <w:tc>
          <w:tcPr>
            <w:tcW w:w="7081" w:type="dxa"/>
            <w:gridSpan w:val="3"/>
            <w:vAlign w:val="center"/>
          </w:tcPr>
          <w:p w14:paraId="0D674B35">
            <w:pPr>
              <w:autoSpaceDE w:val="0"/>
              <w:autoSpaceDN w:val="0"/>
              <w:adjustRightInd w:val="0"/>
              <w:snapToGrid w:val="0"/>
              <w:jc w:val="center"/>
              <w:rPr>
                <w:rFonts w:hint="eastAsia" w:eastAsia="宋体"/>
                <w:color w:val="000000" w:themeColor="text1"/>
                <w:kern w:val="0"/>
                <w:sz w:val="24"/>
                <w:lang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无</w:t>
            </w:r>
          </w:p>
        </w:tc>
      </w:tr>
      <w:tr w14:paraId="47A6E2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25" w:hRule="atLeast"/>
          <w:jc w:val="center"/>
        </w:trPr>
        <w:tc>
          <w:tcPr>
            <w:tcW w:w="1789" w:type="dxa"/>
            <w:vAlign w:val="center"/>
          </w:tcPr>
          <w:p w14:paraId="15CA5A65">
            <w:pPr>
              <w:autoSpaceDE w:val="0"/>
              <w:autoSpaceDN w:val="0"/>
              <w:adjustRightInd w:val="0"/>
              <w:snapToGrid w:val="0"/>
              <w:ind w:left="0" w:leftChars="0" w:right="0" w:rightChars="0" w:firstLine="0" w:firstLineChars="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其他符合性分析</w:t>
            </w:r>
          </w:p>
        </w:tc>
        <w:tc>
          <w:tcPr>
            <w:tcW w:w="7081" w:type="dxa"/>
            <w:gridSpan w:val="3"/>
            <w:vAlign w:val="top"/>
          </w:tcPr>
          <w:p w14:paraId="3B3EB381">
            <w:pPr>
              <w:autoSpaceDE w:val="0"/>
              <w:autoSpaceDN w:val="0"/>
              <w:adjustRightInd w:val="0"/>
              <w:snapToGrid w:val="0"/>
              <w:spacing w:line="360" w:lineRule="auto"/>
              <w:ind w:firstLine="480" w:firstLineChars="200"/>
              <w:jc w:val="both"/>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14:textFill>
                  <w14:solidFill>
                    <w14:schemeClr w14:val="tx1"/>
                  </w14:solidFill>
                </w14:textFill>
              </w:rPr>
              <w:t>1、产业政策符合性分析</w:t>
            </w:r>
          </w:p>
          <w:p w14:paraId="49A90E98">
            <w:pPr>
              <w:autoSpaceDE w:val="0"/>
              <w:autoSpaceDN w:val="0"/>
              <w:adjustRightInd w:val="0"/>
              <w:snapToGrid w:val="0"/>
              <w:spacing w:line="360" w:lineRule="auto"/>
              <w:ind w:firstLine="480" w:firstLineChars="200"/>
              <w:jc w:val="both"/>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14:textFill>
                  <w14:solidFill>
                    <w14:schemeClr w14:val="tx1"/>
                  </w14:solidFill>
                </w14:textFill>
              </w:rPr>
              <w:t>根据《产业结构调整指导目录》（20</w:t>
            </w:r>
            <w:r>
              <w:rPr>
                <w:rFonts w:hint="eastAsia"/>
                <w:color w:val="000000" w:themeColor="text1"/>
                <w:kern w:val="0"/>
                <w:sz w:val="24"/>
                <w:highlight w:val="none"/>
                <w:lang w:val="en-US" w:eastAsia="zh-CN"/>
                <w14:textFill>
                  <w14:solidFill>
                    <w14:schemeClr w14:val="tx1"/>
                  </w14:solidFill>
                </w14:textFill>
              </w:rPr>
              <w:t>24</w:t>
            </w:r>
            <w:r>
              <w:rPr>
                <w:rFonts w:hint="eastAsia"/>
                <w:color w:val="000000" w:themeColor="text1"/>
                <w:kern w:val="0"/>
                <w:sz w:val="24"/>
                <w:highlight w:val="none"/>
                <w14:textFill>
                  <w14:solidFill>
                    <w14:schemeClr w14:val="tx1"/>
                  </w14:solidFill>
                </w14:textFill>
              </w:rPr>
              <w:t>年本），本项目不涉及指导目录中“第三类 淘汰类</w:t>
            </w:r>
            <w:r>
              <w:rPr>
                <w:rFonts w:hint="eastAsia"/>
                <w:color w:val="000000" w:themeColor="text1"/>
                <w:kern w:val="0"/>
                <w:sz w:val="24"/>
                <w:highlight w:val="none"/>
                <w:lang w:eastAsia="zh-CN"/>
                <w14:textFill>
                  <w14:solidFill>
                    <w14:schemeClr w14:val="tx1"/>
                  </w14:solidFill>
                </w14:textFill>
              </w:rPr>
              <w:t>：</w:t>
            </w:r>
            <w:r>
              <w:rPr>
                <w:rFonts w:hint="eastAsia"/>
                <w:color w:val="000000" w:themeColor="text1"/>
                <w:kern w:val="0"/>
                <w:sz w:val="24"/>
                <w:highlight w:val="none"/>
                <w:lang w:val="en-US" w:eastAsia="zh-CN"/>
                <w14:textFill>
                  <w14:solidFill>
                    <w14:schemeClr w14:val="tx1"/>
                  </w14:solidFill>
                </w14:textFill>
              </w:rPr>
              <w:t>一、</w:t>
            </w:r>
            <w:r>
              <w:rPr>
                <w:rFonts w:hint="eastAsia"/>
                <w:color w:val="000000" w:themeColor="text1"/>
                <w:kern w:val="0"/>
                <w:sz w:val="24"/>
                <w:highlight w:val="none"/>
                <w14:textFill>
                  <w14:solidFill>
                    <w14:schemeClr w14:val="tx1"/>
                  </w14:solidFill>
                </w14:textFill>
              </w:rPr>
              <w:t>落后生产工艺设备</w:t>
            </w:r>
            <w:r>
              <w:rPr>
                <w:rFonts w:hint="eastAsia"/>
                <w:color w:val="000000" w:themeColor="text1"/>
                <w:kern w:val="0"/>
                <w:sz w:val="24"/>
                <w:highlight w:val="none"/>
                <w:lang w:val="en-US" w:eastAsia="zh-CN"/>
                <w14:textFill>
                  <w14:solidFill>
                    <w14:schemeClr w14:val="tx1"/>
                  </w14:solidFill>
                </w14:textFill>
              </w:rPr>
              <w:t>‘</w:t>
            </w:r>
            <w:r>
              <w:rPr>
                <w:rFonts w:hint="eastAsia"/>
                <w:color w:val="000000" w:themeColor="text1"/>
                <w:kern w:val="0"/>
                <w:sz w:val="24"/>
                <w:highlight w:val="none"/>
                <w14:textFill>
                  <w14:solidFill>
                    <w14:schemeClr w14:val="tx1"/>
                  </w14:solidFill>
                </w14:textFill>
              </w:rPr>
              <w:t>不能实现洗煤废水闭路循环的选煤工艺、不能实现粉尘达标排放的干法选煤设备</w:t>
            </w:r>
            <w:r>
              <w:rPr>
                <w:rFonts w:hint="eastAsia"/>
                <w:color w:val="000000" w:themeColor="text1"/>
                <w:kern w:val="0"/>
                <w:sz w:val="24"/>
                <w:highlight w:val="none"/>
                <w:lang w:val="en-US" w:eastAsia="zh-CN"/>
                <w14:textFill>
                  <w14:solidFill>
                    <w14:schemeClr w14:val="tx1"/>
                  </w14:solidFill>
                </w14:textFill>
              </w:rPr>
              <w:t>’</w:t>
            </w:r>
            <w:r>
              <w:rPr>
                <w:rFonts w:hint="eastAsia"/>
                <w:color w:val="000000" w:themeColor="text1"/>
                <w:kern w:val="0"/>
                <w:sz w:val="24"/>
                <w:highlight w:val="none"/>
                <w14:textFill>
                  <w14:solidFill>
                    <w14:schemeClr w14:val="tx1"/>
                  </w14:solidFill>
                </w14:textFill>
              </w:rPr>
              <w:t>”，</w:t>
            </w:r>
            <w:r>
              <w:rPr>
                <w:rFonts w:hint="eastAsia"/>
                <w:color w:val="000000" w:themeColor="text1"/>
                <w:kern w:val="0"/>
                <w:sz w:val="24"/>
                <w:highlight w:val="none"/>
                <w:lang w:val="en-US" w:eastAsia="zh-CN"/>
                <w14:textFill>
                  <w14:solidFill>
                    <w14:schemeClr w14:val="tx1"/>
                  </w14:solidFill>
                </w14:textFill>
              </w:rPr>
              <w:t>因此</w:t>
            </w:r>
            <w:r>
              <w:rPr>
                <w:rFonts w:hint="eastAsia"/>
                <w:color w:val="000000" w:themeColor="text1"/>
                <w:kern w:val="0"/>
                <w:sz w:val="24"/>
                <w:highlight w:val="none"/>
                <w:lang w:eastAsia="zh-CN"/>
                <w14:textFill>
                  <w14:solidFill>
                    <w14:schemeClr w14:val="tx1"/>
                  </w14:solidFill>
                </w14:textFill>
              </w:rPr>
              <w:t>，</w:t>
            </w:r>
            <w:r>
              <w:rPr>
                <w:rFonts w:hint="eastAsia"/>
                <w:color w:val="000000" w:themeColor="text1"/>
                <w:kern w:val="0"/>
                <w:sz w:val="24"/>
                <w:highlight w:val="none"/>
                <w14:textFill>
                  <w14:solidFill>
                    <w14:schemeClr w14:val="tx1"/>
                  </w14:solidFill>
                </w14:textFill>
              </w:rPr>
              <w:t>本项目符合产业政策的要求。</w:t>
            </w:r>
          </w:p>
          <w:p w14:paraId="5516E44E">
            <w:pPr>
              <w:autoSpaceDE w:val="0"/>
              <w:autoSpaceDN w:val="0"/>
              <w:adjustRightInd w:val="0"/>
              <w:snapToGrid w:val="0"/>
              <w:spacing w:line="360" w:lineRule="auto"/>
              <w:ind w:firstLine="480" w:firstLineChars="200"/>
              <w:jc w:val="both"/>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14:textFill>
                  <w14:solidFill>
                    <w14:schemeClr w14:val="tx1"/>
                  </w14:solidFill>
                </w14:textFill>
              </w:rPr>
              <w:t>根据《煤炭产业政策》（2013年修订稿），产业布局篇章（第二章）第十三条内容为：新建大中型煤矿应当配套建设相应规模的选煤厂，鼓励在中小型煤矿集中矿区建设群矿选煤厂，提高原煤洗选比例和洗选效率。</w:t>
            </w:r>
          </w:p>
          <w:p w14:paraId="360FFCBB">
            <w:pPr>
              <w:autoSpaceDE w:val="0"/>
              <w:autoSpaceDN w:val="0"/>
              <w:adjustRightInd w:val="0"/>
              <w:snapToGrid w:val="0"/>
              <w:spacing w:line="360" w:lineRule="auto"/>
              <w:ind w:firstLine="480" w:firstLineChars="200"/>
              <w:jc w:val="both"/>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14:textFill>
                  <w14:solidFill>
                    <w14:schemeClr w14:val="tx1"/>
                  </w14:solidFill>
                </w14:textFill>
              </w:rPr>
              <w:t>本</w:t>
            </w:r>
            <w:r>
              <w:rPr>
                <w:rFonts w:hint="eastAsia"/>
                <w:color w:val="000000" w:themeColor="text1"/>
                <w:kern w:val="0"/>
                <w:sz w:val="24"/>
                <w:highlight w:val="none"/>
                <w:lang w:val="en-US" w:eastAsia="zh-CN"/>
                <w14:textFill>
                  <w14:solidFill>
                    <w14:schemeClr w14:val="tx1"/>
                  </w14:solidFill>
                </w14:textFill>
              </w:rPr>
              <w:t>项目位于双鸭山市尖山区，位于双鸭山煤炭矿区（西区）集贤-东辉片区与双鸭山片区之间，地理位置优越，周边煤矿较集中，本项目</w:t>
            </w:r>
            <w:r>
              <w:rPr>
                <w:rFonts w:hint="eastAsia"/>
                <w:color w:val="000000" w:themeColor="text1"/>
                <w:kern w:val="0"/>
                <w:sz w:val="24"/>
                <w:highlight w:val="none"/>
                <w14:textFill>
                  <w14:solidFill>
                    <w14:schemeClr w14:val="tx1"/>
                  </w14:solidFill>
                </w14:textFill>
              </w:rPr>
              <w:t>为煤炭洗选项目，属于“鼓励在中小型煤矿集中矿区建设群矿选煤厂，提高原煤洗选比例和洗选效率”范畴。因此，本</w:t>
            </w:r>
            <w:r>
              <w:rPr>
                <w:rFonts w:hint="eastAsia"/>
                <w:color w:val="000000" w:themeColor="text1"/>
                <w:kern w:val="0"/>
                <w:sz w:val="24"/>
                <w:highlight w:val="none"/>
                <w:lang w:val="en-US" w:eastAsia="zh-CN"/>
                <w14:textFill>
                  <w14:solidFill>
                    <w14:schemeClr w14:val="tx1"/>
                  </w14:solidFill>
                </w14:textFill>
              </w:rPr>
              <w:t>项目</w:t>
            </w:r>
            <w:r>
              <w:rPr>
                <w:rFonts w:hint="eastAsia"/>
                <w:color w:val="000000" w:themeColor="text1"/>
                <w:kern w:val="0"/>
                <w:sz w:val="24"/>
                <w:highlight w:val="none"/>
                <w14:textFill>
                  <w14:solidFill>
                    <w14:schemeClr w14:val="tx1"/>
                  </w14:solidFill>
                </w14:textFill>
              </w:rPr>
              <w:t>与煤炭产业政策内容是相符的。</w:t>
            </w:r>
          </w:p>
          <w:p w14:paraId="47863F3A">
            <w:pPr>
              <w:autoSpaceDE w:val="0"/>
              <w:autoSpaceDN w:val="0"/>
              <w:adjustRightInd w:val="0"/>
              <w:snapToGrid w:val="0"/>
              <w:spacing w:line="360" w:lineRule="auto"/>
              <w:ind w:firstLine="480" w:firstLineChars="200"/>
              <w:jc w:val="both"/>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lang w:val="en-US" w:eastAsia="zh-CN"/>
                <w14:textFill>
                  <w14:solidFill>
                    <w14:schemeClr w14:val="tx1"/>
                  </w14:solidFill>
                </w14:textFill>
              </w:rPr>
              <w:t>2、</w:t>
            </w:r>
            <w:r>
              <w:rPr>
                <w:rFonts w:hint="eastAsia"/>
                <w:color w:val="000000" w:themeColor="text1"/>
                <w:kern w:val="0"/>
                <w:sz w:val="24"/>
                <w:highlight w:val="none"/>
                <w14:textFill>
                  <w14:solidFill>
                    <w14:schemeClr w14:val="tx1"/>
                  </w14:solidFill>
                </w14:textFill>
              </w:rPr>
              <w:t>与《黑龙江省大气污染防治条例》符合性分析</w:t>
            </w:r>
          </w:p>
          <w:p w14:paraId="4BC794A8">
            <w:pPr>
              <w:autoSpaceDE w:val="0"/>
              <w:autoSpaceDN w:val="0"/>
              <w:adjustRightInd w:val="0"/>
              <w:snapToGrid w:val="0"/>
              <w:spacing w:line="360" w:lineRule="auto"/>
              <w:ind w:firstLine="480" w:firstLineChars="200"/>
              <w:jc w:val="both"/>
              <w:rPr>
                <w:rFonts w:hint="eastAsia"/>
                <w:color w:val="000000" w:themeColor="text1"/>
                <w:kern w:val="0"/>
                <w:sz w:val="24"/>
                <w:highlight w:val="none"/>
                <w:lang w:val="en-US" w:eastAsia="zh-CN"/>
                <w14:textFill>
                  <w14:solidFill>
                    <w14:schemeClr w14:val="tx1"/>
                  </w14:solidFill>
                </w14:textFill>
              </w:rPr>
            </w:pPr>
            <w:r>
              <w:rPr>
                <w:rFonts w:hint="eastAsia"/>
                <w:color w:val="000000" w:themeColor="text1"/>
                <w:kern w:val="0"/>
                <w:sz w:val="24"/>
                <w:highlight w:val="none"/>
                <w14:textFill>
                  <w14:solidFill>
                    <w14:schemeClr w14:val="tx1"/>
                  </w14:solidFill>
                </w14:textFill>
              </w:rPr>
              <w:t>本项目与《黑龙江省大气污染防治条例》</w:t>
            </w:r>
            <w:r>
              <w:rPr>
                <w:rFonts w:hint="eastAsia"/>
                <w:color w:val="000000" w:themeColor="text1"/>
                <w:kern w:val="0"/>
                <w:sz w:val="24"/>
                <w:highlight w:val="none"/>
                <w:lang w:val="en-US" w:eastAsia="zh-CN"/>
                <w14:textFill>
                  <w14:solidFill>
                    <w14:schemeClr w14:val="tx1"/>
                  </w14:solidFill>
                </w14:textFill>
              </w:rPr>
              <w:t>符合性见下表</w:t>
            </w:r>
            <w:r>
              <w:rPr>
                <w:rFonts w:hint="eastAsia"/>
                <w:color w:val="000000" w:themeColor="text1"/>
                <w:kern w:val="0"/>
                <w:sz w:val="24"/>
                <w:highlight w:val="none"/>
                <w:lang w:eastAsia="zh-CN"/>
                <w14:textFill>
                  <w14:solidFill>
                    <w14:schemeClr w14:val="tx1"/>
                  </w14:solidFill>
                </w14:textFill>
              </w:rPr>
              <w:t>。</w:t>
            </w:r>
          </w:p>
          <w:p w14:paraId="50300152">
            <w:pPr>
              <w:autoSpaceDE w:val="0"/>
              <w:autoSpaceDN w:val="0"/>
              <w:adjustRightInd w:val="0"/>
              <w:snapToGrid w:val="0"/>
              <w:spacing w:line="360" w:lineRule="auto"/>
              <w:ind w:left="0" w:leftChars="0" w:right="0" w:rightChars="0" w:firstLine="0" w:firstLineChars="0"/>
              <w:jc w:val="center"/>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14:textFill>
                  <w14:solidFill>
                    <w14:schemeClr w14:val="tx1"/>
                  </w14:solidFill>
                </w14:textFill>
              </w:rPr>
              <w:t>表1-</w:t>
            </w:r>
            <w:r>
              <w:rPr>
                <w:rFonts w:hint="eastAsia"/>
                <w:color w:val="000000" w:themeColor="text1"/>
                <w:kern w:val="0"/>
                <w:sz w:val="24"/>
                <w:highlight w:val="none"/>
                <w:lang w:val="en-US" w:eastAsia="zh-CN"/>
                <w14:textFill>
                  <w14:solidFill>
                    <w14:schemeClr w14:val="tx1"/>
                  </w14:solidFill>
                </w14:textFill>
              </w:rPr>
              <w:t>2</w:t>
            </w:r>
            <w:r>
              <w:rPr>
                <w:rFonts w:hint="eastAsia"/>
                <w:color w:val="000000" w:themeColor="text1"/>
                <w:kern w:val="0"/>
                <w:sz w:val="24"/>
                <w:highlight w:val="none"/>
                <w14:textFill>
                  <w14:solidFill>
                    <w14:schemeClr w14:val="tx1"/>
                  </w14:solidFill>
                </w14:textFill>
              </w:rPr>
              <w:t xml:space="preserve"> 本项目与大气污染防治计划符合性分析</w:t>
            </w:r>
          </w:p>
          <w:tbl>
            <w:tblPr>
              <w:tblStyle w:val="29"/>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6"/>
              <w:gridCol w:w="3387"/>
              <w:gridCol w:w="1903"/>
              <w:gridCol w:w="691"/>
            </w:tblGrid>
            <w:tr w14:paraId="3562EF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7" w:hRule="atLeast"/>
                <w:jc w:val="center"/>
              </w:trPr>
              <w:tc>
                <w:tcPr>
                  <w:tcW w:w="866" w:type="dxa"/>
                  <w:tcBorders>
                    <w:top w:val="single" w:color="auto" w:sz="12" w:space="0"/>
                  </w:tcBorders>
                  <w:vAlign w:val="center"/>
                </w:tcPr>
                <w:p w14:paraId="6C9130A4">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文号</w:t>
                  </w:r>
                </w:p>
              </w:tc>
              <w:tc>
                <w:tcPr>
                  <w:tcW w:w="3387" w:type="dxa"/>
                  <w:tcBorders>
                    <w:top w:val="single" w:color="auto" w:sz="12" w:space="0"/>
                  </w:tcBorders>
                  <w:vAlign w:val="center"/>
                </w:tcPr>
                <w:p w14:paraId="0564E295">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文件要求</w:t>
                  </w:r>
                </w:p>
              </w:tc>
              <w:tc>
                <w:tcPr>
                  <w:tcW w:w="1903" w:type="dxa"/>
                  <w:tcBorders>
                    <w:top w:val="single" w:color="auto" w:sz="12" w:space="0"/>
                  </w:tcBorders>
                  <w:vAlign w:val="center"/>
                </w:tcPr>
                <w:p w14:paraId="03AE7ED1">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本项目情况</w:t>
                  </w:r>
                </w:p>
              </w:tc>
              <w:tc>
                <w:tcPr>
                  <w:tcW w:w="691" w:type="dxa"/>
                  <w:tcBorders>
                    <w:top w:val="single" w:color="auto" w:sz="12" w:space="0"/>
                  </w:tcBorders>
                  <w:vAlign w:val="center"/>
                </w:tcPr>
                <w:p w14:paraId="14C625A8">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符合性</w:t>
                  </w:r>
                </w:p>
              </w:tc>
            </w:tr>
            <w:tr w14:paraId="33F332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8" w:hRule="atLeast"/>
                <w:jc w:val="center"/>
              </w:trPr>
              <w:tc>
                <w:tcPr>
                  <w:tcW w:w="866" w:type="dxa"/>
                  <w:vMerge w:val="restart"/>
                  <w:vAlign w:val="center"/>
                </w:tcPr>
                <w:p w14:paraId="06B29E26">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《黑龙</w:t>
                  </w:r>
                </w:p>
                <w:p w14:paraId="41758409">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江省大</w:t>
                  </w:r>
                </w:p>
                <w:p w14:paraId="6A19EF3D">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气污染</w:t>
                  </w:r>
                </w:p>
                <w:p w14:paraId="3F98E7A8">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防治条</w:t>
                  </w:r>
                </w:p>
                <w:p w14:paraId="6571F61F">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例》</w:t>
                  </w:r>
                </w:p>
              </w:tc>
              <w:tc>
                <w:tcPr>
                  <w:tcW w:w="3387" w:type="dxa"/>
                  <w:vAlign w:val="center"/>
                </w:tcPr>
                <w:p w14:paraId="3AD5611A">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第十条企业事业单位和其他生产经营者建设对大气环境有影响的项目，应当依法进行环境影响评价、公开环境影响评价文件；向大气排放污染物的，应当符合大气污染物排放标准，遵守重点大气污染物排放</w:t>
                  </w:r>
                  <w:r>
                    <w:rPr>
                      <w:rFonts w:hint="eastAsia"/>
                      <w:color w:val="000000" w:themeColor="text1"/>
                      <w:kern w:val="0"/>
                      <w:sz w:val="21"/>
                      <w:szCs w:val="21"/>
                      <w:highlight w:val="none"/>
                      <w:lang w:eastAsia="zh-CN"/>
                      <w14:textFill>
                        <w14:solidFill>
                          <w14:schemeClr w14:val="tx1"/>
                        </w14:solidFill>
                      </w14:textFill>
                    </w:rPr>
                    <w:t>总量</w:t>
                  </w:r>
                  <w:r>
                    <w:rPr>
                      <w:rFonts w:hint="eastAsia"/>
                      <w:color w:val="000000" w:themeColor="text1"/>
                      <w:kern w:val="0"/>
                      <w:sz w:val="21"/>
                      <w:szCs w:val="21"/>
                      <w:highlight w:val="none"/>
                      <w14:textFill>
                        <w14:solidFill>
                          <w14:schemeClr w14:val="tx1"/>
                        </w14:solidFill>
                      </w14:textFill>
                    </w:rPr>
                    <w:t>控制要求。</w:t>
                  </w:r>
                </w:p>
              </w:tc>
              <w:tc>
                <w:tcPr>
                  <w:tcW w:w="1903" w:type="dxa"/>
                  <w:vAlign w:val="center"/>
                </w:tcPr>
                <w:p w14:paraId="70406004">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本项目依法进行环境影响评价、公开环境影响评价文件，项目产生的污染物经处理后排放，能够满足大气污染物排放标准。</w:t>
                  </w:r>
                </w:p>
              </w:tc>
              <w:tc>
                <w:tcPr>
                  <w:tcW w:w="691" w:type="dxa"/>
                  <w:vAlign w:val="center"/>
                </w:tcPr>
                <w:p w14:paraId="6C6B8A5C">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符合</w:t>
                  </w:r>
                </w:p>
              </w:tc>
            </w:tr>
            <w:tr w14:paraId="5DB547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89" w:hRule="atLeast"/>
                <w:jc w:val="center"/>
              </w:trPr>
              <w:tc>
                <w:tcPr>
                  <w:tcW w:w="866" w:type="dxa"/>
                  <w:vMerge w:val="continue"/>
                  <w:vAlign w:val="center"/>
                </w:tcPr>
                <w:p w14:paraId="6CE0A759">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p>
              </w:tc>
              <w:tc>
                <w:tcPr>
                  <w:tcW w:w="3387" w:type="dxa"/>
                  <w:vAlign w:val="center"/>
                </w:tcPr>
                <w:p w14:paraId="42A944CD">
                  <w:pPr>
                    <w:autoSpaceDE w:val="0"/>
                    <w:autoSpaceDN w:val="0"/>
                    <w:adjustRightInd w:val="0"/>
                    <w:snapToGrid w:val="0"/>
                    <w:spacing w:line="240" w:lineRule="auto"/>
                    <w:ind w:left="0" w:leftChars="0" w:right="0" w:rightChars="0" w:firstLine="0" w:firstLineChars="0"/>
                    <w:jc w:val="both"/>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第十一条向大气排放污染物的企事业单位和其他生产经营者，应当配套建设大气污染防治设施。配套建设的大气污染防治设施，应当与主体工程同时设计、同时施工、同时投产使用，不得擅自拆除或者闲置。</w:t>
                  </w:r>
                </w:p>
              </w:tc>
              <w:tc>
                <w:tcPr>
                  <w:tcW w:w="1903" w:type="dxa"/>
                  <w:vAlign w:val="center"/>
                </w:tcPr>
                <w:p w14:paraId="6F176EB2">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yellow"/>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本项依托现有全封闭结构主厂房，车间内大部分无组织粉尘重力沉降至车间地面，破碎、筛分等各产尘点进行喷淋降尘，车间内定期洒水降尘，定期冲洗车间地面；依托现有全封闭原煤仓、精煤仓、矸石仓，定期洒水降尘</w:t>
                  </w:r>
                  <w:r>
                    <w:rPr>
                      <w:rFonts w:hint="eastAsia"/>
                      <w:color w:val="000000" w:themeColor="text1"/>
                      <w:kern w:val="0"/>
                      <w:sz w:val="21"/>
                      <w:szCs w:val="21"/>
                      <w:highlight w:val="none"/>
                      <w14:textFill>
                        <w14:solidFill>
                          <w14:schemeClr w14:val="tx1"/>
                        </w14:solidFill>
                      </w14:textFill>
                    </w:rPr>
                    <w:t>。</w:t>
                  </w:r>
                </w:p>
              </w:tc>
              <w:tc>
                <w:tcPr>
                  <w:tcW w:w="691" w:type="dxa"/>
                  <w:vAlign w:val="center"/>
                </w:tcPr>
                <w:p w14:paraId="06F51F26">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符合</w:t>
                  </w:r>
                </w:p>
              </w:tc>
            </w:tr>
            <w:tr w14:paraId="71306C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66" w:type="dxa"/>
                  <w:vMerge w:val="continue"/>
                  <w:tcBorders>
                    <w:bottom w:val="single" w:color="auto" w:sz="12" w:space="0"/>
                  </w:tcBorders>
                  <w:vAlign w:val="center"/>
                </w:tcPr>
                <w:p w14:paraId="3DD0CDCD">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p>
              </w:tc>
              <w:tc>
                <w:tcPr>
                  <w:tcW w:w="3387" w:type="dxa"/>
                  <w:tcBorders>
                    <w:bottom w:val="single" w:color="auto" w:sz="12" w:space="0"/>
                  </w:tcBorders>
                  <w:vAlign w:val="center"/>
                </w:tcPr>
                <w:p w14:paraId="5F1F23DF">
                  <w:pPr>
                    <w:autoSpaceDE w:val="0"/>
                    <w:autoSpaceDN w:val="0"/>
                    <w:adjustRightInd w:val="0"/>
                    <w:snapToGrid w:val="0"/>
                    <w:spacing w:line="240" w:lineRule="auto"/>
                    <w:ind w:left="0" w:leftChars="0" w:right="0" w:rightChars="0" w:firstLine="0" w:firstLineChars="0"/>
                    <w:jc w:val="both"/>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第五十六条 在道路、广场、停车场和其他公共场所进行清扫保洁作业的单位和个人，应当执行清扫保洁作业有关标准，防治扬尘污染。市容环境卫生行政主管部门应当及时巡查，对清扫不达标的，按照有关规定予以处理。运输煤炭、垃圾、渣土、砂石、土方、灰浆等散装、流体物料的车辆，应当采取密闭或者其他措施防止物料遗撒、泄漏，并按照规定的路线和时间行驶。</w:t>
                  </w:r>
                </w:p>
              </w:tc>
              <w:tc>
                <w:tcPr>
                  <w:tcW w:w="1903" w:type="dxa"/>
                  <w:tcBorders>
                    <w:bottom w:val="single" w:color="auto" w:sz="12" w:space="0"/>
                  </w:tcBorders>
                  <w:vAlign w:val="center"/>
                </w:tcPr>
                <w:p w14:paraId="5CA70732">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yellow"/>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本项目</w:t>
                  </w:r>
                  <w:r>
                    <w:rPr>
                      <w:rFonts w:hint="eastAsia"/>
                      <w:color w:val="000000" w:themeColor="text1"/>
                      <w:kern w:val="0"/>
                      <w:sz w:val="21"/>
                      <w:szCs w:val="21"/>
                      <w:highlight w:val="none"/>
                      <w:lang w:val="en-US" w:eastAsia="zh-CN"/>
                      <w14:textFill>
                        <w14:solidFill>
                          <w14:schemeClr w14:val="tx1"/>
                        </w14:solidFill>
                      </w14:textFill>
                    </w:rPr>
                    <w:t>物料在运输过程中应采取减速行驶且运输车辆运输时车身加盖苫布，防止物料洒落；厂区定期清扫，定期洒水抑尘，保持厂区地面清洁</w:t>
                  </w:r>
                  <w:r>
                    <w:rPr>
                      <w:rFonts w:hint="eastAsia"/>
                      <w:color w:val="000000" w:themeColor="text1"/>
                      <w:kern w:val="0"/>
                      <w:sz w:val="21"/>
                      <w:szCs w:val="21"/>
                      <w:highlight w:val="none"/>
                      <w14:textFill>
                        <w14:solidFill>
                          <w14:schemeClr w14:val="tx1"/>
                        </w14:solidFill>
                      </w14:textFill>
                    </w:rPr>
                    <w:t>。</w:t>
                  </w:r>
                </w:p>
              </w:tc>
              <w:tc>
                <w:tcPr>
                  <w:tcW w:w="691" w:type="dxa"/>
                  <w:tcBorders>
                    <w:bottom w:val="single" w:color="auto" w:sz="12" w:space="0"/>
                  </w:tcBorders>
                  <w:vAlign w:val="center"/>
                </w:tcPr>
                <w:p w14:paraId="740D4EE6">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符合</w:t>
                  </w:r>
                </w:p>
              </w:tc>
            </w:tr>
          </w:tbl>
          <w:p w14:paraId="776F7DF0">
            <w:pPr>
              <w:autoSpaceDE w:val="0"/>
              <w:autoSpaceDN w:val="0"/>
              <w:adjustRightInd w:val="0"/>
              <w:snapToGrid w:val="0"/>
              <w:spacing w:line="360" w:lineRule="auto"/>
              <w:ind w:firstLine="480" w:firstLineChars="200"/>
              <w:jc w:val="both"/>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lang w:val="en-US" w:eastAsia="zh-CN"/>
                <w14:textFill>
                  <w14:solidFill>
                    <w14:schemeClr w14:val="tx1"/>
                  </w14:solidFill>
                </w14:textFill>
              </w:rPr>
              <w:t>3、</w:t>
            </w:r>
            <w:r>
              <w:rPr>
                <w:rFonts w:hint="eastAsia"/>
                <w:color w:val="000000" w:themeColor="text1"/>
                <w:kern w:val="0"/>
                <w:sz w:val="24"/>
                <w:highlight w:val="none"/>
                <w14:textFill>
                  <w14:solidFill>
                    <w14:schemeClr w14:val="tx1"/>
                  </w14:solidFill>
                </w14:textFill>
              </w:rPr>
              <w:t>与《黑龙江省水污染防治工作方案》（黑政发〔2016〕3号）符合性分析</w:t>
            </w:r>
          </w:p>
          <w:p w14:paraId="75B37F67">
            <w:pPr>
              <w:autoSpaceDE w:val="0"/>
              <w:autoSpaceDN w:val="0"/>
              <w:adjustRightInd w:val="0"/>
              <w:snapToGrid w:val="0"/>
              <w:spacing w:line="360" w:lineRule="auto"/>
              <w:ind w:firstLine="480" w:firstLineChars="200"/>
              <w:jc w:val="both"/>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14:textFill>
                  <w14:solidFill>
                    <w14:schemeClr w14:val="tx1"/>
                  </w14:solidFill>
                </w14:textFill>
              </w:rPr>
              <w:t>本项目与《黑龙江省水污染防治工作方案》（黑政发〔2016〕3号）的符合性分析见下表。</w:t>
            </w:r>
          </w:p>
          <w:p w14:paraId="5F29C69A">
            <w:pPr>
              <w:autoSpaceDE w:val="0"/>
              <w:autoSpaceDN w:val="0"/>
              <w:adjustRightInd w:val="0"/>
              <w:snapToGrid w:val="0"/>
              <w:spacing w:line="360" w:lineRule="auto"/>
              <w:ind w:left="0" w:leftChars="0" w:right="0" w:rightChars="0" w:firstLine="0" w:firstLineChars="0"/>
              <w:jc w:val="center"/>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14:textFill>
                  <w14:solidFill>
                    <w14:schemeClr w14:val="tx1"/>
                  </w14:solidFill>
                </w14:textFill>
              </w:rPr>
              <w:t>表1-</w:t>
            </w:r>
            <w:r>
              <w:rPr>
                <w:rFonts w:hint="eastAsia"/>
                <w:color w:val="000000" w:themeColor="text1"/>
                <w:kern w:val="0"/>
                <w:sz w:val="24"/>
                <w:highlight w:val="none"/>
                <w:lang w:val="en-US" w:eastAsia="zh-CN"/>
                <w14:textFill>
                  <w14:solidFill>
                    <w14:schemeClr w14:val="tx1"/>
                  </w14:solidFill>
                </w14:textFill>
              </w:rPr>
              <w:t>3</w:t>
            </w:r>
            <w:r>
              <w:rPr>
                <w:rFonts w:hint="eastAsia"/>
                <w:color w:val="000000" w:themeColor="text1"/>
                <w:kern w:val="0"/>
                <w:sz w:val="24"/>
                <w:highlight w:val="none"/>
                <w14:textFill>
                  <w14:solidFill>
                    <w14:schemeClr w14:val="tx1"/>
                  </w14:solidFill>
                </w14:textFill>
              </w:rPr>
              <w:t xml:space="preserve"> 本项目与《黑龙江省水污染防治工作方案》（黑政发〔2016〕3号）符合性分析</w:t>
            </w:r>
          </w:p>
          <w:tbl>
            <w:tblPr>
              <w:tblStyle w:val="29"/>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40"/>
              <w:gridCol w:w="2800"/>
              <w:gridCol w:w="1745"/>
              <w:gridCol w:w="880"/>
            </w:tblGrid>
            <w:tr w14:paraId="332AD4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40" w:type="dxa"/>
                  <w:tcBorders>
                    <w:top w:val="single" w:color="auto" w:sz="12" w:space="0"/>
                  </w:tcBorders>
                  <w:vAlign w:val="center"/>
                </w:tcPr>
                <w:p w14:paraId="402574DE">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文号</w:t>
                  </w:r>
                </w:p>
              </w:tc>
              <w:tc>
                <w:tcPr>
                  <w:tcW w:w="2800" w:type="dxa"/>
                  <w:tcBorders>
                    <w:top w:val="single" w:color="auto" w:sz="12" w:space="0"/>
                  </w:tcBorders>
                  <w:vAlign w:val="center"/>
                </w:tcPr>
                <w:p w14:paraId="61345697">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文件要求</w:t>
                  </w:r>
                </w:p>
              </w:tc>
              <w:tc>
                <w:tcPr>
                  <w:tcW w:w="1745" w:type="dxa"/>
                  <w:tcBorders>
                    <w:top w:val="single" w:color="auto" w:sz="12" w:space="0"/>
                  </w:tcBorders>
                  <w:vAlign w:val="center"/>
                </w:tcPr>
                <w:p w14:paraId="169893C4">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本项目建设情况</w:t>
                  </w:r>
                </w:p>
              </w:tc>
              <w:tc>
                <w:tcPr>
                  <w:tcW w:w="880" w:type="dxa"/>
                  <w:tcBorders>
                    <w:top w:val="single" w:color="auto" w:sz="12" w:space="0"/>
                  </w:tcBorders>
                  <w:vAlign w:val="center"/>
                </w:tcPr>
                <w:p w14:paraId="2083598F">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符合性</w:t>
                  </w:r>
                </w:p>
              </w:tc>
            </w:tr>
            <w:tr w14:paraId="544F44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40" w:type="dxa"/>
                  <w:tcBorders>
                    <w:bottom w:val="single" w:color="auto" w:sz="12" w:space="0"/>
                  </w:tcBorders>
                  <w:vAlign w:val="center"/>
                </w:tcPr>
                <w:p w14:paraId="6DF9C201">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《黑龙江省水污染防治工作方案》（黑政发〔2016〕3号）</w:t>
                  </w:r>
                </w:p>
              </w:tc>
              <w:tc>
                <w:tcPr>
                  <w:tcW w:w="2800" w:type="dxa"/>
                  <w:tcBorders>
                    <w:bottom w:val="single" w:color="auto" w:sz="12" w:space="0"/>
                  </w:tcBorders>
                  <w:vAlign w:val="center"/>
                </w:tcPr>
                <w:p w14:paraId="48F2D8B6">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加强工业水循环利用。以龙煤集团为重点，大力推进矿井水综合利用，满足周边农业、高耗水工业和缺水地区居民生活用水需求。加强洗煤废水循环利用。到2020年，国有重点煤矿矿井水综合利用率达到75%。鼓励高耗水企业废水深度处理回用，到2020年，全省工业用水重复利用率不低于95%。</w:t>
                  </w:r>
                </w:p>
              </w:tc>
              <w:tc>
                <w:tcPr>
                  <w:tcW w:w="1745" w:type="dxa"/>
                  <w:tcBorders>
                    <w:bottom w:val="single" w:color="auto" w:sz="12" w:space="0"/>
                  </w:tcBorders>
                  <w:vAlign w:val="center"/>
                </w:tcPr>
                <w:p w14:paraId="6C850D6A">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本项目为煤炭洗选项目，项目洗煤废水循环利用，满足一级闭路循环要求，洗煤水重复利用率</w:t>
                  </w:r>
                  <w:r>
                    <w:rPr>
                      <w:rFonts w:hint="eastAsia"/>
                      <w:color w:val="000000" w:themeColor="text1"/>
                      <w:kern w:val="0"/>
                      <w:sz w:val="21"/>
                      <w:szCs w:val="21"/>
                      <w:highlight w:val="none"/>
                      <w:lang w:eastAsia="zh-CN"/>
                      <w14:textFill>
                        <w14:solidFill>
                          <w14:schemeClr w14:val="tx1"/>
                        </w14:solidFill>
                      </w14:textFill>
                    </w:rPr>
                    <w:t>可以达到</w:t>
                  </w:r>
                  <w:r>
                    <w:rPr>
                      <w:rFonts w:hint="eastAsia"/>
                      <w:color w:val="000000" w:themeColor="text1"/>
                      <w:kern w:val="0"/>
                      <w:sz w:val="21"/>
                      <w:szCs w:val="21"/>
                      <w:highlight w:val="none"/>
                      <w:lang w:val="en-US" w:eastAsia="zh-CN"/>
                      <w14:textFill>
                        <w14:solidFill>
                          <w14:schemeClr w14:val="tx1"/>
                        </w14:solidFill>
                      </w14:textFill>
                    </w:rPr>
                    <w:t>100%</w:t>
                  </w:r>
                  <w:r>
                    <w:rPr>
                      <w:rFonts w:hint="eastAsia"/>
                      <w:color w:val="000000" w:themeColor="text1"/>
                      <w:kern w:val="0"/>
                      <w:sz w:val="21"/>
                      <w:szCs w:val="21"/>
                      <w:highlight w:val="none"/>
                      <w14:textFill>
                        <w14:solidFill>
                          <w14:schemeClr w14:val="tx1"/>
                        </w14:solidFill>
                      </w14:textFill>
                    </w:rPr>
                    <w:t>。</w:t>
                  </w:r>
                </w:p>
              </w:tc>
              <w:tc>
                <w:tcPr>
                  <w:tcW w:w="880" w:type="dxa"/>
                  <w:tcBorders>
                    <w:bottom w:val="single" w:color="auto" w:sz="12" w:space="0"/>
                  </w:tcBorders>
                  <w:vAlign w:val="center"/>
                </w:tcPr>
                <w:p w14:paraId="56666EA2">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符合</w:t>
                  </w:r>
                </w:p>
              </w:tc>
            </w:tr>
          </w:tbl>
          <w:p w14:paraId="7902812D">
            <w:pPr>
              <w:autoSpaceDE w:val="0"/>
              <w:autoSpaceDN w:val="0"/>
              <w:adjustRightInd w:val="0"/>
              <w:snapToGrid w:val="0"/>
              <w:spacing w:line="360" w:lineRule="auto"/>
              <w:ind w:firstLine="480" w:firstLineChars="200"/>
              <w:jc w:val="both"/>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lang w:val="en-US" w:eastAsia="zh-CN"/>
                <w14:textFill>
                  <w14:solidFill>
                    <w14:schemeClr w14:val="tx1"/>
                  </w14:solidFill>
                </w14:textFill>
              </w:rPr>
              <w:t>4、</w:t>
            </w:r>
            <w:r>
              <w:rPr>
                <w:rFonts w:hint="eastAsia"/>
                <w:color w:val="000000" w:themeColor="text1"/>
                <w:kern w:val="0"/>
                <w:sz w:val="24"/>
                <w:highlight w:val="none"/>
                <w14:textFill>
                  <w14:solidFill>
                    <w14:schemeClr w14:val="tx1"/>
                  </w14:solidFill>
                </w14:textFill>
              </w:rPr>
              <w:t>与《煤炭采选建设项目环境影响评价文件审批原则（试行）》的符合性分析</w:t>
            </w:r>
          </w:p>
          <w:p w14:paraId="2706D4DE">
            <w:pPr>
              <w:autoSpaceDE w:val="0"/>
              <w:autoSpaceDN w:val="0"/>
              <w:adjustRightInd w:val="0"/>
              <w:snapToGrid w:val="0"/>
              <w:spacing w:line="360" w:lineRule="auto"/>
              <w:ind w:firstLine="480" w:firstLineChars="200"/>
              <w:jc w:val="both"/>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14:textFill>
                  <w14:solidFill>
                    <w14:schemeClr w14:val="tx1"/>
                  </w14:solidFill>
                </w14:textFill>
              </w:rPr>
              <w:t>根据《煤炭采选建设项目环境影响评价文件审批原则（试行）》的要求，本项目的符合性分析见下表。</w:t>
            </w:r>
          </w:p>
          <w:p w14:paraId="0FC88877">
            <w:pPr>
              <w:autoSpaceDE w:val="0"/>
              <w:autoSpaceDN w:val="0"/>
              <w:adjustRightInd w:val="0"/>
              <w:snapToGrid w:val="0"/>
              <w:spacing w:line="360" w:lineRule="auto"/>
              <w:ind w:left="0" w:leftChars="0" w:right="0" w:rightChars="0" w:firstLine="0" w:firstLineChars="0"/>
              <w:jc w:val="center"/>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14:textFill>
                  <w14:solidFill>
                    <w14:schemeClr w14:val="tx1"/>
                  </w14:solidFill>
                </w14:textFill>
              </w:rPr>
              <w:t>表1-</w:t>
            </w:r>
            <w:r>
              <w:rPr>
                <w:rFonts w:hint="eastAsia"/>
                <w:color w:val="000000" w:themeColor="text1"/>
                <w:kern w:val="0"/>
                <w:sz w:val="24"/>
                <w:highlight w:val="none"/>
                <w:lang w:val="en-US" w:eastAsia="zh-CN"/>
                <w14:textFill>
                  <w14:solidFill>
                    <w14:schemeClr w14:val="tx1"/>
                  </w14:solidFill>
                </w14:textFill>
              </w:rPr>
              <w:t>4</w:t>
            </w:r>
            <w:r>
              <w:rPr>
                <w:rFonts w:hint="eastAsia"/>
                <w:color w:val="000000" w:themeColor="text1"/>
                <w:kern w:val="0"/>
                <w:sz w:val="24"/>
                <w:highlight w:val="none"/>
                <w14:textFill>
                  <w14:solidFill>
                    <w14:schemeClr w14:val="tx1"/>
                  </w14:solidFill>
                </w14:textFill>
              </w:rPr>
              <w:t xml:space="preserve"> 本项目与《煤炭采选建设项目环境影响评价文件审批原则（试行）》符合性分析</w:t>
            </w:r>
          </w:p>
          <w:tbl>
            <w:tblPr>
              <w:tblStyle w:val="29"/>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0"/>
              <w:gridCol w:w="2370"/>
              <w:gridCol w:w="2925"/>
              <w:gridCol w:w="700"/>
            </w:tblGrid>
            <w:tr w14:paraId="0D9547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tcBorders>
                    <w:top w:val="single" w:color="auto" w:sz="12" w:space="0"/>
                  </w:tcBorders>
                  <w:vAlign w:val="center"/>
                </w:tcPr>
                <w:p w14:paraId="5E8ABE52">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文号</w:t>
                  </w:r>
                </w:p>
              </w:tc>
              <w:tc>
                <w:tcPr>
                  <w:tcW w:w="2370" w:type="dxa"/>
                  <w:tcBorders>
                    <w:top w:val="single" w:color="auto" w:sz="12" w:space="0"/>
                  </w:tcBorders>
                  <w:vAlign w:val="center"/>
                </w:tcPr>
                <w:p w14:paraId="76F24975">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文件要求</w:t>
                  </w:r>
                </w:p>
              </w:tc>
              <w:tc>
                <w:tcPr>
                  <w:tcW w:w="2925" w:type="dxa"/>
                  <w:tcBorders>
                    <w:top w:val="single" w:color="auto" w:sz="12" w:space="0"/>
                  </w:tcBorders>
                  <w:vAlign w:val="center"/>
                </w:tcPr>
                <w:p w14:paraId="1733111E">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本项目建设情况</w:t>
                  </w:r>
                </w:p>
              </w:tc>
              <w:tc>
                <w:tcPr>
                  <w:tcW w:w="700" w:type="dxa"/>
                  <w:tcBorders>
                    <w:top w:val="single" w:color="auto" w:sz="12" w:space="0"/>
                  </w:tcBorders>
                  <w:vAlign w:val="center"/>
                </w:tcPr>
                <w:p w14:paraId="5FF2EE2C">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符合性</w:t>
                  </w:r>
                </w:p>
              </w:tc>
            </w:tr>
            <w:tr w14:paraId="591AF7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restart"/>
                  <w:vAlign w:val="center"/>
                </w:tcPr>
                <w:p w14:paraId="421C2642">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《煤炭采选建设项目环境影响评价文件审批原则（试行）》</w:t>
                  </w:r>
                </w:p>
              </w:tc>
              <w:tc>
                <w:tcPr>
                  <w:tcW w:w="2370" w:type="dxa"/>
                  <w:vAlign w:val="center"/>
                </w:tcPr>
                <w:p w14:paraId="771DB1DB">
                  <w:pPr>
                    <w:autoSpaceDE w:val="0"/>
                    <w:autoSpaceDN w:val="0"/>
                    <w:adjustRightInd w:val="0"/>
                    <w:snapToGrid w:val="0"/>
                    <w:spacing w:line="240" w:lineRule="auto"/>
                    <w:ind w:left="0" w:leftChars="0" w:right="0" w:rightChars="0" w:firstLine="0" w:firstLineChars="0"/>
                    <w:jc w:val="both"/>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第三条 项目符合所在煤炭矿区总体规划、规划环评及其审查意见的相关要求，符合项目所在区域生态保护红线要求。</w:t>
                  </w:r>
                </w:p>
                <w:p w14:paraId="707C629A">
                  <w:pPr>
                    <w:autoSpaceDE w:val="0"/>
                    <w:autoSpaceDN w:val="0"/>
                    <w:adjustRightInd w:val="0"/>
                    <w:snapToGrid w:val="0"/>
                    <w:spacing w:line="240" w:lineRule="auto"/>
                    <w:ind w:left="0" w:leftChars="0" w:right="0" w:rightChars="0" w:firstLine="0" w:firstLineChars="0"/>
                    <w:jc w:val="both"/>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井（矿）田开采范围、各类占地范围不得涉及自然保护区、风景名胜区、饮用水水源保护区等法律法规明令禁止采矿和占用的区域。</w:t>
                  </w:r>
                </w:p>
              </w:tc>
              <w:tc>
                <w:tcPr>
                  <w:tcW w:w="2925" w:type="dxa"/>
                  <w:vAlign w:val="center"/>
                </w:tcPr>
                <w:p w14:paraId="20F8548F">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lang w:eastAsia="zh-CN"/>
                      <w14:textFill>
                        <w14:solidFill>
                          <w14:schemeClr w14:val="tx1"/>
                        </w14:solidFill>
                      </w14:textFill>
                    </w:rPr>
                  </w:pPr>
                  <w:r>
                    <w:rPr>
                      <w:rFonts w:hint="eastAsia"/>
                      <w:color w:val="FF0000"/>
                      <w:kern w:val="0"/>
                      <w:sz w:val="21"/>
                      <w:szCs w:val="21"/>
                      <w:highlight w:val="none"/>
                      <w:lang w:eastAsia="zh-CN"/>
                    </w:rPr>
                    <w:t>本项目</w:t>
                  </w:r>
                  <w:r>
                    <w:rPr>
                      <w:rFonts w:hint="eastAsia"/>
                      <w:color w:val="FF0000"/>
                      <w:kern w:val="0"/>
                      <w:sz w:val="21"/>
                      <w:szCs w:val="21"/>
                      <w:highlight w:val="none"/>
                      <w:lang w:val="en-US" w:eastAsia="zh-CN"/>
                    </w:rPr>
                    <w:t>位于黑龙江省双鸭山市尖山区</w:t>
                  </w:r>
                  <w:r>
                    <w:rPr>
                      <w:rFonts w:hint="eastAsia"/>
                      <w:color w:val="FF0000"/>
                      <w:kern w:val="0"/>
                      <w:sz w:val="21"/>
                      <w:szCs w:val="21"/>
                      <w:highlight w:val="none"/>
                      <w:lang w:eastAsia="zh-CN"/>
                    </w:rPr>
                    <w:t>，</w:t>
                  </w:r>
                  <w:r>
                    <w:rPr>
                      <w:rFonts w:hint="eastAsia"/>
                      <w:color w:val="FF0000"/>
                      <w:kern w:val="0"/>
                      <w:sz w:val="21"/>
                      <w:szCs w:val="21"/>
                      <w:highlight w:val="none"/>
                      <w:lang w:val="en-US" w:eastAsia="zh-CN"/>
                    </w:rPr>
                    <w:t>本项目不属于《黑龙江省双鸭山煤炭矿区（西区）修编总体规划》中包含的项目，</w:t>
                  </w:r>
                  <w:r>
                    <w:rPr>
                      <w:rFonts w:hint="eastAsia"/>
                      <w:color w:val="000000" w:themeColor="text1"/>
                      <w:kern w:val="0"/>
                      <w:sz w:val="21"/>
                      <w:szCs w:val="21"/>
                      <w:highlight w:val="none"/>
                      <w:lang w:val="en-US" w:eastAsia="zh-CN"/>
                      <w14:textFill>
                        <w14:solidFill>
                          <w14:schemeClr w14:val="tx1"/>
                        </w14:solidFill>
                      </w14:textFill>
                    </w:rPr>
                    <w:t>本项目属于改扩建</w:t>
                  </w:r>
                  <w:r>
                    <w:rPr>
                      <w:rFonts w:hint="eastAsia"/>
                      <w:color w:val="000000" w:themeColor="text1"/>
                      <w:kern w:val="0"/>
                      <w:sz w:val="21"/>
                      <w:szCs w:val="21"/>
                      <w:highlight w:val="none"/>
                      <w:lang w:eastAsia="zh-CN"/>
                      <w14:textFill>
                        <w14:solidFill>
                          <w14:schemeClr w14:val="tx1"/>
                        </w14:solidFill>
                      </w14:textFill>
                    </w:rPr>
                    <w:t>项目，</w:t>
                  </w:r>
                  <w:r>
                    <w:rPr>
                      <w:rFonts w:hint="eastAsia"/>
                      <w:color w:val="000000" w:themeColor="text1"/>
                      <w:kern w:val="0"/>
                      <w:sz w:val="21"/>
                      <w:szCs w:val="21"/>
                      <w:highlight w:val="none"/>
                      <w:lang w:val="en-US" w:eastAsia="zh-CN"/>
                      <w14:textFill>
                        <w14:solidFill>
                          <w14:schemeClr w14:val="tx1"/>
                        </w14:solidFill>
                      </w14:textFill>
                    </w:rPr>
                    <w:t>不新增</w:t>
                  </w:r>
                  <w:r>
                    <w:rPr>
                      <w:rFonts w:hint="eastAsia"/>
                      <w:color w:val="000000" w:themeColor="text1"/>
                      <w:kern w:val="0"/>
                      <w:sz w:val="21"/>
                      <w:szCs w:val="21"/>
                      <w:highlight w:val="none"/>
                      <w:lang w:eastAsia="zh-CN"/>
                      <w14:textFill>
                        <w14:solidFill>
                          <w14:schemeClr w14:val="tx1"/>
                        </w14:solidFill>
                      </w14:textFill>
                    </w:rPr>
                    <w:t>用地</w:t>
                  </w:r>
                  <w:r>
                    <w:rPr>
                      <w:rFonts w:hint="eastAsia"/>
                      <w:color w:val="000000" w:themeColor="text1"/>
                      <w:kern w:val="0"/>
                      <w:sz w:val="21"/>
                      <w:szCs w:val="21"/>
                      <w:highlight w:val="none"/>
                      <w:lang w:val="en-US" w:eastAsia="zh-CN"/>
                      <w14:textFill>
                        <w14:solidFill>
                          <w14:schemeClr w14:val="tx1"/>
                        </w14:solidFill>
                      </w14:textFill>
                    </w:rPr>
                    <w:t>，现有厂区</w:t>
                  </w:r>
                  <w:r>
                    <w:rPr>
                      <w:rFonts w:hint="eastAsia"/>
                      <w:color w:val="000000" w:themeColor="text1"/>
                      <w:kern w:val="0"/>
                      <w:sz w:val="21"/>
                      <w:szCs w:val="21"/>
                      <w:highlight w:val="none"/>
                      <w:lang w:eastAsia="zh-CN"/>
                      <w14:textFill>
                        <w14:solidFill>
                          <w14:schemeClr w14:val="tx1"/>
                        </w14:solidFill>
                      </w14:textFill>
                    </w:rPr>
                    <w:t>不涉及自然保护区、风景名胜区、饮用水水源保护区等法律法规明令禁止采矿和占用的区域</w:t>
                  </w:r>
                </w:p>
              </w:tc>
              <w:tc>
                <w:tcPr>
                  <w:tcW w:w="700" w:type="dxa"/>
                  <w:vAlign w:val="center"/>
                </w:tcPr>
                <w:p w14:paraId="1B9D69E7">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lang w:eastAsia="zh-CN"/>
                      <w14:textFill>
                        <w14:solidFill>
                          <w14:schemeClr w14:val="tx1"/>
                        </w14:solidFill>
                      </w14:textFill>
                    </w:rPr>
                  </w:pPr>
                  <w:r>
                    <w:rPr>
                      <w:rFonts w:hint="eastAsia"/>
                      <w:color w:val="000000" w:themeColor="text1"/>
                      <w:kern w:val="0"/>
                      <w:sz w:val="21"/>
                      <w:szCs w:val="21"/>
                      <w:highlight w:val="none"/>
                      <w:lang w:eastAsia="zh-CN"/>
                      <w14:textFill>
                        <w14:solidFill>
                          <w14:schemeClr w14:val="tx1"/>
                        </w14:solidFill>
                      </w14:textFill>
                    </w:rPr>
                    <w:t>符合</w:t>
                  </w:r>
                </w:p>
              </w:tc>
            </w:tr>
            <w:tr w14:paraId="4D2372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vAlign w:val="center"/>
                </w:tcPr>
                <w:p w14:paraId="3835529B">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yellow"/>
                      <w14:textFill>
                        <w14:solidFill>
                          <w14:schemeClr w14:val="tx1"/>
                        </w14:solidFill>
                      </w14:textFill>
                    </w:rPr>
                  </w:pPr>
                </w:p>
              </w:tc>
              <w:tc>
                <w:tcPr>
                  <w:tcW w:w="2370" w:type="dxa"/>
                  <w:vAlign w:val="center"/>
                </w:tcPr>
                <w:p w14:paraId="6A622D11">
                  <w:pPr>
                    <w:autoSpaceDE w:val="0"/>
                    <w:autoSpaceDN w:val="0"/>
                    <w:adjustRightInd w:val="0"/>
                    <w:snapToGrid w:val="0"/>
                    <w:spacing w:line="240" w:lineRule="auto"/>
                    <w:ind w:left="0" w:leftChars="0" w:right="0" w:rightChars="0" w:firstLine="0" w:firstLineChars="0"/>
                    <w:jc w:val="both"/>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第四条 新建、改扩建项目应满足《清洁生产标准 煤炭采选业》</w:t>
                  </w:r>
                </w:p>
                <w:p w14:paraId="564110F2">
                  <w:pPr>
                    <w:autoSpaceDE w:val="0"/>
                    <w:autoSpaceDN w:val="0"/>
                    <w:adjustRightInd w:val="0"/>
                    <w:snapToGrid w:val="0"/>
                    <w:spacing w:line="240" w:lineRule="auto"/>
                    <w:ind w:left="0" w:leftChars="0" w:right="0" w:rightChars="0" w:firstLine="0" w:firstLineChars="0"/>
                    <w:jc w:val="both"/>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（HJ446）要求。主要污染物排放总量满足国家和地方相关要求。</w:t>
                  </w:r>
                </w:p>
              </w:tc>
              <w:tc>
                <w:tcPr>
                  <w:tcW w:w="2925" w:type="dxa"/>
                  <w:vAlign w:val="center"/>
                </w:tcPr>
                <w:p w14:paraId="1FB1038F">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lang w:eastAsia="zh-CN"/>
                      <w14:textFill>
                        <w14:solidFill>
                          <w14:schemeClr w14:val="tx1"/>
                        </w14:solidFill>
                      </w14:textFill>
                    </w:rPr>
                    <w:t>本项目选煤废水闭路循环，</w:t>
                  </w:r>
                  <w:r>
                    <w:rPr>
                      <w:rFonts w:hint="eastAsia"/>
                      <w:color w:val="000000" w:themeColor="text1"/>
                      <w:kern w:val="0"/>
                      <w:sz w:val="21"/>
                      <w:szCs w:val="21"/>
                      <w:highlight w:val="none"/>
                      <w:lang w:val="en-US" w:eastAsia="zh-CN"/>
                      <w14:textFill>
                        <w14:solidFill>
                          <w14:schemeClr w14:val="tx1"/>
                        </w14:solidFill>
                      </w14:textFill>
                    </w:rPr>
                    <w:t>各生产环节</w:t>
                  </w:r>
                  <w:r>
                    <w:rPr>
                      <w:rFonts w:hint="eastAsia"/>
                      <w:color w:val="000000" w:themeColor="text1"/>
                      <w:kern w:val="0"/>
                      <w:sz w:val="21"/>
                      <w:szCs w:val="21"/>
                      <w:highlight w:val="none"/>
                      <w:lang w:eastAsia="zh-CN"/>
                      <w14:textFill>
                        <w14:solidFill>
                          <w14:schemeClr w14:val="tx1"/>
                        </w14:solidFill>
                      </w14:textFill>
                    </w:rPr>
                    <w:t>有抑尘措施，厂内道路硬化，采取减振隔声措施，</w:t>
                  </w:r>
                  <w:r>
                    <w:rPr>
                      <w:rFonts w:hint="eastAsia"/>
                      <w:color w:val="000000" w:themeColor="text1"/>
                      <w:kern w:val="0"/>
                      <w:sz w:val="21"/>
                      <w:szCs w:val="21"/>
                      <w:highlight w:val="none"/>
                      <w14:textFill>
                        <w14:solidFill>
                          <w14:schemeClr w14:val="tx1"/>
                        </w14:solidFill>
                      </w14:textFill>
                    </w:rPr>
                    <w:t>满足《清洁生产标准 煤炭采选业》</w:t>
                  </w:r>
                </w:p>
                <w:p w14:paraId="592A688D">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lang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（HJ446）</w:t>
                  </w:r>
                  <w:r>
                    <w:rPr>
                      <w:rFonts w:hint="eastAsia"/>
                      <w:color w:val="000000" w:themeColor="text1"/>
                      <w:kern w:val="0"/>
                      <w:sz w:val="21"/>
                      <w:szCs w:val="21"/>
                      <w:highlight w:val="none"/>
                      <w:lang w:eastAsia="zh-CN"/>
                      <w14:textFill>
                        <w14:solidFill>
                          <w14:schemeClr w14:val="tx1"/>
                        </w14:solidFill>
                      </w14:textFill>
                    </w:rPr>
                    <w:t>中三级</w:t>
                  </w:r>
                  <w:r>
                    <w:rPr>
                      <w:rFonts w:hint="eastAsia"/>
                      <w:color w:val="000000" w:themeColor="text1"/>
                      <w:kern w:val="0"/>
                      <w:sz w:val="21"/>
                      <w:szCs w:val="21"/>
                      <w:highlight w:val="none"/>
                      <w14:textFill>
                        <w14:solidFill>
                          <w14:schemeClr w14:val="tx1"/>
                        </w14:solidFill>
                      </w14:textFill>
                    </w:rPr>
                    <w:t>要求</w:t>
                  </w:r>
                  <w:r>
                    <w:rPr>
                      <w:rFonts w:hint="eastAsia"/>
                      <w:color w:val="000000" w:themeColor="text1"/>
                      <w:kern w:val="0"/>
                      <w:sz w:val="21"/>
                      <w:szCs w:val="21"/>
                      <w:highlight w:val="none"/>
                      <w:lang w:eastAsia="zh-CN"/>
                      <w14:textFill>
                        <w14:solidFill>
                          <w14:schemeClr w14:val="tx1"/>
                        </w14:solidFill>
                      </w14:textFill>
                    </w:rPr>
                    <w:t>，</w:t>
                  </w:r>
                  <w:r>
                    <w:rPr>
                      <w:rFonts w:hint="eastAsia"/>
                      <w:color w:val="000000" w:themeColor="text1"/>
                      <w:kern w:val="0"/>
                      <w:sz w:val="21"/>
                      <w:szCs w:val="21"/>
                      <w:highlight w:val="none"/>
                      <w14:textFill>
                        <w14:solidFill>
                          <w14:schemeClr w14:val="tx1"/>
                        </w14:solidFill>
                      </w14:textFill>
                    </w:rPr>
                    <w:t>主要污染物排放总量</w:t>
                  </w:r>
                  <w:r>
                    <w:rPr>
                      <w:rFonts w:hint="eastAsia"/>
                      <w:color w:val="000000" w:themeColor="text1"/>
                      <w:kern w:val="0"/>
                      <w:sz w:val="21"/>
                      <w:szCs w:val="21"/>
                      <w:highlight w:val="none"/>
                      <w:lang w:eastAsia="zh-CN"/>
                      <w14:textFill>
                        <w14:solidFill>
                          <w14:schemeClr w14:val="tx1"/>
                        </w14:solidFill>
                      </w14:textFill>
                    </w:rPr>
                    <w:t>可以</w:t>
                  </w:r>
                  <w:r>
                    <w:rPr>
                      <w:rFonts w:hint="eastAsia"/>
                      <w:color w:val="000000" w:themeColor="text1"/>
                      <w:kern w:val="0"/>
                      <w:sz w:val="21"/>
                      <w:szCs w:val="21"/>
                      <w:highlight w:val="none"/>
                      <w14:textFill>
                        <w14:solidFill>
                          <w14:schemeClr w14:val="tx1"/>
                        </w14:solidFill>
                      </w14:textFill>
                    </w:rPr>
                    <w:t>满足国家和地方相关要求</w:t>
                  </w:r>
                  <w:r>
                    <w:rPr>
                      <w:rFonts w:hint="eastAsia"/>
                      <w:color w:val="000000" w:themeColor="text1"/>
                      <w:kern w:val="0"/>
                      <w:sz w:val="21"/>
                      <w:szCs w:val="21"/>
                      <w:highlight w:val="none"/>
                      <w:lang w:eastAsia="zh-CN"/>
                      <w14:textFill>
                        <w14:solidFill>
                          <w14:schemeClr w14:val="tx1"/>
                        </w14:solidFill>
                      </w14:textFill>
                    </w:rPr>
                    <w:t>。</w:t>
                  </w:r>
                </w:p>
              </w:tc>
              <w:tc>
                <w:tcPr>
                  <w:tcW w:w="700" w:type="dxa"/>
                  <w:vAlign w:val="center"/>
                </w:tcPr>
                <w:p w14:paraId="0D37E63E">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lang w:eastAsia="zh-CN"/>
                      <w14:textFill>
                        <w14:solidFill>
                          <w14:schemeClr w14:val="tx1"/>
                        </w14:solidFill>
                      </w14:textFill>
                    </w:rPr>
                  </w:pPr>
                  <w:r>
                    <w:rPr>
                      <w:rFonts w:hint="eastAsia"/>
                      <w:color w:val="000000" w:themeColor="text1"/>
                      <w:kern w:val="0"/>
                      <w:sz w:val="21"/>
                      <w:szCs w:val="21"/>
                      <w:highlight w:val="none"/>
                      <w:lang w:eastAsia="zh-CN"/>
                      <w14:textFill>
                        <w14:solidFill>
                          <w14:schemeClr w14:val="tx1"/>
                        </w14:solidFill>
                      </w14:textFill>
                    </w:rPr>
                    <w:t>符合</w:t>
                  </w:r>
                </w:p>
              </w:tc>
            </w:tr>
            <w:tr w14:paraId="257D32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vAlign w:val="center"/>
                </w:tcPr>
                <w:p w14:paraId="47E8959A">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yellow"/>
                      <w14:textFill>
                        <w14:solidFill>
                          <w14:schemeClr w14:val="tx1"/>
                        </w14:solidFill>
                      </w14:textFill>
                    </w:rPr>
                  </w:pPr>
                </w:p>
              </w:tc>
              <w:tc>
                <w:tcPr>
                  <w:tcW w:w="2370" w:type="dxa"/>
                  <w:tcBorders>
                    <w:bottom w:val="single" w:color="auto" w:sz="4" w:space="0"/>
                  </w:tcBorders>
                  <w:vAlign w:val="center"/>
                </w:tcPr>
                <w:p w14:paraId="1B4BBB39">
                  <w:pPr>
                    <w:autoSpaceDE w:val="0"/>
                    <w:autoSpaceDN w:val="0"/>
                    <w:adjustRightInd w:val="0"/>
                    <w:snapToGrid w:val="0"/>
                    <w:spacing w:line="240" w:lineRule="auto"/>
                    <w:ind w:left="0" w:leftChars="0" w:right="0" w:rightChars="0" w:firstLine="0" w:firstLineChars="0"/>
                    <w:jc w:val="both"/>
                    <w:rPr>
                      <w:rFonts w:hint="eastAsia"/>
                      <w:color w:val="000000" w:themeColor="text1"/>
                      <w:kern w:val="0"/>
                      <w:sz w:val="21"/>
                      <w:szCs w:val="21"/>
                      <w:highlight w:val="yellow"/>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第七条 选煤厂煤泥水应实现闭路循环，工业场地初期雨水应收集处理。无法全部综合利用的废水，应满足相关排放标准要求后排放。</w:t>
                  </w:r>
                </w:p>
              </w:tc>
              <w:tc>
                <w:tcPr>
                  <w:tcW w:w="2925" w:type="dxa"/>
                  <w:tcBorders>
                    <w:bottom w:val="single" w:color="auto" w:sz="4" w:space="0"/>
                  </w:tcBorders>
                  <w:vAlign w:val="center"/>
                </w:tcPr>
                <w:p w14:paraId="1D7D1217">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本项目为煤炭洗选项目，项目洗煤废水循环利用，煤泥水可以实现闭路循环，</w:t>
                  </w:r>
                  <w:r>
                    <w:rPr>
                      <w:rFonts w:hint="eastAsia"/>
                      <w:color w:val="000000" w:themeColor="text1"/>
                      <w:kern w:val="0"/>
                      <w:sz w:val="21"/>
                      <w:szCs w:val="21"/>
                      <w:highlight w:val="none"/>
                      <w:lang w:val="en-US" w:eastAsia="zh-CN"/>
                      <w14:textFill>
                        <w14:solidFill>
                          <w14:schemeClr w14:val="tx1"/>
                        </w14:solidFill>
                      </w14:textFill>
                    </w:rPr>
                    <w:t>初期雨水顺地势进入初期雨水收集池，沉淀后</w:t>
                  </w:r>
                  <w:r>
                    <w:rPr>
                      <w:rFonts w:hint="eastAsia"/>
                      <w:color w:val="000000" w:themeColor="text1"/>
                      <w:kern w:val="0"/>
                      <w:sz w:val="21"/>
                      <w:szCs w:val="21"/>
                      <w:highlight w:val="none"/>
                      <w14:textFill>
                        <w14:solidFill>
                          <w14:schemeClr w14:val="tx1"/>
                        </w14:solidFill>
                      </w14:textFill>
                    </w:rPr>
                    <w:t>回用于</w:t>
                  </w:r>
                  <w:r>
                    <w:rPr>
                      <w:rFonts w:hint="eastAsia"/>
                      <w:color w:val="000000" w:themeColor="text1"/>
                      <w:kern w:val="0"/>
                      <w:sz w:val="21"/>
                      <w:szCs w:val="21"/>
                      <w:highlight w:val="none"/>
                      <w:lang w:val="en-US" w:eastAsia="zh-CN"/>
                      <w14:textFill>
                        <w14:solidFill>
                          <w14:schemeClr w14:val="tx1"/>
                        </w14:solidFill>
                      </w14:textFill>
                    </w:rPr>
                    <w:t>生产用水</w:t>
                  </w:r>
                  <w:r>
                    <w:rPr>
                      <w:rFonts w:hint="eastAsia"/>
                      <w:color w:val="000000" w:themeColor="text1"/>
                      <w:kern w:val="0"/>
                      <w:sz w:val="21"/>
                      <w:szCs w:val="21"/>
                      <w:highlight w:val="none"/>
                      <w:lang w:eastAsia="zh-CN"/>
                      <w14:textFill>
                        <w14:solidFill>
                          <w14:schemeClr w14:val="tx1"/>
                        </w14:solidFill>
                      </w14:textFill>
                    </w:rPr>
                    <w:t>。</w:t>
                  </w:r>
                </w:p>
              </w:tc>
              <w:tc>
                <w:tcPr>
                  <w:tcW w:w="700" w:type="dxa"/>
                  <w:tcBorders>
                    <w:bottom w:val="single" w:color="auto" w:sz="4" w:space="0"/>
                  </w:tcBorders>
                  <w:vAlign w:val="center"/>
                </w:tcPr>
                <w:p w14:paraId="62ED0609">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符合</w:t>
                  </w:r>
                </w:p>
              </w:tc>
            </w:tr>
            <w:tr w14:paraId="529670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tcBorders>
                    <w:right w:val="single" w:color="auto" w:sz="4" w:space="0"/>
                  </w:tcBorders>
                  <w:vAlign w:val="center"/>
                </w:tcPr>
                <w:p w14:paraId="3F394764">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yellow"/>
                      <w14:textFill>
                        <w14:solidFill>
                          <w14:schemeClr w14:val="tx1"/>
                        </w14:solidFill>
                      </w14:textFill>
                    </w:rPr>
                  </w:pPr>
                </w:p>
              </w:tc>
              <w:tc>
                <w:tcPr>
                  <w:tcW w:w="2370" w:type="dxa"/>
                  <w:tcBorders>
                    <w:top w:val="single" w:color="auto" w:sz="4" w:space="0"/>
                    <w:left w:val="single" w:color="auto" w:sz="4" w:space="0"/>
                    <w:bottom w:val="single" w:color="auto" w:sz="4" w:space="0"/>
                  </w:tcBorders>
                  <w:vAlign w:val="center"/>
                </w:tcPr>
                <w:p w14:paraId="4C61553A">
                  <w:pPr>
                    <w:autoSpaceDE w:val="0"/>
                    <w:autoSpaceDN w:val="0"/>
                    <w:adjustRightInd w:val="0"/>
                    <w:snapToGrid w:val="0"/>
                    <w:spacing w:line="240" w:lineRule="auto"/>
                    <w:ind w:left="0" w:leftChars="0" w:right="0" w:rightChars="0" w:firstLine="0" w:firstLineChars="0"/>
                    <w:jc w:val="both"/>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第八条 煤矸石等固体废物应优先综合利用，明确煤矸石综合利用途径和处置方式，满足《煤矸石综合利用管理办法》相关要求。暂不具备综合利用条件的，排至临时矸石堆放场（库）储存，储存规模不超过 3年储矸量，且必须有后续综合利用方案。临时矸石堆放场（库）选址、建设和运行应满足《一般工业固体废物贮存、处置场污染控制标准》（GB18599）要求。</w:t>
                  </w:r>
                </w:p>
              </w:tc>
              <w:tc>
                <w:tcPr>
                  <w:tcW w:w="2925" w:type="dxa"/>
                  <w:tcBorders>
                    <w:top w:val="single" w:color="auto" w:sz="4" w:space="0"/>
                    <w:bottom w:val="single" w:color="auto" w:sz="4" w:space="0"/>
                  </w:tcBorders>
                  <w:vAlign w:val="center"/>
                </w:tcPr>
                <w:p w14:paraId="62446CF7">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lang w:eastAsia="zh-CN"/>
                      <w14:textFill>
                        <w14:solidFill>
                          <w14:schemeClr w14:val="tx1"/>
                        </w14:solidFill>
                      </w14:textFill>
                    </w:rPr>
                  </w:pPr>
                  <w:r>
                    <w:rPr>
                      <w:rFonts w:hint="eastAsia"/>
                      <w:color w:val="000000" w:themeColor="text1"/>
                      <w:kern w:val="0"/>
                      <w:sz w:val="21"/>
                      <w:szCs w:val="21"/>
                      <w:highlight w:val="none"/>
                      <w:lang w:eastAsia="zh-CN"/>
                      <w14:textFill>
                        <w14:solidFill>
                          <w14:schemeClr w14:val="tx1"/>
                        </w14:solidFill>
                      </w14:textFill>
                    </w:rPr>
                    <w:t>本项目</w:t>
                  </w:r>
                  <w:r>
                    <w:rPr>
                      <w:rFonts w:hint="eastAsia"/>
                      <w:color w:val="000000" w:themeColor="text1"/>
                      <w:kern w:val="0"/>
                      <w:sz w:val="21"/>
                      <w:szCs w:val="21"/>
                      <w:highlight w:val="none"/>
                      <w:lang w:val="en-US" w:eastAsia="zh-CN"/>
                      <w14:textFill>
                        <w14:solidFill>
                          <w14:schemeClr w14:val="tx1"/>
                        </w14:solidFill>
                      </w14:textFill>
                    </w:rPr>
                    <w:t>矸石用于集贤矿的井下回填以及填充东荣二矿和东荣三矿的沉陷区，</w:t>
                  </w:r>
                  <w:r>
                    <w:rPr>
                      <w:rFonts w:hint="eastAsia"/>
                      <w:color w:val="000000" w:themeColor="text1"/>
                      <w:kern w:val="0"/>
                      <w:sz w:val="21"/>
                      <w:szCs w:val="21"/>
                      <w:highlight w:val="none"/>
                      <w14:textFill>
                        <w14:solidFill>
                          <w14:schemeClr w14:val="tx1"/>
                        </w14:solidFill>
                      </w14:textFill>
                    </w:rPr>
                    <w:t>满足《煤矸石综合利用管理办法》相关要求</w:t>
                  </w:r>
                  <w:r>
                    <w:rPr>
                      <w:rFonts w:hint="eastAsia"/>
                      <w:color w:val="000000" w:themeColor="text1"/>
                      <w:kern w:val="0"/>
                      <w:sz w:val="21"/>
                      <w:szCs w:val="21"/>
                      <w:highlight w:val="none"/>
                      <w:lang w:eastAsia="zh-CN"/>
                      <w14:textFill>
                        <w14:solidFill>
                          <w14:schemeClr w14:val="tx1"/>
                        </w14:solidFill>
                      </w14:textFill>
                    </w:rPr>
                    <w:t>。</w:t>
                  </w:r>
                </w:p>
              </w:tc>
              <w:tc>
                <w:tcPr>
                  <w:tcW w:w="700" w:type="dxa"/>
                  <w:tcBorders>
                    <w:top w:val="single" w:color="auto" w:sz="4" w:space="0"/>
                    <w:bottom w:val="single" w:color="auto" w:sz="4" w:space="0"/>
                    <w:right w:val="single" w:color="auto" w:sz="4" w:space="0"/>
                  </w:tcBorders>
                  <w:vAlign w:val="center"/>
                </w:tcPr>
                <w:p w14:paraId="2F52CC23">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lang w:eastAsia="zh-CN"/>
                      <w14:textFill>
                        <w14:solidFill>
                          <w14:schemeClr w14:val="tx1"/>
                        </w14:solidFill>
                      </w14:textFill>
                    </w:rPr>
                  </w:pPr>
                  <w:r>
                    <w:rPr>
                      <w:rFonts w:hint="eastAsia"/>
                      <w:color w:val="000000" w:themeColor="text1"/>
                      <w:kern w:val="0"/>
                      <w:sz w:val="21"/>
                      <w:szCs w:val="21"/>
                      <w:highlight w:val="none"/>
                      <w:lang w:eastAsia="zh-CN"/>
                      <w14:textFill>
                        <w14:solidFill>
                          <w14:schemeClr w14:val="tx1"/>
                        </w14:solidFill>
                      </w14:textFill>
                    </w:rPr>
                    <w:t>符合</w:t>
                  </w:r>
                </w:p>
              </w:tc>
            </w:tr>
            <w:tr w14:paraId="306B92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tcBorders>
                    <w:right w:val="single" w:color="auto" w:sz="4" w:space="0"/>
                  </w:tcBorders>
                  <w:vAlign w:val="center"/>
                </w:tcPr>
                <w:p w14:paraId="2CAA440F">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yellow"/>
                      <w14:textFill>
                        <w14:solidFill>
                          <w14:schemeClr w14:val="tx1"/>
                        </w14:solidFill>
                      </w14:textFill>
                    </w:rPr>
                  </w:pPr>
                </w:p>
              </w:tc>
              <w:tc>
                <w:tcPr>
                  <w:tcW w:w="2370" w:type="dxa"/>
                  <w:tcBorders>
                    <w:top w:val="single" w:color="auto" w:sz="4" w:space="0"/>
                    <w:left w:val="single" w:color="auto" w:sz="4" w:space="0"/>
                    <w:bottom w:val="single" w:color="auto" w:sz="4" w:space="0"/>
                  </w:tcBorders>
                  <w:vAlign w:val="center"/>
                </w:tcPr>
                <w:p w14:paraId="38E5A83F">
                  <w:pPr>
                    <w:autoSpaceDE w:val="0"/>
                    <w:autoSpaceDN w:val="0"/>
                    <w:adjustRightInd w:val="0"/>
                    <w:snapToGrid w:val="0"/>
                    <w:spacing w:line="240" w:lineRule="auto"/>
                    <w:ind w:left="0" w:leftChars="0" w:right="0" w:rightChars="0" w:firstLine="0" w:firstLineChars="0"/>
                    <w:jc w:val="both"/>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第十条 选择低噪声设备、优化场地布局并采取隔声、消声、减振等措施有效控制噪声影响，厂界噪声应满足《工业企业厂界环境噪声排放标准》（GB12348）要求。</w:t>
                  </w:r>
                </w:p>
              </w:tc>
              <w:tc>
                <w:tcPr>
                  <w:tcW w:w="2925" w:type="dxa"/>
                  <w:tcBorders>
                    <w:top w:val="single" w:color="auto" w:sz="4" w:space="0"/>
                    <w:bottom w:val="single" w:color="auto" w:sz="4" w:space="0"/>
                  </w:tcBorders>
                  <w:vAlign w:val="center"/>
                </w:tcPr>
                <w:p w14:paraId="7E37A6AA">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lang w:eastAsia="zh-CN"/>
                      <w14:textFill>
                        <w14:solidFill>
                          <w14:schemeClr w14:val="tx1"/>
                        </w14:solidFill>
                      </w14:textFill>
                    </w:rPr>
                  </w:pPr>
                  <w:r>
                    <w:rPr>
                      <w:rFonts w:hint="eastAsia"/>
                      <w:color w:val="000000" w:themeColor="text1"/>
                      <w:kern w:val="0"/>
                      <w:sz w:val="21"/>
                      <w:szCs w:val="21"/>
                      <w:highlight w:val="none"/>
                      <w:lang w:eastAsia="zh-CN"/>
                      <w14:textFill>
                        <w14:solidFill>
                          <w14:schemeClr w14:val="tx1"/>
                        </w14:solidFill>
                      </w14:textFill>
                    </w:rPr>
                    <w:t>本项目选用低噪声设备，并采取减振隔声措施，主厂房位于厂区中央，可以有效控制噪声影响，根据噪声预测结果，厂界噪声可以满足《工业企业厂界环境噪声排放标准》（GB12348）</w:t>
                  </w:r>
                  <w:r>
                    <w:rPr>
                      <w:rFonts w:hint="eastAsia"/>
                      <w:color w:val="000000" w:themeColor="text1"/>
                      <w:kern w:val="0"/>
                      <w:sz w:val="21"/>
                      <w:szCs w:val="21"/>
                      <w:highlight w:val="none"/>
                      <w:lang w:val="en-US" w:eastAsia="zh-CN"/>
                      <w14:textFill>
                        <w14:solidFill>
                          <w14:schemeClr w14:val="tx1"/>
                        </w14:solidFill>
                      </w14:textFill>
                    </w:rPr>
                    <w:t>3</w:t>
                  </w:r>
                  <w:r>
                    <w:rPr>
                      <w:rFonts w:hint="eastAsia"/>
                      <w:color w:val="000000" w:themeColor="text1"/>
                      <w:kern w:val="0"/>
                      <w:sz w:val="21"/>
                      <w:szCs w:val="21"/>
                      <w:highlight w:val="none"/>
                      <w:lang w:eastAsia="zh-CN"/>
                      <w14:textFill>
                        <w14:solidFill>
                          <w14:schemeClr w14:val="tx1"/>
                        </w14:solidFill>
                      </w14:textFill>
                    </w:rPr>
                    <w:t>类要求。</w:t>
                  </w:r>
                </w:p>
              </w:tc>
              <w:tc>
                <w:tcPr>
                  <w:tcW w:w="700" w:type="dxa"/>
                  <w:tcBorders>
                    <w:top w:val="single" w:color="auto" w:sz="4" w:space="0"/>
                    <w:bottom w:val="single" w:color="auto" w:sz="4" w:space="0"/>
                    <w:right w:val="single" w:color="auto" w:sz="4" w:space="0"/>
                  </w:tcBorders>
                  <w:vAlign w:val="center"/>
                </w:tcPr>
                <w:p w14:paraId="2B35433E">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lang w:eastAsia="zh-CN"/>
                      <w14:textFill>
                        <w14:solidFill>
                          <w14:schemeClr w14:val="tx1"/>
                        </w14:solidFill>
                      </w14:textFill>
                    </w:rPr>
                  </w:pPr>
                  <w:r>
                    <w:rPr>
                      <w:rFonts w:hint="eastAsia"/>
                      <w:color w:val="000000" w:themeColor="text1"/>
                      <w:kern w:val="0"/>
                      <w:sz w:val="21"/>
                      <w:szCs w:val="21"/>
                      <w:highlight w:val="none"/>
                      <w:lang w:eastAsia="zh-CN"/>
                      <w14:textFill>
                        <w14:solidFill>
                          <w14:schemeClr w14:val="tx1"/>
                        </w14:solidFill>
                      </w14:textFill>
                    </w:rPr>
                    <w:t>符合</w:t>
                  </w:r>
                </w:p>
              </w:tc>
            </w:tr>
            <w:tr w14:paraId="0939F8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tcBorders>
                    <w:bottom w:val="single" w:color="auto" w:sz="12" w:space="0"/>
                  </w:tcBorders>
                  <w:vAlign w:val="center"/>
                </w:tcPr>
                <w:p w14:paraId="3FFBAAAC">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yellow"/>
                      <w14:textFill>
                        <w14:solidFill>
                          <w14:schemeClr w14:val="tx1"/>
                        </w14:solidFill>
                      </w14:textFill>
                    </w:rPr>
                  </w:pPr>
                </w:p>
              </w:tc>
              <w:tc>
                <w:tcPr>
                  <w:tcW w:w="2370" w:type="dxa"/>
                  <w:tcBorders>
                    <w:top w:val="single" w:color="auto" w:sz="4" w:space="0"/>
                    <w:bottom w:val="single" w:color="auto" w:sz="12" w:space="0"/>
                  </w:tcBorders>
                  <w:vAlign w:val="center"/>
                </w:tcPr>
                <w:p w14:paraId="24E25FFD">
                  <w:pPr>
                    <w:autoSpaceDE w:val="0"/>
                    <w:autoSpaceDN w:val="0"/>
                    <w:adjustRightInd w:val="0"/>
                    <w:snapToGrid w:val="0"/>
                    <w:spacing w:line="240" w:lineRule="auto"/>
                    <w:ind w:left="0" w:leftChars="0" w:right="0" w:rightChars="0" w:firstLine="0" w:firstLineChars="0"/>
                    <w:jc w:val="both"/>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第十三条 涉及放射性污染影响的煤炭采选项目，参照《矿产资源开发利用辐射环境监督管理名录》（第一批）中石煤行业相关要求，原煤、产品煤、矸石或其他残留物铀（钍）系单个核素含量超过1贝可/克（1Bq/g）的项目，应开展辐射环境污染评价。开采高砷、高铝煤矿等项目，提出了产品煤去向及环境管理要求。</w:t>
                  </w:r>
                </w:p>
              </w:tc>
              <w:tc>
                <w:tcPr>
                  <w:tcW w:w="2925" w:type="dxa"/>
                  <w:tcBorders>
                    <w:top w:val="single" w:color="auto" w:sz="4" w:space="0"/>
                    <w:bottom w:val="single" w:color="auto" w:sz="12" w:space="0"/>
                  </w:tcBorders>
                  <w:vAlign w:val="center"/>
                </w:tcPr>
                <w:p w14:paraId="0285F25A">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本项目所洗选的原煤均来自黑龙江龙煤双鸭山矿业有限责任公司下属煤矿，因此类比黑龙江龙煤双鸭山矿业有限责任公司东荣三矿的原煤、矸石、煤泥中放射性核素活度浓度检测报告（2021T14），检测时间2021年11月18日，</w:t>
                  </w:r>
                  <w:r>
                    <w:rPr>
                      <w:rFonts w:hint="eastAsia"/>
                      <w:color w:val="000000" w:themeColor="text1"/>
                      <w:kern w:val="0"/>
                      <w:sz w:val="21"/>
                      <w:szCs w:val="21"/>
                      <w:highlight w:val="none"/>
                      <w14:textFill>
                        <w14:solidFill>
                          <w14:schemeClr w14:val="tx1"/>
                        </w14:solidFill>
                      </w14:textFill>
                    </w:rPr>
                    <w:t>根据检测报告，被检</w:t>
                  </w:r>
                  <w:r>
                    <w:rPr>
                      <w:rFonts w:hint="eastAsia"/>
                      <w:color w:val="000000" w:themeColor="text1"/>
                      <w:kern w:val="0"/>
                      <w:sz w:val="21"/>
                      <w:szCs w:val="21"/>
                      <w:highlight w:val="none"/>
                      <w:lang w:val="en-US" w:eastAsia="zh-CN"/>
                      <w14:textFill>
                        <w14:solidFill>
                          <w14:schemeClr w14:val="tx1"/>
                        </w14:solidFill>
                      </w14:textFill>
                    </w:rPr>
                    <w:t>样品</w:t>
                  </w:r>
                  <w:r>
                    <w:rPr>
                      <w:rFonts w:hint="eastAsia"/>
                      <w:color w:val="000000" w:themeColor="text1"/>
                      <w:kern w:val="0"/>
                      <w:sz w:val="21"/>
                      <w:szCs w:val="21"/>
                      <w:highlight w:val="none"/>
                      <w14:textFill>
                        <w14:solidFill>
                          <w14:schemeClr w14:val="tx1"/>
                        </w14:solidFill>
                      </w14:textFill>
                    </w:rPr>
                    <w:t>原煤、矸石、煤泥中铀（钍）系单个核素活度浓度均小于1贝可/克（Bq/g）。</w:t>
                  </w:r>
                </w:p>
              </w:tc>
              <w:tc>
                <w:tcPr>
                  <w:tcW w:w="700" w:type="dxa"/>
                  <w:tcBorders>
                    <w:top w:val="single" w:color="auto" w:sz="4" w:space="0"/>
                    <w:bottom w:val="single" w:color="auto" w:sz="12" w:space="0"/>
                  </w:tcBorders>
                  <w:vAlign w:val="center"/>
                </w:tcPr>
                <w:p w14:paraId="2F80B8E5">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本项目无需进行辐射专篇编制</w:t>
                  </w:r>
                </w:p>
              </w:tc>
            </w:tr>
          </w:tbl>
          <w:p w14:paraId="6B07C71A">
            <w:pPr>
              <w:autoSpaceDE w:val="0"/>
              <w:autoSpaceDN w:val="0"/>
              <w:adjustRightInd w:val="0"/>
              <w:snapToGrid w:val="0"/>
              <w:spacing w:line="360" w:lineRule="auto"/>
              <w:ind w:firstLine="480" w:firstLineChars="200"/>
              <w:jc w:val="both"/>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lang w:val="en-US" w:eastAsia="zh-CN"/>
                <w14:textFill>
                  <w14:solidFill>
                    <w14:schemeClr w14:val="tx1"/>
                  </w14:solidFill>
                </w14:textFill>
              </w:rPr>
              <w:t>5</w:t>
            </w:r>
            <w:r>
              <w:rPr>
                <w:rFonts w:hint="eastAsia"/>
                <w:color w:val="000000" w:themeColor="text1"/>
                <w:kern w:val="0"/>
                <w:sz w:val="24"/>
                <w:highlight w:val="none"/>
                <w14:textFill>
                  <w14:solidFill>
                    <w14:schemeClr w14:val="tx1"/>
                  </w14:solidFill>
                </w14:textFill>
              </w:rPr>
              <w:t>、与《国务院关于促进煤炭工业健康发展的若干意见》（国发〔2005〕18号）符合性分析</w:t>
            </w:r>
          </w:p>
          <w:p w14:paraId="620506E8">
            <w:pPr>
              <w:autoSpaceDE w:val="0"/>
              <w:autoSpaceDN w:val="0"/>
              <w:adjustRightInd w:val="0"/>
              <w:snapToGrid w:val="0"/>
              <w:spacing w:line="360" w:lineRule="auto"/>
              <w:ind w:firstLine="480" w:firstLineChars="200"/>
              <w:jc w:val="both"/>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14:textFill>
                  <w14:solidFill>
                    <w14:schemeClr w14:val="tx1"/>
                  </w14:solidFill>
                </w14:textFill>
              </w:rPr>
              <w:t>根据《国务院关于促进煤炭工业健康发展的若干意见》，（十九）推进洁净煤技术产业化发展。发展改革委要制定规划，完善政策，组织建设示范工程，并给予一定资金支持，推动洁净煤技术和产业化发展。大力发展洗煤、配煤和型煤技术，提高煤炭洗选加工程度。</w:t>
            </w:r>
          </w:p>
          <w:p w14:paraId="21B0DD23">
            <w:pPr>
              <w:autoSpaceDE w:val="0"/>
              <w:autoSpaceDN w:val="0"/>
              <w:adjustRightInd w:val="0"/>
              <w:snapToGrid w:val="0"/>
              <w:spacing w:line="360" w:lineRule="auto"/>
              <w:ind w:firstLine="480" w:firstLineChars="200"/>
              <w:jc w:val="both"/>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14:textFill>
                  <w14:solidFill>
                    <w14:schemeClr w14:val="tx1"/>
                  </w14:solidFill>
                </w14:textFill>
              </w:rPr>
              <w:t>本工程为煤炭洗选项目，采用重介选煤工艺，提高原煤洗选比例和洗选效率。因此，本项目符合该要求。</w:t>
            </w:r>
          </w:p>
          <w:p w14:paraId="571E5C93">
            <w:pPr>
              <w:autoSpaceDE w:val="0"/>
              <w:autoSpaceDN w:val="0"/>
              <w:adjustRightInd w:val="0"/>
              <w:snapToGrid w:val="0"/>
              <w:spacing w:line="360" w:lineRule="auto"/>
              <w:ind w:firstLine="480" w:firstLineChars="200"/>
              <w:jc w:val="both"/>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lang w:val="en-US" w:eastAsia="zh-CN"/>
                <w14:textFill>
                  <w14:solidFill>
                    <w14:schemeClr w14:val="tx1"/>
                  </w14:solidFill>
                </w14:textFill>
              </w:rPr>
              <w:t>6、</w:t>
            </w:r>
            <w:r>
              <w:rPr>
                <w:rFonts w:hint="eastAsia"/>
                <w:color w:val="000000" w:themeColor="text1"/>
                <w:kern w:val="0"/>
                <w:sz w:val="24"/>
                <w:highlight w:val="none"/>
                <w14:textFill>
                  <w14:solidFill>
                    <w14:schemeClr w14:val="tx1"/>
                  </w14:solidFill>
                </w14:textFill>
              </w:rPr>
              <w:t>与《煤炭洗选工程设计规范》（GB50359-2016）的符合性分析</w:t>
            </w:r>
          </w:p>
          <w:p w14:paraId="021A978A">
            <w:pPr>
              <w:autoSpaceDE w:val="0"/>
              <w:autoSpaceDN w:val="0"/>
              <w:adjustRightInd w:val="0"/>
              <w:snapToGrid w:val="0"/>
              <w:spacing w:line="360" w:lineRule="auto"/>
              <w:ind w:firstLine="480" w:firstLineChars="200"/>
              <w:jc w:val="both"/>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14:textFill>
                  <w14:solidFill>
                    <w14:schemeClr w14:val="tx1"/>
                  </w14:solidFill>
                </w14:textFill>
              </w:rPr>
              <w:t>本项目厂区平面布设结合《煤炭洗选工程设计规范》（GB50359-2016）要求，洗煤厂房位于厂区中部，</w:t>
            </w:r>
            <w:r>
              <w:rPr>
                <w:rFonts w:hint="eastAsia"/>
                <w:color w:val="000000" w:themeColor="text1"/>
                <w:kern w:val="0"/>
                <w:sz w:val="24"/>
                <w:highlight w:val="none"/>
                <w:lang w:val="en-US" w:eastAsia="zh-CN"/>
                <w14:textFill>
                  <w14:solidFill>
                    <w14:schemeClr w14:val="tx1"/>
                  </w14:solidFill>
                </w14:textFill>
              </w:rPr>
              <w:t>原煤仓、精煤仓</w:t>
            </w:r>
            <w:r>
              <w:rPr>
                <w:rFonts w:hint="eastAsia"/>
                <w:color w:val="000000" w:themeColor="text1"/>
                <w:kern w:val="0"/>
                <w:sz w:val="24"/>
                <w:highlight w:val="none"/>
                <w14:textFill>
                  <w14:solidFill>
                    <w14:schemeClr w14:val="tx1"/>
                  </w14:solidFill>
                </w14:textFill>
              </w:rPr>
              <w:t>等</w:t>
            </w:r>
            <w:r>
              <w:rPr>
                <w:rFonts w:hint="eastAsia"/>
                <w:color w:val="000000" w:themeColor="text1"/>
                <w:kern w:val="0"/>
                <w:sz w:val="24"/>
                <w:highlight w:val="none"/>
                <w:lang w:val="en-US" w:eastAsia="zh-CN"/>
                <w14:textFill>
                  <w14:solidFill>
                    <w14:schemeClr w14:val="tx1"/>
                  </w14:solidFill>
                </w14:textFill>
              </w:rPr>
              <w:t>围</w:t>
            </w:r>
            <w:r>
              <w:rPr>
                <w:rFonts w:hint="eastAsia"/>
                <w:color w:val="000000" w:themeColor="text1"/>
                <w:kern w:val="0"/>
                <w:sz w:val="24"/>
                <w:highlight w:val="none"/>
                <w14:textFill>
                  <w14:solidFill>
                    <w14:schemeClr w14:val="tx1"/>
                  </w14:solidFill>
                </w14:textFill>
              </w:rPr>
              <w:t>绕主体工程布设，厂区分区合理，生活办公区与生产区分开，厂内道路、输煤廊道最大程度减少了物料流转途径。平面布置图见附图</w:t>
            </w:r>
            <w:r>
              <w:rPr>
                <w:rFonts w:hint="eastAsia"/>
                <w:color w:val="000000" w:themeColor="text1"/>
                <w:kern w:val="0"/>
                <w:sz w:val="24"/>
                <w:highlight w:val="none"/>
                <w:lang w:val="en-US" w:eastAsia="zh-CN"/>
                <w14:textFill>
                  <w14:solidFill>
                    <w14:schemeClr w14:val="tx1"/>
                  </w14:solidFill>
                </w14:textFill>
              </w:rPr>
              <w:t>2</w:t>
            </w:r>
            <w:r>
              <w:rPr>
                <w:rFonts w:hint="eastAsia"/>
                <w:color w:val="000000" w:themeColor="text1"/>
                <w:kern w:val="0"/>
                <w:sz w:val="24"/>
                <w:highlight w:val="none"/>
                <w14:textFill>
                  <w14:solidFill>
                    <w14:schemeClr w14:val="tx1"/>
                  </w14:solidFill>
                </w14:textFill>
              </w:rPr>
              <w:t>。</w:t>
            </w:r>
          </w:p>
          <w:p w14:paraId="35462B11">
            <w:pPr>
              <w:autoSpaceDE w:val="0"/>
              <w:autoSpaceDN w:val="0"/>
              <w:adjustRightInd w:val="0"/>
              <w:snapToGrid w:val="0"/>
              <w:spacing w:line="360" w:lineRule="auto"/>
              <w:ind w:firstLine="480" w:firstLineChars="200"/>
              <w:jc w:val="both"/>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lang w:val="en-US" w:eastAsia="zh-CN"/>
                <w14:textFill>
                  <w14:solidFill>
                    <w14:schemeClr w14:val="tx1"/>
                  </w14:solidFill>
                </w14:textFill>
              </w:rPr>
              <w:t>7</w:t>
            </w:r>
            <w:r>
              <w:rPr>
                <w:rFonts w:hint="eastAsia"/>
                <w:color w:val="000000" w:themeColor="text1"/>
                <w:kern w:val="0"/>
                <w:sz w:val="24"/>
                <w:highlight w:val="none"/>
                <w14:textFill>
                  <w14:solidFill>
                    <w14:schemeClr w14:val="tx1"/>
                  </w14:solidFill>
                </w14:textFill>
              </w:rPr>
              <w:t>、</w:t>
            </w:r>
            <w:r>
              <w:rPr>
                <w:rFonts w:hint="eastAsia"/>
                <w:color w:val="000000" w:themeColor="text1"/>
                <w:kern w:val="0"/>
                <w:sz w:val="24"/>
                <w:highlight w:val="none"/>
                <w:lang w:val="en-US" w:eastAsia="zh-CN"/>
                <w14:textFill>
                  <w14:solidFill>
                    <w14:schemeClr w14:val="tx1"/>
                  </w14:solidFill>
                </w14:textFill>
              </w:rPr>
              <w:t>生态环境分区管控的</w:t>
            </w:r>
            <w:r>
              <w:rPr>
                <w:rFonts w:hint="eastAsia"/>
                <w:color w:val="000000" w:themeColor="text1"/>
                <w:kern w:val="0"/>
                <w:sz w:val="24"/>
                <w:highlight w:val="none"/>
                <w14:textFill>
                  <w14:solidFill>
                    <w14:schemeClr w14:val="tx1"/>
                  </w14:solidFill>
                </w14:textFill>
              </w:rPr>
              <w:t>符合性分析</w:t>
            </w:r>
          </w:p>
          <w:p w14:paraId="20774E12">
            <w:pPr>
              <w:autoSpaceDE w:val="0"/>
              <w:autoSpaceDN w:val="0"/>
              <w:adjustRightInd w:val="0"/>
              <w:snapToGrid w:val="0"/>
              <w:spacing w:line="360" w:lineRule="auto"/>
              <w:ind w:firstLine="480" w:firstLineChars="200"/>
              <w:jc w:val="both"/>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14:textFill>
                  <w14:solidFill>
                    <w14:schemeClr w14:val="tx1"/>
                  </w14:solidFill>
                </w14:textFill>
              </w:rPr>
              <w:t>本项目位于黑龙江省</w:t>
            </w:r>
            <w:r>
              <w:rPr>
                <w:rFonts w:hint="eastAsia"/>
                <w:color w:val="000000" w:themeColor="text1"/>
                <w:kern w:val="0"/>
                <w:sz w:val="24"/>
                <w:highlight w:val="none"/>
                <w:lang w:eastAsia="zh-CN"/>
                <w14:textFill>
                  <w14:solidFill>
                    <w14:schemeClr w14:val="tx1"/>
                  </w14:solidFill>
                </w14:textFill>
              </w:rPr>
              <w:t>双鸭山市尖山区三马路和西平行路交叉处西南</w:t>
            </w:r>
            <w:r>
              <w:rPr>
                <w:rFonts w:hint="eastAsia"/>
                <w:color w:val="000000" w:themeColor="text1"/>
                <w:kern w:val="0"/>
                <w:sz w:val="24"/>
                <w:highlight w:val="none"/>
                <w14:textFill>
                  <w14:solidFill>
                    <w14:schemeClr w14:val="tx1"/>
                  </w14:solidFill>
                </w14:textFill>
              </w:rPr>
              <w:t>，根据</w:t>
            </w:r>
            <w:r>
              <w:rPr>
                <w:rFonts w:hint="eastAsia"/>
                <w:color w:val="000000" w:themeColor="text1"/>
                <w:kern w:val="0"/>
                <w:sz w:val="24"/>
                <w:highlight w:val="none"/>
                <w:lang w:val="en-US" w:eastAsia="zh-CN"/>
                <w14:textFill>
                  <w14:solidFill>
                    <w14:schemeClr w14:val="tx1"/>
                  </w14:solidFill>
                </w14:textFill>
              </w:rPr>
              <w:t>黑龙江省生态环境分区管控数据应用平台出具的</w:t>
            </w:r>
            <w:r>
              <w:rPr>
                <w:rFonts w:hint="eastAsia"/>
                <w:color w:val="000000" w:themeColor="text1"/>
                <w:kern w:val="0"/>
                <w:sz w:val="24"/>
                <w:highlight w:val="none"/>
                <w14:textFill>
                  <w14:solidFill>
                    <w14:schemeClr w14:val="tx1"/>
                  </w14:solidFill>
                </w14:textFill>
              </w:rPr>
              <w:t>《</w:t>
            </w:r>
            <w:r>
              <w:rPr>
                <w:rFonts w:hint="eastAsia"/>
                <w:color w:val="000000" w:themeColor="text1"/>
                <w:kern w:val="0"/>
                <w:sz w:val="24"/>
                <w:highlight w:val="none"/>
                <w:lang w:val="en-US" w:eastAsia="zh-CN"/>
                <w14:textFill>
                  <w14:solidFill>
                    <w14:schemeClr w14:val="tx1"/>
                  </w14:solidFill>
                </w14:textFill>
              </w:rPr>
              <w:t>黑龙江龙煤双鸭山矿业有限责任公司中央选煤厂改扩建项目生态环境分区管控分析报告</w:t>
            </w:r>
            <w:r>
              <w:rPr>
                <w:rFonts w:hint="eastAsia"/>
                <w:color w:val="000000" w:themeColor="text1"/>
                <w:kern w:val="0"/>
                <w:sz w:val="24"/>
                <w:highlight w:val="none"/>
                <w14:textFill>
                  <w14:solidFill>
                    <w14:schemeClr w14:val="tx1"/>
                  </w14:solidFill>
                </w14:textFill>
              </w:rPr>
              <w:t>》，本项目</w:t>
            </w:r>
            <w:r>
              <w:rPr>
                <w:rFonts w:hint="eastAsia"/>
                <w:color w:val="000000" w:themeColor="text1"/>
                <w:kern w:val="0"/>
                <w:sz w:val="24"/>
                <w:highlight w:val="none"/>
                <w:lang w:val="en-US" w:eastAsia="zh-CN"/>
                <w14:textFill>
                  <w14:solidFill>
                    <w14:schemeClr w14:val="tx1"/>
                  </w14:solidFill>
                </w14:textFill>
              </w:rPr>
              <w:t>生态环境分区管控</w:t>
            </w:r>
            <w:r>
              <w:rPr>
                <w:rFonts w:hint="eastAsia"/>
                <w:color w:val="000000" w:themeColor="text1"/>
                <w:kern w:val="0"/>
                <w:sz w:val="24"/>
                <w:highlight w:val="none"/>
                <w14:textFill>
                  <w14:solidFill>
                    <w14:schemeClr w14:val="tx1"/>
                  </w14:solidFill>
                </w14:textFill>
              </w:rPr>
              <w:t>的符合性如下：</w:t>
            </w:r>
          </w:p>
          <w:p w14:paraId="1614A667">
            <w:pPr>
              <w:autoSpaceDE w:val="0"/>
              <w:autoSpaceDN w:val="0"/>
              <w:adjustRightInd w:val="0"/>
              <w:snapToGrid w:val="0"/>
              <w:spacing w:line="360" w:lineRule="auto"/>
              <w:jc w:val="both"/>
              <w:rPr>
                <w:rFonts w:hint="eastAsia"/>
                <w:color w:val="000000" w:themeColor="text1"/>
                <w:kern w:val="0"/>
                <w:sz w:val="24"/>
                <w:highlight w:val="none"/>
                <w:lang w:val="en-US" w:eastAsia="zh-CN"/>
                <w14:textFill>
                  <w14:solidFill>
                    <w14:schemeClr w14:val="tx1"/>
                  </w14:solidFill>
                </w14:textFill>
              </w:rPr>
            </w:pPr>
            <w:r>
              <w:rPr>
                <w:rFonts w:hint="eastAsia"/>
                <w:color w:val="000000" w:themeColor="text1"/>
                <w:kern w:val="0"/>
                <w:sz w:val="24"/>
                <w:highlight w:val="none"/>
                <w:lang w:val="en-US" w:eastAsia="zh-CN"/>
                <w14:textFill>
                  <w14:solidFill>
                    <w14:schemeClr w14:val="tx1"/>
                  </w14:solidFill>
                </w14:textFill>
              </w:rPr>
              <w:drawing>
                <wp:inline distT="0" distB="0" distL="114300" distR="114300">
                  <wp:extent cx="4352290" cy="2207895"/>
                  <wp:effectExtent l="0" t="0" r="10160" b="1905"/>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10"/>
                          <a:stretch>
                            <a:fillRect/>
                          </a:stretch>
                        </pic:blipFill>
                        <pic:spPr>
                          <a:xfrm>
                            <a:off x="0" y="0"/>
                            <a:ext cx="4352290" cy="2207895"/>
                          </a:xfrm>
                          <a:prstGeom prst="rect">
                            <a:avLst/>
                          </a:prstGeom>
                          <a:noFill/>
                          <a:ln>
                            <a:noFill/>
                          </a:ln>
                        </pic:spPr>
                      </pic:pic>
                    </a:graphicData>
                  </a:graphic>
                </wp:inline>
              </w:drawing>
            </w:r>
          </w:p>
          <w:p w14:paraId="0809BCAB">
            <w:pPr>
              <w:autoSpaceDE w:val="0"/>
              <w:autoSpaceDN w:val="0"/>
              <w:adjustRightInd w:val="0"/>
              <w:snapToGrid w:val="0"/>
              <w:spacing w:line="360" w:lineRule="auto"/>
              <w:ind w:left="0" w:leftChars="0" w:right="0" w:rightChars="0" w:firstLine="0" w:firstLineChars="0"/>
              <w:jc w:val="center"/>
              <w:rPr>
                <w:rFonts w:hint="eastAsia"/>
                <w:color w:val="000000" w:themeColor="text1"/>
                <w:kern w:val="0"/>
                <w:sz w:val="24"/>
                <w:highlight w:val="none"/>
                <w:lang w:val="en-US" w:eastAsia="zh-CN"/>
                <w14:textFill>
                  <w14:solidFill>
                    <w14:schemeClr w14:val="tx1"/>
                  </w14:solidFill>
                </w14:textFill>
              </w:rPr>
            </w:pPr>
            <w:r>
              <w:rPr>
                <w:rFonts w:hint="eastAsia"/>
                <w:color w:val="000000" w:themeColor="text1"/>
                <w:kern w:val="0"/>
                <w:sz w:val="24"/>
                <w:highlight w:val="none"/>
                <w:lang w:val="en-US" w:eastAsia="zh-CN"/>
                <w14:textFill>
                  <w14:solidFill>
                    <w14:schemeClr w14:val="tx1"/>
                  </w14:solidFill>
                </w14:textFill>
              </w:rPr>
              <w:t>图1-1本项目与环境管控单元叠加图</w:t>
            </w:r>
          </w:p>
          <w:p w14:paraId="3FAFE518">
            <w:pPr>
              <w:autoSpaceDE w:val="0"/>
              <w:autoSpaceDN w:val="0"/>
              <w:adjustRightInd w:val="0"/>
              <w:snapToGrid w:val="0"/>
              <w:spacing w:line="360" w:lineRule="auto"/>
              <w:ind w:left="0" w:leftChars="0" w:right="0" w:rightChars="0" w:firstLine="0" w:firstLineChars="0"/>
              <w:jc w:val="center"/>
              <w:rPr>
                <w:rFonts w:hint="eastAsia"/>
                <w:color w:val="000000" w:themeColor="text1"/>
                <w:kern w:val="0"/>
                <w:sz w:val="24"/>
                <w:highlight w:val="none"/>
                <w:lang w:val="en-US" w:eastAsia="zh-CN"/>
                <w14:textFill>
                  <w14:solidFill>
                    <w14:schemeClr w14:val="tx1"/>
                  </w14:solidFill>
                </w14:textFill>
              </w:rPr>
            </w:pPr>
            <w:r>
              <w:rPr>
                <w:rFonts w:hint="eastAsia"/>
                <w:color w:val="000000" w:themeColor="text1"/>
                <w:kern w:val="0"/>
                <w:sz w:val="24"/>
                <w:highlight w:val="none"/>
                <w:lang w:val="en-US" w:eastAsia="zh-CN"/>
                <w14:textFill>
                  <w14:solidFill>
                    <w14:schemeClr w14:val="tx1"/>
                  </w14:solidFill>
                </w14:textFill>
              </w:rPr>
              <w:t>表1-5项目与生态环境分区管控符合性分析</w:t>
            </w:r>
          </w:p>
          <w:tbl>
            <w:tblPr>
              <w:tblStyle w:val="29"/>
              <w:tblW w:w="642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4"/>
              <w:gridCol w:w="2804"/>
              <w:gridCol w:w="2603"/>
            </w:tblGrid>
            <w:tr w14:paraId="6A772C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21" w:type="dxa"/>
                  <w:gridSpan w:val="3"/>
                  <w:tcBorders>
                    <w:tl2br w:val="nil"/>
                    <w:tr2bl w:val="nil"/>
                  </w:tcBorders>
                  <w:noWrap w:val="0"/>
                  <w:vAlign w:val="center"/>
                </w:tcPr>
                <w:p w14:paraId="668018E6">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一、生态保护红线</w:t>
                  </w:r>
                </w:p>
              </w:tc>
            </w:tr>
            <w:tr w14:paraId="374A5D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4D476B88">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管控单元类别</w:t>
                  </w:r>
                </w:p>
              </w:tc>
              <w:tc>
                <w:tcPr>
                  <w:tcW w:w="5407" w:type="dxa"/>
                  <w:gridSpan w:val="2"/>
                  <w:tcBorders>
                    <w:tl2br w:val="nil"/>
                    <w:tr2bl w:val="nil"/>
                  </w:tcBorders>
                  <w:noWrap w:val="0"/>
                  <w:vAlign w:val="center"/>
                </w:tcPr>
                <w:p w14:paraId="2EF5BA36">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w:t>
                  </w:r>
                </w:p>
              </w:tc>
            </w:tr>
            <w:tr w14:paraId="0FA246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13AA8BF4">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管控要求</w:t>
                  </w:r>
                </w:p>
              </w:tc>
              <w:tc>
                <w:tcPr>
                  <w:tcW w:w="5407" w:type="dxa"/>
                  <w:gridSpan w:val="2"/>
                  <w:tcBorders>
                    <w:tl2br w:val="nil"/>
                    <w:tr2bl w:val="nil"/>
                  </w:tcBorders>
                  <w:noWrap w:val="0"/>
                  <w:vAlign w:val="center"/>
                </w:tcPr>
                <w:p w14:paraId="4DCE3BAE">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生态空间包括生态保护红线和一般生态空间，将生态保护红线及一般生态空间作为优先保护单元。</w:t>
                  </w:r>
                </w:p>
              </w:tc>
            </w:tr>
            <w:tr w14:paraId="21E82D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16249E33">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空间布局约束</w:t>
                  </w:r>
                </w:p>
              </w:tc>
              <w:tc>
                <w:tcPr>
                  <w:tcW w:w="5407" w:type="dxa"/>
                  <w:gridSpan w:val="2"/>
                  <w:tcBorders>
                    <w:tl2br w:val="nil"/>
                    <w:tr2bl w:val="nil"/>
                  </w:tcBorders>
                  <w:noWrap w:val="0"/>
                  <w:vAlign w:val="center"/>
                </w:tcPr>
                <w:p w14:paraId="598020A1">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依法管控，严禁有损主导生态服务功能的开发建设活动。</w:t>
                  </w:r>
                </w:p>
              </w:tc>
            </w:tr>
            <w:tr w14:paraId="15E2A5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0A56FB9B">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4"/>
                      <w:highlight w:val="yellow"/>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符合性分析</w:t>
                  </w:r>
                </w:p>
              </w:tc>
              <w:tc>
                <w:tcPr>
                  <w:tcW w:w="5407" w:type="dxa"/>
                  <w:gridSpan w:val="2"/>
                  <w:tcBorders>
                    <w:tl2br w:val="nil"/>
                    <w:tr2bl w:val="nil"/>
                  </w:tcBorders>
                  <w:noWrap w:val="0"/>
                  <w:vAlign w:val="center"/>
                </w:tcPr>
                <w:p w14:paraId="773F9B14">
                  <w:pPr>
                    <w:autoSpaceDE w:val="0"/>
                    <w:autoSpaceDN w:val="0"/>
                    <w:adjustRightInd w:val="0"/>
                    <w:snapToGrid w:val="0"/>
                    <w:spacing w:line="240" w:lineRule="auto"/>
                    <w:ind w:left="0" w:leftChars="0" w:right="0" w:rightChars="0" w:firstLine="0" w:firstLineChars="0"/>
                    <w:jc w:val="center"/>
                    <w:rPr>
                      <w:rFonts w:hint="eastAsia"/>
                      <w:color w:val="000000" w:themeColor="text1"/>
                      <w:kern w:val="0"/>
                      <w:sz w:val="24"/>
                      <w:highlight w:val="yellow"/>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本项目位于黑龙江省双鸭山市尖山区三马路和西平行路交叉处西南，根据双鸭山市生态空间分布图，所在区域不属于生态保护红线，不属于一般生态空间。本项目属于改扩建项目，在现有厂区内依托现有厂房建设，不新增占地，因此本项目符合生态保护红线要求。</w:t>
                  </w:r>
                </w:p>
              </w:tc>
            </w:tr>
            <w:tr w14:paraId="40EAF7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21" w:type="dxa"/>
                  <w:gridSpan w:val="3"/>
                  <w:tcBorders>
                    <w:tl2br w:val="nil"/>
                    <w:tr2bl w:val="nil"/>
                  </w:tcBorders>
                  <w:noWrap w:val="0"/>
                  <w:vAlign w:val="center"/>
                </w:tcPr>
                <w:p w14:paraId="75BC48D5">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二、环境质量底线</w:t>
                  </w:r>
                </w:p>
              </w:tc>
            </w:tr>
            <w:tr w14:paraId="629EC4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21" w:type="dxa"/>
                  <w:gridSpan w:val="3"/>
                  <w:tcBorders>
                    <w:tl2br w:val="nil"/>
                    <w:tr2bl w:val="nil"/>
                  </w:tcBorders>
                  <w:noWrap w:val="0"/>
                  <w:vAlign w:val="center"/>
                </w:tcPr>
                <w:p w14:paraId="4D9EB5CE">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大气环境</w:t>
                  </w:r>
                </w:p>
              </w:tc>
            </w:tr>
            <w:tr w14:paraId="3DDD9F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4C02BB7D">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管控单元类别</w:t>
                  </w:r>
                </w:p>
              </w:tc>
              <w:tc>
                <w:tcPr>
                  <w:tcW w:w="5407" w:type="dxa"/>
                  <w:gridSpan w:val="2"/>
                  <w:tcBorders>
                    <w:tl2br w:val="nil"/>
                    <w:tr2bl w:val="nil"/>
                  </w:tcBorders>
                  <w:noWrap w:val="0"/>
                  <w:vAlign w:val="center"/>
                </w:tcPr>
                <w:p w14:paraId="40E9DF14">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大气环境布局敏感重点管控区</w:t>
                  </w:r>
                </w:p>
              </w:tc>
            </w:tr>
            <w:tr w14:paraId="18D060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18" w:type="dxa"/>
                  <w:gridSpan w:val="2"/>
                  <w:tcBorders>
                    <w:tl2br w:val="nil"/>
                    <w:tr2bl w:val="nil"/>
                  </w:tcBorders>
                  <w:noWrap w:val="0"/>
                  <w:vAlign w:val="center"/>
                </w:tcPr>
                <w:p w14:paraId="3770FD0F">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管控要求</w:t>
                  </w:r>
                </w:p>
              </w:tc>
              <w:tc>
                <w:tcPr>
                  <w:tcW w:w="2603" w:type="dxa"/>
                  <w:tcBorders>
                    <w:tl2br w:val="nil"/>
                    <w:tr2bl w:val="nil"/>
                  </w:tcBorders>
                  <w:noWrap w:val="0"/>
                  <w:vAlign w:val="center"/>
                </w:tcPr>
                <w:p w14:paraId="2667FFD8">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符合性分析</w:t>
                  </w:r>
                </w:p>
              </w:tc>
            </w:tr>
            <w:tr w14:paraId="458D4F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14" w:type="dxa"/>
                  <w:tcBorders>
                    <w:tl2br w:val="nil"/>
                    <w:tr2bl w:val="nil"/>
                  </w:tcBorders>
                  <w:noWrap w:val="0"/>
                  <w:vAlign w:val="center"/>
                </w:tcPr>
                <w:p w14:paraId="3ABE3FB9">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空间布局约束</w:t>
                  </w:r>
                </w:p>
              </w:tc>
              <w:tc>
                <w:tcPr>
                  <w:tcW w:w="2804" w:type="dxa"/>
                  <w:tcBorders>
                    <w:tl2br w:val="nil"/>
                    <w:tr2bl w:val="nil"/>
                  </w:tcBorders>
                  <w:noWrap w:val="0"/>
                  <w:vAlign w:val="center"/>
                </w:tcPr>
                <w:p w14:paraId="772E9102">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区域内原则上禁止布局高污染项目。严控“两高”行业产能。严格执行钢铁、水泥、平板玻璃等行业产能置换实施办法。利用水泥窑协同处置城市生活垃圾、危险废弃物、电石渣等固废伴生水泥项目，必须依托现有新型干法水泥熟料生产线进行不扩产能改造。</w:t>
                  </w:r>
                </w:p>
              </w:tc>
              <w:tc>
                <w:tcPr>
                  <w:tcW w:w="2603" w:type="dxa"/>
                  <w:tcBorders>
                    <w:tl2br w:val="nil"/>
                    <w:tr2bl w:val="nil"/>
                  </w:tcBorders>
                  <w:noWrap w:val="0"/>
                  <w:vAlign w:val="center"/>
                </w:tcPr>
                <w:p w14:paraId="53B03AA5">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本项目类型属于选煤厂改扩建，不属于高污染项目，不属于“两高”行业，故符合空间布局约束要求。</w:t>
                  </w:r>
                </w:p>
              </w:tc>
            </w:tr>
            <w:tr w14:paraId="51EBFE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70BA51F2">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污染物排放管控</w:t>
                  </w:r>
                </w:p>
              </w:tc>
              <w:tc>
                <w:tcPr>
                  <w:tcW w:w="2804" w:type="dxa"/>
                  <w:tcBorders>
                    <w:tl2br w:val="nil"/>
                    <w:tr2bl w:val="nil"/>
                  </w:tcBorders>
                  <w:noWrap w:val="0"/>
                  <w:vAlign w:val="center"/>
                </w:tcPr>
                <w:p w14:paraId="216E2BAD">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1.城市建成区内企业生产工艺、治理设施达到国内先进水平；2.推广使用电、天然气等清洁能源。3.加强环境管理水平，减少污染物排放。4.支持企业开展能效提升、清洁生产、工业节水等绿色化升级改造，实施重点行业和企业循环化改造，推动资源循环再生利用，降低能源消耗和污染物排放量。</w:t>
                  </w:r>
                </w:p>
              </w:tc>
              <w:tc>
                <w:tcPr>
                  <w:tcW w:w="2603" w:type="dxa"/>
                  <w:tcBorders>
                    <w:tl2br w:val="nil"/>
                    <w:tr2bl w:val="nil"/>
                  </w:tcBorders>
                  <w:noWrap w:val="0"/>
                  <w:vAlign w:val="center"/>
                </w:tcPr>
                <w:p w14:paraId="483DAB02">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yellow"/>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本项目采用重介选煤工艺，车间全封闭，车间内大部分无组织粉尘重力沉降至车间地面，破碎、筛分等各产尘点进行喷淋降尘，车间内定期洒水降尘，定期冲洗车间地面；物料在运输过程中运输车辆车身加盖苫布；厂区定期清扫，定期洒水抑尘；供暖由虹焱热电集中供热。符合污染物排放管控要求。</w:t>
                  </w:r>
                </w:p>
              </w:tc>
            </w:tr>
            <w:tr w14:paraId="0C52E7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78C31C51">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环境风险防控</w:t>
                  </w:r>
                </w:p>
              </w:tc>
              <w:tc>
                <w:tcPr>
                  <w:tcW w:w="2804" w:type="dxa"/>
                  <w:tcBorders>
                    <w:tl2br w:val="nil"/>
                    <w:tr2bl w:val="nil"/>
                  </w:tcBorders>
                  <w:noWrap w:val="0"/>
                  <w:vAlign w:val="center"/>
                </w:tcPr>
                <w:p w14:paraId="59293047">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严格执行相关行业企业布局选址要求，禁止在商住、学校、医疗、养老机构、人口密集区和公共服务设施等周边新建有色金属冶炼、化工等行业企业。</w:t>
                  </w:r>
                </w:p>
              </w:tc>
              <w:tc>
                <w:tcPr>
                  <w:tcW w:w="2603" w:type="dxa"/>
                  <w:tcBorders>
                    <w:tl2br w:val="nil"/>
                    <w:tr2bl w:val="nil"/>
                  </w:tcBorders>
                  <w:noWrap w:val="0"/>
                  <w:vAlign w:val="center"/>
                </w:tcPr>
                <w:p w14:paraId="047D0DFD">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yellow"/>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本项目类型属于选煤厂改扩建，依托现有厂区，不属于新建有色金属冶炼、化工等行业企业，符合环境风险防控要求。</w:t>
                  </w:r>
                </w:p>
              </w:tc>
            </w:tr>
            <w:tr w14:paraId="2D5491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21FE367D">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管控单元类别</w:t>
                  </w:r>
                </w:p>
              </w:tc>
              <w:tc>
                <w:tcPr>
                  <w:tcW w:w="5407" w:type="dxa"/>
                  <w:gridSpan w:val="2"/>
                  <w:tcBorders>
                    <w:tl2br w:val="nil"/>
                    <w:tr2bl w:val="nil"/>
                  </w:tcBorders>
                  <w:noWrap w:val="0"/>
                  <w:vAlign w:val="center"/>
                </w:tcPr>
                <w:p w14:paraId="137400B1">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yellow"/>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大气环境受体敏感重点管控区</w:t>
                  </w:r>
                </w:p>
              </w:tc>
            </w:tr>
            <w:tr w14:paraId="04BD6A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18" w:type="dxa"/>
                  <w:gridSpan w:val="2"/>
                  <w:tcBorders>
                    <w:tl2br w:val="nil"/>
                    <w:tr2bl w:val="nil"/>
                  </w:tcBorders>
                  <w:noWrap w:val="0"/>
                  <w:vAlign w:val="center"/>
                </w:tcPr>
                <w:p w14:paraId="09BAF897">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管控要求</w:t>
                  </w:r>
                </w:p>
              </w:tc>
              <w:tc>
                <w:tcPr>
                  <w:tcW w:w="2603" w:type="dxa"/>
                  <w:tcBorders>
                    <w:tl2br w:val="nil"/>
                    <w:tr2bl w:val="nil"/>
                  </w:tcBorders>
                  <w:noWrap w:val="0"/>
                  <w:vAlign w:val="center"/>
                </w:tcPr>
                <w:p w14:paraId="711D7FD1">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yellow"/>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符合性分析</w:t>
                  </w:r>
                </w:p>
              </w:tc>
            </w:tr>
            <w:tr w14:paraId="2AB2B0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08C33688">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空间布局约束</w:t>
                  </w:r>
                </w:p>
              </w:tc>
              <w:tc>
                <w:tcPr>
                  <w:tcW w:w="2804" w:type="dxa"/>
                  <w:tcBorders>
                    <w:tl2br w:val="nil"/>
                    <w:tr2bl w:val="nil"/>
                  </w:tcBorders>
                  <w:noWrap w:val="0"/>
                  <w:vAlign w:val="center"/>
                </w:tcPr>
                <w:p w14:paraId="1B5F6BF4">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有序推进城市建成区重点企业搬迁改造。加快不符合功能定位的重点污染工业企业退城、搬迁、改造、关停。制定钢铁、建材、焦化、化工等重污染企业搬迁计划，明确搬迁的范围、方向、时序和方式。严控“两高”行业产能。严格执行钢铁、水泥、平板玻璃等行业产能置换实施办法。利用水泥窑协同处置城市生活垃圾、危险废弃物、电石渣等固废伴生水泥项目，必须依托现有新型干法水泥熟料生产线进行不扩产能改造。县级及以上城市建成区基本淘汰每小时10蒸吨及以下燃煤锅炉，原则上不再新建每小时35蒸吨以下的燃煤锅炉，其他地区原则上不再新建每小时10蒸吨以下的燃煤锅炉。哈尔滨市城市建成区基本淘汰每小时35蒸吨以下燃煤锅炉，具备条件的每小时65蒸吨及以上燃煤锅炉全部实现节能和超低排放，燃气锅炉基本完成低氮改造。</w:t>
                  </w:r>
                </w:p>
              </w:tc>
              <w:tc>
                <w:tcPr>
                  <w:tcW w:w="2603" w:type="dxa"/>
                  <w:tcBorders>
                    <w:tl2br w:val="nil"/>
                    <w:tr2bl w:val="nil"/>
                  </w:tcBorders>
                  <w:noWrap w:val="0"/>
                  <w:vAlign w:val="center"/>
                </w:tcPr>
                <w:p w14:paraId="2D47BD74">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yellow"/>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本项目为选煤厂改扩建，不属于不符合功能定位的重点污染工业企业；不属于钢铁、建材、焦化、化工等重污染企业；不属于“两高”行业；不属于钢铁、水泥、平板玻璃等行业产；不属于利用水泥窑协同处置城市生活垃圾、危险废弃物、电石渣等固废伴生水泥项目。本项目供暖由虹焱热电集中供热，不建设燃煤锅炉。符合空间布局管控要求。</w:t>
                  </w:r>
                </w:p>
              </w:tc>
            </w:tr>
            <w:tr w14:paraId="302D09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31D5AAE9">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污染物排放管控</w:t>
                  </w:r>
                </w:p>
              </w:tc>
              <w:tc>
                <w:tcPr>
                  <w:tcW w:w="2804" w:type="dxa"/>
                  <w:tcBorders>
                    <w:tl2br w:val="nil"/>
                    <w:tr2bl w:val="nil"/>
                  </w:tcBorders>
                  <w:noWrap w:val="0"/>
                  <w:vAlign w:val="center"/>
                </w:tcPr>
                <w:p w14:paraId="7BF70E22">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1.城市建成区内企业生产工艺、治理设施达到国内先进水平。2.推广使用电、天然气等清洁能源。3.加强环境管理水平，减少污染物排放。</w:t>
                  </w:r>
                </w:p>
              </w:tc>
              <w:tc>
                <w:tcPr>
                  <w:tcW w:w="2603" w:type="dxa"/>
                  <w:tcBorders>
                    <w:tl2br w:val="nil"/>
                    <w:tr2bl w:val="nil"/>
                  </w:tcBorders>
                  <w:noWrap w:val="0"/>
                  <w:vAlign w:val="center"/>
                </w:tcPr>
                <w:p w14:paraId="42F4BFAF">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yellow"/>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本项目采用重介选煤工艺，车间全封闭，车间内大部分无组织粉尘重力沉降至车间地面，破碎、筛分等各产尘点进行喷淋降尘，车间内定期洒水降尘，定期冲洗车间地面；物料在运输过程中运输车辆车身加盖苫布；厂区定期清扫，定期洒水抑尘；供暖由虹焱热电集中供热。符合污染物排放管控要求。</w:t>
                  </w:r>
                </w:p>
              </w:tc>
            </w:tr>
            <w:tr w14:paraId="32E81E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2746C720">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环境风险防控</w:t>
                  </w:r>
                </w:p>
              </w:tc>
              <w:tc>
                <w:tcPr>
                  <w:tcW w:w="2804" w:type="dxa"/>
                  <w:tcBorders>
                    <w:tl2br w:val="nil"/>
                    <w:tr2bl w:val="nil"/>
                  </w:tcBorders>
                  <w:noWrap w:val="0"/>
                  <w:vAlign w:val="center"/>
                </w:tcPr>
                <w:p w14:paraId="4451A5C9">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严格管控涉及易导致环境风险的有毒有害和易燃易爆物质的生产、使用、排放、贮运等新建、改扩建项目。监控评估受体敏感区大气环境和健康风险，落实防控措施。强化应急物资储备和救援队伍建设。完善受体敏感区应急预案，加强风险防控体系建设。</w:t>
                  </w:r>
                </w:p>
              </w:tc>
              <w:tc>
                <w:tcPr>
                  <w:tcW w:w="2603" w:type="dxa"/>
                  <w:tcBorders>
                    <w:tl2br w:val="nil"/>
                    <w:tr2bl w:val="nil"/>
                  </w:tcBorders>
                  <w:noWrap w:val="0"/>
                  <w:vAlign w:val="center"/>
                </w:tcPr>
                <w:p w14:paraId="704C5AF6">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yellow"/>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本项目类型属于选煤厂改扩建，依托现有厂区，依托现有油罐区，企业已制定突发环境事件应急预案并报双鸭山市尖山生态环境局备案，符合环境风险防控要求。</w:t>
                  </w:r>
                </w:p>
              </w:tc>
            </w:tr>
            <w:tr w14:paraId="16FEB4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21" w:type="dxa"/>
                  <w:gridSpan w:val="3"/>
                  <w:tcBorders>
                    <w:tl2br w:val="nil"/>
                    <w:tr2bl w:val="nil"/>
                  </w:tcBorders>
                  <w:noWrap w:val="0"/>
                  <w:vAlign w:val="center"/>
                </w:tcPr>
                <w:p w14:paraId="066F9B03">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水环境</w:t>
                  </w:r>
                </w:p>
              </w:tc>
            </w:tr>
            <w:tr w14:paraId="20F5A3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5F5F53ED">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管控单元类别</w:t>
                  </w:r>
                </w:p>
              </w:tc>
              <w:tc>
                <w:tcPr>
                  <w:tcW w:w="5407" w:type="dxa"/>
                  <w:gridSpan w:val="2"/>
                  <w:tcBorders>
                    <w:tl2br w:val="nil"/>
                    <w:tr2bl w:val="nil"/>
                  </w:tcBorders>
                  <w:noWrap w:val="0"/>
                  <w:vAlign w:val="center"/>
                </w:tcPr>
                <w:p w14:paraId="6CFC9C5A">
                  <w:pPr>
                    <w:autoSpaceDE w:val="0"/>
                    <w:autoSpaceDN w:val="0"/>
                    <w:adjustRightInd w:val="0"/>
                    <w:snapToGrid w:val="0"/>
                    <w:spacing w:line="240" w:lineRule="auto"/>
                    <w:ind w:left="0" w:leftChars="0" w:right="0" w:rightChars="0" w:firstLine="0" w:firstLineChars="0"/>
                    <w:jc w:val="cente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尖山区地下水环境一般管控区（YS2305026310001）</w:t>
                  </w:r>
                </w:p>
              </w:tc>
            </w:tr>
            <w:tr w14:paraId="0C3508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18" w:type="dxa"/>
                  <w:gridSpan w:val="2"/>
                  <w:tcBorders>
                    <w:tl2br w:val="nil"/>
                    <w:tr2bl w:val="nil"/>
                  </w:tcBorders>
                  <w:noWrap w:val="0"/>
                  <w:vAlign w:val="center"/>
                </w:tcPr>
                <w:p w14:paraId="43B797DC">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管控要求</w:t>
                  </w:r>
                </w:p>
              </w:tc>
              <w:tc>
                <w:tcPr>
                  <w:tcW w:w="2603" w:type="dxa"/>
                  <w:tcBorders>
                    <w:tl2br w:val="nil"/>
                    <w:tr2bl w:val="nil"/>
                  </w:tcBorders>
                  <w:noWrap w:val="0"/>
                  <w:vAlign w:val="center"/>
                </w:tcPr>
                <w:p w14:paraId="45ACF39E">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符合性分析</w:t>
                  </w:r>
                </w:p>
              </w:tc>
            </w:tr>
            <w:tr w14:paraId="5CE8AB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6922EA19">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环境风险防控</w:t>
                  </w:r>
                </w:p>
              </w:tc>
              <w:tc>
                <w:tcPr>
                  <w:tcW w:w="2804" w:type="dxa"/>
                  <w:tcBorders>
                    <w:tl2br w:val="nil"/>
                    <w:tr2bl w:val="nil"/>
                  </w:tcBorders>
                  <w:noWrap w:val="0"/>
                  <w:vAlign w:val="center"/>
                </w:tcPr>
                <w:p w14:paraId="26B7B49D">
                  <w:pPr>
                    <w:autoSpaceDE w:val="0"/>
                    <w:autoSpaceDN w:val="0"/>
                    <w:adjustRightInd w:val="0"/>
                    <w:snapToGrid w:val="0"/>
                    <w:spacing w:line="240" w:lineRule="auto"/>
                    <w:ind w:left="0" w:leftChars="0" w:right="0" w:rightChars="0" w:firstLine="0" w:firstLineChars="0"/>
                    <w:jc w:val="both"/>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1.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2.重点单位新、改、扩建项目地下储罐储存有毒有害物质的，应当在项目投入生产或者使用之前，将地下储罐的信息报所在地设区的市级生态环境主管部门备案。3.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2603" w:type="dxa"/>
                  <w:tcBorders>
                    <w:tl2br w:val="nil"/>
                    <w:tr2bl w:val="nil"/>
                  </w:tcBorders>
                  <w:noWrap w:val="0"/>
                  <w:vAlign w:val="center"/>
                </w:tcPr>
                <w:p w14:paraId="52EE3E60">
                  <w:pPr>
                    <w:autoSpaceDE w:val="0"/>
                    <w:autoSpaceDN w:val="0"/>
                    <w:adjustRightInd w:val="0"/>
                    <w:snapToGrid w:val="0"/>
                    <w:spacing w:line="240" w:lineRule="auto"/>
                    <w:ind w:left="0" w:leftChars="0" w:right="0" w:rightChars="0" w:firstLine="0" w:firstLineChars="0"/>
                    <w:jc w:val="cente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本项目不属于土壤污染重点监管单位；不涉及地下储罐储存有毒有害物质；不属于化学品生产企业；本项目已开展土壤环境质量现状调查，项目用地污染物含量满足国家有关建设用地土壤污染风险管控标准。</w:t>
                  </w:r>
                </w:p>
              </w:tc>
            </w:tr>
            <w:tr w14:paraId="72C4CB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21" w:type="dxa"/>
                  <w:gridSpan w:val="3"/>
                  <w:tcBorders>
                    <w:tl2br w:val="nil"/>
                    <w:tr2bl w:val="nil"/>
                  </w:tcBorders>
                  <w:noWrap w:val="0"/>
                  <w:vAlign w:val="center"/>
                </w:tcPr>
                <w:p w14:paraId="082CC116">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土壤环境</w:t>
                  </w:r>
                </w:p>
              </w:tc>
            </w:tr>
            <w:tr w14:paraId="1729A6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5872A2FA">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管控单元类别</w:t>
                  </w:r>
                </w:p>
              </w:tc>
              <w:tc>
                <w:tcPr>
                  <w:tcW w:w="5407" w:type="dxa"/>
                  <w:gridSpan w:val="2"/>
                  <w:tcBorders>
                    <w:tl2br w:val="nil"/>
                    <w:tr2bl w:val="nil"/>
                  </w:tcBorders>
                  <w:noWrap w:val="0"/>
                  <w:vAlign w:val="center"/>
                </w:tcPr>
                <w:p w14:paraId="5533B9A9">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一般管控单元</w:t>
                  </w:r>
                </w:p>
              </w:tc>
            </w:tr>
            <w:tr w14:paraId="6CAE0D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18" w:type="dxa"/>
                  <w:gridSpan w:val="2"/>
                  <w:tcBorders>
                    <w:tl2br w:val="nil"/>
                    <w:tr2bl w:val="nil"/>
                  </w:tcBorders>
                  <w:noWrap w:val="0"/>
                  <w:vAlign w:val="center"/>
                </w:tcPr>
                <w:p w14:paraId="2C5A9D48">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管控要求</w:t>
                  </w:r>
                </w:p>
              </w:tc>
              <w:tc>
                <w:tcPr>
                  <w:tcW w:w="2603" w:type="dxa"/>
                  <w:tcBorders>
                    <w:tl2br w:val="nil"/>
                    <w:tr2bl w:val="nil"/>
                  </w:tcBorders>
                  <w:noWrap w:val="0"/>
                  <w:vAlign w:val="center"/>
                </w:tcPr>
                <w:p w14:paraId="41996DDF">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yellow"/>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符合性分析</w:t>
                  </w:r>
                </w:p>
              </w:tc>
            </w:tr>
            <w:tr w14:paraId="29FF7C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4C7E7534">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空间布局约束</w:t>
                  </w:r>
                </w:p>
              </w:tc>
              <w:tc>
                <w:tcPr>
                  <w:tcW w:w="2804" w:type="dxa"/>
                  <w:tcBorders>
                    <w:tl2br w:val="nil"/>
                    <w:tr2bl w:val="nil"/>
                  </w:tcBorders>
                  <w:noWrap w:val="0"/>
                  <w:vAlign w:val="center"/>
                </w:tcPr>
                <w:p w14:paraId="43EDDD5F">
                  <w:pPr>
                    <w:autoSpaceDE w:val="0"/>
                    <w:autoSpaceDN w:val="0"/>
                    <w:adjustRightInd w:val="0"/>
                    <w:snapToGrid w:val="0"/>
                    <w:spacing w:line="240" w:lineRule="auto"/>
                    <w:ind w:left="0" w:leftChars="0" w:right="0" w:rightChars="0" w:firstLine="0" w:firstLineChars="0"/>
                    <w:jc w:val="both"/>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1.严格建设项目环境准入。在规划和建设项目环评中，强化土壤环境调查，增加对土壤环境影响评价内容，明确防范土壤污染具体措施，纳入环保“三同时”管理。2.加强未利用地环境管理。未利用地的开发应符合土地整治规划，经科学论证与评估，依法批准后方可进行。拟开发为农用地的，有关县（市、区）政府要组织开展土壤环境质量状况评估，达不到相关标准的，不得种植食用农产品和饲草。拟开发为建设用地的未利用地，符合土壤环境质量要求的地块，方可进入用地程序。3.结合区域功能定位和土壤污染防治需要，科学布局城乡生活垃圾处理、危险废物处置、废旧资源再生利用等设施和场所，合理确定畜禽养殖布局和规模。</w:t>
                  </w:r>
                </w:p>
              </w:tc>
              <w:tc>
                <w:tcPr>
                  <w:tcW w:w="2603" w:type="dxa"/>
                  <w:tcBorders>
                    <w:tl2br w:val="nil"/>
                    <w:tr2bl w:val="nil"/>
                  </w:tcBorders>
                  <w:noWrap w:val="0"/>
                  <w:vAlign w:val="center"/>
                </w:tcPr>
                <w:p w14:paraId="2C54EF94">
                  <w:pPr>
                    <w:autoSpaceDE w:val="0"/>
                    <w:autoSpaceDN w:val="0"/>
                    <w:adjustRightInd w:val="0"/>
                    <w:snapToGrid w:val="0"/>
                    <w:spacing w:line="240" w:lineRule="auto"/>
                    <w:ind w:left="0" w:leftChars="0" w:right="0" w:rightChars="0" w:firstLine="0" w:firstLineChars="0"/>
                    <w:jc w:val="both"/>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本次环评已开展土壤环境现状调查，明确了防范土壤污染具体措施，纳入环保“三同时”管理；2.项目土地利用性质为城市允许建设用地，符合土壤环境质量要求的地块；3.本项目不属于新建城乡生活垃圾处理、危险废物处理和畜禽养殖项目。符合空间布局要求。</w:t>
                  </w:r>
                </w:p>
              </w:tc>
            </w:tr>
            <w:tr w14:paraId="4FAD24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21BBD95B">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环境风险防控</w:t>
                  </w:r>
                </w:p>
              </w:tc>
              <w:tc>
                <w:tcPr>
                  <w:tcW w:w="2804" w:type="dxa"/>
                  <w:tcBorders>
                    <w:tl2br w:val="nil"/>
                    <w:tr2bl w:val="nil"/>
                  </w:tcBorders>
                  <w:noWrap w:val="0"/>
                  <w:vAlign w:val="center"/>
                </w:tcPr>
                <w:p w14:paraId="399124D6">
                  <w:pPr>
                    <w:autoSpaceDE w:val="0"/>
                    <w:autoSpaceDN w:val="0"/>
                    <w:adjustRightInd w:val="0"/>
                    <w:snapToGrid w:val="0"/>
                    <w:spacing w:line="240" w:lineRule="auto"/>
                    <w:ind w:left="0" w:leftChars="0" w:right="0" w:rightChars="0" w:firstLine="0" w:firstLineChars="0"/>
                    <w:jc w:val="both"/>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1.各类涉及土地利用的规划和可能造成土壤污染的建设项目，应当依法进行环评。环评文件应当包括对土壤可能造成的不良影响及应当采取的相应预防措施等内容。2.生产、使用、贮存、运输、回收、处置、排放有毒有害物质的单位和个人，应当采取有效措施，防止有毒有害物质渗漏、流失、扬散，避免土壤受到污染。3.开展建设用地调查评估。对已搬迁、关闭企业原址场地土壤污染状况进行排查，建立已搬迁、关闭企业原址场地的潜在污染地块清单，并及时更新。4.健全垃圾处理处置体系。5.加强对尾矿坝安全监控及对其周边地下水水质监测。</w:t>
                  </w:r>
                </w:p>
              </w:tc>
              <w:tc>
                <w:tcPr>
                  <w:tcW w:w="2603" w:type="dxa"/>
                  <w:tcBorders>
                    <w:tl2br w:val="nil"/>
                    <w:tr2bl w:val="nil"/>
                  </w:tcBorders>
                  <w:noWrap w:val="0"/>
                  <w:vAlign w:val="center"/>
                </w:tcPr>
                <w:p w14:paraId="5DE2DB8A">
                  <w:pPr>
                    <w:autoSpaceDE w:val="0"/>
                    <w:autoSpaceDN w:val="0"/>
                    <w:adjustRightInd w:val="0"/>
                    <w:snapToGrid w:val="0"/>
                    <w:spacing w:line="240" w:lineRule="auto"/>
                    <w:ind w:left="0" w:leftChars="0" w:right="0" w:rightChars="0" w:firstLine="0" w:firstLineChars="0"/>
                    <w:jc w:val="both"/>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本次评价已要求采取土壤污染防治措施，严格按照污染物排放管理要求落实。故符合环境风险防控要求。</w:t>
                  </w:r>
                </w:p>
              </w:tc>
            </w:tr>
            <w:tr w14:paraId="15B2E9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21" w:type="dxa"/>
                  <w:gridSpan w:val="3"/>
                  <w:tcBorders>
                    <w:tl2br w:val="nil"/>
                    <w:tr2bl w:val="nil"/>
                  </w:tcBorders>
                  <w:noWrap w:val="0"/>
                  <w:vAlign w:val="center"/>
                </w:tcPr>
                <w:p w14:paraId="52A0CF04">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三、资源利用上线</w:t>
                  </w:r>
                </w:p>
              </w:tc>
            </w:tr>
            <w:tr w14:paraId="75DF84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21" w:type="dxa"/>
                  <w:gridSpan w:val="3"/>
                  <w:tcBorders>
                    <w:tl2br w:val="nil"/>
                    <w:tr2bl w:val="nil"/>
                  </w:tcBorders>
                  <w:noWrap w:val="0"/>
                  <w:vAlign w:val="center"/>
                </w:tcPr>
                <w:p w14:paraId="43C38ACF">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能源利用上线</w:t>
                  </w:r>
                </w:p>
              </w:tc>
            </w:tr>
            <w:tr w14:paraId="337BBF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016DBC7C">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管控要求</w:t>
                  </w:r>
                </w:p>
              </w:tc>
              <w:tc>
                <w:tcPr>
                  <w:tcW w:w="5407" w:type="dxa"/>
                  <w:gridSpan w:val="2"/>
                  <w:tcBorders>
                    <w:tl2br w:val="nil"/>
                    <w:tr2bl w:val="nil"/>
                  </w:tcBorders>
                  <w:noWrap w:val="0"/>
                  <w:vAlign w:val="center"/>
                </w:tcPr>
                <w:p w14:paraId="39C0F251">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双鸭山市2025年煤炭消费上线为907.31万吨标准煤，2035年煤炭消费上线为982.48万吨标准煤。</w:t>
                  </w:r>
                </w:p>
              </w:tc>
            </w:tr>
            <w:tr w14:paraId="1FFD88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01AED24E">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符合性分析</w:t>
                  </w:r>
                </w:p>
              </w:tc>
              <w:tc>
                <w:tcPr>
                  <w:tcW w:w="5407" w:type="dxa"/>
                  <w:gridSpan w:val="2"/>
                  <w:tcBorders>
                    <w:tl2br w:val="nil"/>
                    <w:tr2bl w:val="nil"/>
                  </w:tcBorders>
                  <w:noWrap w:val="0"/>
                  <w:vAlign w:val="center"/>
                </w:tcPr>
                <w:p w14:paraId="50D0969E">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yellow"/>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本项目为选煤厂改扩建项目，运营期供暖由虹焱热电集中供热，不使用煤炭，不会突破能源消耗上线。</w:t>
                  </w:r>
                </w:p>
              </w:tc>
            </w:tr>
            <w:tr w14:paraId="54EBAB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21" w:type="dxa"/>
                  <w:gridSpan w:val="3"/>
                  <w:tcBorders>
                    <w:tl2br w:val="nil"/>
                    <w:tr2bl w:val="nil"/>
                  </w:tcBorders>
                  <w:noWrap w:val="0"/>
                  <w:vAlign w:val="center"/>
                </w:tcPr>
                <w:p w14:paraId="673D2420">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水资源利用上线</w:t>
                  </w:r>
                </w:p>
              </w:tc>
            </w:tr>
            <w:tr w14:paraId="2CD42D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4CF559EA">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管控单元类别</w:t>
                  </w:r>
                </w:p>
              </w:tc>
              <w:tc>
                <w:tcPr>
                  <w:tcW w:w="5407" w:type="dxa"/>
                  <w:gridSpan w:val="2"/>
                  <w:tcBorders>
                    <w:tl2br w:val="nil"/>
                    <w:tr2bl w:val="nil"/>
                  </w:tcBorders>
                  <w:noWrap w:val="0"/>
                  <w:vAlign w:val="center"/>
                </w:tcPr>
                <w:p w14:paraId="51DCCB6B">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一般管控区</w:t>
                  </w:r>
                </w:p>
              </w:tc>
            </w:tr>
            <w:tr w14:paraId="3E33A1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4C6EF4E8">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管控要求</w:t>
                  </w:r>
                </w:p>
              </w:tc>
              <w:tc>
                <w:tcPr>
                  <w:tcW w:w="5407" w:type="dxa"/>
                  <w:gridSpan w:val="2"/>
                  <w:tcBorders>
                    <w:tl2br w:val="nil"/>
                    <w:tr2bl w:val="nil"/>
                  </w:tcBorders>
                  <w:noWrap w:val="0"/>
                  <w:vAlign w:val="center"/>
                </w:tcPr>
                <w:p w14:paraId="08958C3B">
                  <w:pPr>
                    <w:autoSpaceDE w:val="0"/>
                    <w:autoSpaceDN w:val="0"/>
                    <w:adjustRightInd w:val="0"/>
                    <w:snapToGrid w:val="0"/>
                    <w:spacing w:line="240" w:lineRule="auto"/>
                    <w:ind w:left="0" w:leftChars="0" w:right="0" w:rightChars="0" w:firstLine="0" w:firstLineChars="0"/>
                    <w:jc w:val="both"/>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（1）严格控制水资源消耗总量和强度，加快完成江河流域水量分配、生态流量保障实施方案工作，推进水权确权。</w:t>
                  </w:r>
                </w:p>
                <w:p w14:paraId="7C6AB4FB">
                  <w:pPr>
                    <w:autoSpaceDE w:val="0"/>
                    <w:autoSpaceDN w:val="0"/>
                    <w:adjustRightInd w:val="0"/>
                    <w:snapToGrid w:val="0"/>
                    <w:spacing w:line="240" w:lineRule="auto"/>
                    <w:ind w:left="0" w:leftChars="0" w:right="0" w:rightChars="0" w:firstLine="0" w:firstLineChars="0"/>
                    <w:jc w:val="both"/>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（2）积极推进节水型社会达标建设，限制高耗水工业项目建设和高耗水服务业发展，遏制农业粗放用水，强化用水定额管理，加大农业节水力度，加大工业节水技术改造。</w:t>
                  </w:r>
                </w:p>
                <w:p w14:paraId="00C8FC75">
                  <w:pPr>
                    <w:autoSpaceDE w:val="0"/>
                    <w:autoSpaceDN w:val="0"/>
                    <w:adjustRightInd w:val="0"/>
                    <w:snapToGrid w:val="0"/>
                    <w:spacing w:line="240" w:lineRule="auto"/>
                    <w:ind w:left="0" w:leftChars="0" w:right="0" w:rightChars="0" w:firstLine="0" w:firstLineChars="0"/>
                    <w:jc w:val="both"/>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（3）各级水行政主管部门要按照确定的地下水水位控制指标，加强水位动态监控。</w:t>
                  </w:r>
                </w:p>
                <w:p w14:paraId="7F5E63CB">
                  <w:pPr>
                    <w:autoSpaceDE w:val="0"/>
                    <w:autoSpaceDN w:val="0"/>
                    <w:adjustRightInd w:val="0"/>
                    <w:snapToGrid w:val="0"/>
                    <w:spacing w:line="240" w:lineRule="auto"/>
                    <w:ind w:left="0" w:leftChars="0" w:right="0" w:rightChars="0" w:firstLine="0" w:firstLineChars="0"/>
                    <w:jc w:val="both"/>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（4）建立用水单位重点监控名录，实施计划用水管理。</w:t>
                  </w:r>
                </w:p>
                <w:p w14:paraId="03C0B6EB">
                  <w:pPr>
                    <w:autoSpaceDE w:val="0"/>
                    <w:autoSpaceDN w:val="0"/>
                    <w:adjustRightInd w:val="0"/>
                    <w:snapToGrid w:val="0"/>
                    <w:spacing w:line="240" w:lineRule="auto"/>
                    <w:ind w:left="0" w:leftChars="0" w:right="0" w:rightChars="0" w:firstLine="0" w:firstLineChars="0"/>
                    <w:jc w:val="both"/>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5）建立健全规划和建设项目水资源论证制度，完善规划水资源论证相关政策措施。市县重点推进重大产业布局和各类开发区规划水资源论证，严格建设项目水资源论证，对未依法完成水资源论证工作的建设项目，建设单位不得擅自开工建设和投产使用。</w:t>
                  </w:r>
                </w:p>
              </w:tc>
            </w:tr>
            <w:tr w14:paraId="04539C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22DD3BBD">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项目符合性分析</w:t>
                  </w:r>
                </w:p>
              </w:tc>
              <w:tc>
                <w:tcPr>
                  <w:tcW w:w="5407" w:type="dxa"/>
                  <w:gridSpan w:val="2"/>
                  <w:tcBorders>
                    <w:tl2br w:val="nil"/>
                    <w:tr2bl w:val="nil"/>
                  </w:tcBorders>
                  <w:noWrap w:val="0"/>
                  <w:vAlign w:val="center"/>
                </w:tcPr>
                <w:p w14:paraId="7BB8460D">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本项目洗煤废水一级闭路循环，初期雨水经收集池收集回用于生产；车间地面冲洗水回用于生产不外排；食堂废水经现有隔油池处理后同其他生活污水一起排入化粪池，处理后排入市政管网，进入双鸭山市城市污水处理厂处理；精煤、矸石</w:t>
                  </w:r>
                  <w:r>
                    <w:rPr>
                      <w:rFonts w:hint="eastAsia" w:cs="Times New Roman"/>
                      <w:color w:val="000000" w:themeColor="text1"/>
                      <w:kern w:val="0"/>
                      <w:sz w:val="21"/>
                      <w:szCs w:val="21"/>
                      <w:highlight w:val="none"/>
                      <w:lang w:val="en-US" w:eastAsia="zh-CN"/>
                      <w14:textFill>
                        <w14:solidFill>
                          <w14:schemeClr w14:val="tx1"/>
                        </w14:solidFill>
                      </w14:textFill>
                    </w:rPr>
                    <w:t>仓</w:t>
                  </w: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内产生的渗滤液水经导流渠收集后，泵回生产系统回用于生产。符合国家产业政策。未突破水资源利用上线。</w:t>
                  </w:r>
                </w:p>
              </w:tc>
            </w:tr>
            <w:tr w14:paraId="66AE3D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21" w:type="dxa"/>
                  <w:gridSpan w:val="3"/>
                  <w:tcBorders>
                    <w:tl2br w:val="nil"/>
                    <w:tr2bl w:val="nil"/>
                  </w:tcBorders>
                  <w:noWrap w:val="0"/>
                  <w:vAlign w:val="center"/>
                </w:tcPr>
                <w:p w14:paraId="0BE48F38">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yellow"/>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四、环境准入清单</w:t>
                  </w:r>
                </w:p>
              </w:tc>
            </w:tr>
            <w:tr w14:paraId="1884B6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1794FF4F">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环境管控单元名称</w:t>
                  </w:r>
                </w:p>
              </w:tc>
              <w:tc>
                <w:tcPr>
                  <w:tcW w:w="5407" w:type="dxa"/>
                  <w:gridSpan w:val="2"/>
                  <w:tcBorders>
                    <w:tl2br w:val="nil"/>
                    <w:tr2bl w:val="nil"/>
                  </w:tcBorders>
                  <w:noWrap w:val="0"/>
                  <w:vAlign w:val="center"/>
                </w:tcPr>
                <w:p w14:paraId="696EF35A">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尖山区城镇空间</w:t>
                  </w:r>
                </w:p>
              </w:tc>
            </w:tr>
            <w:tr w14:paraId="5724C2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7DE58944">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环境管控单元编码</w:t>
                  </w:r>
                </w:p>
              </w:tc>
              <w:tc>
                <w:tcPr>
                  <w:tcW w:w="5407" w:type="dxa"/>
                  <w:gridSpan w:val="2"/>
                  <w:tcBorders>
                    <w:tl2br w:val="nil"/>
                    <w:tr2bl w:val="nil"/>
                  </w:tcBorders>
                  <w:noWrap w:val="0"/>
                  <w:vAlign w:val="center"/>
                </w:tcPr>
                <w:p w14:paraId="2C17D9DD">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ZH23050220001</w:t>
                  </w:r>
                </w:p>
              </w:tc>
            </w:tr>
            <w:tr w14:paraId="7C6CAB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17DB72B3">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管控单元类别</w:t>
                  </w:r>
                </w:p>
              </w:tc>
              <w:tc>
                <w:tcPr>
                  <w:tcW w:w="5407" w:type="dxa"/>
                  <w:gridSpan w:val="2"/>
                  <w:tcBorders>
                    <w:tl2br w:val="nil"/>
                    <w:tr2bl w:val="nil"/>
                  </w:tcBorders>
                  <w:noWrap w:val="0"/>
                  <w:vAlign w:val="center"/>
                </w:tcPr>
                <w:p w14:paraId="56FE9101">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重点管控单元</w:t>
                  </w:r>
                </w:p>
              </w:tc>
            </w:tr>
            <w:tr w14:paraId="2BC671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18" w:type="dxa"/>
                  <w:gridSpan w:val="2"/>
                  <w:tcBorders>
                    <w:tl2br w:val="nil"/>
                    <w:tr2bl w:val="nil"/>
                  </w:tcBorders>
                  <w:noWrap w:val="0"/>
                  <w:vAlign w:val="center"/>
                </w:tcPr>
                <w:p w14:paraId="1B4BEDDC">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管控要求</w:t>
                  </w:r>
                </w:p>
              </w:tc>
              <w:tc>
                <w:tcPr>
                  <w:tcW w:w="2603" w:type="dxa"/>
                  <w:tcBorders>
                    <w:tl2br w:val="nil"/>
                    <w:tr2bl w:val="nil"/>
                  </w:tcBorders>
                  <w:noWrap w:val="0"/>
                  <w:vAlign w:val="center"/>
                </w:tcPr>
                <w:p w14:paraId="22FEB7F1">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项目符合性分析</w:t>
                  </w:r>
                </w:p>
              </w:tc>
            </w:tr>
            <w:tr w14:paraId="5CE28A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01E89187">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空间布局约束</w:t>
                  </w:r>
                </w:p>
              </w:tc>
              <w:tc>
                <w:tcPr>
                  <w:tcW w:w="2804" w:type="dxa"/>
                  <w:tcBorders>
                    <w:tl2br w:val="nil"/>
                    <w:tr2bl w:val="nil"/>
                  </w:tcBorders>
                  <w:noWrap w:val="0"/>
                  <w:vAlign w:val="center"/>
                </w:tcPr>
                <w:p w14:paraId="17F74084">
                  <w:pPr>
                    <w:autoSpaceDE w:val="0"/>
                    <w:autoSpaceDN w:val="0"/>
                    <w:adjustRightInd w:val="0"/>
                    <w:snapToGrid w:val="0"/>
                    <w:spacing w:line="240" w:lineRule="auto"/>
                    <w:ind w:left="0" w:leftChars="0" w:right="0" w:rightChars="0" w:firstLine="0" w:firstLineChars="0"/>
                    <w:jc w:val="both"/>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1.执行“1）严禁在人口密集区新建危险化学品生产项目，城镇人口密集区危险化学品生产企业应搬迁改造。2）禁止在城镇居民区、文化教育科学研究区等人口集中区域建设畜禽养殖场、养殖小区。”2.大气环境布局敏感重点管控区同时执行“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2603" w:type="dxa"/>
                  <w:tcBorders>
                    <w:tl2br w:val="nil"/>
                    <w:tr2bl w:val="nil"/>
                  </w:tcBorders>
                  <w:noWrap w:val="0"/>
                  <w:vAlign w:val="center"/>
                </w:tcPr>
                <w:p w14:paraId="04BC9ED6">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yellow"/>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本项目属于选煤厂改扩建，不属于危险化学品生产项目；不属于畜禽养殖场、养殖小区；不属于“两高”行业；不属于钢铁、水泥、平板玻璃等行业；不属于利用水泥窑协同处置城市生活垃圾、危险废弃物、电石渣等固废伴生水泥项目，符合空间布局约束要求。</w:t>
                  </w:r>
                </w:p>
              </w:tc>
            </w:tr>
            <w:tr w14:paraId="177952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33D8FF01">
                  <w:pPr>
                    <w:autoSpaceDE w:val="0"/>
                    <w:autoSpaceDN w:val="0"/>
                    <w:adjustRightInd w:val="0"/>
                    <w:snapToGrid w:val="0"/>
                    <w:spacing w:line="240" w:lineRule="auto"/>
                    <w:ind w:left="0" w:leftChars="0" w:right="0" w:rightChars="0" w:firstLine="0" w:firstLineChars="0"/>
                    <w:jc w:val="center"/>
                    <w:rPr>
                      <w:rFonts w:hint="default" w:ascii="Times New Roman" w:hAnsi="Times New Roman"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污染物排放管控</w:t>
                  </w:r>
                </w:p>
              </w:tc>
              <w:tc>
                <w:tcPr>
                  <w:tcW w:w="2804" w:type="dxa"/>
                  <w:tcBorders>
                    <w:tl2br w:val="nil"/>
                    <w:tr2bl w:val="nil"/>
                  </w:tcBorders>
                  <w:noWrap w:val="0"/>
                  <w:vAlign w:val="center"/>
                </w:tcPr>
                <w:p w14:paraId="6EAAB334">
                  <w:pPr>
                    <w:autoSpaceDE w:val="0"/>
                    <w:autoSpaceDN w:val="0"/>
                    <w:adjustRightInd w:val="0"/>
                    <w:snapToGrid w:val="0"/>
                    <w:spacing w:line="240" w:lineRule="auto"/>
                    <w:ind w:left="0" w:leftChars="0" w:right="0" w:rightChars="0" w:firstLine="0" w:firstLineChars="0"/>
                    <w:jc w:val="both"/>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1.执行“加快65t/h以上燃煤锅炉（含电力）超低排放改造。”2.大气环境布局敏感重点管控区同时执行“1）对以煤、石焦油、渣油、重油等为燃料的锅炉和工业炉窑，加快使用清洁低碳能源以及工厂余热、电力热力等进行替代。2）到2025年，在用65蒸吨/小时以上的燃煤锅炉（含电力）实现超低排放，钢铁企业基本实现超低排放。”</w:t>
                  </w:r>
                </w:p>
              </w:tc>
              <w:tc>
                <w:tcPr>
                  <w:tcW w:w="2603" w:type="dxa"/>
                  <w:tcBorders>
                    <w:tl2br w:val="nil"/>
                    <w:tr2bl w:val="nil"/>
                  </w:tcBorders>
                  <w:noWrap w:val="0"/>
                  <w:vAlign w:val="center"/>
                </w:tcPr>
                <w:p w14:paraId="726A7D0C">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yellow"/>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本项目供暖由虹焱热电集中供热，不建设锅炉。</w:t>
                  </w:r>
                </w:p>
              </w:tc>
            </w:tr>
            <w:tr w14:paraId="564671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270B2A01">
                  <w:pPr>
                    <w:autoSpaceDE w:val="0"/>
                    <w:autoSpaceDN w:val="0"/>
                    <w:adjustRightInd w:val="0"/>
                    <w:snapToGrid w:val="0"/>
                    <w:spacing w:line="240" w:lineRule="auto"/>
                    <w:ind w:left="0" w:leftChars="0" w:right="0" w:rightChars="0" w:firstLine="0" w:firstLineChars="0"/>
                    <w:jc w:val="cente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环境风险防控</w:t>
                  </w:r>
                </w:p>
              </w:tc>
              <w:tc>
                <w:tcPr>
                  <w:tcW w:w="2804" w:type="dxa"/>
                  <w:tcBorders>
                    <w:tl2br w:val="nil"/>
                    <w:tr2bl w:val="nil"/>
                  </w:tcBorders>
                  <w:noWrap w:val="0"/>
                  <w:vAlign w:val="center"/>
                </w:tcPr>
                <w:p w14:paraId="0820C7E9">
                  <w:pPr>
                    <w:autoSpaceDE w:val="0"/>
                    <w:autoSpaceDN w:val="0"/>
                    <w:adjustRightInd w:val="0"/>
                    <w:snapToGrid w:val="0"/>
                    <w:spacing w:line="240" w:lineRule="auto"/>
                    <w:ind w:left="0" w:leftChars="0" w:right="0" w:rightChars="0" w:firstLine="0" w:firstLineChars="0"/>
                    <w:jc w:val="both"/>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1.执行“化工园区与城市建成区、人员密集场所、重要设施、敏感目标等应当保持规定的安全距离，相对封闭，不应保留常住居民，非关联企业和产业要逐步搬迁或退出，妥善防范化解“邻避”问题。严禁在松花江干流及一级支流沿岸1公里范围内布局化工园区。”2.大气环境布局敏感重点管控区同时执行“禁止在居民区、学校、医疗和养老机构等周边新建有色金属冶炼、焦化等行业企业。”</w:t>
                  </w:r>
                </w:p>
              </w:tc>
              <w:tc>
                <w:tcPr>
                  <w:tcW w:w="2603" w:type="dxa"/>
                  <w:tcBorders>
                    <w:tl2br w:val="nil"/>
                    <w:tr2bl w:val="nil"/>
                  </w:tcBorders>
                  <w:noWrap w:val="0"/>
                  <w:vAlign w:val="center"/>
                </w:tcPr>
                <w:p w14:paraId="3AEB0BF5">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yellow"/>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本项目属于选煤厂改扩建，不属于化工园区，不属于有色金属冶炼、焦化等行业企业。</w:t>
                  </w:r>
                </w:p>
              </w:tc>
            </w:tr>
            <w:tr w14:paraId="5AD9A3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tcBorders>
                    <w:tl2br w:val="nil"/>
                    <w:tr2bl w:val="nil"/>
                  </w:tcBorders>
                  <w:noWrap w:val="0"/>
                  <w:vAlign w:val="center"/>
                </w:tcPr>
                <w:p w14:paraId="49DD5DAE">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资源开发效率要求</w:t>
                  </w:r>
                </w:p>
              </w:tc>
              <w:tc>
                <w:tcPr>
                  <w:tcW w:w="2804" w:type="dxa"/>
                  <w:tcBorders>
                    <w:tl2br w:val="nil"/>
                    <w:tr2bl w:val="nil"/>
                  </w:tcBorders>
                  <w:noWrap w:val="0"/>
                  <w:vAlign w:val="center"/>
                </w:tcPr>
                <w:p w14:paraId="0119B082">
                  <w:pPr>
                    <w:autoSpaceDE w:val="0"/>
                    <w:autoSpaceDN w:val="0"/>
                    <w:adjustRightInd w:val="0"/>
                    <w:snapToGrid w:val="0"/>
                    <w:spacing w:line="240" w:lineRule="auto"/>
                    <w:ind w:left="0" w:leftChars="0" w:right="0" w:rightChars="0" w:firstLine="0" w:firstLineChars="0"/>
                    <w:jc w:val="both"/>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1.执行“1）推进污水再生利用设施建设。2）公共建筑必须采用节水器具，限期淘汰公共建筑中不符合节水标准的水嘴、便器水箱等生活用水器具。”2.高污染燃料禁燃区同时执行“1）在禁燃区内，禁止销售、燃用高污染燃料；禁止新建、扩建燃用高污染燃料的设施，已建成的，应当在城市人民政府规定的期限内改用天然气、页岩气、液化石油气、电或者其他清洁能源。2）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2603" w:type="dxa"/>
                  <w:tcBorders>
                    <w:tl2br w:val="nil"/>
                    <w:tr2bl w:val="nil"/>
                  </w:tcBorders>
                  <w:noWrap w:val="0"/>
                  <w:vAlign w:val="center"/>
                </w:tcPr>
                <w:p w14:paraId="2D7F284F">
                  <w:pPr>
                    <w:autoSpaceDE w:val="0"/>
                    <w:autoSpaceDN w:val="0"/>
                    <w:adjustRightInd w:val="0"/>
                    <w:snapToGrid w:val="0"/>
                    <w:spacing w:line="240" w:lineRule="auto"/>
                    <w:ind w:left="0" w:leftChars="0" w:right="0" w:rightChars="0" w:firstLine="0" w:firstLineChars="0"/>
                    <w:jc w:val="center"/>
                    <w:rPr>
                      <w:rFonts w:hint="default" w:ascii="Times New Roman" w:hAnsi="Times New Roman" w:cs="Times New Roman"/>
                      <w:color w:val="000000" w:themeColor="text1"/>
                      <w:kern w:val="0"/>
                      <w:sz w:val="21"/>
                      <w:szCs w:val="21"/>
                      <w:highlight w:val="yellow"/>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本项目洗煤废水一级闭路循环，初期雨水经收集池收集回用于生产；车间地面冲洗水回用于生产不外排；食堂废水经现有隔油池处理后同其他生活污水一起排入化粪池，处理后排入市政管网，进入双鸭山市城市污水处理厂处理；精煤、矸石</w:t>
                  </w:r>
                  <w:r>
                    <w:rPr>
                      <w:rFonts w:hint="eastAsia" w:cs="Times New Roman"/>
                      <w:color w:val="000000" w:themeColor="text1"/>
                      <w:kern w:val="0"/>
                      <w:sz w:val="21"/>
                      <w:szCs w:val="21"/>
                      <w:highlight w:val="none"/>
                      <w:lang w:val="en-US" w:eastAsia="zh-CN"/>
                      <w14:textFill>
                        <w14:solidFill>
                          <w14:schemeClr w14:val="tx1"/>
                        </w14:solidFill>
                      </w14:textFill>
                    </w:rPr>
                    <w:t>仓</w:t>
                  </w: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内产生的渗滤液水经导流渠收集后，泵回生产系统回用于生产。本项目供暖由虹焱热电集中供热，不建设锅炉，不销售、燃用高污染燃料；不建设燃用高污染燃料的设施。</w:t>
                  </w:r>
                </w:p>
              </w:tc>
            </w:tr>
          </w:tbl>
          <w:p w14:paraId="14D542E4">
            <w:pPr>
              <w:autoSpaceDE w:val="0"/>
              <w:autoSpaceDN w:val="0"/>
              <w:adjustRightInd w:val="0"/>
              <w:snapToGrid w:val="0"/>
              <w:spacing w:line="360" w:lineRule="auto"/>
              <w:ind w:firstLine="480" w:firstLineChars="200"/>
              <w:jc w:val="both"/>
              <w:rPr>
                <w:rFonts w:hint="eastAsia"/>
                <w:color w:val="FF0000"/>
                <w:kern w:val="0"/>
                <w:sz w:val="24"/>
                <w:highlight w:val="yellow"/>
                <w:lang w:val="en-US" w:eastAsia="zh-CN"/>
              </w:rPr>
            </w:pPr>
            <w:r>
              <w:rPr>
                <w:rFonts w:hint="eastAsia"/>
                <w:color w:val="FF0000"/>
                <w:kern w:val="0"/>
                <w:sz w:val="24"/>
                <w:highlight w:val="none"/>
                <w:lang w:val="en-US" w:eastAsia="zh-CN"/>
              </w:rPr>
              <w:t>由上表可知，本项目的建设符合《双鸭山市生态环境准入清单》（2023年版）中的要求。</w:t>
            </w:r>
          </w:p>
          <w:p w14:paraId="77434A95">
            <w:pPr>
              <w:autoSpaceDE w:val="0"/>
              <w:autoSpaceDN w:val="0"/>
              <w:adjustRightInd w:val="0"/>
              <w:snapToGrid w:val="0"/>
              <w:spacing w:line="360" w:lineRule="auto"/>
              <w:ind w:firstLine="480" w:firstLineChars="200"/>
              <w:jc w:val="both"/>
              <w:rPr>
                <w:rFonts w:hint="eastAsia"/>
                <w:color w:val="000000" w:themeColor="text1"/>
                <w:kern w:val="0"/>
                <w:sz w:val="24"/>
                <w:highlight w:val="yellow"/>
                <w:lang w:val="en-US" w:eastAsia="zh-CN"/>
                <w14:textFill>
                  <w14:solidFill>
                    <w14:schemeClr w14:val="tx1"/>
                  </w14:solidFill>
                </w14:textFill>
              </w:rPr>
            </w:pPr>
            <w:r>
              <w:rPr>
                <w:rFonts w:hint="eastAsia"/>
                <w:color w:val="000000" w:themeColor="text1"/>
                <w:kern w:val="0"/>
                <w:sz w:val="24"/>
                <w:highlight w:val="none"/>
                <w:lang w:val="en-US" w:eastAsia="zh-CN"/>
                <w14:textFill>
                  <w14:solidFill>
                    <w14:schemeClr w14:val="tx1"/>
                  </w14:solidFill>
                </w14:textFill>
              </w:rPr>
              <w:t>根据黑龙江龙煤双鸭山矿业有限责任公司中央选煤厂改扩建项目生态环境分区管控分析报告分析成果，黑龙江龙煤双鸭山矿业有限责任公司中央选煤厂改扩建项目位置涉及双鸭山市尖山区；项目占地总面积0.15平方公里。与生态保护红线交集面积为0.00平方公里，占项目占地面积的0.00%。与自然保护地整合优化方案数据交集面积为0.00平方公里，占项目占地面积的0.00%。保护地涉及等类型。与自然保护地（现状管理数据）交集面积为0.00平方公里，占项目占地面积的0.00%。保护地涉及等类型。与饮用水水源保护区交集面积为0.00平方公里，占项目占地面积的0.00%。与国家级水产种质资源保护区交集面积为0.00平方公里，占项目占地面积的0.00%。与环境管控单元优先保护单元交集面积为0.00平方公里，占项目占地面积的0.00%；与重点管控单元交集面积为0.15平方公里，占项目占地面积的100.00%；一般管控单元交集面积为0.00平方公里，占项目占地面积的0.00%。与地下水环境优先保护区交集面积为0.00平方公里，占项目占地面积的0.00%；与地下水环境重点管控区交集面积为0.00平方公里，占项目占地面积的0.00%，与地下水环境一般管控区交集面积为0.15平方公里，占项目占地面积的100.00%。</w:t>
            </w:r>
          </w:p>
          <w:p w14:paraId="4E3E236E">
            <w:pPr>
              <w:autoSpaceDE w:val="0"/>
              <w:autoSpaceDN w:val="0"/>
              <w:adjustRightInd w:val="0"/>
              <w:snapToGrid w:val="0"/>
              <w:spacing w:line="360" w:lineRule="auto"/>
              <w:ind w:firstLine="480" w:firstLineChars="200"/>
              <w:jc w:val="both"/>
              <w:rPr>
                <w:rFonts w:hint="eastAsia"/>
                <w:color w:val="FF0000"/>
                <w:kern w:val="0"/>
                <w:sz w:val="24"/>
                <w:highlight w:val="none"/>
                <w:lang w:val="en-US" w:eastAsia="zh-CN"/>
              </w:rPr>
            </w:pPr>
            <w:r>
              <w:rPr>
                <w:rFonts w:hint="eastAsia"/>
                <w:color w:val="FF0000"/>
                <w:kern w:val="0"/>
                <w:sz w:val="24"/>
                <w:highlight w:val="none"/>
                <w:lang w:val="en-US" w:eastAsia="zh-CN"/>
              </w:rPr>
              <w:t>7、与《关于进一步加强煤炭资源开发环境影响评价管理的通知》（环环评〔2020〕63号）符合性分析</w:t>
            </w:r>
          </w:p>
          <w:p w14:paraId="236FA859">
            <w:pPr>
              <w:autoSpaceDE w:val="0"/>
              <w:autoSpaceDN w:val="0"/>
              <w:adjustRightInd w:val="0"/>
              <w:snapToGrid w:val="0"/>
              <w:spacing w:line="360" w:lineRule="auto"/>
              <w:ind w:firstLine="480" w:firstLineChars="200"/>
              <w:jc w:val="both"/>
              <w:rPr>
                <w:rFonts w:hint="eastAsia"/>
                <w:color w:val="FF0000"/>
                <w:kern w:val="0"/>
                <w:sz w:val="24"/>
                <w:highlight w:val="none"/>
                <w:lang w:val="en-US" w:eastAsia="zh-CN"/>
              </w:rPr>
            </w:pPr>
            <w:r>
              <w:rPr>
                <w:rFonts w:hint="eastAsia"/>
                <w:color w:val="FF0000"/>
                <w:kern w:val="0"/>
                <w:sz w:val="24"/>
                <w:highlight w:val="none"/>
                <w:lang w:val="en-US" w:eastAsia="zh-CN"/>
              </w:rPr>
              <w:t>根据《关于进一步加强煤炭资源开发环境影响评价管理的通知》（环环评〔2020〕63号）的要求，本项目的符合性分析见下表。</w:t>
            </w:r>
          </w:p>
          <w:p w14:paraId="38969F1F">
            <w:pPr>
              <w:autoSpaceDE w:val="0"/>
              <w:autoSpaceDN w:val="0"/>
              <w:adjustRightInd w:val="0"/>
              <w:snapToGrid w:val="0"/>
              <w:spacing w:line="360" w:lineRule="auto"/>
              <w:ind w:left="0" w:leftChars="0" w:right="0" w:rightChars="0" w:firstLine="0" w:firstLineChars="0"/>
              <w:jc w:val="center"/>
              <w:rPr>
                <w:rFonts w:hint="eastAsia"/>
                <w:color w:val="FF0000"/>
                <w:kern w:val="0"/>
                <w:sz w:val="24"/>
                <w:highlight w:val="none"/>
                <w:lang w:val="en-US" w:eastAsia="zh-CN"/>
              </w:rPr>
            </w:pPr>
            <w:r>
              <w:rPr>
                <w:rFonts w:hint="eastAsia"/>
                <w:color w:val="FF0000"/>
                <w:kern w:val="0"/>
                <w:sz w:val="24"/>
                <w:highlight w:val="none"/>
                <w:lang w:val="en-US" w:eastAsia="zh-CN"/>
              </w:rPr>
              <w:t>表1-6 本项目与《关于进一步加强煤炭资源开发环境影响评价管理的通知》（环环评〔2020〕63号）符合性分析</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0"/>
              <w:gridCol w:w="3197"/>
              <w:gridCol w:w="2098"/>
              <w:gridCol w:w="700"/>
            </w:tblGrid>
            <w:tr w14:paraId="5FCA51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tcBorders>
                    <w:tl2br w:val="nil"/>
                    <w:tr2bl w:val="nil"/>
                  </w:tcBorders>
                  <w:vAlign w:val="center"/>
                </w:tcPr>
                <w:p w14:paraId="7CCF52DE">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FF0000"/>
                      <w:kern w:val="0"/>
                      <w:sz w:val="21"/>
                      <w:szCs w:val="21"/>
                      <w:highlight w:val="none"/>
                      <w:lang w:val="en-US" w:eastAsia="zh-CN"/>
                    </w:rPr>
                  </w:pPr>
                  <w:r>
                    <w:rPr>
                      <w:rFonts w:hint="eastAsia" w:ascii="Times New Roman" w:hAnsi="Times New Roman" w:cs="Times New Roman"/>
                      <w:color w:val="FF0000"/>
                      <w:kern w:val="0"/>
                      <w:sz w:val="21"/>
                      <w:szCs w:val="21"/>
                      <w:highlight w:val="none"/>
                      <w:lang w:val="en-US" w:eastAsia="zh-CN"/>
                    </w:rPr>
                    <w:t>文号</w:t>
                  </w:r>
                </w:p>
              </w:tc>
              <w:tc>
                <w:tcPr>
                  <w:tcW w:w="3197" w:type="dxa"/>
                  <w:tcBorders>
                    <w:tl2br w:val="nil"/>
                    <w:tr2bl w:val="nil"/>
                  </w:tcBorders>
                  <w:vAlign w:val="center"/>
                </w:tcPr>
                <w:p w14:paraId="5C0B4FDA">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FF0000"/>
                      <w:kern w:val="0"/>
                      <w:sz w:val="21"/>
                      <w:szCs w:val="21"/>
                      <w:highlight w:val="none"/>
                      <w:lang w:val="en-US" w:eastAsia="zh-CN"/>
                    </w:rPr>
                  </w:pPr>
                  <w:r>
                    <w:rPr>
                      <w:rFonts w:hint="eastAsia" w:ascii="Times New Roman" w:hAnsi="Times New Roman" w:cs="Times New Roman"/>
                      <w:color w:val="FF0000"/>
                      <w:kern w:val="0"/>
                      <w:sz w:val="21"/>
                      <w:szCs w:val="21"/>
                      <w:highlight w:val="none"/>
                      <w:lang w:val="en-US" w:eastAsia="zh-CN"/>
                    </w:rPr>
                    <w:t>文件要求</w:t>
                  </w:r>
                </w:p>
              </w:tc>
              <w:tc>
                <w:tcPr>
                  <w:tcW w:w="2098" w:type="dxa"/>
                  <w:tcBorders>
                    <w:tl2br w:val="nil"/>
                    <w:tr2bl w:val="nil"/>
                  </w:tcBorders>
                  <w:vAlign w:val="center"/>
                </w:tcPr>
                <w:p w14:paraId="45B6DF50">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FF0000"/>
                      <w:kern w:val="0"/>
                      <w:sz w:val="21"/>
                      <w:szCs w:val="21"/>
                      <w:highlight w:val="none"/>
                      <w:lang w:val="en-US" w:eastAsia="zh-CN"/>
                    </w:rPr>
                  </w:pPr>
                  <w:r>
                    <w:rPr>
                      <w:rFonts w:hint="eastAsia" w:ascii="Times New Roman" w:hAnsi="Times New Roman" w:cs="Times New Roman"/>
                      <w:color w:val="FF0000"/>
                      <w:kern w:val="0"/>
                      <w:sz w:val="21"/>
                      <w:szCs w:val="21"/>
                      <w:highlight w:val="none"/>
                      <w:lang w:val="en-US" w:eastAsia="zh-CN"/>
                    </w:rPr>
                    <w:t>本项目建设情况</w:t>
                  </w:r>
                </w:p>
              </w:tc>
              <w:tc>
                <w:tcPr>
                  <w:tcW w:w="700" w:type="dxa"/>
                  <w:tcBorders>
                    <w:tl2br w:val="nil"/>
                    <w:tr2bl w:val="nil"/>
                  </w:tcBorders>
                  <w:vAlign w:val="center"/>
                </w:tcPr>
                <w:p w14:paraId="16ED2FA7">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FF0000"/>
                      <w:kern w:val="0"/>
                      <w:sz w:val="21"/>
                      <w:szCs w:val="21"/>
                      <w:highlight w:val="none"/>
                      <w:lang w:val="en-US" w:eastAsia="zh-CN"/>
                    </w:rPr>
                  </w:pPr>
                  <w:r>
                    <w:rPr>
                      <w:rFonts w:hint="eastAsia" w:ascii="Times New Roman" w:hAnsi="Times New Roman" w:cs="Times New Roman"/>
                      <w:color w:val="FF0000"/>
                      <w:kern w:val="0"/>
                      <w:sz w:val="21"/>
                      <w:szCs w:val="21"/>
                      <w:highlight w:val="none"/>
                      <w:lang w:val="en-US" w:eastAsia="zh-CN"/>
                    </w:rPr>
                    <w:t>符合性</w:t>
                  </w:r>
                </w:p>
              </w:tc>
            </w:tr>
            <w:tr w14:paraId="55D00F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restart"/>
                  <w:tcBorders>
                    <w:tl2br w:val="nil"/>
                    <w:tr2bl w:val="nil"/>
                  </w:tcBorders>
                  <w:vAlign w:val="center"/>
                </w:tcPr>
                <w:p w14:paraId="4958C866">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FF0000"/>
                      <w:kern w:val="0"/>
                      <w:sz w:val="21"/>
                      <w:szCs w:val="21"/>
                      <w:highlight w:val="none"/>
                      <w:lang w:val="en-US" w:eastAsia="zh-CN"/>
                    </w:rPr>
                  </w:pPr>
                  <w:r>
                    <w:rPr>
                      <w:rFonts w:hint="eastAsia" w:ascii="Times New Roman" w:hAnsi="Times New Roman" w:cs="Times New Roman"/>
                      <w:color w:val="FF0000"/>
                      <w:kern w:val="0"/>
                      <w:sz w:val="21"/>
                      <w:szCs w:val="21"/>
                      <w:highlight w:val="none"/>
                      <w:lang w:val="en-US" w:eastAsia="zh-CN"/>
                    </w:rPr>
                    <w:t>《关于进一步加强煤炭资源开发环境影响评价管理的通知》（环环评〔2020〕63号）</w:t>
                  </w:r>
                </w:p>
              </w:tc>
              <w:tc>
                <w:tcPr>
                  <w:tcW w:w="3197" w:type="dxa"/>
                  <w:tcBorders>
                    <w:tl2br w:val="nil"/>
                    <w:tr2bl w:val="nil"/>
                  </w:tcBorders>
                  <w:shd w:val="clear" w:color="auto" w:fill="auto"/>
                  <w:vAlign w:val="center"/>
                </w:tcPr>
                <w:p w14:paraId="09560254">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bidi="ar-SA"/>
                    </w:rPr>
                  </w:pPr>
                  <w:r>
                    <w:rPr>
                      <w:rFonts w:hint="eastAsia" w:ascii="Times New Roman" w:hAnsi="Times New Roman" w:cs="Times New Roman"/>
                      <w:color w:val="FF0000"/>
                      <w:kern w:val="0"/>
                      <w:sz w:val="21"/>
                      <w:szCs w:val="21"/>
                      <w:highlight w:val="none"/>
                      <w:lang w:val="en-US" w:eastAsia="zh-CN"/>
                    </w:rPr>
                    <w:t>（十一）鼓励对煤矸石进行井下充填、发电、生产建筑材料、回收矿产品、制取化工产品、筑路、土地复垦等多途径综合利用，因地制宜选择合理的综合利用方式，提高煤矸石综合利用率。技术可行、经济合理的条件下优先采用井下充填技术处置煤矸石，有效控制地面沉陷、损毁耕地，减少煤矸石排放量。煤矸石的处置与综合利用应符合国家及行业相关标准规范要求。禁止建设永久性煤矸石堆放场（库），确需建设临时性堆放场（库）的，其占地规模应当与煤炭生产和洗选加工能力相匹配，原则上占地规模按不超过3年储矸量设计，且必须有后续综合利用方案。</w:t>
                  </w:r>
                </w:p>
              </w:tc>
              <w:tc>
                <w:tcPr>
                  <w:tcW w:w="2098" w:type="dxa"/>
                  <w:tcBorders>
                    <w:tl2br w:val="nil"/>
                    <w:tr2bl w:val="nil"/>
                  </w:tcBorders>
                  <w:shd w:val="clear" w:color="auto" w:fill="auto"/>
                  <w:vAlign w:val="center"/>
                </w:tcPr>
                <w:p w14:paraId="6AD8B4E9">
                  <w:pPr>
                    <w:autoSpaceDE w:val="0"/>
                    <w:autoSpaceDN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eastAsia" w:ascii="Times New Roman" w:hAnsi="Times New Roman" w:cs="Times New Roman"/>
                      <w:color w:val="FF0000"/>
                      <w:kern w:val="0"/>
                      <w:sz w:val="21"/>
                      <w:szCs w:val="21"/>
                      <w:highlight w:val="none"/>
                      <w:lang w:val="en-US" w:eastAsia="zh-CN"/>
                    </w:rPr>
                    <w:t>本项目</w:t>
                  </w:r>
                  <w:r>
                    <w:rPr>
                      <w:rFonts w:hint="eastAsia" w:cs="Times New Roman"/>
                      <w:color w:val="FF0000"/>
                      <w:kern w:val="0"/>
                      <w:sz w:val="21"/>
                      <w:szCs w:val="21"/>
                      <w:highlight w:val="none"/>
                      <w:lang w:val="en-US" w:eastAsia="zh-CN"/>
                    </w:rPr>
                    <w:t>矸石用于集贤矿的井下回填以及填充东荣二矿和东荣三矿的沉陷区，煤矸石的处置与综合利用应符合国家及行业相关标准规范要求。</w:t>
                  </w:r>
                </w:p>
              </w:tc>
              <w:tc>
                <w:tcPr>
                  <w:tcW w:w="700" w:type="dxa"/>
                  <w:tcBorders>
                    <w:tl2br w:val="nil"/>
                    <w:tr2bl w:val="nil"/>
                  </w:tcBorders>
                  <w:shd w:val="clear" w:color="auto" w:fill="auto"/>
                  <w:vAlign w:val="center"/>
                </w:tcPr>
                <w:p w14:paraId="5F9AD12E">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bidi="ar-SA"/>
                    </w:rPr>
                  </w:pPr>
                  <w:r>
                    <w:rPr>
                      <w:rFonts w:hint="eastAsia" w:ascii="Times New Roman" w:hAnsi="Times New Roman" w:cs="Times New Roman"/>
                      <w:color w:val="FF0000"/>
                      <w:kern w:val="0"/>
                      <w:sz w:val="21"/>
                      <w:szCs w:val="21"/>
                      <w:highlight w:val="none"/>
                      <w:lang w:val="en-US" w:eastAsia="zh-CN"/>
                    </w:rPr>
                    <w:t>符合</w:t>
                  </w:r>
                </w:p>
              </w:tc>
            </w:tr>
            <w:tr w14:paraId="37FE7E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tcBorders>
                    <w:tl2br w:val="nil"/>
                    <w:tr2bl w:val="nil"/>
                  </w:tcBorders>
                  <w:vAlign w:val="center"/>
                </w:tcPr>
                <w:p w14:paraId="4B3B2CEE">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FF0000"/>
                      <w:kern w:val="0"/>
                      <w:sz w:val="21"/>
                      <w:szCs w:val="21"/>
                      <w:highlight w:val="none"/>
                      <w:lang w:val="en-US" w:eastAsia="zh-CN"/>
                    </w:rPr>
                  </w:pPr>
                </w:p>
              </w:tc>
              <w:tc>
                <w:tcPr>
                  <w:tcW w:w="3197" w:type="dxa"/>
                  <w:tcBorders>
                    <w:tl2br w:val="nil"/>
                    <w:tr2bl w:val="nil"/>
                  </w:tcBorders>
                  <w:vAlign w:val="center"/>
                </w:tcPr>
                <w:p w14:paraId="7AD9E496">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FF0000"/>
                      <w:kern w:val="0"/>
                      <w:sz w:val="21"/>
                      <w:szCs w:val="21"/>
                      <w:highlight w:val="none"/>
                      <w:lang w:val="en-US" w:eastAsia="zh-CN"/>
                    </w:rPr>
                  </w:pPr>
                  <w:r>
                    <w:rPr>
                      <w:rFonts w:hint="eastAsia" w:ascii="Times New Roman" w:hAnsi="Times New Roman" w:cs="Times New Roman"/>
                      <w:color w:val="FF0000"/>
                      <w:kern w:val="0"/>
                      <w:sz w:val="21"/>
                      <w:szCs w:val="21"/>
                      <w:highlight w:val="none"/>
                      <w:lang w:val="en-US" w:eastAsia="zh-CN"/>
                    </w:rPr>
                    <w:t>（十三）煤炭开采应符合大气污染防治政策。生态保护红线、自然保护地内原则上应依法禁止露天开采，其他生态功能极重要区、生态极敏感区以及国家规定的重要区域等应严格控制露天开采。加强煤炭开采的扬尘污染防治，对露天开采的采掘场、排土场已形成的台阶进行压覆及洒水降尘，对预爆区洒水预湿。煤炭、矸石的储存、装卸、输送以及破碎、筛选等产尘环节，应采取有效措施控制扬尘污染，优先采取封闭措施，厂界无组织排放应符合国家和地方相关标准要求；涉及环境敏感区或区域颗粒物超标的，依法采取封闭措施。煤炭企业应针对煤炭运输的扬尘污染提出封闭运输、车辆清洗等防治要求，减少对道路沿线的影响；相关企业应规划建设铁路专用线、码头等，优先采用铁路、水路等方式运输煤炭。</w:t>
                  </w:r>
                </w:p>
              </w:tc>
              <w:tc>
                <w:tcPr>
                  <w:tcW w:w="2098" w:type="dxa"/>
                  <w:tcBorders>
                    <w:tl2br w:val="nil"/>
                    <w:tr2bl w:val="nil"/>
                  </w:tcBorders>
                  <w:vAlign w:val="center"/>
                </w:tcPr>
                <w:p w14:paraId="59929AA2">
                  <w:pPr>
                    <w:autoSpaceDE w:val="0"/>
                    <w:autoSpaceDN w:val="0"/>
                    <w:adjustRightInd w:val="0"/>
                    <w:snapToGrid w:val="0"/>
                    <w:spacing w:line="240" w:lineRule="auto"/>
                    <w:ind w:left="0" w:leftChars="0" w:right="0" w:rightChars="0" w:firstLine="0" w:firstLineChars="0"/>
                    <w:jc w:val="center"/>
                    <w:rPr>
                      <w:rFonts w:hint="default" w:ascii="Times New Roman" w:hAnsi="Times New Roman" w:cs="Times New Roman"/>
                      <w:color w:val="FF0000"/>
                      <w:kern w:val="0"/>
                      <w:sz w:val="21"/>
                      <w:szCs w:val="21"/>
                      <w:highlight w:val="none"/>
                      <w:lang w:val="en-US" w:eastAsia="zh-CN"/>
                    </w:rPr>
                  </w:pPr>
                  <w:r>
                    <w:rPr>
                      <w:rFonts w:hint="eastAsia" w:cs="Times New Roman"/>
                      <w:color w:val="FF0000"/>
                      <w:kern w:val="0"/>
                      <w:sz w:val="21"/>
                      <w:szCs w:val="21"/>
                      <w:highlight w:val="none"/>
                      <w:lang w:val="en-US" w:eastAsia="zh-CN"/>
                    </w:rPr>
                    <w:t>本项目煤炭、矸石的储存、装卸、输送以及破碎、筛选等产尘环节，采取了有效措施控制扬尘污染，主厂房采取全封闭措施，定期冲洗车间地面；原煤仓、精煤仓、矸石仓均采取全封闭措施，定期洒水降尘；厂界无组织排放符合国家和地方相关标准要求；物料在运输过程中采取减速行驶且运输车辆运输时车身加盖苫布，防止物料洒落；厂区定期清扫，定期洒水抑尘，保持厂区地面清洁。</w:t>
                  </w:r>
                </w:p>
              </w:tc>
              <w:tc>
                <w:tcPr>
                  <w:tcW w:w="700" w:type="dxa"/>
                  <w:tcBorders>
                    <w:tl2br w:val="nil"/>
                    <w:tr2bl w:val="nil"/>
                  </w:tcBorders>
                  <w:vAlign w:val="center"/>
                </w:tcPr>
                <w:p w14:paraId="6557016E">
                  <w:pPr>
                    <w:autoSpaceDE w:val="0"/>
                    <w:autoSpaceDN w:val="0"/>
                    <w:adjustRightInd w:val="0"/>
                    <w:snapToGrid w:val="0"/>
                    <w:spacing w:line="240" w:lineRule="auto"/>
                    <w:ind w:left="0" w:leftChars="0" w:right="0" w:rightChars="0" w:firstLine="0" w:firstLineChars="0"/>
                    <w:jc w:val="center"/>
                    <w:rPr>
                      <w:rFonts w:hint="default" w:ascii="Times New Roman" w:hAnsi="Times New Roman" w:cs="Times New Roman"/>
                      <w:color w:val="FF0000"/>
                      <w:kern w:val="0"/>
                      <w:sz w:val="21"/>
                      <w:szCs w:val="21"/>
                      <w:highlight w:val="none"/>
                      <w:lang w:val="en-US" w:eastAsia="zh-CN"/>
                    </w:rPr>
                  </w:pPr>
                  <w:r>
                    <w:rPr>
                      <w:rFonts w:hint="eastAsia" w:cs="Times New Roman"/>
                      <w:color w:val="FF0000"/>
                      <w:kern w:val="0"/>
                      <w:sz w:val="21"/>
                      <w:szCs w:val="21"/>
                      <w:highlight w:val="none"/>
                      <w:lang w:val="en-US" w:eastAsia="zh-CN"/>
                    </w:rPr>
                    <w:t>符合</w:t>
                  </w:r>
                </w:p>
              </w:tc>
            </w:tr>
            <w:tr w14:paraId="7069A3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tcBorders>
                    <w:tl2br w:val="nil"/>
                    <w:tr2bl w:val="nil"/>
                  </w:tcBorders>
                  <w:vAlign w:val="center"/>
                </w:tcPr>
                <w:p w14:paraId="257FD413">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FF0000"/>
                      <w:kern w:val="0"/>
                      <w:sz w:val="21"/>
                      <w:szCs w:val="21"/>
                      <w:highlight w:val="none"/>
                      <w:lang w:val="en-US" w:eastAsia="zh-CN"/>
                    </w:rPr>
                  </w:pPr>
                </w:p>
              </w:tc>
              <w:tc>
                <w:tcPr>
                  <w:tcW w:w="3197" w:type="dxa"/>
                  <w:tcBorders>
                    <w:tl2br w:val="nil"/>
                    <w:tr2bl w:val="nil"/>
                  </w:tcBorders>
                  <w:vAlign w:val="center"/>
                </w:tcPr>
                <w:p w14:paraId="26C2B6E4">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FF0000"/>
                      <w:kern w:val="0"/>
                      <w:sz w:val="21"/>
                      <w:szCs w:val="21"/>
                      <w:highlight w:val="none"/>
                      <w:lang w:val="en-US" w:eastAsia="zh-CN"/>
                    </w:rPr>
                  </w:pPr>
                  <w:r>
                    <w:rPr>
                      <w:rFonts w:hint="eastAsia" w:ascii="Times New Roman" w:hAnsi="Times New Roman" w:cs="Times New Roman"/>
                      <w:color w:val="FF0000"/>
                      <w:kern w:val="0"/>
                      <w:sz w:val="21"/>
                      <w:szCs w:val="21"/>
                      <w:highlight w:val="none"/>
                      <w:lang w:val="en-US" w:eastAsia="zh-CN"/>
                    </w:rPr>
                    <w:t>（十四）煤炭采选企业应当依法申请取得排污许可证或进行排污登记。未取得排污许可证也未进行排污登记的，不得排放污染物。</w:t>
                  </w:r>
                </w:p>
                <w:p w14:paraId="58206A31">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FF0000"/>
                      <w:kern w:val="0"/>
                      <w:sz w:val="21"/>
                      <w:szCs w:val="21"/>
                      <w:highlight w:val="none"/>
                      <w:lang w:val="en-US" w:eastAsia="zh-CN"/>
                    </w:rPr>
                  </w:pPr>
                  <w:r>
                    <w:rPr>
                      <w:rFonts w:hint="eastAsia" w:ascii="Times New Roman" w:hAnsi="Times New Roman" w:cs="Times New Roman"/>
                      <w:color w:val="FF0000"/>
                      <w:kern w:val="0"/>
                      <w:sz w:val="21"/>
                      <w:szCs w:val="21"/>
                      <w:highlight w:val="none"/>
                      <w:lang w:val="en-US" w:eastAsia="zh-CN"/>
                    </w:rPr>
                    <w:t>改建、扩建和技术改造煤炭采选项目还必须采取措施，治理与该项目有关的原有环境污染和生态破坏。</w:t>
                  </w:r>
                </w:p>
              </w:tc>
              <w:tc>
                <w:tcPr>
                  <w:tcW w:w="2098" w:type="dxa"/>
                  <w:tcBorders>
                    <w:tl2br w:val="nil"/>
                    <w:tr2bl w:val="nil"/>
                  </w:tcBorders>
                  <w:vAlign w:val="center"/>
                </w:tcPr>
                <w:p w14:paraId="559F3CC6">
                  <w:pPr>
                    <w:autoSpaceDE w:val="0"/>
                    <w:autoSpaceDN w:val="0"/>
                    <w:adjustRightInd w:val="0"/>
                    <w:snapToGrid w:val="0"/>
                    <w:spacing w:line="240" w:lineRule="auto"/>
                    <w:ind w:left="0" w:leftChars="0" w:right="0" w:rightChars="0" w:firstLine="0" w:firstLineChars="0"/>
                    <w:jc w:val="center"/>
                    <w:rPr>
                      <w:rFonts w:hint="eastAsia" w:ascii="Times New Roman" w:hAnsi="Times New Roman" w:cs="Times New Roman"/>
                      <w:color w:val="FF0000"/>
                      <w:kern w:val="0"/>
                      <w:sz w:val="21"/>
                      <w:szCs w:val="21"/>
                      <w:highlight w:val="none"/>
                      <w:lang w:val="en-US" w:eastAsia="zh-CN"/>
                    </w:rPr>
                  </w:pPr>
                  <w:r>
                    <w:rPr>
                      <w:rFonts w:hint="eastAsia" w:cs="Times New Roman"/>
                      <w:color w:val="FF0000"/>
                      <w:kern w:val="0"/>
                      <w:sz w:val="21"/>
                      <w:szCs w:val="21"/>
                      <w:highlight w:val="none"/>
                      <w:lang w:val="en-US" w:eastAsia="zh-CN"/>
                    </w:rPr>
                    <w:t>本项目现有工程于2009年建设完成，未</w:t>
                  </w:r>
                  <w:r>
                    <w:rPr>
                      <w:rFonts w:hint="eastAsia" w:ascii="Times New Roman" w:hAnsi="Times New Roman" w:cs="Times New Roman"/>
                      <w:color w:val="FF0000"/>
                      <w:kern w:val="0"/>
                      <w:sz w:val="21"/>
                      <w:szCs w:val="21"/>
                      <w:highlight w:val="none"/>
                      <w:lang w:val="en-US" w:eastAsia="zh-CN"/>
                    </w:rPr>
                    <w:t>进行排污登记</w:t>
                  </w:r>
                  <w:r>
                    <w:rPr>
                      <w:rFonts w:hint="eastAsia" w:cs="Times New Roman"/>
                      <w:color w:val="FF0000"/>
                      <w:kern w:val="0"/>
                      <w:sz w:val="21"/>
                      <w:szCs w:val="21"/>
                      <w:highlight w:val="none"/>
                      <w:lang w:val="en-US" w:eastAsia="zh-CN"/>
                    </w:rPr>
                    <w:t>，本次环评要求项目依法进行排污登记</w:t>
                  </w:r>
                  <w:r>
                    <w:rPr>
                      <w:rFonts w:hint="eastAsia" w:ascii="Times New Roman" w:hAnsi="Times New Roman" w:cs="Times New Roman"/>
                      <w:color w:val="FF0000"/>
                      <w:kern w:val="0"/>
                      <w:sz w:val="21"/>
                      <w:szCs w:val="21"/>
                      <w:highlight w:val="none"/>
                      <w:lang w:val="en-US" w:eastAsia="zh-CN"/>
                    </w:rPr>
                    <w:t>。</w:t>
                  </w:r>
                  <w:r>
                    <w:rPr>
                      <w:rFonts w:hint="eastAsia" w:cs="Times New Roman"/>
                      <w:color w:val="FF0000"/>
                      <w:kern w:val="0"/>
                      <w:sz w:val="21"/>
                      <w:szCs w:val="21"/>
                      <w:highlight w:val="none"/>
                      <w:lang w:val="en-US" w:eastAsia="zh-CN"/>
                    </w:rPr>
                    <w:t>本项目属于煤炭洗选</w:t>
                  </w:r>
                  <w:r>
                    <w:rPr>
                      <w:rFonts w:hint="eastAsia" w:ascii="Times New Roman" w:hAnsi="Times New Roman" w:cs="Times New Roman"/>
                      <w:color w:val="FF0000"/>
                      <w:kern w:val="0"/>
                      <w:sz w:val="21"/>
                      <w:szCs w:val="21"/>
                      <w:highlight w:val="none"/>
                      <w:lang w:val="en-US" w:eastAsia="zh-CN"/>
                    </w:rPr>
                    <w:t>改扩建项目</w:t>
                  </w:r>
                  <w:r>
                    <w:rPr>
                      <w:rFonts w:hint="eastAsia" w:cs="Times New Roman"/>
                      <w:color w:val="FF0000"/>
                      <w:kern w:val="0"/>
                      <w:sz w:val="21"/>
                      <w:szCs w:val="21"/>
                      <w:highlight w:val="none"/>
                      <w:lang w:val="en-US" w:eastAsia="zh-CN"/>
                    </w:rPr>
                    <w:t>已</w:t>
                  </w:r>
                  <w:r>
                    <w:rPr>
                      <w:rFonts w:hint="eastAsia" w:ascii="Times New Roman" w:hAnsi="Times New Roman" w:cs="Times New Roman"/>
                      <w:color w:val="FF0000"/>
                      <w:kern w:val="0"/>
                      <w:sz w:val="21"/>
                      <w:szCs w:val="21"/>
                      <w:highlight w:val="none"/>
                      <w:lang w:val="en-US" w:eastAsia="zh-CN"/>
                    </w:rPr>
                    <w:t>采取</w:t>
                  </w:r>
                  <w:r>
                    <w:rPr>
                      <w:rFonts w:hint="eastAsia" w:cs="Times New Roman"/>
                      <w:color w:val="FF0000"/>
                      <w:kern w:val="0"/>
                      <w:sz w:val="21"/>
                      <w:szCs w:val="21"/>
                      <w:highlight w:val="none"/>
                      <w:lang w:val="en-US" w:eastAsia="zh-CN"/>
                    </w:rPr>
                    <w:t>“以新带老”</w:t>
                  </w:r>
                  <w:r>
                    <w:rPr>
                      <w:rFonts w:hint="eastAsia" w:ascii="Times New Roman" w:hAnsi="Times New Roman" w:cs="Times New Roman"/>
                      <w:color w:val="FF0000"/>
                      <w:kern w:val="0"/>
                      <w:sz w:val="21"/>
                      <w:szCs w:val="21"/>
                      <w:highlight w:val="none"/>
                      <w:lang w:val="en-US" w:eastAsia="zh-CN"/>
                    </w:rPr>
                    <w:t>措施，治理与该项目有关的原有环境</w:t>
                  </w:r>
                  <w:r>
                    <w:rPr>
                      <w:rFonts w:hint="eastAsia" w:cs="Times New Roman"/>
                      <w:color w:val="FF0000"/>
                      <w:kern w:val="0"/>
                      <w:sz w:val="21"/>
                      <w:szCs w:val="21"/>
                      <w:highlight w:val="none"/>
                      <w:lang w:val="en-US" w:eastAsia="zh-CN"/>
                    </w:rPr>
                    <w:t>问题。</w:t>
                  </w:r>
                </w:p>
              </w:tc>
              <w:tc>
                <w:tcPr>
                  <w:tcW w:w="700" w:type="dxa"/>
                  <w:tcBorders>
                    <w:tl2br w:val="nil"/>
                    <w:tr2bl w:val="nil"/>
                  </w:tcBorders>
                  <w:vAlign w:val="center"/>
                </w:tcPr>
                <w:p w14:paraId="5799A94A">
                  <w:pPr>
                    <w:autoSpaceDE w:val="0"/>
                    <w:autoSpaceDN w:val="0"/>
                    <w:adjustRightInd w:val="0"/>
                    <w:snapToGrid w:val="0"/>
                    <w:spacing w:line="240" w:lineRule="auto"/>
                    <w:ind w:left="0" w:leftChars="0" w:right="0" w:rightChars="0" w:firstLine="0" w:firstLineChars="0"/>
                    <w:jc w:val="center"/>
                    <w:rPr>
                      <w:rFonts w:hint="default" w:ascii="Times New Roman" w:hAnsi="Times New Roman" w:cs="Times New Roman"/>
                      <w:color w:val="FF0000"/>
                      <w:kern w:val="0"/>
                      <w:sz w:val="21"/>
                      <w:szCs w:val="21"/>
                      <w:highlight w:val="none"/>
                      <w:lang w:val="en-US" w:eastAsia="zh-CN"/>
                    </w:rPr>
                  </w:pPr>
                  <w:r>
                    <w:rPr>
                      <w:rFonts w:hint="eastAsia" w:cs="Times New Roman"/>
                      <w:color w:val="FF0000"/>
                      <w:kern w:val="0"/>
                      <w:sz w:val="21"/>
                      <w:szCs w:val="21"/>
                      <w:highlight w:val="none"/>
                      <w:lang w:val="en-US" w:eastAsia="zh-CN"/>
                    </w:rPr>
                    <w:t>符合</w:t>
                  </w:r>
                </w:p>
              </w:tc>
            </w:tr>
          </w:tbl>
          <w:p w14:paraId="41A0C0B8">
            <w:pPr>
              <w:autoSpaceDE w:val="0"/>
              <w:autoSpaceDN w:val="0"/>
              <w:adjustRightInd w:val="0"/>
              <w:snapToGrid w:val="0"/>
              <w:spacing w:line="360" w:lineRule="auto"/>
              <w:ind w:firstLine="480" w:firstLineChars="200"/>
              <w:jc w:val="both"/>
              <w:rPr>
                <w:rFonts w:hint="eastAsia"/>
                <w:color w:val="FF0000"/>
                <w:kern w:val="0"/>
                <w:sz w:val="24"/>
                <w:highlight w:val="none"/>
                <w:lang w:val="en-US" w:eastAsia="zh-CN"/>
              </w:rPr>
            </w:pPr>
            <w:r>
              <w:rPr>
                <w:rFonts w:hint="eastAsia"/>
                <w:color w:val="FF0000"/>
                <w:kern w:val="0"/>
                <w:sz w:val="24"/>
                <w:highlight w:val="none"/>
                <w:lang w:val="en-US" w:eastAsia="zh-CN"/>
              </w:rPr>
              <w:t>8、与《双鸭山市“十四五”生态环境保护规划》符合性分析</w:t>
            </w:r>
          </w:p>
          <w:p w14:paraId="3ECB9538">
            <w:pPr>
              <w:autoSpaceDE w:val="0"/>
              <w:autoSpaceDN w:val="0"/>
              <w:adjustRightInd w:val="0"/>
              <w:snapToGrid w:val="0"/>
              <w:spacing w:line="360" w:lineRule="auto"/>
              <w:ind w:firstLine="480" w:firstLineChars="200"/>
              <w:jc w:val="both"/>
              <w:rPr>
                <w:rFonts w:hint="default"/>
                <w:color w:val="FF0000"/>
                <w:kern w:val="0"/>
                <w:sz w:val="24"/>
                <w:highlight w:val="none"/>
                <w:lang w:val="en-US" w:eastAsia="zh-CN"/>
              </w:rPr>
            </w:pPr>
            <w:r>
              <w:rPr>
                <w:rFonts w:hint="eastAsia"/>
                <w:color w:val="FF0000"/>
                <w:kern w:val="0"/>
                <w:sz w:val="24"/>
                <w:highlight w:val="none"/>
                <w:lang w:val="en-US" w:eastAsia="zh-CN"/>
              </w:rPr>
              <w:t>本项目与《双鸭山市“十四五”生态环境保护规划》符合性分析见下表。</w:t>
            </w:r>
          </w:p>
          <w:p w14:paraId="149A0893">
            <w:pPr>
              <w:autoSpaceDE w:val="0"/>
              <w:autoSpaceDN w:val="0"/>
              <w:adjustRightInd w:val="0"/>
              <w:snapToGrid w:val="0"/>
              <w:spacing w:line="360" w:lineRule="auto"/>
              <w:ind w:left="0" w:leftChars="0" w:right="0" w:rightChars="0" w:firstLine="0" w:firstLineChars="0"/>
              <w:jc w:val="center"/>
              <w:rPr>
                <w:rFonts w:hint="eastAsia"/>
                <w:color w:val="FF0000"/>
                <w:kern w:val="0"/>
                <w:sz w:val="24"/>
                <w:highlight w:val="none"/>
                <w:lang w:val="en-US" w:eastAsia="zh-CN"/>
              </w:rPr>
            </w:pPr>
            <w:r>
              <w:rPr>
                <w:rFonts w:hint="eastAsia"/>
                <w:color w:val="FF0000"/>
                <w:kern w:val="0"/>
                <w:sz w:val="24"/>
                <w:highlight w:val="none"/>
                <w:lang w:val="en-US" w:eastAsia="zh-CN"/>
              </w:rPr>
              <w:t>表1-7与《双鸭山市“十四五”生态环境保护规划》符合性分析</w:t>
            </w:r>
          </w:p>
          <w:tbl>
            <w:tblPr>
              <w:tblStyle w:val="29"/>
              <w:tblW w:w="67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1"/>
              <w:gridCol w:w="3543"/>
              <w:gridCol w:w="1668"/>
              <w:gridCol w:w="602"/>
            </w:tblGrid>
            <w:tr w14:paraId="14B256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91" w:type="dxa"/>
                  <w:tcBorders>
                    <w:tl2br w:val="nil"/>
                    <w:tr2bl w:val="nil"/>
                  </w:tcBorders>
                  <w:noWrap w:val="0"/>
                  <w:vAlign w:val="center"/>
                </w:tcPr>
                <w:p w14:paraId="05EBAC19">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内容</w:t>
                  </w:r>
                </w:p>
              </w:tc>
              <w:tc>
                <w:tcPr>
                  <w:tcW w:w="3543" w:type="dxa"/>
                  <w:tcBorders>
                    <w:tl2br w:val="nil"/>
                    <w:tr2bl w:val="nil"/>
                  </w:tcBorders>
                  <w:noWrap w:val="0"/>
                  <w:vAlign w:val="center"/>
                </w:tcPr>
                <w:p w14:paraId="03976C71">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要求</w:t>
                  </w:r>
                </w:p>
              </w:tc>
              <w:tc>
                <w:tcPr>
                  <w:tcW w:w="1668" w:type="dxa"/>
                  <w:tcBorders>
                    <w:tl2br w:val="nil"/>
                    <w:tr2bl w:val="nil"/>
                  </w:tcBorders>
                  <w:noWrap w:val="0"/>
                  <w:vAlign w:val="center"/>
                </w:tcPr>
                <w:p w14:paraId="7B89EC57">
                  <w:pPr>
                    <w:autoSpaceDE w:val="0"/>
                    <w:autoSpaceDN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本项目情况</w:t>
                  </w:r>
                </w:p>
              </w:tc>
              <w:tc>
                <w:tcPr>
                  <w:tcW w:w="602" w:type="dxa"/>
                  <w:tcBorders>
                    <w:tl2br w:val="nil"/>
                    <w:tr2bl w:val="nil"/>
                  </w:tcBorders>
                  <w:noWrap w:val="0"/>
                  <w:vAlign w:val="center"/>
                </w:tcPr>
                <w:p w14:paraId="141E240D">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符合性</w:t>
                  </w:r>
                </w:p>
              </w:tc>
            </w:tr>
            <w:tr w14:paraId="1A0F27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91" w:type="dxa"/>
                  <w:tcBorders>
                    <w:tl2br w:val="nil"/>
                    <w:tr2bl w:val="nil"/>
                  </w:tcBorders>
                  <w:noWrap w:val="0"/>
                  <w:vAlign w:val="center"/>
                </w:tcPr>
                <w:p w14:paraId="7953606B">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完善绿色低碳发展机制</w:t>
                  </w:r>
                </w:p>
              </w:tc>
              <w:tc>
                <w:tcPr>
                  <w:tcW w:w="3543" w:type="dxa"/>
                  <w:tcBorders>
                    <w:tl2br w:val="nil"/>
                    <w:tr2bl w:val="nil"/>
                  </w:tcBorders>
                  <w:noWrap w:val="0"/>
                  <w:vAlign w:val="center"/>
                </w:tcPr>
                <w:p w14:paraId="66FAD124">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加强生态环境分区管控。落实“三线一单”生态环境分区管控，建立动态更新和调整机制，强化“三线一单”成果与国土空间规划相衔接，加强“三线一单”在政策制定、环境准入园区管理、执法监管等方面的应用。不断健全环境影响评价等生态环境源头预防体系，对重点区域、重点流域、重点行业等专项规划依法开展环境影响评价，严格建设项目生态环境准入</w:t>
                  </w:r>
                </w:p>
              </w:tc>
              <w:tc>
                <w:tcPr>
                  <w:tcW w:w="1668" w:type="dxa"/>
                  <w:tcBorders>
                    <w:tl2br w:val="nil"/>
                    <w:tr2bl w:val="nil"/>
                  </w:tcBorders>
                  <w:noWrap w:val="0"/>
                  <w:vAlign w:val="center"/>
                </w:tcPr>
                <w:p w14:paraId="7260738B">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green"/>
                      <w:lang w:val="en-US" w:eastAsia="zh-CN"/>
                    </w:rPr>
                  </w:pPr>
                  <w:r>
                    <w:rPr>
                      <w:rFonts w:hint="eastAsia" w:ascii="Times New Roman" w:hAnsi="Times New Roman" w:eastAsia="宋体" w:cs="Times New Roman"/>
                      <w:color w:val="FF0000"/>
                      <w:kern w:val="0"/>
                      <w:sz w:val="21"/>
                      <w:szCs w:val="21"/>
                      <w:highlight w:val="none"/>
                      <w:lang w:val="en-US" w:eastAsia="zh-CN"/>
                    </w:rPr>
                    <w:t>本项目位于双鸭山市尖山区，不占用生态保护红线，符合《双鸭山市人民政府关于实施“三线一单”生态环境分区管控的意见》的管控要求。</w:t>
                  </w:r>
                </w:p>
              </w:tc>
              <w:tc>
                <w:tcPr>
                  <w:tcW w:w="602" w:type="dxa"/>
                  <w:tcBorders>
                    <w:tl2br w:val="nil"/>
                    <w:tr2bl w:val="nil"/>
                  </w:tcBorders>
                  <w:noWrap w:val="0"/>
                  <w:vAlign w:val="center"/>
                </w:tcPr>
                <w:p w14:paraId="1F1F290B">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符合</w:t>
                  </w:r>
                </w:p>
              </w:tc>
            </w:tr>
            <w:tr w14:paraId="0056F1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91" w:type="dxa"/>
                  <w:tcBorders>
                    <w:tl2br w:val="nil"/>
                    <w:tr2bl w:val="nil"/>
                  </w:tcBorders>
                  <w:noWrap w:val="0"/>
                  <w:vAlign w:val="center"/>
                </w:tcPr>
                <w:p w14:paraId="170DEC2C">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深化协同控制，持续改善环境空气质量</w:t>
                  </w:r>
                </w:p>
              </w:tc>
              <w:tc>
                <w:tcPr>
                  <w:tcW w:w="3543" w:type="dxa"/>
                  <w:tcBorders>
                    <w:tl2br w:val="nil"/>
                    <w:tr2bl w:val="nil"/>
                  </w:tcBorders>
                  <w:noWrap w:val="0"/>
                  <w:vAlign w:val="center"/>
                </w:tcPr>
                <w:p w14:paraId="32403DAC">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加强扬尘精细化管控。积极推行绿色施工，督促责任单位严格落实标准化防控措施。将绿色施工纳入企业资质评价、信用评价。重点区域道路、水务等线性工程进行分段施工。推进低尘机械化湿式清扫作业，加大城市出入口、城乡结合部等重要路段冲洗保洁力度，渣土车实施硬覆盖与全密闭运输，强化绿化用地扬尘治理。加强城市裸露地面、粉粒类物料堆放以及大型煤炭物料堆场的抑尘设施建设。</w:t>
                  </w:r>
                </w:p>
              </w:tc>
              <w:tc>
                <w:tcPr>
                  <w:tcW w:w="1668" w:type="dxa"/>
                  <w:tcBorders>
                    <w:tl2br w:val="nil"/>
                    <w:tr2bl w:val="nil"/>
                  </w:tcBorders>
                  <w:noWrap w:val="0"/>
                  <w:vAlign w:val="center"/>
                </w:tcPr>
                <w:p w14:paraId="13EA07D8">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green"/>
                      <w:lang w:val="en-US" w:eastAsia="zh-CN"/>
                    </w:rPr>
                  </w:pPr>
                  <w:r>
                    <w:rPr>
                      <w:rFonts w:hint="eastAsia" w:ascii="Times New Roman" w:hAnsi="Times New Roman" w:eastAsia="宋体" w:cs="Times New Roman"/>
                      <w:color w:val="FF0000"/>
                      <w:kern w:val="0"/>
                      <w:sz w:val="21"/>
                      <w:szCs w:val="21"/>
                      <w:highlight w:val="none"/>
                      <w:lang w:val="en-US" w:eastAsia="zh-CN"/>
                    </w:rPr>
                    <w:t>本项目主厂房采取全封闭措施，定期冲洗车间地面；原煤仓、精煤仓、矸石仓均采取全封闭措施，定期洒水降尘；物料在运输过程中采取减速行驶且运输车辆运输时车身加盖苫布，防止物料洒落；厂区定期清扫，定期洒水抑尘，保持厂区地面清洁。</w:t>
                  </w:r>
                </w:p>
              </w:tc>
              <w:tc>
                <w:tcPr>
                  <w:tcW w:w="602" w:type="dxa"/>
                  <w:tcBorders>
                    <w:tl2br w:val="nil"/>
                    <w:tr2bl w:val="nil"/>
                  </w:tcBorders>
                  <w:noWrap w:val="0"/>
                  <w:vAlign w:val="center"/>
                </w:tcPr>
                <w:p w14:paraId="35AC0746">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符合</w:t>
                  </w:r>
                </w:p>
              </w:tc>
            </w:tr>
            <w:tr w14:paraId="31936D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91" w:type="dxa"/>
                  <w:tcBorders>
                    <w:tl2br w:val="nil"/>
                    <w:tr2bl w:val="nil"/>
                  </w:tcBorders>
                  <w:noWrap w:val="0"/>
                  <w:vAlign w:val="center"/>
                </w:tcPr>
                <w:p w14:paraId="476FB602">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强化噪声防治</w:t>
                  </w:r>
                </w:p>
              </w:tc>
              <w:tc>
                <w:tcPr>
                  <w:tcW w:w="3543" w:type="dxa"/>
                  <w:tcBorders>
                    <w:tl2br w:val="nil"/>
                    <w:tr2bl w:val="nil"/>
                  </w:tcBorders>
                  <w:noWrap w:val="0"/>
                  <w:vAlign w:val="center"/>
                </w:tcPr>
                <w:p w14:paraId="0578FD1A">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制定实施噪声污染防治行动计划。明确监管责任，开展声环境功能区评估与调整。在声环境功能区安装噪声自动监测系统。在制定国土空间规划及交通运输等相关规划时，合理划定防噪声距离,明确规划设计要求。因特殊需要必须连续作业的必须有县级以上政府或者其有关主管部门的证明，并公告附近居民。鼓励采用低噪声施工设备和工艺。加强对文化娱乐、商业经营中社会生活噪声热点问题日常监管和集中整治。到2025年，全面实现功能区声环境质量自动监测，声环境功能区夜间达标率达到国家要求。</w:t>
                  </w:r>
                </w:p>
              </w:tc>
              <w:tc>
                <w:tcPr>
                  <w:tcW w:w="1668" w:type="dxa"/>
                  <w:tcBorders>
                    <w:tl2br w:val="nil"/>
                    <w:tr2bl w:val="nil"/>
                  </w:tcBorders>
                  <w:noWrap w:val="0"/>
                  <w:vAlign w:val="center"/>
                </w:tcPr>
                <w:p w14:paraId="19C272E7">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green"/>
                      <w:lang w:val="en-US" w:eastAsia="zh-CN"/>
                    </w:rPr>
                  </w:pPr>
                  <w:r>
                    <w:rPr>
                      <w:rFonts w:hint="eastAsia" w:ascii="Times New Roman" w:hAnsi="Times New Roman" w:eastAsia="宋体" w:cs="Times New Roman"/>
                      <w:color w:val="FF0000"/>
                      <w:kern w:val="0"/>
                      <w:sz w:val="21"/>
                      <w:szCs w:val="21"/>
                      <w:highlight w:val="none"/>
                      <w:lang w:val="en-US" w:eastAsia="zh-CN"/>
                    </w:rPr>
                    <w:t>项目采用低噪声设备和工艺，并通过合理布局，厂界噪声满足《工业企业厂界环境噪声排放标准》（GB12348-2008）中3类标准。</w:t>
                  </w:r>
                </w:p>
              </w:tc>
              <w:tc>
                <w:tcPr>
                  <w:tcW w:w="602" w:type="dxa"/>
                  <w:tcBorders>
                    <w:tl2br w:val="nil"/>
                    <w:tr2bl w:val="nil"/>
                  </w:tcBorders>
                  <w:noWrap w:val="0"/>
                  <w:vAlign w:val="center"/>
                </w:tcPr>
                <w:p w14:paraId="140A27AC">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符合</w:t>
                  </w:r>
                </w:p>
              </w:tc>
            </w:tr>
            <w:tr w14:paraId="097F3D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91" w:type="dxa"/>
                  <w:tcBorders>
                    <w:tl2br w:val="nil"/>
                    <w:tr2bl w:val="nil"/>
                  </w:tcBorders>
                  <w:noWrap w:val="0"/>
                  <w:vAlign w:val="center"/>
                </w:tcPr>
                <w:p w14:paraId="425E1B83">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加强“三水”统筹，稳步提升水生态环境质量</w:t>
                  </w:r>
                </w:p>
              </w:tc>
              <w:tc>
                <w:tcPr>
                  <w:tcW w:w="3543" w:type="dxa"/>
                  <w:tcBorders>
                    <w:tl2br w:val="nil"/>
                    <w:tr2bl w:val="nil"/>
                  </w:tcBorders>
                  <w:noWrap w:val="0"/>
                  <w:vAlign w:val="center"/>
                </w:tcPr>
                <w:p w14:paraId="541DCB6F">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加强工业园区环境监管。监督双鸭山经开区、黑龙江集贤经济开发区和黑龙江宝清经济开发区污水处理厂稳定运行，保障园区内涉水污染物排放企业生产、生活污水全部纳入园区污水处理厂处理。因地制宜推动园区污水处理设施建设，以我市“十三五”期间新升级省级工业园区为重点，开展污水处理设施建设。对入驻企业较少、主要产生生活污水、工业污水中不含有毒有害物质的园区，园区污水可就近依托城镇污水处理厂进行处理;对工业污水排放量较小的园区，可依托园区的企业治污设施处理后达标排放，或由园区管理机构按照环保“三同时”原则，分期建设、分组运行园区污水处理设施。</w:t>
                  </w:r>
                </w:p>
              </w:tc>
              <w:tc>
                <w:tcPr>
                  <w:tcW w:w="1668" w:type="dxa"/>
                  <w:tcBorders>
                    <w:tl2br w:val="nil"/>
                    <w:tr2bl w:val="nil"/>
                  </w:tcBorders>
                  <w:noWrap w:val="0"/>
                  <w:vAlign w:val="center"/>
                </w:tcPr>
                <w:p w14:paraId="0E0B5C33">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green"/>
                      <w:lang w:val="en-US" w:eastAsia="zh-CN"/>
                    </w:rPr>
                  </w:pPr>
                  <w:r>
                    <w:rPr>
                      <w:rFonts w:hint="eastAsia" w:ascii="Times New Roman" w:hAnsi="Times New Roman" w:eastAsia="宋体" w:cs="Times New Roman"/>
                      <w:color w:val="FF0000"/>
                      <w:kern w:val="0"/>
                      <w:sz w:val="21"/>
                      <w:szCs w:val="21"/>
                      <w:highlight w:val="none"/>
                      <w:lang w:val="en-US" w:eastAsia="zh-CN"/>
                    </w:rPr>
                    <w:t>本项目的洗水闭路循环利用，不外排。</w:t>
                  </w:r>
                </w:p>
              </w:tc>
              <w:tc>
                <w:tcPr>
                  <w:tcW w:w="602" w:type="dxa"/>
                  <w:tcBorders>
                    <w:tl2br w:val="nil"/>
                    <w:tr2bl w:val="nil"/>
                  </w:tcBorders>
                  <w:noWrap w:val="0"/>
                  <w:vAlign w:val="center"/>
                </w:tcPr>
                <w:p w14:paraId="7C9DD1CD">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符合</w:t>
                  </w:r>
                </w:p>
              </w:tc>
            </w:tr>
          </w:tbl>
          <w:p w14:paraId="72DC5BA5">
            <w:pPr>
              <w:autoSpaceDE w:val="0"/>
              <w:autoSpaceDN w:val="0"/>
              <w:adjustRightInd w:val="0"/>
              <w:snapToGrid w:val="0"/>
              <w:spacing w:line="360" w:lineRule="auto"/>
              <w:ind w:firstLine="480" w:firstLineChars="200"/>
              <w:jc w:val="both"/>
              <w:rPr>
                <w:rFonts w:hint="eastAsia"/>
                <w:color w:val="FF0000"/>
                <w:kern w:val="0"/>
                <w:sz w:val="24"/>
                <w:highlight w:val="none"/>
                <w:lang w:val="en-US" w:eastAsia="zh-CN"/>
              </w:rPr>
            </w:pPr>
            <w:r>
              <w:rPr>
                <w:rFonts w:hint="eastAsia"/>
                <w:color w:val="FF0000"/>
                <w:kern w:val="0"/>
                <w:sz w:val="24"/>
                <w:highlight w:val="none"/>
                <w:lang w:val="en-US" w:eastAsia="zh-CN"/>
              </w:rPr>
              <w:t>9、与《双鸭山市空气质量持续改善行动计划实施方案》符合性分析</w:t>
            </w:r>
          </w:p>
          <w:p w14:paraId="726E5144">
            <w:pPr>
              <w:autoSpaceDE w:val="0"/>
              <w:autoSpaceDN w:val="0"/>
              <w:adjustRightInd w:val="0"/>
              <w:snapToGrid w:val="0"/>
              <w:spacing w:line="360" w:lineRule="auto"/>
              <w:ind w:firstLine="480" w:firstLineChars="200"/>
              <w:jc w:val="both"/>
              <w:rPr>
                <w:rFonts w:hint="eastAsia"/>
                <w:color w:val="FF0000"/>
                <w:kern w:val="0"/>
                <w:sz w:val="24"/>
                <w:highlight w:val="none"/>
                <w:lang w:val="en-US" w:eastAsia="zh-CN"/>
              </w:rPr>
            </w:pPr>
            <w:r>
              <w:rPr>
                <w:rFonts w:hint="eastAsia"/>
                <w:color w:val="FF0000"/>
                <w:kern w:val="0"/>
                <w:sz w:val="24"/>
                <w:highlight w:val="none"/>
                <w:lang w:val="en-US" w:eastAsia="zh-CN"/>
              </w:rPr>
              <w:t>《双鸭山市空气质量持续改善行动计划实施方案》：五、持续加强面源污染治理，（十八）深化扬尘污染综合治理。推进扬尘精细化管控，将防治扬尘污染费用纳入工程造价。积极推行绿色施工，督促责任单位严格落实标准化防控措施。推进低尘机械化湿式清扫作业，加大城市出入口、城乡结合部等重要路段冲洗保洁力度。根据《双鸭山市主城区运输车辆专项整治工作方案》（双政办规〔2023〕11号），进一步规范运输行业作业秩序，营造良好城市环境。各县（区）参照方案，强化属地运输车辆管控。对城市公共裸地进行排查建档并采取防尘措施。强化工业企业的露天料场、堆场防扬尘措施监管。到2025年，装配式建筑占新建建筑面积的比例力争达到15%；城市主次干路机械化清扫率达到100%，城乡结合部道路达到80%，县城机械化清扫比率提升。</w:t>
            </w:r>
          </w:p>
          <w:p w14:paraId="65BDDFC5">
            <w:pPr>
              <w:autoSpaceDE w:val="0"/>
              <w:autoSpaceDN w:val="0"/>
              <w:adjustRightInd w:val="0"/>
              <w:snapToGrid w:val="0"/>
              <w:spacing w:line="360" w:lineRule="auto"/>
              <w:ind w:firstLine="480" w:firstLineChars="200"/>
              <w:jc w:val="both"/>
              <w:rPr>
                <w:rFonts w:hint="eastAsia"/>
                <w:color w:val="FF0000"/>
                <w:kern w:val="0"/>
                <w:sz w:val="24"/>
                <w:highlight w:val="none"/>
                <w:lang w:val="en-US" w:eastAsia="zh-CN"/>
              </w:rPr>
            </w:pPr>
            <w:r>
              <w:rPr>
                <w:rFonts w:hint="eastAsia"/>
                <w:color w:val="FF0000"/>
                <w:kern w:val="0"/>
                <w:sz w:val="24"/>
                <w:highlight w:val="none"/>
                <w:lang w:val="en-US" w:eastAsia="zh-CN"/>
              </w:rPr>
              <w:t>本项目原料原煤采用火车运输，按照规定的路线和时间行驶。原煤运输过程采用全封闭形式运输。原料贮存库采取密闭厂房进行存放。因此符合《双鸭山市空气质量持续改善行动计划贯彻落实方案》。</w:t>
            </w:r>
          </w:p>
          <w:p w14:paraId="46817501">
            <w:pPr>
              <w:autoSpaceDE w:val="0"/>
              <w:autoSpaceDN w:val="0"/>
              <w:adjustRightInd w:val="0"/>
              <w:snapToGrid w:val="0"/>
              <w:spacing w:line="360" w:lineRule="auto"/>
              <w:ind w:firstLine="480" w:firstLineChars="200"/>
              <w:jc w:val="both"/>
              <w:rPr>
                <w:rFonts w:hint="eastAsia"/>
                <w:color w:val="FF0000"/>
                <w:kern w:val="0"/>
                <w:sz w:val="24"/>
                <w:highlight w:val="none"/>
                <w:lang w:val="en-US" w:eastAsia="zh-CN"/>
              </w:rPr>
            </w:pPr>
            <w:r>
              <w:rPr>
                <w:rFonts w:hint="eastAsia"/>
                <w:color w:val="FF0000"/>
                <w:kern w:val="0"/>
                <w:sz w:val="24"/>
                <w:highlight w:val="none"/>
                <w:lang w:val="en-US" w:eastAsia="zh-CN"/>
              </w:rPr>
              <w:t>10、与《黑龙江省空气质量持续改善行动计划实施方案》（黑政发〔2023〕19号）符合性分析</w:t>
            </w:r>
          </w:p>
          <w:p w14:paraId="3B286334">
            <w:pPr>
              <w:autoSpaceDE w:val="0"/>
              <w:autoSpaceDN w:val="0"/>
              <w:adjustRightInd w:val="0"/>
              <w:snapToGrid w:val="0"/>
              <w:spacing w:line="360" w:lineRule="auto"/>
              <w:ind w:firstLine="480" w:firstLineChars="200"/>
              <w:jc w:val="both"/>
              <w:rPr>
                <w:rFonts w:hint="eastAsia"/>
                <w:color w:val="FF0000"/>
                <w:kern w:val="0"/>
                <w:sz w:val="24"/>
                <w:highlight w:val="none"/>
              </w:rPr>
            </w:pPr>
            <w:r>
              <w:rPr>
                <w:rFonts w:hint="eastAsia"/>
                <w:color w:val="FF0000"/>
                <w:kern w:val="0"/>
                <w:sz w:val="24"/>
                <w:highlight w:val="none"/>
                <w:lang w:val="en-US" w:eastAsia="zh-CN"/>
              </w:rPr>
              <w:t xml:space="preserve">本项目与《黑龙江省空气质量持续改善行动计划实施方案》（黑政发〔2023〕19号）符合性分析见下表。 </w:t>
            </w:r>
          </w:p>
          <w:p w14:paraId="6C2A0C62">
            <w:pPr>
              <w:autoSpaceDE w:val="0"/>
              <w:autoSpaceDN w:val="0"/>
              <w:adjustRightInd w:val="0"/>
              <w:snapToGrid w:val="0"/>
              <w:spacing w:line="360" w:lineRule="auto"/>
              <w:ind w:left="0" w:leftChars="0" w:right="0" w:rightChars="0" w:firstLine="0" w:firstLineChars="0"/>
              <w:jc w:val="center"/>
              <w:rPr>
                <w:rFonts w:hint="eastAsia"/>
                <w:color w:val="FF0000"/>
                <w:kern w:val="0"/>
                <w:sz w:val="24"/>
                <w:highlight w:val="none"/>
              </w:rPr>
            </w:pPr>
            <w:r>
              <w:rPr>
                <w:rFonts w:hint="eastAsia"/>
                <w:color w:val="FF0000"/>
                <w:kern w:val="0"/>
                <w:sz w:val="24"/>
                <w:highlight w:val="none"/>
                <w:lang w:val="en-US" w:eastAsia="zh-CN"/>
              </w:rPr>
              <w:t>表1-8 与《黑龙江省空气质量持续改善行动计划实施方案》（黑政发〔2023〕19号）符合性</w:t>
            </w:r>
          </w:p>
          <w:tbl>
            <w:tblPr>
              <w:tblStyle w:val="29"/>
              <w:tblW w:w="68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66"/>
              <w:gridCol w:w="2170"/>
              <w:gridCol w:w="929"/>
            </w:tblGrid>
            <w:tr w14:paraId="306DC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6" w:type="dxa"/>
                  <w:tcBorders>
                    <w:top w:val="single" w:color="auto" w:sz="12" w:space="0"/>
                  </w:tcBorders>
                </w:tcPr>
                <w:p w14:paraId="1AB531AC">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方案要求</w:t>
                  </w:r>
                </w:p>
              </w:tc>
              <w:tc>
                <w:tcPr>
                  <w:tcW w:w="2170" w:type="dxa"/>
                  <w:tcBorders>
                    <w:top w:val="single" w:color="auto" w:sz="12" w:space="0"/>
                  </w:tcBorders>
                  <w:vAlign w:val="center"/>
                </w:tcPr>
                <w:p w14:paraId="461D7E2E">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本项目情况</w:t>
                  </w:r>
                </w:p>
              </w:tc>
              <w:tc>
                <w:tcPr>
                  <w:tcW w:w="929" w:type="dxa"/>
                  <w:tcBorders>
                    <w:top w:val="single" w:color="auto" w:sz="12" w:space="0"/>
                    <w:right w:val="nil"/>
                  </w:tcBorders>
                  <w:vAlign w:val="center"/>
                </w:tcPr>
                <w:p w14:paraId="1886FA1B">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符合性</w:t>
                  </w:r>
                </w:p>
              </w:tc>
            </w:tr>
            <w:tr w14:paraId="0FCE9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6" w:type="dxa"/>
                  <w:tcBorders>
                    <w:left w:val="nil"/>
                  </w:tcBorders>
                </w:tcPr>
                <w:p w14:paraId="5A341032">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七）积极推进含VOCs原辅材料和产品源头替代。严格控制生产和使用高VOCs含量溶剂型涂料、油墨、胶粘剂、清洗剂等建设项目。提高水性、高固体分、无溶剂、粉末等低（无）VOCs含量产品的比重。工业涂装、包装印刷、电子等行业企业要加大低（无）VOCs含量原辅材料的源头替代力度。在房屋建筑和市政工程中，全面推广使用低（无）VOCs含量涂料和胶粘剂；推动除特殊功能要求外的室内地坪施工、室外构筑物防护和道路交通标志喷涂使用低（无）VOCs含量涂料。在生产、销售、进口、使用等环节严格执行VOCs含量限值标准。</w:t>
                  </w:r>
                </w:p>
              </w:tc>
              <w:tc>
                <w:tcPr>
                  <w:tcW w:w="2170" w:type="dxa"/>
                  <w:vMerge w:val="restart"/>
                  <w:vAlign w:val="center"/>
                </w:tcPr>
                <w:p w14:paraId="093ED99F">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本项目为</w:t>
                  </w:r>
                  <w:r>
                    <w:rPr>
                      <w:rFonts w:hint="eastAsia" w:ascii="Times New Roman" w:hAnsi="Times New Roman" w:cs="Times New Roman"/>
                      <w:color w:val="FF0000"/>
                      <w:kern w:val="0"/>
                      <w:sz w:val="21"/>
                      <w:szCs w:val="21"/>
                      <w:highlight w:val="none"/>
                      <w:lang w:val="en-US" w:eastAsia="zh-CN"/>
                    </w:rPr>
                    <w:t>煤炭洗选</w:t>
                  </w:r>
                  <w:r>
                    <w:rPr>
                      <w:rFonts w:hint="eastAsia" w:ascii="Times New Roman" w:hAnsi="Times New Roman" w:eastAsia="宋体" w:cs="Times New Roman"/>
                      <w:color w:val="FF0000"/>
                      <w:kern w:val="0"/>
                      <w:sz w:val="21"/>
                      <w:szCs w:val="21"/>
                      <w:highlight w:val="none"/>
                      <w:lang w:val="en-US" w:eastAsia="zh-CN"/>
                    </w:rPr>
                    <w:t>建设项目，运营期</w:t>
                  </w:r>
                  <w:r>
                    <w:rPr>
                      <w:rFonts w:hint="eastAsia" w:ascii="Times New Roman" w:hAnsi="Times New Roman" w:cs="Times New Roman"/>
                      <w:color w:val="FF0000"/>
                      <w:kern w:val="0"/>
                      <w:sz w:val="21"/>
                      <w:szCs w:val="21"/>
                      <w:highlight w:val="none"/>
                      <w:lang w:val="en-US" w:eastAsia="zh-CN"/>
                    </w:rPr>
                    <w:t>涉及到的挥发性有机物废气</w:t>
                  </w:r>
                  <w:r>
                    <w:rPr>
                      <w:rFonts w:hint="eastAsia" w:ascii="Times New Roman" w:hAnsi="Times New Roman" w:eastAsia="宋体" w:cs="Times New Roman"/>
                      <w:color w:val="FF0000"/>
                      <w:kern w:val="0"/>
                      <w:sz w:val="21"/>
                      <w:szCs w:val="21"/>
                      <w:highlight w:val="none"/>
                      <w:lang w:val="en-US" w:eastAsia="zh-CN"/>
                    </w:rPr>
                    <w:t>主要为</w:t>
                  </w:r>
                  <w:r>
                    <w:rPr>
                      <w:rFonts w:hint="eastAsia" w:ascii="Times New Roman" w:hAnsi="Times New Roman" w:cs="Times New Roman"/>
                      <w:color w:val="FF0000"/>
                      <w:kern w:val="0"/>
                      <w:sz w:val="21"/>
                      <w:szCs w:val="21"/>
                      <w:highlight w:val="none"/>
                      <w:lang w:val="en-US" w:eastAsia="zh-CN"/>
                    </w:rPr>
                    <w:t>浮选过程、油类贮存</w:t>
                  </w:r>
                  <w:r>
                    <w:rPr>
                      <w:rFonts w:hint="eastAsia" w:ascii="Times New Roman" w:hAnsi="Times New Roman" w:eastAsia="宋体" w:cs="Times New Roman"/>
                      <w:color w:val="FF0000"/>
                      <w:kern w:val="0"/>
                      <w:sz w:val="21"/>
                      <w:szCs w:val="21"/>
                      <w:highlight w:val="none"/>
                      <w:lang w:val="en-US" w:eastAsia="zh-CN"/>
                    </w:rPr>
                    <w:t>产生的非甲烷总烃，产生量较小，</w:t>
                  </w:r>
                  <w:r>
                    <w:rPr>
                      <w:rFonts w:hint="eastAsia" w:ascii="Times New Roman" w:hAnsi="Times New Roman" w:cs="Times New Roman"/>
                      <w:color w:val="FF0000"/>
                      <w:kern w:val="0"/>
                      <w:sz w:val="21"/>
                      <w:szCs w:val="21"/>
                      <w:highlight w:val="none"/>
                      <w:lang w:val="en-US" w:eastAsia="zh-CN"/>
                    </w:rPr>
                    <w:t>浮选工序位于主厂房五楼，</w:t>
                  </w:r>
                  <w:r>
                    <w:rPr>
                      <w:rFonts w:hint="eastAsia" w:ascii="Times New Roman" w:hAnsi="Times New Roman" w:eastAsia="宋体" w:cs="Times New Roman"/>
                      <w:color w:val="FF0000"/>
                      <w:kern w:val="0"/>
                      <w:sz w:val="21"/>
                      <w:szCs w:val="21"/>
                      <w:highlight w:val="none"/>
                      <w:lang w:val="en-US" w:eastAsia="zh-CN"/>
                    </w:rPr>
                    <w:t>通过</w:t>
                  </w:r>
                  <w:r>
                    <w:rPr>
                      <w:rFonts w:hint="eastAsia" w:ascii="Times New Roman" w:hAnsi="Times New Roman" w:cs="Times New Roman"/>
                      <w:color w:val="FF0000"/>
                      <w:kern w:val="0"/>
                      <w:sz w:val="21"/>
                      <w:szCs w:val="21"/>
                      <w:highlight w:val="none"/>
                      <w:lang w:val="en-US" w:eastAsia="zh-CN"/>
                    </w:rPr>
                    <w:t>车间</w:t>
                  </w:r>
                  <w:r>
                    <w:rPr>
                      <w:rFonts w:hint="eastAsia" w:ascii="Times New Roman" w:hAnsi="Times New Roman" w:eastAsia="宋体" w:cs="Times New Roman"/>
                      <w:color w:val="FF0000"/>
                      <w:kern w:val="0"/>
                      <w:sz w:val="21"/>
                      <w:szCs w:val="21"/>
                      <w:highlight w:val="none"/>
                      <w:lang w:val="en-US" w:eastAsia="zh-CN"/>
                    </w:rPr>
                    <w:t>通风</w:t>
                  </w:r>
                  <w:r>
                    <w:rPr>
                      <w:rFonts w:hint="eastAsia" w:ascii="Times New Roman" w:hAnsi="Times New Roman" w:cs="Times New Roman"/>
                      <w:color w:val="FF0000"/>
                      <w:kern w:val="0"/>
                      <w:sz w:val="21"/>
                      <w:szCs w:val="21"/>
                      <w:highlight w:val="none"/>
                      <w:lang w:val="en-US" w:eastAsia="zh-CN"/>
                    </w:rPr>
                    <w:t>口</w:t>
                  </w:r>
                  <w:r>
                    <w:rPr>
                      <w:rFonts w:hint="eastAsia" w:ascii="Times New Roman" w:hAnsi="Times New Roman" w:eastAsia="宋体" w:cs="Times New Roman"/>
                      <w:color w:val="FF0000"/>
                      <w:kern w:val="0"/>
                      <w:sz w:val="21"/>
                      <w:szCs w:val="21"/>
                      <w:highlight w:val="none"/>
                      <w:lang w:val="en-US" w:eastAsia="zh-CN"/>
                    </w:rPr>
                    <w:t>排放。</w:t>
                  </w:r>
                  <w:r>
                    <w:rPr>
                      <w:rFonts w:hint="eastAsia" w:ascii="Times New Roman" w:hAnsi="Times New Roman" w:cs="Times New Roman"/>
                      <w:color w:val="FF0000"/>
                      <w:kern w:val="0"/>
                      <w:sz w:val="21"/>
                      <w:szCs w:val="21"/>
                      <w:highlight w:val="none"/>
                      <w:lang w:val="en-US" w:eastAsia="zh-CN"/>
                    </w:rPr>
                    <w:t>油料的装卸、运输过程中采用密闭管道和封闭接口，减少油料的空气暴露量，产生的非甲烷总烃量较少。厂内非甲烷总烃</w:t>
                  </w:r>
                  <w:r>
                    <w:rPr>
                      <w:rFonts w:hint="eastAsia" w:ascii="Times New Roman" w:hAnsi="Times New Roman" w:eastAsia="宋体" w:cs="Times New Roman"/>
                      <w:color w:val="FF0000"/>
                      <w:kern w:val="0"/>
                      <w:sz w:val="21"/>
                      <w:szCs w:val="21"/>
                      <w:highlight w:val="none"/>
                      <w:lang w:val="en-US" w:eastAsia="zh-CN"/>
                    </w:rPr>
                    <w:t>排放满足《挥发性有机物无组织排放控制标准》（GB37822-2019）附录A表A.1中无组织排放限值要求。厂界非甲烷总烃排放满足《大气污染物综合排放标准》（GB16297-1996）标准限值要求。</w:t>
                  </w:r>
                </w:p>
              </w:tc>
              <w:tc>
                <w:tcPr>
                  <w:tcW w:w="929" w:type="dxa"/>
                  <w:vMerge w:val="restart"/>
                  <w:tcBorders>
                    <w:right w:val="nil"/>
                  </w:tcBorders>
                  <w:vAlign w:val="center"/>
                </w:tcPr>
                <w:p w14:paraId="3A64E166">
                  <w:pPr>
                    <w:autoSpaceDE w:val="0"/>
                    <w:autoSpaceDN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FF0000"/>
                      <w:kern w:val="0"/>
                      <w:sz w:val="21"/>
                      <w:szCs w:val="21"/>
                      <w:highlight w:val="none"/>
                      <w:lang w:val="en-US" w:eastAsia="zh-CN"/>
                    </w:rPr>
                  </w:pPr>
                  <w:r>
                    <w:rPr>
                      <w:rFonts w:hint="eastAsia" w:ascii="Times New Roman" w:hAnsi="Times New Roman" w:cs="Times New Roman"/>
                      <w:color w:val="FF0000"/>
                      <w:kern w:val="0"/>
                      <w:sz w:val="21"/>
                      <w:szCs w:val="21"/>
                      <w:highlight w:val="none"/>
                      <w:lang w:val="en-US" w:eastAsia="zh-CN"/>
                    </w:rPr>
                    <w:t>符合</w:t>
                  </w:r>
                </w:p>
              </w:tc>
            </w:tr>
            <w:tr w14:paraId="6F193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6" w:type="dxa"/>
                  <w:tcBorders>
                    <w:left w:val="nil"/>
                  </w:tcBorders>
                </w:tcPr>
                <w:p w14:paraId="145ED55E">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八）推动绿色环保产业健康发展。加大政策支持力度，在低（无）VOCs含量原辅材料生产和使用、VOCs污染治理、超低排放改造、环境和大气成分监测等领域支持培育一批具有竞争力的龙头企业。多措并举治理环保领域低价低质中标乱象，营造公平竞争环境，推动产业健康有序发展。</w:t>
                  </w:r>
                </w:p>
              </w:tc>
              <w:tc>
                <w:tcPr>
                  <w:tcW w:w="2170" w:type="dxa"/>
                  <w:vMerge w:val="continue"/>
                  <w:vAlign w:val="center"/>
                </w:tcPr>
                <w:p w14:paraId="26C7A7CF">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p>
              </w:tc>
              <w:tc>
                <w:tcPr>
                  <w:tcW w:w="929" w:type="dxa"/>
                  <w:vMerge w:val="continue"/>
                  <w:tcBorders>
                    <w:right w:val="nil"/>
                  </w:tcBorders>
                  <w:vAlign w:val="center"/>
                </w:tcPr>
                <w:p w14:paraId="195C44D7">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p>
              </w:tc>
            </w:tr>
            <w:tr w14:paraId="6F37F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6" w:type="dxa"/>
                  <w:tcBorders>
                    <w:left w:val="nil"/>
                    <w:bottom w:val="single" w:color="auto" w:sz="12" w:space="0"/>
                  </w:tcBorders>
                </w:tcPr>
                <w:p w14:paraId="5489BED9">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rPr>
                    <w:t>（二十二）强化VOCs全流程、全环节综合治理。鼓励使用低泄漏的储罐呼吸阀、紧急泄压阀，定期开展储罐部件密封性检测。对装载汽油、煤油等高挥发性化工产品的汽车罐车，推广使用自封式快速接头。污水处理场所高浓度废气要单独收集处理；含VOCs有机废水储罐、装置区集水井（池）废气要密闭收集处理。规范开展泄漏检测与修复（LDAR）。企业开停工、检维修期间，及时收集处理退料、清洗、吹扫等作业产生的VOCs废气。企业不得将火炬燃烧装置作为日常大气污染处理设施。</w:t>
                  </w:r>
                </w:p>
              </w:tc>
              <w:tc>
                <w:tcPr>
                  <w:tcW w:w="2170" w:type="dxa"/>
                  <w:vMerge w:val="continue"/>
                  <w:tcBorders>
                    <w:bottom w:val="single" w:color="auto" w:sz="12" w:space="0"/>
                  </w:tcBorders>
                  <w:vAlign w:val="center"/>
                </w:tcPr>
                <w:p w14:paraId="38FD527B">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p>
              </w:tc>
              <w:tc>
                <w:tcPr>
                  <w:tcW w:w="929" w:type="dxa"/>
                  <w:vMerge w:val="continue"/>
                  <w:tcBorders>
                    <w:bottom w:val="single" w:color="auto" w:sz="12" w:space="0"/>
                    <w:right w:val="nil"/>
                  </w:tcBorders>
                  <w:vAlign w:val="center"/>
                </w:tcPr>
                <w:p w14:paraId="38BD73C9">
                  <w:pPr>
                    <w:autoSpaceDE w:val="0"/>
                    <w:autoSpaceDN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kern w:val="0"/>
                      <w:sz w:val="21"/>
                      <w:szCs w:val="21"/>
                      <w:highlight w:val="none"/>
                      <w:lang w:val="en-US" w:eastAsia="zh-CN"/>
                    </w:rPr>
                  </w:pPr>
                </w:p>
              </w:tc>
            </w:tr>
          </w:tbl>
          <w:p w14:paraId="22A3DD13">
            <w:pPr>
              <w:autoSpaceDE w:val="0"/>
              <w:autoSpaceDN w:val="0"/>
              <w:adjustRightInd w:val="0"/>
              <w:snapToGrid w:val="0"/>
              <w:spacing w:line="360" w:lineRule="auto"/>
              <w:ind w:firstLine="480" w:firstLineChars="200"/>
              <w:jc w:val="both"/>
              <w:rPr>
                <w:rFonts w:hint="eastAsia"/>
                <w:color w:val="FF0000"/>
                <w:kern w:val="0"/>
                <w:sz w:val="24"/>
                <w:highlight w:val="none"/>
                <w:lang w:val="en-US" w:eastAsia="zh-CN"/>
              </w:rPr>
            </w:pPr>
            <w:r>
              <w:rPr>
                <w:rFonts w:hint="eastAsia"/>
                <w:color w:val="FF0000"/>
                <w:kern w:val="0"/>
                <w:sz w:val="24"/>
                <w:highlight w:val="none"/>
                <w:lang w:val="en-US" w:eastAsia="zh-CN"/>
              </w:rPr>
              <w:t>11、与《黑龙江省防沙治沙条例》符合性分析</w:t>
            </w:r>
          </w:p>
          <w:p w14:paraId="4CE62789">
            <w:pPr>
              <w:autoSpaceDE w:val="0"/>
              <w:autoSpaceDN w:val="0"/>
              <w:adjustRightInd w:val="0"/>
              <w:snapToGrid w:val="0"/>
              <w:spacing w:line="360" w:lineRule="auto"/>
              <w:ind w:firstLine="480" w:firstLineChars="200"/>
              <w:jc w:val="both"/>
              <w:rPr>
                <w:rFonts w:hint="eastAsia"/>
                <w:color w:val="FF0000"/>
                <w:kern w:val="0"/>
                <w:sz w:val="24"/>
                <w:highlight w:val="none"/>
                <w:lang w:val="en-US" w:eastAsia="zh-CN"/>
              </w:rPr>
            </w:pPr>
            <w:r>
              <w:rPr>
                <w:rFonts w:hint="eastAsia"/>
                <w:color w:val="FF0000"/>
                <w:kern w:val="0"/>
                <w:sz w:val="24"/>
                <w:highlight w:val="none"/>
                <w:lang w:val="en-US" w:eastAsia="zh-CN"/>
              </w:rPr>
              <w:t>第四章、第三十一条防沙治沙应当以风沙灾害治理为重点，改善生态脆弱地区的生态环境：</w:t>
            </w:r>
          </w:p>
          <w:p w14:paraId="4D3D8748">
            <w:pPr>
              <w:autoSpaceDE w:val="0"/>
              <w:autoSpaceDN w:val="0"/>
              <w:adjustRightInd w:val="0"/>
              <w:snapToGrid w:val="0"/>
              <w:spacing w:line="360" w:lineRule="auto"/>
              <w:ind w:firstLine="480" w:firstLineChars="200"/>
              <w:jc w:val="both"/>
              <w:rPr>
                <w:rFonts w:hint="eastAsia"/>
                <w:color w:val="FF0000"/>
                <w:kern w:val="0"/>
                <w:sz w:val="24"/>
                <w:highlight w:val="none"/>
                <w:lang w:val="en-US" w:eastAsia="zh-CN"/>
              </w:rPr>
            </w:pPr>
            <w:r>
              <w:rPr>
                <w:rFonts w:hint="eastAsia"/>
                <w:color w:val="FF0000"/>
                <w:kern w:val="0"/>
                <w:sz w:val="24"/>
                <w:highlight w:val="none"/>
                <w:lang w:val="en-US" w:eastAsia="zh-CN"/>
              </w:rPr>
              <w:t>（一）龙江县、甘南县、泰来县、肇源县，重点增加、恢复和保护林草植被，治理土地沙化和草原退化、沙化、碱化；</w:t>
            </w:r>
          </w:p>
          <w:p w14:paraId="5803FBF9">
            <w:pPr>
              <w:autoSpaceDE w:val="0"/>
              <w:autoSpaceDN w:val="0"/>
              <w:adjustRightInd w:val="0"/>
              <w:snapToGrid w:val="0"/>
              <w:spacing w:line="360" w:lineRule="auto"/>
              <w:ind w:firstLine="480" w:firstLineChars="200"/>
              <w:jc w:val="both"/>
              <w:rPr>
                <w:rFonts w:hint="default"/>
                <w:color w:val="000000" w:themeColor="text1"/>
                <w:kern w:val="0"/>
                <w:sz w:val="24"/>
                <w:highlight w:val="none"/>
                <w:lang w:val="en-US" w:eastAsia="zh-CN"/>
                <w14:textFill>
                  <w14:solidFill>
                    <w14:schemeClr w14:val="tx1"/>
                  </w14:solidFill>
                </w14:textFill>
              </w:rPr>
            </w:pPr>
            <w:r>
              <w:rPr>
                <w:rFonts w:hint="eastAsia"/>
                <w:color w:val="FF0000"/>
                <w:kern w:val="0"/>
                <w:sz w:val="24"/>
                <w:highlight w:val="none"/>
                <w:lang w:val="en-US" w:eastAsia="zh-CN"/>
              </w:rPr>
              <w:t>（二）大庆市国家级防沙治沙综合试验示范区，重点增加和恢复林草植被，治理严重沙化的草原和荒滩、荒地；</w:t>
            </w:r>
          </w:p>
          <w:p w14:paraId="5B046CB2">
            <w:pPr>
              <w:autoSpaceDE w:val="0"/>
              <w:autoSpaceDN w:val="0"/>
              <w:adjustRightInd w:val="0"/>
              <w:snapToGrid w:val="0"/>
              <w:spacing w:line="360" w:lineRule="auto"/>
              <w:ind w:firstLine="480" w:firstLineChars="200"/>
              <w:jc w:val="both"/>
              <w:rPr>
                <w:rFonts w:hint="eastAsia"/>
                <w:color w:val="FF0000"/>
                <w:kern w:val="0"/>
                <w:sz w:val="24"/>
                <w:highlight w:val="none"/>
                <w:lang w:val="en-US" w:eastAsia="zh-CN"/>
              </w:rPr>
            </w:pPr>
            <w:r>
              <w:rPr>
                <w:rFonts w:hint="eastAsia"/>
                <w:color w:val="FF0000"/>
                <w:kern w:val="0"/>
                <w:sz w:val="24"/>
                <w:highlight w:val="none"/>
                <w:lang w:val="en-US" w:eastAsia="zh-CN"/>
              </w:rPr>
              <w:t>（三）杜尔伯特蒙古族自治县，重点治理流动、半流动沙地的风沙危害；</w:t>
            </w:r>
          </w:p>
          <w:p w14:paraId="1C12C89D">
            <w:pPr>
              <w:autoSpaceDE w:val="0"/>
              <w:autoSpaceDN w:val="0"/>
              <w:adjustRightInd w:val="0"/>
              <w:snapToGrid w:val="0"/>
              <w:spacing w:line="360" w:lineRule="auto"/>
              <w:ind w:firstLine="480" w:firstLineChars="200"/>
              <w:jc w:val="both"/>
              <w:rPr>
                <w:rFonts w:hint="eastAsia"/>
                <w:color w:val="FF0000"/>
                <w:kern w:val="0"/>
                <w:sz w:val="24"/>
                <w:highlight w:val="none"/>
                <w:lang w:val="en-US" w:eastAsia="zh-CN"/>
              </w:rPr>
            </w:pPr>
            <w:r>
              <w:rPr>
                <w:rFonts w:hint="eastAsia"/>
                <w:color w:val="FF0000"/>
                <w:kern w:val="0"/>
                <w:sz w:val="24"/>
                <w:highlight w:val="none"/>
                <w:lang w:val="en-US" w:eastAsia="zh-CN"/>
              </w:rPr>
              <w:t>（四）富裕县、讷河市、齐齐哈尔市郊区，重点治理沙化耕地和草原；</w:t>
            </w:r>
          </w:p>
          <w:p w14:paraId="76CA35F0">
            <w:pPr>
              <w:autoSpaceDE w:val="0"/>
              <w:autoSpaceDN w:val="0"/>
              <w:adjustRightInd w:val="0"/>
              <w:snapToGrid w:val="0"/>
              <w:spacing w:line="360" w:lineRule="auto"/>
              <w:ind w:firstLine="480" w:firstLineChars="200"/>
              <w:jc w:val="both"/>
              <w:rPr>
                <w:rFonts w:hint="eastAsia"/>
                <w:color w:val="FF0000"/>
                <w:kern w:val="0"/>
                <w:sz w:val="24"/>
                <w:highlight w:val="none"/>
                <w:lang w:val="en-US" w:eastAsia="zh-CN"/>
              </w:rPr>
            </w:pPr>
            <w:r>
              <w:rPr>
                <w:rFonts w:hint="eastAsia"/>
                <w:color w:val="FF0000"/>
                <w:kern w:val="0"/>
                <w:sz w:val="24"/>
                <w:highlight w:val="none"/>
                <w:lang w:val="en-US" w:eastAsia="zh-CN"/>
              </w:rPr>
              <w:t>（五）三江平原等沙化和潜在沙化地区，重点治理沙化耕地，防止土地沙化加重，保护和恢复林草植被；</w:t>
            </w:r>
          </w:p>
          <w:p w14:paraId="3D560718">
            <w:pPr>
              <w:autoSpaceDE w:val="0"/>
              <w:autoSpaceDN w:val="0"/>
              <w:adjustRightInd w:val="0"/>
              <w:snapToGrid w:val="0"/>
              <w:spacing w:line="360" w:lineRule="auto"/>
              <w:ind w:firstLine="480" w:firstLineChars="200"/>
              <w:jc w:val="both"/>
              <w:rPr>
                <w:rFonts w:hint="eastAsia"/>
                <w:color w:val="FF0000"/>
                <w:kern w:val="0"/>
                <w:sz w:val="24"/>
                <w:highlight w:val="none"/>
                <w:lang w:val="en-US" w:eastAsia="zh-CN"/>
              </w:rPr>
            </w:pPr>
            <w:r>
              <w:rPr>
                <w:rFonts w:hint="eastAsia"/>
                <w:color w:val="FF0000"/>
                <w:kern w:val="0"/>
                <w:sz w:val="24"/>
                <w:highlight w:val="none"/>
                <w:lang w:val="en-US" w:eastAsia="zh-CN"/>
              </w:rPr>
              <w:t>（六）江河沿岸和流动沙丘等沙化地区，重点增加、恢复和保护林草植被。</w:t>
            </w:r>
          </w:p>
          <w:p w14:paraId="7AA7601A">
            <w:pPr>
              <w:autoSpaceDE w:val="0"/>
              <w:autoSpaceDN w:val="0"/>
              <w:adjustRightInd w:val="0"/>
              <w:snapToGrid w:val="0"/>
              <w:spacing w:line="360" w:lineRule="auto"/>
              <w:ind w:firstLine="480" w:firstLineChars="200"/>
              <w:jc w:val="both"/>
              <w:rPr>
                <w:rFonts w:hint="eastAsia"/>
                <w:color w:val="FF0000"/>
                <w:kern w:val="0"/>
                <w:sz w:val="24"/>
                <w:highlight w:val="none"/>
                <w:lang w:val="en-US" w:eastAsia="zh-CN"/>
              </w:rPr>
            </w:pPr>
            <w:r>
              <w:rPr>
                <w:rFonts w:hint="eastAsia"/>
                <w:color w:val="FF0000"/>
                <w:kern w:val="0"/>
                <w:sz w:val="24"/>
                <w:highlight w:val="none"/>
                <w:lang w:val="en-US" w:eastAsia="zh-CN"/>
              </w:rPr>
              <w:t>本项目位于黑龙江省双鸭山市尖山区，不属于以上提及“以风沙灾害治理为重点，改善生态脆弱地区的生态环境”区域。</w:t>
            </w:r>
          </w:p>
          <w:p w14:paraId="753E8B0C">
            <w:pPr>
              <w:autoSpaceDE w:val="0"/>
              <w:autoSpaceDN w:val="0"/>
              <w:adjustRightInd w:val="0"/>
              <w:snapToGrid w:val="0"/>
              <w:spacing w:line="360" w:lineRule="auto"/>
              <w:ind w:firstLine="480" w:firstLineChars="200"/>
              <w:jc w:val="both"/>
              <w:rPr>
                <w:rFonts w:hint="eastAsia"/>
                <w:color w:val="FF0000"/>
                <w:kern w:val="0"/>
                <w:sz w:val="24"/>
                <w:highlight w:val="none"/>
                <w:lang w:val="en-US" w:eastAsia="zh-CN"/>
              </w:rPr>
            </w:pPr>
            <w:r>
              <w:rPr>
                <w:rFonts w:hint="eastAsia"/>
                <w:color w:val="FF0000"/>
                <w:kern w:val="0"/>
                <w:sz w:val="24"/>
                <w:highlight w:val="none"/>
                <w:lang w:val="en-US" w:eastAsia="zh-CN"/>
              </w:rPr>
              <w:t>12、与《黑龙江省水土保持规划》符合性分析</w:t>
            </w:r>
          </w:p>
          <w:p w14:paraId="0AB2E058">
            <w:pPr>
              <w:autoSpaceDE w:val="0"/>
              <w:autoSpaceDN w:val="0"/>
              <w:adjustRightInd w:val="0"/>
              <w:snapToGrid w:val="0"/>
              <w:spacing w:line="360" w:lineRule="auto"/>
              <w:ind w:firstLine="480" w:firstLineChars="200"/>
              <w:jc w:val="both"/>
              <w:rPr>
                <w:rFonts w:hint="default"/>
                <w:color w:val="FF0000"/>
                <w:kern w:val="0"/>
                <w:sz w:val="24"/>
                <w:highlight w:val="none"/>
                <w:lang w:val="en-US" w:eastAsia="zh-CN"/>
              </w:rPr>
            </w:pPr>
            <w:r>
              <w:rPr>
                <w:rFonts w:hint="eastAsia"/>
                <w:color w:val="FF0000"/>
                <w:kern w:val="0"/>
                <w:sz w:val="24"/>
                <w:highlight w:val="none"/>
                <w:lang w:val="en-US" w:eastAsia="zh-CN"/>
              </w:rPr>
              <w:t>2016年7月18日黑龙江省人民政府印发了《关于黑龙江省水土保持规划(2015-2030年)的批复》（黑政函〔2016〕77号），根据《关于黑龙江省水土保持规划(2015-2030年)的批复》，项目所在地属“水土流失重点治理区”。</w:t>
            </w:r>
          </w:p>
          <w:p w14:paraId="464214DB">
            <w:pPr>
              <w:autoSpaceDE w:val="0"/>
              <w:autoSpaceDN w:val="0"/>
              <w:adjustRightInd w:val="0"/>
              <w:snapToGrid w:val="0"/>
              <w:spacing w:line="360" w:lineRule="auto"/>
              <w:ind w:left="0" w:leftChars="0" w:right="0" w:rightChars="0" w:firstLine="0" w:firstLineChars="0"/>
              <w:jc w:val="center"/>
              <w:rPr>
                <w:rFonts w:hint="eastAsia"/>
                <w:color w:val="000000" w:themeColor="text1"/>
                <w:kern w:val="0"/>
                <w:sz w:val="24"/>
                <w:highlight w:val="none"/>
                <w:lang w:val="en-US" w:eastAsia="zh-CN"/>
                <w14:textFill>
                  <w14:solidFill>
                    <w14:schemeClr w14:val="tx1"/>
                  </w14:solidFill>
                </w14:textFill>
              </w:rPr>
            </w:pPr>
            <w:r>
              <w:rPr>
                <w:rFonts w:hint="eastAsia"/>
                <w:color w:val="000000" w:themeColor="text1"/>
                <w:kern w:val="0"/>
                <w:sz w:val="24"/>
                <w:highlight w:val="none"/>
                <w:lang w:val="en-US" w:eastAsia="zh-CN"/>
                <w14:textFill>
                  <w14:solidFill>
                    <w14:schemeClr w14:val="tx1"/>
                  </w14:solidFill>
                </w14:textFill>
              </w:rPr>
              <w:drawing>
                <wp:inline distT="0" distB="0" distL="114300" distR="114300">
                  <wp:extent cx="3990340" cy="5778500"/>
                  <wp:effectExtent l="0" t="0" r="10160" b="12700"/>
                  <wp:docPr id="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pic:cNvPicPr>
                            <a:picLocks noChangeAspect="1"/>
                          </pic:cNvPicPr>
                        </pic:nvPicPr>
                        <pic:blipFill>
                          <a:blip r:embed="rId11"/>
                          <a:stretch>
                            <a:fillRect/>
                          </a:stretch>
                        </pic:blipFill>
                        <pic:spPr>
                          <a:xfrm>
                            <a:off x="0" y="0"/>
                            <a:ext cx="3990340" cy="5778500"/>
                          </a:xfrm>
                          <a:prstGeom prst="rect">
                            <a:avLst/>
                          </a:prstGeom>
                          <a:noFill/>
                          <a:ln>
                            <a:noFill/>
                          </a:ln>
                        </pic:spPr>
                      </pic:pic>
                    </a:graphicData>
                  </a:graphic>
                </wp:inline>
              </w:drawing>
            </w:r>
          </w:p>
          <w:p w14:paraId="2C76BFCD">
            <w:pPr>
              <w:autoSpaceDE w:val="0"/>
              <w:autoSpaceDN w:val="0"/>
              <w:adjustRightInd w:val="0"/>
              <w:snapToGrid w:val="0"/>
              <w:spacing w:line="360" w:lineRule="auto"/>
              <w:ind w:left="0" w:leftChars="0" w:right="0" w:rightChars="0" w:firstLine="0" w:firstLineChars="0"/>
              <w:jc w:val="center"/>
              <w:rPr>
                <w:rFonts w:hint="eastAsia"/>
                <w:color w:val="FF0000"/>
                <w:kern w:val="0"/>
                <w:sz w:val="24"/>
                <w:highlight w:val="none"/>
                <w:lang w:val="en-US" w:eastAsia="zh-CN"/>
              </w:rPr>
            </w:pPr>
            <w:r>
              <w:rPr>
                <w:rFonts w:hint="eastAsia"/>
                <w:color w:val="FF0000"/>
                <w:kern w:val="0"/>
                <w:sz w:val="24"/>
                <w:highlight w:val="none"/>
                <w:lang w:val="en-US" w:eastAsia="zh-CN"/>
              </w:rPr>
              <w:t>图1-2本项目位于黑龙江省水土保持三级图划图</w:t>
            </w:r>
          </w:p>
          <w:p w14:paraId="323D90B2">
            <w:pPr>
              <w:autoSpaceDE w:val="0"/>
              <w:autoSpaceDN w:val="0"/>
              <w:adjustRightInd w:val="0"/>
              <w:snapToGrid w:val="0"/>
              <w:spacing w:line="360" w:lineRule="auto"/>
              <w:ind w:firstLine="480" w:firstLineChars="200"/>
              <w:jc w:val="both"/>
              <w:rPr>
                <w:rFonts w:hint="eastAsia"/>
                <w:color w:val="FF0000"/>
                <w:kern w:val="0"/>
                <w:sz w:val="24"/>
                <w:highlight w:val="none"/>
                <w:lang w:val="en-US" w:eastAsia="zh-CN"/>
              </w:rPr>
            </w:pPr>
            <w:r>
              <w:rPr>
                <w:rFonts w:hint="eastAsia"/>
                <w:color w:val="FF0000"/>
                <w:kern w:val="0"/>
                <w:sz w:val="24"/>
                <w:highlight w:val="none"/>
                <w:lang w:val="en-US" w:eastAsia="zh-CN"/>
              </w:rPr>
              <w:t>本项目位于双鸭山市尖山区，项目建设符合相关法律法规要求，该地址属于长东北漫川漫岗水土流失重点治理区，本项目位于原厂区内，不新增占地，不涉及表土剥离，对原生态水土资源无干扰。因此，本项目符合《黑龙江省水土保持规划》（2015-2030）。</w:t>
            </w:r>
          </w:p>
          <w:p w14:paraId="3B84599C">
            <w:pPr>
              <w:autoSpaceDE w:val="0"/>
              <w:autoSpaceDN w:val="0"/>
              <w:adjustRightInd w:val="0"/>
              <w:snapToGrid w:val="0"/>
              <w:spacing w:line="360" w:lineRule="auto"/>
              <w:ind w:firstLine="480" w:firstLineChars="200"/>
              <w:jc w:val="both"/>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lang w:val="en-US" w:eastAsia="zh-CN"/>
                <w14:textFill>
                  <w14:solidFill>
                    <w14:schemeClr w14:val="tx1"/>
                  </w14:solidFill>
                </w14:textFill>
              </w:rPr>
              <w:t>13、</w:t>
            </w:r>
            <w:r>
              <w:rPr>
                <w:rFonts w:hint="eastAsia"/>
                <w:color w:val="000000" w:themeColor="text1"/>
                <w:kern w:val="0"/>
                <w:sz w:val="24"/>
                <w:highlight w:val="none"/>
                <w14:textFill>
                  <w14:solidFill>
                    <w14:schemeClr w14:val="tx1"/>
                  </w14:solidFill>
                </w14:textFill>
              </w:rPr>
              <w:t xml:space="preserve">选址合理性分析 </w:t>
            </w:r>
          </w:p>
          <w:p w14:paraId="120C0C62">
            <w:pPr>
              <w:autoSpaceDE w:val="0"/>
              <w:autoSpaceDN w:val="0"/>
              <w:adjustRightInd w:val="0"/>
              <w:snapToGrid w:val="0"/>
              <w:spacing w:line="360" w:lineRule="auto"/>
              <w:ind w:firstLine="480" w:firstLineChars="200"/>
              <w:jc w:val="both"/>
              <w:rPr>
                <w:rFonts w:hint="eastAsia"/>
                <w:color w:val="000000" w:themeColor="text1"/>
                <w:kern w:val="0"/>
                <w:sz w:val="24"/>
                <w:highlight w:val="yellow"/>
                <w:lang w:eastAsia="zh-Hans"/>
                <w14:textFill>
                  <w14:solidFill>
                    <w14:schemeClr w14:val="tx1"/>
                  </w14:solidFill>
                </w14:textFill>
              </w:rPr>
            </w:pPr>
            <w:r>
              <w:rPr>
                <w:rFonts w:hint="eastAsia"/>
                <w:color w:val="000000" w:themeColor="text1"/>
                <w:kern w:val="0"/>
                <w:sz w:val="24"/>
                <w:highlight w:val="none"/>
                <w14:textFill>
                  <w14:solidFill>
                    <w14:schemeClr w14:val="tx1"/>
                  </w14:solidFill>
                </w14:textFill>
              </w:rPr>
              <w:t>本项目</w:t>
            </w:r>
            <w:r>
              <w:rPr>
                <w:rFonts w:hint="eastAsia"/>
                <w:color w:val="000000" w:themeColor="text1"/>
                <w:kern w:val="0"/>
                <w:sz w:val="24"/>
                <w:highlight w:val="none"/>
                <w:lang w:val="en-US" w:eastAsia="zh-CN"/>
                <w14:textFill>
                  <w14:solidFill>
                    <w14:schemeClr w14:val="tx1"/>
                  </w14:solidFill>
                </w14:textFill>
              </w:rPr>
              <w:t>为改扩建项目，位于中央选煤厂原厂区内</w:t>
            </w:r>
            <w:r>
              <w:rPr>
                <w:rFonts w:hint="eastAsia"/>
                <w:color w:val="000000" w:themeColor="text1"/>
                <w:kern w:val="0"/>
                <w:sz w:val="24"/>
                <w:highlight w:val="none"/>
                <w14:textFill>
                  <w14:solidFill>
                    <w14:schemeClr w14:val="tx1"/>
                  </w14:solidFill>
                </w14:textFill>
              </w:rPr>
              <w:t>，</w:t>
            </w:r>
            <w:r>
              <w:rPr>
                <w:rFonts w:hint="eastAsia"/>
                <w:color w:val="000000" w:themeColor="text1"/>
                <w:kern w:val="0"/>
                <w:sz w:val="24"/>
                <w:highlight w:val="none"/>
                <w:lang w:val="en-US" w:eastAsia="zh-CN"/>
                <w14:textFill>
                  <w14:solidFill>
                    <w14:schemeClr w14:val="tx1"/>
                  </w14:solidFill>
                </w14:textFill>
              </w:rPr>
              <w:t>东侧为站南小区，西侧为空地，南侧为惠民新城小区，北侧为虹焱热电，</w:t>
            </w:r>
            <w:r>
              <w:rPr>
                <w:rFonts w:hint="eastAsia"/>
                <w:color w:val="000000" w:themeColor="text1"/>
                <w:kern w:val="0"/>
                <w:sz w:val="24"/>
                <w:highlight w:val="none"/>
                <w14:textFill>
                  <w14:solidFill>
                    <w14:schemeClr w14:val="tx1"/>
                  </w14:solidFill>
                </w14:textFill>
              </w:rPr>
              <w:t>项目的选址不在自然保护区、风景名胜区及饮用水水源保护区内，且项目的选址不在</w:t>
            </w:r>
            <w:r>
              <w:rPr>
                <w:rFonts w:hint="eastAsia"/>
                <w:color w:val="000000" w:themeColor="text1"/>
                <w:kern w:val="0"/>
                <w:sz w:val="24"/>
                <w:highlight w:val="none"/>
                <w:lang w:val="en-US" w:eastAsia="zh-CN"/>
                <w14:textFill>
                  <w14:solidFill>
                    <w14:schemeClr w14:val="tx1"/>
                  </w14:solidFill>
                </w14:textFill>
              </w:rPr>
              <w:t>永久</w:t>
            </w:r>
            <w:r>
              <w:rPr>
                <w:rFonts w:hint="eastAsia"/>
                <w:color w:val="000000" w:themeColor="text1"/>
                <w:kern w:val="0"/>
                <w:sz w:val="24"/>
                <w:highlight w:val="none"/>
                <w14:textFill>
                  <w14:solidFill>
                    <w14:schemeClr w14:val="tx1"/>
                  </w14:solidFill>
                </w14:textFill>
              </w:rPr>
              <w:t>基本农田、重要湿地、野生动物重要栖息地内，评价区域内无国家级、省级保护野生动物、植物及古木名树。项目位置图</w:t>
            </w:r>
            <w:r>
              <w:rPr>
                <w:rFonts w:hint="eastAsia"/>
                <w:color w:val="000000" w:themeColor="text1"/>
                <w:kern w:val="0"/>
                <w:sz w:val="24"/>
                <w:highlight w:val="none"/>
                <w:lang w:val="en-US" w:eastAsia="zh-CN"/>
                <w14:textFill>
                  <w14:solidFill>
                    <w14:schemeClr w14:val="tx1"/>
                  </w14:solidFill>
                </w14:textFill>
              </w:rPr>
              <w:t>详见</w:t>
            </w:r>
            <w:r>
              <w:rPr>
                <w:rFonts w:hint="eastAsia"/>
                <w:color w:val="000000" w:themeColor="text1"/>
                <w:kern w:val="0"/>
                <w:sz w:val="24"/>
                <w:highlight w:val="none"/>
                <w14:textFill>
                  <w14:solidFill>
                    <w14:schemeClr w14:val="tx1"/>
                  </w14:solidFill>
                </w14:textFill>
              </w:rPr>
              <w:t>附图</w:t>
            </w:r>
            <w:r>
              <w:rPr>
                <w:rFonts w:hint="eastAsia"/>
                <w:color w:val="000000" w:themeColor="text1"/>
                <w:kern w:val="0"/>
                <w:sz w:val="24"/>
                <w:highlight w:val="none"/>
                <w:lang w:val="en-US" w:eastAsia="zh-CN"/>
                <w14:textFill>
                  <w14:solidFill>
                    <w14:schemeClr w14:val="tx1"/>
                  </w14:solidFill>
                </w14:textFill>
              </w:rPr>
              <w:t>1</w:t>
            </w:r>
            <w:r>
              <w:rPr>
                <w:rFonts w:hint="eastAsia"/>
                <w:color w:val="000000" w:themeColor="text1"/>
                <w:kern w:val="0"/>
                <w:sz w:val="24"/>
                <w:highlight w:val="none"/>
                <w14:textFill>
                  <w14:solidFill>
                    <w14:schemeClr w14:val="tx1"/>
                  </w14:solidFill>
                </w14:textFill>
              </w:rPr>
              <w:t>。</w:t>
            </w:r>
          </w:p>
          <w:p w14:paraId="117C8B42">
            <w:pPr>
              <w:autoSpaceDE w:val="0"/>
              <w:autoSpaceDN w:val="0"/>
              <w:adjustRightInd w:val="0"/>
              <w:snapToGrid w:val="0"/>
              <w:spacing w:line="360" w:lineRule="auto"/>
              <w:ind w:firstLine="480" w:firstLineChars="200"/>
              <w:jc w:val="both"/>
              <w:rPr>
                <w:rFonts w:hint="eastAsia"/>
                <w:color w:val="000000" w:themeColor="text1"/>
                <w:kern w:val="0"/>
                <w:sz w:val="24"/>
                <w:highlight w:val="yellow"/>
                <w:lang w:eastAsia="zh-CN"/>
                <w14:textFill>
                  <w14:solidFill>
                    <w14:schemeClr w14:val="tx1"/>
                  </w14:solidFill>
                </w14:textFill>
              </w:rPr>
            </w:pPr>
            <w:r>
              <w:rPr>
                <w:rFonts w:hint="eastAsia"/>
                <w:color w:val="000000" w:themeColor="text1"/>
                <w:kern w:val="0"/>
                <w:sz w:val="24"/>
                <w:highlight w:val="none"/>
                <w:lang w:val="en-US" w:eastAsia="zh-CN"/>
                <w14:textFill>
                  <w14:solidFill>
                    <w14:schemeClr w14:val="tx1"/>
                  </w14:solidFill>
                </w14:textFill>
              </w:rPr>
              <w:t>厂址所在地水、电供应均有保证，满足本项目生产及生活需求；项目在采取有效的污染防治措施的前提下，项目产生的废气及噪声均能达标排放，生产废水闭路循环不外排，生活污水排入市政管网，进入双鸭山市城市污水处理厂处理；固废均得到有效合理处置，对周围环境影响较小。因此，本项目选址合理。</w:t>
            </w:r>
          </w:p>
          <w:p w14:paraId="5BA2F39B">
            <w:pPr>
              <w:autoSpaceDE w:val="0"/>
              <w:autoSpaceDN w:val="0"/>
              <w:adjustRightInd w:val="0"/>
              <w:snapToGrid w:val="0"/>
              <w:spacing w:line="360" w:lineRule="auto"/>
              <w:ind w:firstLine="480" w:firstLineChars="200"/>
              <w:jc w:val="both"/>
              <w:rPr>
                <w:rFonts w:hint="eastAsia"/>
                <w:color w:val="000000" w:themeColor="text1"/>
                <w:kern w:val="0"/>
                <w:sz w:val="24"/>
                <w:highlight w:val="yellow"/>
                <w:lang w:eastAsia="zh-CN"/>
                <w14:textFill>
                  <w14:solidFill>
                    <w14:schemeClr w14:val="tx1"/>
                  </w14:solidFill>
                </w14:textFill>
              </w:rPr>
            </w:pPr>
          </w:p>
          <w:p w14:paraId="4376CC7F">
            <w:pPr>
              <w:autoSpaceDE w:val="0"/>
              <w:autoSpaceDN w:val="0"/>
              <w:adjustRightInd w:val="0"/>
              <w:snapToGrid w:val="0"/>
              <w:spacing w:line="360" w:lineRule="auto"/>
              <w:ind w:firstLine="480" w:firstLineChars="200"/>
              <w:jc w:val="both"/>
              <w:rPr>
                <w:rFonts w:hint="eastAsia"/>
                <w:color w:val="000000" w:themeColor="text1"/>
                <w:kern w:val="0"/>
                <w:sz w:val="24"/>
                <w:highlight w:val="yellow"/>
                <w:lang w:eastAsia="zh-CN"/>
                <w14:textFill>
                  <w14:solidFill>
                    <w14:schemeClr w14:val="tx1"/>
                  </w14:solidFill>
                </w14:textFill>
              </w:rPr>
            </w:pPr>
          </w:p>
          <w:p w14:paraId="65E273D2">
            <w:pPr>
              <w:autoSpaceDE w:val="0"/>
              <w:autoSpaceDN w:val="0"/>
              <w:adjustRightInd w:val="0"/>
              <w:snapToGrid w:val="0"/>
              <w:spacing w:line="360" w:lineRule="auto"/>
              <w:ind w:firstLine="480" w:firstLineChars="200"/>
              <w:jc w:val="both"/>
              <w:rPr>
                <w:rFonts w:hint="eastAsia"/>
                <w:color w:val="000000" w:themeColor="text1"/>
                <w:kern w:val="0"/>
                <w:sz w:val="24"/>
                <w:highlight w:val="yellow"/>
                <w:lang w:eastAsia="zh-CN"/>
                <w14:textFill>
                  <w14:solidFill>
                    <w14:schemeClr w14:val="tx1"/>
                  </w14:solidFill>
                </w14:textFill>
              </w:rPr>
            </w:pPr>
          </w:p>
          <w:p w14:paraId="34022BDD">
            <w:pPr>
              <w:autoSpaceDE w:val="0"/>
              <w:autoSpaceDN w:val="0"/>
              <w:adjustRightInd w:val="0"/>
              <w:snapToGrid w:val="0"/>
              <w:spacing w:line="360" w:lineRule="auto"/>
              <w:ind w:firstLine="480" w:firstLineChars="200"/>
              <w:jc w:val="both"/>
              <w:rPr>
                <w:rFonts w:hint="eastAsia"/>
                <w:color w:val="000000" w:themeColor="text1"/>
                <w:kern w:val="0"/>
                <w:sz w:val="24"/>
                <w:highlight w:val="yellow"/>
                <w:lang w:eastAsia="zh-CN"/>
                <w14:textFill>
                  <w14:solidFill>
                    <w14:schemeClr w14:val="tx1"/>
                  </w14:solidFill>
                </w14:textFill>
              </w:rPr>
            </w:pPr>
          </w:p>
          <w:p w14:paraId="4658F713">
            <w:pPr>
              <w:autoSpaceDE w:val="0"/>
              <w:autoSpaceDN w:val="0"/>
              <w:adjustRightInd w:val="0"/>
              <w:snapToGrid w:val="0"/>
              <w:spacing w:line="360" w:lineRule="auto"/>
              <w:ind w:firstLine="480" w:firstLineChars="200"/>
              <w:jc w:val="both"/>
              <w:rPr>
                <w:rFonts w:hint="eastAsia"/>
                <w:color w:val="000000" w:themeColor="text1"/>
                <w:kern w:val="0"/>
                <w:sz w:val="24"/>
                <w:highlight w:val="yellow"/>
                <w:lang w:eastAsia="zh-CN"/>
                <w14:textFill>
                  <w14:solidFill>
                    <w14:schemeClr w14:val="tx1"/>
                  </w14:solidFill>
                </w14:textFill>
              </w:rPr>
            </w:pPr>
          </w:p>
          <w:p w14:paraId="2E91EA3C">
            <w:pPr>
              <w:autoSpaceDE w:val="0"/>
              <w:autoSpaceDN w:val="0"/>
              <w:adjustRightInd w:val="0"/>
              <w:snapToGrid w:val="0"/>
              <w:spacing w:line="360" w:lineRule="auto"/>
              <w:ind w:firstLine="480" w:firstLineChars="200"/>
              <w:jc w:val="both"/>
              <w:rPr>
                <w:rFonts w:hint="eastAsia"/>
                <w:color w:val="000000" w:themeColor="text1"/>
                <w:kern w:val="0"/>
                <w:sz w:val="24"/>
                <w:highlight w:val="yellow"/>
                <w:lang w:eastAsia="zh-CN"/>
                <w14:textFill>
                  <w14:solidFill>
                    <w14:schemeClr w14:val="tx1"/>
                  </w14:solidFill>
                </w14:textFill>
              </w:rPr>
            </w:pPr>
          </w:p>
          <w:p w14:paraId="67A096B6">
            <w:pPr>
              <w:autoSpaceDE w:val="0"/>
              <w:autoSpaceDN w:val="0"/>
              <w:adjustRightInd w:val="0"/>
              <w:snapToGrid w:val="0"/>
              <w:spacing w:line="360" w:lineRule="auto"/>
              <w:ind w:firstLine="480" w:firstLineChars="200"/>
              <w:jc w:val="both"/>
              <w:rPr>
                <w:rFonts w:hint="eastAsia"/>
                <w:color w:val="000000" w:themeColor="text1"/>
                <w:kern w:val="0"/>
                <w:sz w:val="24"/>
                <w:highlight w:val="yellow"/>
                <w:lang w:eastAsia="zh-CN"/>
                <w14:textFill>
                  <w14:solidFill>
                    <w14:schemeClr w14:val="tx1"/>
                  </w14:solidFill>
                </w14:textFill>
              </w:rPr>
            </w:pPr>
          </w:p>
          <w:p w14:paraId="5B6AE8A4">
            <w:pPr>
              <w:autoSpaceDE w:val="0"/>
              <w:autoSpaceDN w:val="0"/>
              <w:adjustRightInd w:val="0"/>
              <w:snapToGrid w:val="0"/>
              <w:spacing w:line="360" w:lineRule="auto"/>
              <w:ind w:firstLine="480" w:firstLineChars="200"/>
              <w:jc w:val="both"/>
              <w:rPr>
                <w:rFonts w:hint="eastAsia"/>
                <w:color w:val="000000" w:themeColor="text1"/>
                <w:kern w:val="0"/>
                <w:sz w:val="24"/>
                <w:highlight w:val="yellow"/>
                <w:lang w:eastAsia="zh-CN"/>
                <w14:textFill>
                  <w14:solidFill>
                    <w14:schemeClr w14:val="tx1"/>
                  </w14:solidFill>
                </w14:textFill>
              </w:rPr>
            </w:pPr>
          </w:p>
          <w:p w14:paraId="31A3A97E">
            <w:pPr>
              <w:autoSpaceDE w:val="0"/>
              <w:autoSpaceDN w:val="0"/>
              <w:adjustRightInd w:val="0"/>
              <w:snapToGrid w:val="0"/>
              <w:spacing w:line="360" w:lineRule="auto"/>
              <w:ind w:firstLine="480" w:firstLineChars="200"/>
              <w:jc w:val="both"/>
              <w:rPr>
                <w:rFonts w:hint="eastAsia"/>
                <w:color w:val="000000" w:themeColor="text1"/>
                <w:kern w:val="0"/>
                <w:sz w:val="24"/>
                <w:highlight w:val="yellow"/>
                <w:lang w:eastAsia="zh-CN"/>
                <w14:textFill>
                  <w14:solidFill>
                    <w14:schemeClr w14:val="tx1"/>
                  </w14:solidFill>
                </w14:textFill>
              </w:rPr>
            </w:pPr>
          </w:p>
          <w:p w14:paraId="5F0713D5">
            <w:pPr>
              <w:autoSpaceDE w:val="0"/>
              <w:autoSpaceDN w:val="0"/>
              <w:adjustRightInd w:val="0"/>
              <w:snapToGrid w:val="0"/>
              <w:spacing w:line="360" w:lineRule="auto"/>
              <w:ind w:firstLine="480" w:firstLineChars="200"/>
              <w:jc w:val="both"/>
              <w:rPr>
                <w:rFonts w:hint="eastAsia"/>
                <w:color w:val="000000" w:themeColor="text1"/>
                <w:kern w:val="0"/>
                <w:sz w:val="24"/>
                <w:highlight w:val="yellow"/>
                <w:lang w:eastAsia="zh-CN"/>
                <w14:textFill>
                  <w14:solidFill>
                    <w14:schemeClr w14:val="tx1"/>
                  </w14:solidFill>
                </w14:textFill>
              </w:rPr>
            </w:pPr>
          </w:p>
          <w:p w14:paraId="16FC9E7A">
            <w:pPr>
              <w:autoSpaceDE w:val="0"/>
              <w:autoSpaceDN w:val="0"/>
              <w:adjustRightInd w:val="0"/>
              <w:snapToGrid w:val="0"/>
              <w:spacing w:line="360" w:lineRule="auto"/>
              <w:ind w:firstLine="480" w:firstLineChars="200"/>
              <w:jc w:val="both"/>
              <w:rPr>
                <w:rFonts w:hint="eastAsia" w:eastAsia="宋体"/>
                <w:color w:val="000000" w:themeColor="text1"/>
                <w:kern w:val="0"/>
                <w:sz w:val="24"/>
                <w:highlight w:val="yellow"/>
                <w:lang w:eastAsia="zh-CN"/>
                <w14:textFill>
                  <w14:solidFill>
                    <w14:schemeClr w14:val="tx1"/>
                  </w14:solidFill>
                </w14:textFill>
              </w:rPr>
            </w:pPr>
          </w:p>
          <w:p w14:paraId="0003D87E">
            <w:pPr>
              <w:pStyle w:val="3"/>
              <w:rPr>
                <w:rFonts w:hint="eastAsia" w:eastAsia="宋体"/>
                <w:color w:val="000000" w:themeColor="text1"/>
                <w:kern w:val="0"/>
                <w:sz w:val="24"/>
                <w:highlight w:val="yellow"/>
                <w:lang w:eastAsia="zh-CN"/>
                <w14:textFill>
                  <w14:solidFill>
                    <w14:schemeClr w14:val="tx1"/>
                  </w14:solidFill>
                </w14:textFill>
              </w:rPr>
            </w:pPr>
          </w:p>
          <w:p w14:paraId="696890D7">
            <w:pPr>
              <w:pStyle w:val="14"/>
              <w:rPr>
                <w:rFonts w:hint="eastAsia" w:eastAsia="宋体"/>
                <w:color w:val="000000" w:themeColor="text1"/>
                <w:kern w:val="0"/>
                <w:sz w:val="24"/>
                <w:highlight w:val="yellow"/>
                <w:lang w:eastAsia="zh-CN"/>
                <w14:textFill>
                  <w14:solidFill>
                    <w14:schemeClr w14:val="tx1"/>
                  </w14:solidFill>
                </w14:textFill>
              </w:rPr>
            </w:pPr>
          </w:p>
          <w:p w14:paraId="33941D3E">
            <w:pPr>
              <w:rPr>
                <w:rFonts w:hint="eastAsia" w:eastAsia="宋体"/>
                <w:color w:val="000000" w:themeColor="text1"/>
                <w:kern w:val="0"/>
                <w:sz w:val="24"/>
                <w:highlight w:val="yellow"/>
                <w:lang w:eastAsia="zh-CN"/>
                <w14:textFill>
                  <w14:solidFill>
                    <w14:schemeClr w14:val="tx1"/>
                  </w14:solidFill>
                </w14:textFill>
              </w:rPr>
            </w:pPr>
          </w:p>
          <w:p w14:paraId="54EE5210">
            <w:pPr>
              <w:pStyle w:val="3"/>
              <w:rPr>
                <w:rFonts w:hint="eastAsia" w:eastAsia="宋体"/>
                <w:color w:val="000000" w:themeColor="text1"/>
                <w:kern w:val="0"/>
                <w:sz w:val="24"/>
                <w:highlight w:val="yellow"/>
                <w:lang w:eastAsia="zh-CN"/>
                <w14:textFill>
                  <w14:solidFill>
                    <w14:schemeClr w14:val="tx1"/>
                  </w14:solidFill>
                </w14:textFill>
              </w:rPr>
            </w:pPr>
          </w:p>
          <w:p w14:paraId="0C2F83B1">
            <w:pPr>
              <w:pStyle w:val="14"/>
              <w:rPr>
                <w:rFonts w:hint="eastAsia" w:eastAsia="宋体"/>
                <w:color w:val="000000" w:themeColor="text1"/>
                <w:kern w:val="0"/>
                <w:sz w:val="24"/>
                <w:highlight w:val="yellow"/>
                <w:lang w:eastAsia="zh-CN"/>
                <w14:textFill>
                  <w14:solidFill>
                    <w14:schemeClr w14:val="tx1"/>
                  </w14:solidFill>
                </w14:textFill>
              </w:rPr>
            </w:pPr>
          </w:p>
          <w:p w14:paraId="54FEABCE">
            <w:pPr>
              <w:rPr>
                <w:rFonts w:hint="eastAsia" w:eastAsia="宋体"/>
                <w:color w:val="000000" w:themeColor="text1"/>
                <w:kern w:val="0"/>
                <w:sz w:val="24"/>
                <w:highlight w:val="yellow"/>
                <w:lang w:eastAsia="zh-CN"/>
                <w14:textFill>
                  <w14:solidFill>
                    <w14:schemeClr w14:val="tx1"/>
                  </w14:solidFill>
                </w14:textFill>
              </w:rPr>
            </w:pPr>
          </w:p>
          <w:p w14:paraId="77C7BE7A">
            <w:pPr>
              <w:pStyle w:val="3"/>
              <w:rPr>
                <w:rFonts w:hint="eastAsia" w:eastAsia="宋体"/>
                <w:color w:val="000000" w:themeColor="text1"/>
                <w:kern w:val="0"/>
                <w:sz w:val="24"/>
                <w:highlight w:val="yellow"/>
                <w:lang w:eastAsia="zh-CN"/>
                <w14:textFill>
                  <w14:solidFill>
                    <w14:schemeClr w14:val="tx1"/>
                  </w14:solidFill>
                </w14:textFill>
              </w:rPr>
            </w:pPr>
          </w:p>
          <w:p w14:paraId="4EE404A6">
            <w:pPr>
              <w:pStyle w:val="14"/>
              <w:rPr>
                <w:rFonts w:hint="eastAsia" w:eastAsia="宋体"/>
                <w:color w:val="000000" w:themeColor="text1"/>
                <w:kern w:val="0"/>
                <w:sz w:val="24"/>
                <w:highlight w:val="yellow"/>
                <w:lang w:eastAsia="zh-CN"/>
                <w14:textFill>
                  <w14:solidFill>
                    <w14:schemeClr w14:val="tx1"/>
                  </w14:solidFill>
                </w14:textFill>
              </w:rPr>
            </w:pPr>
          </w:p>
          <w:p w14:paraId="4553BD5B">
            <w:pPr>
              <w:rPr>
                <w:rFonts w:hint="eastAsia" w:eastAsia="宋体"/>
                <w:color w:val="000000" w:themeColor="text1"/>
                <w:kern w:val="0"/>
                <w:sz w:val="24"/>
                <w:highlight w:val="yellow"/>
                <w:lang w:eastAsia="zh-CN"/>
                <w14:textFill>
                  <w14:solidFill>
                    <w14:schemeClr w14:val="tx1"/>
                  </w14:solidFill>
                </w14:textFill>
              </w:rPr>
            </w:pPr>
          </w:p>
          <w:p w14:paraId="5BD3611F">
            <w:pPr>
              <w:pStyle w:val="3"/>
              <w:rPr>
                <w:rFonts w:hint="eastAsia" w:eastAsia="宋体"/>
                <w:color w:val="000000" w:themeColor="text1"/>
                <w:kern w:val="0"/>
                <w:sz w:val="24"/>
                <w:highlight w:val="yellow"/>
                <w:lang w:eastAsia="zh-CN"/>
                <w14:textFill>
                  <w14:solidFill>
                    <w14:schemeClr w14:val="tx1"/>
                  </w14:solidFill>
                </w14:textFill>
              </w:rPr>
            </w:pPr>
          </w:p>
          <w:p w14:paraId="46FEE1AF">
            <w:pPr>
              <w:pStyle w:val="14"/>
              <w:rPr>
                <w:rFonts w:hint="eastAsia" w:eastAsia="宋体"/>
                <w:color w:val="000000" w:themeColor="text1"/>
                <w:kern w:val="0"/>
                <w:sz w:val="24"/>
                <w:highlight w:val="yellow"/>
                <w:lang w:eastAsia="zh-CN"/>
                <w14:textFill>
                  <w14:solidFill>
                    <w14:schemeClr w14:val="tx1"/>
                  </w14:solidFill>
                </w14:textFill>
              </w:rPr>
            </w:pPr>
          </w:p>
          <w:p w14:paraId="39F956A0">
            <w:pPr>
              <w:rPr>
                <w:rFonts w:hint="eastAsia" w:eastAsia="宋体"/>
                <w:color w:val="000000" w:themeColor="text1"/>
                <w:kern w:val="0"/>
                <w:sz w:val="24"/>
                <w:highlight w:val="yellow"/>
                <w:lang w:eastAsia="zh-CN"/>
                <w14:textFill>
                  <w14:solidFill>
                    <w14:schemeClr w14:val="tx1"/>
                  </w14:solidFill>
                </w14:textFill>
              </w:rPr>
            </w:pPr>
          </w:p>
          <w:p w14:paraId="4D1FB99B">
            <w:pPr>
              <w:pStyle w:val="14"/>
              <w:rPr>
                <w:rFonts w:hint="eastAsia"/>
                <w:lang w:eastAsia="zh-CN"/>
              </w:rPr>
            </w:pPr>
          </w:p>
        </w:tc>
      </w:tr>
    </w:tbl>
    <w:p w14:paraId="0C501398">
      <w:pPr>
        <w:spacing w:line="360" w:lineRule="auto"/>
        <w:outlineLvl w:val="0"/>
        <w:rPr>
          <w:rFonts w:eastAsia="黑体"/>
          <w:color w:val="000000" w:themeColor="text1"/>
          <w:sz w:val="30"/>
          <w14:textFill>
            <w14:solidFill>
              <w14:schemeClr w14:val="tx1"/>
            </w14:solidFill>
          </w14:textFill>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0B12CE54">
      <w:pPr>
        <w:pStyle w:val="24"/>
        <w:spacing w:before="0" w:beforeAutospacing="0" w:after="0" w:afterAutospacing="0" w:line="360" w:lineRule="auto"/>
        <w:jc w:val="center"/>
        <w:outlineLvl w:val="0"/>
        <w:rPr>
          <w:rFonts w:ascii="Times New Roman" w:hAnsi="Times New Roman" w:eastAsia="黑体"/>
          <w:snapToGrid w:val="0"/>
          <w:color w:val="000000" w:themeColor="text1"/>
          <w:sz w:val="30"/>
          <w:szCs w:val="30"/>
          <w14:textFill>
            <w14:solidFill>
              <w14:schemeClr w14:val="tx1"/>
            </w14:solidFill>
          </w14:textFill>
        </w:rPr>
      </w:pPr>
      <w:bookmarkStart w:id="6" w:name="_Toc22318"/>
      <w:r>
        <w:rPr>
          <w:rFonts w:ascii="Times New Roman" w:hAnsi="Times New Roman" w:eastAsia="黑体"/>
          <w:snapToGrid w:val="0"/>
          <w:color w:val="000000" w:themeColor="text1"/>
          <w:sz w:val="30"/>
          <w:szCs w:val="30"/>
          <w14:textFill>
            <w14:solidFill>
              <w14:schemeClr w14:val="tx1"/>
            </w14:solidFill>
          </w14:textFill>
        </w:rPr>
        <w:t>二、建设项目工程分析</w:t>
      </w:r>
      <w:bookmarkEnd w:id="6"/>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3"/>
        <w:gridCol w:w="8607"/>
      </w:tblGrid>
      <w:tr w14:paraId="3956B1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vAlign w:val="center"/>
          </w:tcPr>
          <w:p w14:paraId="208B9B95">
            <w:pPr>
              <w:pStyle w:val="24"/>
              <w:adjustRightInd w:val="0"/>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Cs w:val="24"/>
                <w14:textFill>
                  <w14:solidFill>
                    <w14:schemeClr w14:val="tx1"/>
                  </w14:solidFill>
                </w14:textFill>
              </w:rPr>
              <w:t>建设内容</w:t>
            </w:r>
          </w:p>
        </w:tc>
        <w:tc>
          <w:tcPr>
            <w:tcW w:w="8161" w:type="dxa"/>
          </w:tcPr>
          <w:p w14:paraId="2C9FBEB8">
            <w:pPr>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1、项目基本信息</w:t>
            </w:r>
          </w:p>
          <w:p w14:paraId="505D41BE">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（1）项目名称：</w:t>
            </w:r>
            <w:r>
              <w:rPr>
                <w:rFonts w:hint="eastAsia"/>
                <w:color w:val="000000" w:themeColor="text1"/>
                <w:sz w:val="24"/>
                <w:lang w:eastAsia="zh-CN"/>
                <w14:textFill>
                  <w14:solidFill>
                    <w14:schemeClr w14:val="tx1"/>
                  </w14:solidFill>
                </w14:textFill>
              </w:rPr>
              <w:t>黑龙江龙煤双鸭山矿业有限责任公司中央选煤厂</w:t>
            </w:r>
            <w:r>
              <w:rPr>
                <w:rFonts w:hint="eastAsia"/>
                <w:color w:val="000000" w:themeColor="text1"/>
                <w:sz w:val="24"/>
                <w:highlight w:val="none"/>
                <w:lang w:val="en-US" w:eastAsia="zh-CN"/>
                <w14:textFill>
                  <w14:solidFill>
                    <w14:schemeClr w14:val="tx1"/>
                  </w14:solidFill>
                </w14:textFill>
              </w:rPr>
              <w:t>改扩建</w:t>
            </w:r>
            <w:r>
              <w:rPr>
                <w:rFonts w:hint="eastAsia"/>
                <w:color w:val="000000" w:themeColor="text1"/>
                <w:sz w:val="24"/>
                <w:highlight w:val="none"/>
                <w:lang w:eastAsia="zh-CN"/>
                <w14:textFill>
                  <w14:solidFill>
                    <w14:schemeClr w14:val="tx1"/>
                  </w14:solidFill>
                </w14:textFill>
              </w:rPr>
              <w:t>项目</w:t>
            </w:r>
            <w:r>
              <w:rPr>
                <w:color w:val="000000" w:themeColor="text1"/>
                <w:sz w:val="24"/>
                <w:highlight w:val="none"/>
                <w14:textFill>
                  <w14:solidFill>
                    <w14:schemeClr w14:val="tx1"/>
                  </w14:solidFill>
                </w14:textFill>
              </w:rPr>
              <w:t xml:space="preserve"> </w:t>
            </w:r>
          </w:p>
          <w:p w14:paraId="4B747C7D">
            <w:pPr>
              <w:spacing w:line="360" w:lineRule="auto"/>
              <w:ind w:firstLine="480" w:firstLineChars="200"/>
              <w:rPr>
                <w:rFonts w:hint="eastAsia" w:eastAsia="宋体"/>
                <w:color w:val="000000" w:themeColor="text1"/>
                <w:sz w:val="24"/>
                <w:lang w:eastAsia="zh-CN"/>
                <w14:textFill>
                  <w14:solidFill>
                    <w14:schemeClr w14:val="tx1"/>
                  </w14:solidFill>
                </w14:textFill>
              </w:rPr>
            </w:pPr>
            <w:r>
              <w:rPr>
                <w:color w:val="000000" w:themeColor="text1"/>
                <w:sz w:val="24"/>
                <w14:textFill>
                  <w14:solidFill>
                    <w14:schemeClr w14:val="tx1"/>
                  </w14:solidFill>
                </w14:textFill>
              </w:rPr>
              <w:t>（2）建设单位：</w:t>
            </w:r>
            <w:r>
              <w:rPr>
                <w:rFonts w:hint="eastAsia"/>
                <w:color w:val="000000" w:themeColor="text1"/>
                <w:sz w:val="24"/>
                <w:lang w:eastAsia="zh-CN"/>
                <w14:textFill>
                  <w14:solidFill>
                    <w14:schemeClr w14:val="tx1"/>
                  </w14:solidFill>
                </w14:textFill>
              </w:rPr>
              <w:t>黑龙江龙煤双鸭山矿业有限责任公司</w:t>
            </w:r>
          </w:p>
          <w:p w14:paraId="639D1336">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w:t>
            </w:r>
            <w:r>
              <w:rPr>
                <w:color w:val="FF0000"/>
                <w:sz w:val="24"/>
              </w:rPr>
              <w:t>建设性质：</w:t>
            </w:r>
            <w:r>
              <w:rPr>
                <w:rFonts w:hint="eastAsia"/>
                <w:color w:val="FF0000"/>
                <w:sz w:val="24"/>
                <w:lang w:val="en-US" w:eastAsia="zh-CN"/>
              </w:rPr>
              <w:t>改扩建</w:t>
            </w:r>
            <w:r>
              <w:rPr>
                <w:color w:val="FF0000"/>
                <w:sz w:val="24"/>
              </w:rPr>
              <w:t xml:space="preserve"> </w:t>
            </w:r>
          </w:p>
          <w:p w14:paraId="60AF098B">
            <w:pPr>
              <w:pStyle w:val="3"/>
              <w:spacing w:before="0" w:after="0" w:line="360" w:lineRule="auto"/>
              <w:ind w:right="0" w:firstLine="480" w:firstLineChars="20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（4）项目规模：入洗原煤</w:t>
            </w:r>
            <w:r>
              <w:rPr>
                <w:rFonts w:hint="eastAsia"/>
                <w:color w:val="000000" w:themeColor="text1"/>
                <w:sz w:val="24"/>
                <w:szCs w:val="24"/>
                <w:highlight w:val="none"/>
                <w:lang w:val="en-US" w:eastAsia="zh-CN"/>
                <w14:textFill>
                  <w14:solidFill>
                    <w14:schemeClr w14:val="tx1"/>
                  </w14:solidFill>
                </w14:textFill>
              </w:rPr>
              <w:t>300</w:t>
            </w:r>
            <w:r>
              <w:rPr>
                <w:rFonts w:hint="eastAsia"/>
                <w:color w:val="000000" w:themeColor="text1"/>
                <w:sz w:val="24"/>
                <w:szCs w:val="24"/>
                <w:highlight w:val="none"/>
                <w14:textFill>
                  <w14:solidFill>
                    <w14:schemeClr w14:val="tx1"/>
                  </w14:solidFill>
                </w14:textFill>
              </w:rPr>
              <w:t>万吨</w:t>
            </w:r>
          </w:p>
          <w:p w14:paraId="1933D565">
            <w:pPr>
              <w:spacing w:line="360" w:lineRule="auto"/>
              <w:ind w:firstLine="480" w:firstLineChars="200"/>
              <w:rPr>
                <w:rFonts w:hint="eastAsia" w:eastAsia="宋体"/>
                <w:color w:val="000000" w:themeColor="text1"/>
                <w:sz w:val="24"/>
                <w:highlight w:val="yellow"/>
                <w:lang w:eastAsia="zh-CN"/>
                <w14:textFill>
                  <w14:solidFill>
                    <w14:schemeClr w14:val="tx1"/>
                  </w14:solidFill>
                </w14:textFill>
              </w:rPr>
            </w:pP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5</w:t>
            </w:r>
            <w:r>
              <w:rPr>
                <w:color w:val="000000" w:themeColor="text1"/>
                <w:sz w:val="24"/>
                <w:highlight w:val="none"/>
                <w14:textFill>
                  <w14:solidFill>
                    <w14:schemeClr w14:val="tx1"/>
                  </w14:solidFill>
                </w14:textFill>
              </w:rPr>
              <w:t>）建设地点：</w:t>
            </w:r>
            <w:r>
              <w:rPr>
                <w:rFonts w:hint="eastAsia"/>
                <w:color w:val="000000" w:themeColor="text1"/>
                <w:sz w:val="24"/>
                <w:highlight w:val="none"/>
                <w14:textFill>
                  <w14:solidFill>
                    <w14:schemeClr w14:val="tx1"/>
                  </w14:solidFill>
                </w14:textFill>
              </w:rPr>
              <w:t>黑龙江省</w:t>
            </w:r>
            <w:r>
              <w:rPr>
                <w:rFonts w:hint="eastAsia"/>
                <w:color w:val="000000" w:themeColor="text1"/>
                <w:sz w:val="24"/>
                <w:highlight w:val="none"/>
                <w:lang w:val="en-US" w:eastAsia="zh-CN"/>
                <w14:textFill>
                  <w14:solidFill>
                    <w14:schemeClr w14:val="tx1"/>
                  </w14:solidFill>
                </w14:textFill>
              </w:rPr>
              <w:t>双鸭山</w:t>
            </w:r>
            <w:r>
              <w:rPr>
                <w:rFonts w:hint="eastAsia"/>
                <w:color w:val="000000" w:themeColor="text1"/>
                <w:sz w:val="24"/>
                <w:highlight w:val="none"/>
                <w14:textFill>
                  <w14:solidFill>
                    <w14:schemeClr w14:val="tx1"/>
                  </w14:solidFill>
                </w14:textFill>
              </w:rPr>
              <w:t>市</w:t>
            </w:r>
            <w:r>
              <w:rPr>
                <w:rFonts w:hint="eastAsia"/>
                <w:color w:val="000000" w:themeColor="text1"/>
                <w:sz w:val="24"/>
                <w:highlight w:val="none"/>
                <w:lang w:val="en-US" w:eastAsia="zh-CN"/>
                <w14:textFill>
                  <w14:solidFill>
                    <w14:schemeClr w14:val="tx1"/>
                  </w14:solidFill>
                </w14:textFill>
              </w:rPr>
              <w:t>尖山区三马路和西平行路交叉处西南</w:t>
            </w:r>
          </w:p>
          <w:p w14:paraId="5818FC8E">
            <w:pPr>
              <w:spacing w:line="360" w:lineRule="auto"/>
              <w:ind w:firstLine="482" w:firstLineChars="200"/>
              <w:rPr>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2</w:t>
            </w:r>
            <w:r>
              <w:rPr>
                <w:b/>
                <w:bCs/>
                <w:color w:val="000000" w:themeColor="text1"/>
                <w:sz w:val="24"/>
                <w14:textFill>
                  <w14:solidFill>
                    <w14:schemeClr w14:val="tx1"/>
                  </w14:solidFill>
                </w14:textFill>
              </w:rPr>
              <w:t>、建设规模及内容</w:t>
            </w:r>
          </w:p>
          <w:p w14:paraId="24A2A6FE">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本项目为选煤厂改扩建项目，在现有厂区内仅对选煤工艺进行改造，更换设备将原有的跳汰洗选工艺改为重介洗选工艺，</w:t>
            </w:r>
            <w:r>
              <w:rPr>
                <w:rFonts w:hint="eastAsia"/>
                <w:color w:val="FF0000"/>
                <w:sz w:val="24"/>
                <w:highlight w:val="none"/>
                <w:lang w:val="en-US" w:eastAsia="zh-CN"/>
              </w:rPr>
              <w:t>改造前后原煤入洗能力不变，入洗原煤仍为300万吨。</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项目</w:t>
            </w:r>
            <w:r>
              <w:rPr>
                <w:rFonts w:hint="eastAsia"/>
                <w:color w:val="000000" w:themeColor="text1"/>
                <w:sz w:val="24"/>
                <w:highlight w:val="none"/>
                <w:lang w:val="en-US" w:eastAsia="zh-CN"/>
                <w14:textFill>
                  <w14:solidFill>
                    <w14:schemeClr w14:val="tx1"/>
                  </w14:solidFill>
                </w14:textFill>
              </w:rPr>
              <w:t>不新增占地，依托现有主厂房、原煤库、产品库、办公楼等。</w:t>
            </w:r>
            <w:r>
              <w:rPr>
                <w:color w:val="000000" w:themeColor="text1"/>
                <w:sz w:val="24"/>
                <w:highlight w:val="none"/>
                <w14:textFill>
                  <w14:solidFill>
                    <w14:schemeClr w14:val="tx1"/>
                  </w14:solidFill>
                </w14:textFill>
              </w:rPr>
              <w:t>项目组成详见表2-</w:t>
            </w:r>
            <w:r>
              <w:rPr>
                <w:rFonts w:hint="eastAsia"/>
                <w:color w:val="000000" w:themeColor="text1"/>
                <w:sz w:val="24"/>
                <w:highlight w:val="none"/>
                <w:lang w:val="en-US" w:eastAsia="zh-CN"/>
                <w14:textFill>
                  <w14:solidFill>
                    <w14:schemeClr w14:val="tx1"/>
                  </w14:solidFill>
                </w14:textFill>
              </w:rPr>
              <w:t>1</w:t>
            </w:r>
            <w:r>
              <w:rPr>
                <w:color w:val="000000" w:themeColor="text1"/>
                <w:sz w:val="24"/>
                <w:highlight w:val="none"/>
                <w14:textFill>
                  <w14:solidFill>
                    <w14:schemeClr w14:val="tx1"/>
                  </w14:solidFill>
                </w14:textFill>
              </w:rPr>
              <w:t>。</w:t>
            </w:r>
          </w:p>
          <w:p w14:paraId="766D134F">
            <w:pPr>
              <w:spacing w:line="360" w:lineRule="auto"/>
              <w:jc w:val="center"/>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表2-</w:t>
            </w:r>
            <w:r>
              <w:rPr>
                <w:rFonts w:hint="eastAsia"/>
                <w:b/>
                <w:bCs/>
                <w:color w:val="000000" w:themeColor="text1"/>
                <w:sz w:val="24"/>
                <w:highlight w:val="none"/>
                <w:lang w:val="en-US" w:eastAsia="zh-CN"/>
                <w14:textFill>
                  <w14:solidFill>
                    <w14:schemeClr w14:val="tx1"/>
                  </w14:solidFill>
                </w14:textFill>
              </w:rPr>
              <w:t>1</w:t>
            </w:r>
            <w:r>
              <w:rPr>
                <w:b/>
                <w:bCs/>
                <w:color w:val="000000" w:themeColor="text1"/>
                <w:sz w:val="24"/>
                <w:highlight w:val="none"/>
                <w14:textFill>
                  <w14:solidFill>
                    <w14:schemeClr w14:val="tx1"/>
                  </w14:solidFill>
                </w14:textFill>
              </w:rPr>
              <w:t xml:space="preserve"> 项目组成一览表</w:t>
            </w:r>
            <w:r>
              <w:rPr>
                <w:rFonts w:hint="eastAsia"/>
                <w:b/>
                <w:bCs/>
                <w:color w:val="000000" w:themeColor="text1"/>
                <w:sz w:val="24"/>
                <w:highlight w:val="none"/>
                <w14:textFill>
                  <w14:solidFill>
                    <w14:schemeClr w14:val="tx1"/>
                  </w14:solidFill>
                </w14:textFill>
              </w:rPr>
              <w:t xml:space="preserve"> </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4"/>
              <w:gridCol w:w="1254"/>
              <w:gridCol w:w="5303"/>
              <w:gridCol w:w="1147"/>
            </w:tblGrid>
            <w:tr w14:paraId="06AEC6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4" w:type="dxa"/>
                  <w:tcBorders>
                    <w:tl2br w:val="nil"/>
                    <w:tr2bl w:val="nil"/>
                  </w:tcBorders>
                  <w:vAlign w:val="center"/>
                </w:tcPr>
                <w:p w14:paraId="6FE7FE98">
                  <w:pPr>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工程分类</w:t>
                  </w:r>
                </w:p>
              </w:tc>
              <w:tc>
                <w:tcPr>
                  <w:tcW w:w="1254" w:type="dxa"/>
                  <w:tcBorders>
                    <w:tl2br w:val="nil"/>
                    <w:tr2bl w:val="nil"/>
                  </w:tcBorders>
                  <w:vAlign w:val="center"/>
                </w:tcPr>
                <w:p w14:paraId="31F12EF0">
                  <w:pPr>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工程名称</w:t>
                  </w:r>
                </w:p>
              </w:tc>
              <w:tc>
                <w:tcPr>
                  <w:tcW w:w="5302" w:type="dxa"/>
                  <w:tcBorders>
                    <w:tl2br w:val="nil"/>
                    <w:tr2bl w:val="nil"/>
                  </w:tcBorders>
                  <w:vAlign w:val="center"/>
                </w:tcPr>
                <w:p w14:paraId="2AA734B9">
                  <w:pPr>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工程内容</w:t>
                  </w:r>
                </w:p>
              </w:tc>
              <w:tc>
                <w:tcPr>
                  <w:tcW w:w="1146" w:type="dxa"/>
                  <w:tcBorders>
                    <w:tl2br w:val="nil"/>
                    <w:tr2bl w:val="nil"/>
                  </w:tcBorders>
                  <w:vAlign w:val="center"/>
                </w:tcPr>
                <w:p w14:paraId="6765E812">
                  <w:pPr>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备注</w:t>
                  </w:r>
                </w:p>
              </w:tc>
            </w:tr>
            <w:tr w14:paraId="5F7896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4" w:type="dxa"/>
                  <w:vMerge w:val="restart"/>
                  <w:tcBorders>
                    <w:tl2br w:val="nil"/>
                    <w:tr2bl w:val="nil"/>
                  </w:tcBorders>
                  <w:vAlign w:val="center"/>
                </w:tcPr>
                <w:p w14:paraId="2C2434B9">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主体工程</w:t>
                  </w:r>
                </w:p>
              </w:tc>
              <w:tc>
                <w:tcPr>
                  <w:tcW w:w="1254" w:type="dxa"/>
                  <w:tcBorders>
                    <w:tl2br w:val="nil"/>
                    <w:tr2bl w:val="nil"/>
                  </w:tcBorders>
                  <w:vAlign w:val="center"/>
                </w:tcPr>
                <w:p w14:paraId="3C1975BB">
                  <w:pPr>
                    <w:numPr>
                      <w:ilvl w:val="0"/>
                      <w:numId w:val="0"/>
                    </w:numPr>
                    <w:autoSpaceDE/>
                    <w:autoSpaceDN/>
                    <w:spacing w:before="0" w:beforeAutospacing="0" w:after="0" w:afterAutospacing="0" w:line="240" w:lineRule="auto"/>
                    <w:ind w:left="0" w:leftChars="0" w:right="0" w:rightChars="0" w:firstLine="0" w:firstLineChars="0"/>
                    <w:jc w:val="center"/>
                    <w:rPr>
                      <w:color w:val="000000" w:themeColor="text1"/>
                      <w:szCs w:val="21"/>
                      <w:highlight w:val="yellow"/>
                      <w14:textFill>
                        <w14:solidFill>
                          <w14:schemeClr w14:val="tx1"/>
                        </w14:solidFill>
                      </w14:textFill>
                    </w:rPr>
                  </w:pPr>
                  <w:r>
                    <w:rPr>
                      <w:rFonts w:hint="default" w:ascii="宋体" w:hAnsi="宋体" w:eastAsia="宋体"/>
                      <w:color w:val="000000" w:themeColor="text1"/>
                      <w:sz w:val="21"/>
                      <w:szCs w:val="21"/>
                      <w:highlight w:val="none"/>
                      <w14:textFill>
                        <w14:solidFill>
                          <w14:schemeClr w14:val="tx1"/>
                        </w14:solidFill>
                      </w14:textFill>
                    </w:rPr>
                    <w:t>主厂房</w:t>
                  </w:r>
                </w:p>
              </w:tc>
              <w:tc>
                <w:tcPr>
                  <w:tcW w:w="5302" w:type="dxa"/>
                  <w:tcBorders>
                    <w:tl2br w:val="nil"/>
                    <w:tr2bl w:val="nil"/>
                  </w:tcBorders>
                  <w:vAlign w:val="center"/>
                </w:tcPr>
                <w:p w14:paraId="033DD871">
                  <w:pPr>
                    <w:rPr>
                      <w:rFonts w:hint="eastAsia" w:eastAsia="宋体"/>
                      <w:color w:val="000000" w:themeColor="text1"/>
                      <w:szCs w:val="21"/>
                      <w:highlight w:val="yellow"/>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主厂房位于厂区中心，占地面积3956.095</w:t>
                  </w:r>
                  <w:r>
                    <w:rPr>
                      <w:rFonts w:hint="default"/>
                      <w:color w:val="000000" w:themeColor="text1"/>
                      <w:szCs w:val="21"/>
                      <w:highlight w:val="none"/>
                      <w14:textFill>
                        <w14:solidFill>
                          <w14:schemeClr w14:val="tx1"/>
                        </w14:solidFill>
                      </w14:textFill>
                    </w:rPr>
                    <w:t>m</w:t>
                  </w:r>
                  <w:r>
                    <w:rPr>
                      <w:rFonts w:hint="default"/>
                      <w:color w:val="000000" w:themeColor="text1"/>
                      <w:szCs w:val="21"/>
                      <w:highlight w:val="none"/>
                      <w:vertAlign w:val="superscript"/>
                      <w14:textFill>
                        <w14:solidFill>
                          <w14:schemeClr w14:val="tx1"/>
                        </w14:solidFill>
                      </w14:textFill>
                    </w:rPr>
                    <w:t>2</w:t>
                  </w:r>
                  <w:r>
                    <w:rPr>
                      <w:color w:val="000000" w:themeColor="text1"/>
                      <w:szCs w:val="21"/>
                      <w:highlight w:val="none"/>
                      <w14:textFill>
                        <w14:solidFill>
                          <w14:schemeClr w14:val="tx1"/>
                        </w14:solidFill>
                      </w14:textFill>
                    </w:rPr>
                    <w:t>，</w:t>
                  </w:r>
                  <w:r>
                    <w:rPr>
                      <w:rFonts w:hint="default"/>
                      <w:color w:val="000000" w:themeColor="text1"/>
                      <w:szCs w:val="21"/>
                      <w:highlight w:val="none"/>
                      <w14:textFill>
                        <w14:solidFill>
                          <w14:schemeClr w14:val="tx1"/>
                        </w14:solidFill>
                      </w14:textFill>
                    </w:rPr>
                    <w:t>砖混</w:t>
                  </w:r>
                  <w:r>
                    <w:rPr>
                      <w:rFonts w:hint="eastAsia"/>
                      <w:color w:val="000000" w:themeColor="text1"/>
                      <w:szCs w:val="21"/>
                      <w:highlight w:val="none"/>
                      <w:lang w:val="en-US" w:eastAsia="zh-CN"/>
                      <w14:textFill>
                        <w14:solidFill>
                          <w14:schemeClr w14:val="tx1"/>
                        </w14:solidFill>
                      </w14:textFill>
                    </w:rPr>
                    <w:t>结构，7层，高度17.94m，破碎、筛分等工序均位于主厂房内，主要安装重介旋流器、脱介筛、浮选机、</w:t>
                  </w:r>
                  <w:r>
                    <w:rPr>
                      <w:color w:val="000000" w:themeColor="text1"/>
                      <w:szCs w:val="21"/>
                      <w:highlight w:val="none"/>
                      <w14:textFill>
                        <w14:solidFill>
                          <w14:schemeClr w14:val="tx1"/>
                        </w14:solidFill>
                      </w14:textFill>
                    </w:rPr>
                    <w:t>磁选机</w:t>
                  </w:r>
                  <w:r>
                    <w:rPr>
                      <w:rFonts w:hint="eastAsia"/>
                      <w:color w:val="000000" w:themeColor="text1"/>
                      <w:szCs w:val="21"/>
                      <w:highlight w:val="none"/>
                      <w:lang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破碎机、分级筛</w:t>
                  </w:r>
                  <w:r>
                    <w:rPr>
                      <w:color w:val="000000" w:themeColor="text1"/>
                      <w:szCs w:val="21"/>
                      <w:highlight w:val="none"/>
                      <w14:textFill>
                        <w14:solidFill>
                          <w14:schemeClr w14:val="tx1"/>
                        </w14:solidFill>
                      </w14:textFill>
                    </w:rPr>
                    <w:t>等设备</w:t>
                  </w:r>
                  <w:r>
                    <w:rPr>
                      <w:rFonts w:hint="eastAsia"/>
                      <w:color w:val="000000" w:themeColor="text1"/>
                      <w:szCs w:val="21"/>
                      <w:highlight w:val="none"/>
                      <w:lang w:eastAsia="zh-CN"/>
                      <w14:textFill>
                        <w14:solidFill>
                          <w14:schemeClr w14:val="tx1"/>
                        </w14:solidFill>
                      </w14:textFill>
                    </w:rPr>
                    <w:t>。</w:t>
                  </w:r>
                </w:p>
              </w:tc>
              <w:tc>
                <w:tcPr>
                  <w:tcW w:w="1146" w:type="dxa"/>
                  <w:tcBorders>
                    <w:tl2br w:val="nil"/>
                    <w:tr2bl w:val="nil"/>
                  </w:tcBorders>
                  <w:vAlign w:val="center"/>
                </w:tcPr>
                <w:p w14:paraId="594E7117">
                  <w:pPr>
                    <w:jc w:val="center"/>
                    <w:rPr>
                      <w:rFonts w:hint="default" w:eastAsia="宋体"/>
                      <w:color w:val="000000" w:themeColor="text1"/>
                      <w:szCs w:val="21"/>
                      <w:highlight w:val="yellow"/>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依托现有厂房，更换设备</w:t>
                  </w:r>
                </w:p>
              </w:tc>
            </w:tr>
            <w:tr w14:paraId="780234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4" w:type="dxa"/>
                  <w:vMerge w:val="continue"/>
                  <w:tcBorders>
                    <w:tl2br w:val="nil"/>
                    <w:tr2bl w:val="nil"/>
                  </w:tcBorders>
                  <w:vAlign w:val="center"/>
                </w:tcPr>
                <w:p w14:paraId="6D9B826E">
                  <w:pPr>
                    <w:jc w:val="center"/>
                    <w:rPr>
                      <w:color w:val="000000" w:themeColor="text1"/>
                      <w:szCs w:val="21"/>
                      <w:highlight w:val="yellow"/>
                      <w14:textFill>
                        <w14:solidFill>
                          <w14:schemeClr w14:val="tx1"/>
                        </w14:solidFill>
                      </w14:textFill>
                    </w:rPr>
                  </w:pPr>
                </w:p>
              </w:tc>
              <w:tc>
                <w:tcPr>
                  <w:tcW w:w="1254" w:type="dxa"/>
                  <w:tcBorders>
                    <w:tl2br w:val="nil"/>
                    <w:tr2bl w:val="nil"/>
                  </w:tcBorders>
                  <w:vAlign w:val="center"/>
                </w:tcPr>
                <w:p w14:paraId="015EB911">
                  <w:pPr>
                    <w:numPr>
                      <w:ilvl w:val="0"/>
                      <w:numId w:val="0"/>
                    </w:numPr>
                    <w:autoSpaceDE/>
                    <w:autoSpaceDN/>
                    <w:spacing w:before="0" w:beforeAutospacing="0" w:after="0" w:afterAutospacing="0" w:line="240" w:lineRule="auto"/>
                    <w:ind w:left="0" w:leftChars="0" w:right="0" w:rightChars="0" w:firstLine="0" w:firstLineChars="0"/>
                    <w:jc w:val="center"/>
                    <w:rPr>
                      <w:rFonts w:hint="eastAsia" w:eastAsia="宋体"/>
                      <w:color w:val="000000" w:themeColor="text1"/>
                      <w:szCs w:val="21"/>
                      <w:highlight w:val="yellow"/>
                      <w:lang w:eastAsia="zh-CN"/>
                      <w14:textFill>
                        <w14:solidFill>
                          <w14:schemeClr w14:val="tx1"/>
                        </w14:solidFill>
                      </w14:textFill>
                    </w:rPr>
                  </w:pPr>
                  <w:r>
                    <w:rPr>
                      <w:rFonts w:hint="eastAsia" w:ascii="宋体" w:hAnsi="宋体"/>
                      <w:color w:val="000000" w:themeColor="text1"/>
                      <w:sz w:val="21"/>
                      <w:szCs w:val="21"/>
                      <w:highlight w:val="none"/>
                      <w:lang w:val="en-US" w:eastAsia="zh-CN"/>
                      <w14:textFill>
                        <w14:solidFill>
                          <w14:schemeClr w14:val="tx1"/>
                        </w14:solidFill>
                      </w14:textFill>
                    </w:rPr>
                    <w:t>受煤坑</w:t>
                  </w:r>
                </w:p>
              </w:tc>
              <w:tc>
                <w:tcPr>
                  <w:tcW w:w="5302" w:type="dxa"/>
                  <w:tcBorders>
                    <w:tl2br w:val="nil"/>
                    <w:tr2bl w:val="nil"/>
                  </w:tcBorders>
                  <w:vAlign w:val="center"/>
                </w:tcPr>
                <w:p w14:paraId="06C77895">
                  <w:pPr>
                    <w:rPr>
                      <w:color w:val="000000" w:themeColor="text1"/>
                      <w:szCs w:val="21"/>
                      <w:highlight w:val="yellow"/>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受煤坑位于主厂房南侧，半封闭</w:t>
                  </w:r>
                  <w:r>
                    <w:rPr>
                      <w:rFonts w:hint="eastAsia"/>
                      <w:color w:val="000000" w:themeColor="text1"/>
                      <w:szCs w:val="21"/>
                      <w:highlight w:val="none"/>
                      <w:lang w:eastAsia="zh-CN"/>
                      <w14:textFill>
                        <w14:solidFill>
                          <w14:schemeClr w14:val="tx1"/>
                        </w14:solidFill>
                      </w14:textFill>
                    </w:rPr>
                    <w:t>钢框架</w:t>
                  </w:r>
                  <w:r>
                    <w:rPr>
                      <w:rFonts w:hint="eastAsia"/>
                      <w:color w:val="000000" w:themeColor="text1"/>
                      <w:szCs w:val="21"/>
                      <w:highlight w:val="none"/>
                      <w:lang w:val="en-US" w:eastAsia="zh-CN"/>
                      <w14:textFill>
                        <w14:solidFill>
                          <w14:schemeClr w14:val="tx1"/>
                        </w14:solidFill>
                      </w14:textFill>
                    </w:rPr>
                    <w:t>结构，长80m，宽10m</w:t>
                  </w:r>
                  <w:r>
                    <w:rPr>
                      <w:color w:val="000000" w:themeColor="text1"/>
                      <w:szCs w:val="21"/>
                      <w:highlight w:val="none"/>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内设原煤给料机、胶带输送机等设备。</w:t>
                  </w:r>
                </w:p>
              </w:tc>
              <w:tc>
                <w:tcPr>
                  <w:tcW w:w="1146" w:type="dxa"/>
                  <w:tcBorders>
                    <w:tl2br w:val="nil"/>
                    <w:tr2bl w:val="nil"/>
                  </w:tcBorders>
                  <w:vAlign w:val="center"/>
                </w:tcPr>
                <w:p w14:paraId="39CA04DA">
                  <w:pPr>
                    <w:jc w:val="center"/>
                    <w:rPr>
                      <w:rFonts w:hint="default" w:eastAsia="宋体"/>
                      <w:color w:val="000000" w:themeColor="text1"/>
                      <w:szCs w:val="21"/>
                      <w:highlight w:val="yellow"/>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依托现有</w:t>
                  </w:r>
                </w:p>
              </w:tc>
            </w:tr>
            <w:tr w14:paraId="053997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4" w:type="dxa"/>
                  <w:vMerge w:val="restart"/>
                  <w:tcBorders>
                    <w:tl2br w:val="nil"/>
                    <w:tr2bl w:val="nil"/>
                  </w:tcBorders>
                  <w:vAlign w:val="center"/>
                </w:tcPr>
                <w:p w14:paraId="360A26DB">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辅助工程</w:t>
                  </w:r>
                </w:p>
              </w:tc>
              <w:tc>
                <w:tcPr>
                  <w:tcW w:w="1254" w:type="dxa"/>
                  <w:tcBorders>
                    <w:tl2br w:val="nil"/>
                    <w:tr2bl w:val="nil"/>
                  </w:tcBorders>
                  <w:vAlign w:val="center"/>
                </w:tcPr>
                <w:p w14:paraId="0AAFFD8D">
                  <w:pPr>
                    <w:jc w:val="center"/>
                    <w:rPr>
                      <w:rFonts w:hint="eastAsia" w:ascii="Times New Roman" w:hAnsi="Times New Roman" w:eastAsia="宋体" w:cs="Times New Roman"/>
                      <w:color w:val="000000" w:themeColor="text1"/>
                      <w:kern w:val="2"/>
                      <w:sz w:val="21"/>
                      <w:szCs w:val="21"/>
                      <w:highlight w:val="yellow"/>
                      <w:lang w:val="en-US" w:eastAsia="zh-CN" w:bidi="ar-SA"/>
                      <w14:textFill>
                        <w14:solidFill>
                          <w14:schemeClr w14:val="tx1"/>
                        </w14:solidFill>
                      </w14:textFill>
                    </w:rPr>
                  </w:pPr>
                  <w:r>
                    <w:rPr>
                      <w:rFonts w:ascii="Times New Roman" w:hAnsi="Times New Roman" w:eastAsia="宋体" w:cs="Times New Roman"/>
                      <w:color w:val="000000" w:themeColor="text1"/>
                      <w:szCs w:val="21"/>
                      <w:highlight w:val="none"/>
                      <w14:textFill>
                        <w14:solidFill>
                          <w14:schemeClr w14:val="tx1"/>
                        </w14:solidFill>
                      </w14:textFill>
                    </w:rPr>
                    <w:t>办公</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楼</w:t>
                  </w:r>
                </w:p>
              </w:tc>
              <w:tc>
                <w:tcPr>
                  <w:tcW w:w="5302" w:type="dxa"/>
                  <w:tcBorders>
                    <w:tl2br w:val="nil"/>
                    <w:tr2bl w:val="nil"/>
                  </w:tcBorders>
                  <w:vAlign w:val="center"/>
                </w:tcPr>
                <w:p w14:paraId="25C79B07">
                  <w:pPr>
                    <w:rPr>
                      <w:rFonts w:hint="eastAsia" w:ascii="Times New Roman" w:hAnsi="Times New Roman" w:eastAsia="宋体" w:cs="Times New Roman"/>
                      <w:color w:val="000000" w:themeColor="text1"/>
                      <w:kern w:val="2"/>
                      <w:sz w:val="21"/>
                      <w:szCs w:val="21"/>
                      <w:highlight w:val="yellow"/>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位于主厂房东侧，</w:t>
                  </w:r>
                  <w:r>
                    <w:rPr>
                      <w:rFonts w:ascii="Times New Roman" w:hAnsi="Times New Roman" w:eastAsia="宋体" w:cs="Times New Roman"/>
                      <w:color w:val="000000" w:themeColor="text1"/>
                      <w:szCs w:val="21"/>
                      <w:highlight w:val="none"/>
                      <w14:textFill>
                        <w14:solidFill>
                          <w14:schemeClr w14:val="tx1"/>
                        </w14:solidFill>
                      </w14:textFill>
                    </w:rPr>
                    <w:t>占地</w:t>
                  </w:r>
                  <w:r>
                    <w:rPr>
                      <w:rFonts w:hint="eastAsia" w:cs="Times New Roman"/>
                      <w:color w:val="000000" w:themeColor="text1"/>
                      <w:szCs w:val="21"/>
                      <w:highlight w:val="none"/>
                      <w:lang w:val="en-US" w:eastAsia="zh-CN"/>
                      <w14:textFill>
                        <w14:solidFill>
                          <w14:schemeClr w14:val="tx1"/>
                        </w14:solidFill>
                      </w14:textFill>
                    </w:rPr>
                    <w:t>面积739.25</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m</w:t>
                  </w:r>
                  <w:r>
                    <w:rPr>
                      <w:rFonts w:hint="eastAsia" w:cs="Times New Roman"/>
                      <w:color w:val="000000" w:themeColor="text1"/>
                      <w:szCs w:val="21"/>
                      <w:highlight w:val="none"/>
                      <w:vertAlign w:val="superscript"/>
                      <w:lang w:val="en-US" w:eastAsia="zh-CN"/>
                      <w14:textFill>
                        <w14:solidFill>
                          <w14:schemeClr w14:val="tx1"/>
                        </w14:solidFill>
                      </w14:textFill>
                    </w:rPr>
                    <w:t>2</w:t>
                  </w:r>
                  <w:r>
                    <w:rPr>
                      <w:rFonts w:ascii="Times New Roman" w:hAnsi="Times New Roman" w:eastAsia="宋体" w:cs="Times New Roman"/>
                      <w:color w:val="000000" w:themeColor="text1"/>
                      <w:szCs w:val="21"/>
                      <w:highlight w:val="none"/>
                      <w14:textFill>
                        <w14:solidFill>
                          <w14:schemeClr w14:val="tx1"/>
                        </w14:solidFill>
                      </w14:textFill>
                    </w:rPr>
                    <w:t>，</w:t>
                  </w:r>
                  <w:r>
                    <w:rPr>
                      <w:rFonts w:hint="eastAsia" w:cs="Times New Roman"/>
                      <w:color w:val="000000" w:themeColor="text1"/>
                      <w:szCs w:val="21"/>
                      <w:highlight w:val="none"/>
                      <w:lang w:val="en-US" w:eastAsia="zh-CN"/>
                      <w14:textFill>
                        <w14:solidFill>
                          <w14:schemeClr w14:val="tx1"/>
                        </w14:solidFill>
                      </w14:textFill>
                    </w:rPr>
                    <w:t>4</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层，用于</w:t>
                  </w:r>
                  <w:r>
                    <w:rPr>
                      <w:rFonts w:ascii="Times New Roman" w:hAnsi="Times New Roman" w:eastAsia="宋体" w:cs="Times New Roman"/>
                      <w:color w:val="000000" w:themeColor="text1"/>
                      <w:szCs w:val="21"/>
                      <w:highlight w:val="none"/>
                      <w14:textFill>
                        <w14:solidFill>
                          <w14:schemeClr w14:val="tx1"/>
                        </w14:solidFill>
                      </w14:textFill>
                    </w:rPr>
                    <w:t>员工办公</w:t>
                  </w:r>
                  <w:r>
                    <w:rPr>
                      <w:rFonts w:hint="eastAsia" w:cs="Times New Roman"/>
                      <w:color w:val="000000" w:themeColor="text1"/>
                      <w:szCs w:val="21"/>
                      <w:highlight w:val="none"/>
                      <w:lang w:eastAsia="zh-CN"/>
                      <w14:textFill>
                        <w14:solidFill>
                          <w14:schemeClr w14:val="tx1"/>
                        </w14:solidFill>
                      </w14:textFill>
                    </w:rPr>
                    <w:t>。</w:t>
                  </w:r>
                </w:p>
              </w:tc>
              <w:tc>
                <w:tcPr>
                  <w:tcW w:w="1146" w:type="dxa"/>
                  <w:tcBorders>
                    <w:tl2br w:val="nil"/>
                    <w:tr2bl w:val="nil"/>
                  </w:tcBorders>
                  <w:vAlign w:val="center"/>
                </w:tcPr>
                <w:p w14:paraId="09A5C7D6">
                  <w:pPr>
                    <w:jc w:val="center"/>
                    <w:rPr>
                      <w:rFonts w:hint="default" w:ascii="Times New Roman" w:hAnsi="Times New Roman" w:eastAsia="宋体" w:cs="Times New Roman"/>
                      <w:color w:val="000000" w:themeColor="text1"/>
                      <w:kern w:val="2"/>
                      <w:sz w:val="21"/>
                      <w:szCs w:val="21"/>
                      <w:highlight w:val="yellow"/>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依托现有</w:t>
                  </w:r>
                </w:p>
              </w:tc>
            </w:tr>
            <w:tr w14:paraId="6D1705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4" w:type="dxa"/>
                  <w:vMerge w:val="continue"/>
                  <w:tcBorders>
                    <w:tl2br w:val="nil"/>
                    <w:tr2bl w:val="nil"/>
                  </w:tcBorders>
                  <w:vAlign w:val="center"/>
                </w:tcPr>
                <w:p w14:paraId="16579FC5">
                  <w:pPr>
                    <w:jc w:val="center"/>
                    <w:rPr>
                      <w:color w:val="000000" w:themeColor="text1"/>
                      <w:szCs w:val="21"/>
                      <w:highlight w:val="none"/>
                      <w14:textFill>
                        <w14:solidFill>
                          <w14:schemeClr w14:val="tx1"/>
                        </w14:solidFill>
                      </w14:textFill>
                    </w:rPr>
                  </w:pPr>
                </w:p>
              </w:tc>
              <w:tc>
                <w:tcPr>
                  <w:tcW w:w="1254" w:type="dxa"/>
                  <w:tcBorders>
                    <w:tl2br w:val="nil"/>
                    <w:tr2bl w:val="nil"/>
                  </w:tcBorders>
                  <w:vAlign w:val="center"/>
                </w:tcPr>
                <w:p w14:paraId="67A67C9C">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食堂</w:t>
                  </w:r>
                </w:p>
              </w:tc>
              <w:tc>
                <w:tcPr>
                  <w:tcW w:w="5302" w:type="dxa"/>
                  <w:tcBorders>
                    <w:tl2br w:val="nil"/>
                    <w:tr2bl w:val="nil"/>
                  </w:tcBorders>
                  <w:vAlign w:val="center"/>
                </w:tcPr>
                <w:p w14:paraId="01659C7B">
                  <w:pP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位于</w:t>
                  </w:r>
                  <w:r>
                    <w:rPr>
                      <w:rFonts w:hint="eastAsia" w:cs="Times New Roman"/>
                      <w:color w:val="000000" w:themeColor="text1"/>
                      <w:szCs w:val="21"/>
                      <w:highlight w:val="none"/>
                      <w:lang w:val="en-US" w:eastAsia="zh-CN"/>
                      <w14:textFill>
                        <w14:solidFill>
                          <w14:schemeClr w14:val="tx1"/>
                        </w14:solidFill>
                      </w14:textFill>
                    </w:rPr>
                    <w:t>厂区东侧</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w:t>
                  </w:r>
                  <w:r>
                    <w:rPr>
                      <w:rFonts w:ascii="Times New Roman" w:hAnsi="Times New Roman" w:eastAsia="宋体" w:cs="Times New Roman"/>
                      <w:color w:val="000000" w:themeColor="text1"/>
                      <w:szCs w:val="21"/>
                      <w:highlight w:val="none"/>
                      <w14:textFill>
                        <w14:solidFill>
                          <w14:schemeClr w14:val="tx1"/>
                        </w14:solidFill>
                      </w14:textFill>
                    </w:rPr>
                    <w:t>占地</w:t>
                  </w:r>
                  <w:r>
                    <w:rPr>
                      <w:rFonts w:hint="eastAsia" w:cs="Times New Roman"/>
                      <w:color w:val="000000" w:themeColor="text1"/>
                      <w:szCs w:val="21"/>
                      <w:highlight w:val="none"/>
                      <w:lang w:val="en-US" w:eastAsia="zh-CN"/>
                      <w14:textFill>
                        <w14:solidFill>
                          <w14:schemeClr w14:val="tx1"/>
                        </w14:solidFill>
                      </w14:textFill>
                    </w:rPr>
                    <w:t>面积683.63</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szCs w:val="21"/>
                      <w:highlight w:val="none"/>
                      <w:vertAlign w:val="superscript"/>
                      <w:lang w:val="en-US" w:eastAsia="zh-CN"/>
                      <w14:textFill>
                        <w14:solidFill>
                          <w14:schemeClr w14:val="tx1"/>
                        </w14:solidFill>
                      </w14:textFill>
                    </w:rPr>
                    <w:t>2</w:t>
                  </w:r>
                  <w:r>
                    <w:rPr>
                      <w:rFonts w:ascii="Times New Roman" w:hAnsi="Times New Roman" w:eastAsia="宋体" w:cs="Times New Roman"/>
                      <w:color w:val="000000" w:themeColor="text1"/>
                      <w:szCs w:val="21"/>
                      <w:highlight w:val="none"/>
                      <w14:textFill>
                        <w14:solidFill>
                          <w14:schemeClr w14:val="tx1"/>
                        </w14:solidFill>
                      </w14:textFill>
                    </w:rPr>
                    <w:t>，</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2层，</w:t>
                  </w:r>
                  <w:r>
                    <w:rPr>
                      <w:rFonts w:hint="eastAsia" w:cs="Times New Roman"/>
                      <w:color w:val="000000" w:themeColor="text1"/>
                      <w:szCs w:val="21"/>
                      <w:highlight w:val="none"/>
                      <w:lang w:val="en-US" w:eastAsia="zh-CN"/>
                      <w14:textFill>
                        <w14:solidFill>
                          <w14:schemeClr w14:val="tx1"/>
                        </w14:solidFill>
                      </w14:textFill>
                    </w:rPr>
                    <w:t>用于员工就餐。</w:t>
                  </w:r>
                </w:p>
              </w:tc>
              <w:tc>
                <w:tcPr>
                  <w:tcW w:w="1146" w:type="dxa"/>
                  <w:tcBorders>
                    <w:tl2br w:val="nil"/>
                    <w:tr2bl w:val="nil"/>
                  </w:tcBorders>
                  <w:vAlign w:val="center"/>
                </w:tcPr>
                <w:p w14:paraId="21F6347D">
                  <w:pPr>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依托现有</w:t>
                  </w:r>
                </w:p>
              </w:tc>
            </w:tr>
            <w:tr w14:paraId="43A937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4" w:type="dxa"/>
                  <w:vMerge w:val="continue"/>
                  <w:tcBorders>
                    <w:tl2br w:val="nil"/>
                    <w:tr2bl w:val="nil"/>
                  </w:tcBorders>
                  <w:vAlign w:val="center"/>
                </w:tcPr>
                <w:p w14:paraId="2EB8D2B6">
                  <w:pPr>
                    <w:jc w:val="center"/>
                    <w:rPr>
                      <w:color w:val="000000" w:themeColor="text1"/>
                      <w:szCs w:val="21"/>
                      <w:highlight w:val="none"/>
                      <w14:textFill>
                        <w14:solidFill>
                          <w14:schemeClr w14:val="tx1"/>
                        </w14:solidFill>
                      </w14:textFill>
                    </w:rPr>
                  </w:pPr>
                </w:p>
              </w:tc>
              <w:tc>
                <w:tcPr>
                  <w:tcW w:w="1254" w:type="dxa"/>
                  <w:tcBorders>
                    <w:tl2br w:val="nil"/>
                    <w:tr2bl w:val="nil"/>
                  </w:tcBorders>
                  <w:shd w:val="clear" w:color="auto" w:fill="auto"/>
                  <w:vAlign w:val="center"/>
                </w:tcPr>
                <w:p w14:paraId="3813B628">
                  <w:pPr>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化验室</w:t>
                  </w:r>
                </w:p>
              </w:tc>
              <w:tc>
                <w:tcPr>
                  <w:tcW w:w="5302" w:type="dxa"/>
                  <w:tcBorders>
                    <w:tl2br w:val="nil"/>
                    <w:tr2bl w:val="nil"/>
                  </w:tcBorders>
                  <w:shd w:val="clear" w:color="auto" w:fill="auto"/>
                  <w:vAlign w:val="center"/>
                </w:tcPr>
                <w:p w14:paraId="1944D9CD">
                  <w:pP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位于主厂房北侧，占地面积757.5m</w:t>
                  </w:r>
                  <w:r>
                    <w:rPr>
                      <w:rFonts w:hint="eastAsia"/>
                      <w:color w:val="000000" w:themeColor="text1"/>
                      <w:szCs w:val="21"/>
                      <w:highlight w:val="none"/>
                      <w:vertAlign w:val="superscript"/>
                      <w:lang w:val="en-US" w:eastAsia="zh-CN"/>
                      <w14:textFill>
                        <w14:solidFill>
                          <w14:schemeClr w14:val="tx1"/>
                        </w14:solidFill>
                      </w14:textFill>
                    </w:rPr>
                    <w:t>2</w:t>
                  </w:r>
                  <w:r>
                    <w:rPr>
                      <w:rFonts w:hint="eastAsia"/>
                      <w:color w:val="000000" w:themeColor="text1"/>
                      <w:szCs w:val="21"/>
                      <w:highlight w:val="none"/>
                      <w:lang w:val="en-US" w:eastAsia="zh-CN"/>
                      <w14:textFill>
                        <w14:solidFill>
                          <w14:schemeClr w14:val="tx1"/>
                        </w14:solidFill>
                      </w14:textFill>
                    </w:rPr>
                    <w:t>，</w:t>
                  </w:r>
                  <w:r>
                    <w:rPr>
                      <w:rFonts w:hint="eastAsia"/>
                      <w:color w:val="FF0000"/>
                      <w:szCs w:val="21"/>
                      <w:highlight w:val="none"/>
                      <w:lang w:val="en-US" w:eastAsia="zh-CN"/>
                    </w:rPr>
                    <w:t>主要测定产品灰分、水分、挥发分</w:t>
                  </w:r>
                  <w:r>
                    <w:rPr>
                      <w:rFonts w:hint="eastAsia"/>
                      <w:color w:val="FF0000"/>
                      <w:szCs w:val="21"/>
                      <w:highlight w:val="none"/>
                      <w:lang w:eastAsia="zh-CN"/>
                    </w:rPr>
                    <w:t>。</w:t>
                  </w:r>
                </w:p>
              </w:tc>
              <w:tc>
                <w:tcPr>
                  <w:tcW w:w="1146" w:type="dxa"/>
                  <w:tcBorders>
                    <w:tl2br w:val="nil"/>
                    <w:tr2bl w:val="nil"/>
                  </w:tcBorders>
                  <w:shd w:val="clear" w:color="auto" w:fill="auto"/>
                  <w:vAlign w:val="center"/>
                </w:tcPr>
                <w:p w14:paraId="41436730">
                  <w:pPr>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依托现有</w:t>
                  </w:r>
                </w:p>
              </w:tc>
            </w:tr>
            <w:tr w14:paraId="7C19DD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684" w:type="dxa"/>
                  <w:vMerge w:val="continue"/>
                  <w:tcBorders>
                    <w:tl2br w:val="nil"/>
                    <w:tr2bl w:val="nil"/>
                  </w:tcBorders>
                  <w:vAlign w:val="center"/>
                </w:tcPr>
                <w:p w14:paraId="5110FCB9">
                  <w:pPr>
                    <w:jc w:val="center"/>
                    <w:rPr>
                      <w:color w:val="000000" w:themeColor="text1"/>
                      <w:szCs w:val="21"/>
                      <w:highlight w:val="none"/>
                      <w14:textFill>
                        <w14:solidFill>
                          <w14:schemeClr w14:val="tx1"/>
                        </w14:solidFill>
                      </w14:textFill>
                    </w:rPr>
                  </w:pPr>
                </w:p>
              </w:tc>
              <w:tc>
                <w:tcPr>
                  <w:tcW w:w="1254" w:type="dxa"/>
                  <w:tcBorders>
                    <w:tl2br w:val="nil"/>
                    <w:tr2bl w:val="nil"/>
                  </w:tcBorders>
                  <w:vAlign w:val="center"/>
                </w:tcPr>
                <w:p w14:paraId="4AD31E98">
                  <w:pPr>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浓缩池</w:t>
                  </w:r>
                </w:p>
              </w:tc>
              <w:tc>
                <w:tcPr>
                  <w:tcW w:w="5302" w:type="dxa"/>
                  <w:tcBorders>
                    <w:tl2br w:val="nil"/>
                    <w:tr2bl w:val="nil"/>
                  </w:tcBorders>
                  <w:vAlign w:val="center"/>
                </w:tcPr>
                <w:p w14:paraId="717B109F">
                  <w:pP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浓缩池一座，直径30m，位于主厂房北侧，浓缩池容积3500m</w:t>
                  </w:r>
                  <w:r>
                    <w:rPr>
                      <w:rFonts w:hint="eastAsia"/>
                      <w:color w:val="000000" w:themeColor="text1"/>
                      <w:szCs w:val="21"/>
                      <w:highlight w:val="none"/>
                      <w:vertAlign w:val="superscript"/>
                      <w:lang w:val="en-US" w:eastAsia="zh-CN"/>
                      <w14:textFill>
                        <w14:solidFill>
                          <w14:schemeClr w14:val="tx1"/>
                        </w14:solidFill>
                      </w14:textFill>
                    </w:rPr>
                    <w:t>3</w:t>
                  </w:r>
                  <w:r>
                    <w:rPr>
                      <w:rFonts w:hint="eastAsia"/>
                      <w:color w:val="000000" w:themeColor="text1"/>
                      <w:szCs w:val="21"/>
                      <w:highlight w:val="none"/>
                      <w:vertAlign w:val="baseline"/>
                      <w:lang w:val="en-US" w:eastAsia="zh-CN"/>
                      <w14:textFill>
                        <w14:solidFill>
                          <w14:schemeClr w14:val="tx1"/>
                        </w14:solidFill>
                      </w14:textFill>
                    </w:rPr>
                    <w:t>。</w:t>
                  </w:r>
                </w:p>
              </w:tc>
              <w:tc>
                <w:tcPr>
                  <w:tcW w:w="1146" w:type="dxa"/>
                  <w:tcBorders>
                    <w:tl2br w:val="nil"/>
                    <w:tr2bl w:val="nil"/>
                  </w:tcBorders>
                  <w:vAlign w:val="center"/>
                </w:tcPr>
                <w:p w14:paraId="008F33A5">
                  <w:pPr>
                    <w:jc w:val="center"/>
                    <w:rPr>
                      <w:rFonts w:hint="eastAsia"/>
                      <w:color w:val="000000" w:themeColor="text1"/>
                      <w:szCs w:val="21"/>
                      <w:highlight w:val="yellow"/>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依托现有</w:t>
                  </w:r>
                </w:p>
              </w:tc>
            </w:tr>
            <w:tr w14:paraId="3D61E0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684" w:type="dxa"/>
                  <w:vMerge w:val="continue"/>
                  <w:tcBorders>
                    <w:tl2br w:val="nil"/>
                    <w:tr2bl w:val="nil"/>
                  </w:tcBorders>
                  <w:vAlign w:val="center"/>
                </w:tcPr>
                <w:p w14:paraId="56C59AC0">
                  <w:pPr>
                    <w:jc w:val="center"/>
                    <w:rPr>
                      <w:color w:val="000000" w:themeColor="text1"/>
                      <w:szCs w:val="21"/>
                      <w:highlight w:val="none"/>
                      <w14:textFill>
                        <w14:solidFill>
                          <w14:schemeClr w14:val="tx1"/>
                        </w14:solidFill>
                      </w14:textFill>
                    </w:rPr>
                  </w:pPr>
                </w:p>
              </w:tc>
              <w:tc>
                <w:tcPr>
                  <w:tcW w:w="1254" w:type="dxa"/>
                  <w:tcBorders>
                    <w:tl2br w:val="nil"/>
                    <w:tr2bl w:val="nil"/>
                  </w:tcBorders>
                  <w:vAlign w:val="center"/>
                </w:tcPr>
                <w:p w14:paraId="0640B93C">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事故池</w:t>
                  </w:r>
                </w:p>
              </w:tc>
              <w:tc>
                <w:tcPr>
                  <w:tcW w:w="5302" w:type="dxa"/>
                  <w:tcBorders>
                    <w:tl2br w:val="nil"/>
                    <w:tr2bl w:val="nil"/>
                  </w:tcBorders>
                  <w:vAlign w:val="center"/>
                </w:tcPr>
                <w:p w14:paraId="67533346">
                  <w:pP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集中水池兼做事故池，位于主厂房南侧，容积1260m</w:t>
                  </w:r>
                  <w:r>
                    <w:rPr>
                      <w:rFonts w:hint="eastAsia"/>
                      <w:color w:val="000000" w:themeColor="text1"/>
                      <w:szCs w:val="21"/>
                      <w:highlight w:val="none"/>
                      <w:vertAlign w:val="superscript"/>
                      <w:lang w:val="en-US" w:eastAsia="zh-CN"/>
                      <w14:textFill>
                        <w14:solidFill>
                          <w14:schemeClr w14:val="tx1"/>
                        </w14:solidFill>
                      </w14:textFill>
                    </w:rPr>
                    <w:t>3</w:t>
                  </w:r>
                  <w:r>
                    <w:rPr>
                      <w:rFonts w:hint="eastAsia"/>
                      <w:color w:val="000000" w:themeColor="text1"/>
                      <w:szCs w:val="21"/>
                      <w:highlight w:val="none"/>
                      <w:vertAlign w:val="baseline"/>
                      <w:lang w:val="en-US" w:eastAsia="zh-CN"/>
                      <w14:textFill>
                        <w14:solidFill>
                          <w14:schemeClr w14:val="tx1"/>
                        </w14:solidFill>
                      </w14:textFill>
                    </w:rPr>
                    <w:t>。</w:t>
                  </w:r>
                </w:p>
              </w:tc>
              <w:tc>
                <w:tcPr>
                  <w:tcW w:w="1146" w:type="dxa"/>
                  <w:tcBorders>
                    <w:tl2br w:val="nil"/>
                    <w:tr2bl w:val="nil"/>
                  </w:tcBorders>
                  <w:vAlign w:val="center"/>
                </w:tcPr>
                <w:p w14:paraId="331AD0AC">
                  <w:pPr>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依托现有</w:t>
                  </w:r>
                </w:p>
              </w:tc>
            </w:tr>
            <w:tr w14:paraId="3A215B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1" w:hRule="atLeast"/>
                <w:jc w:val="center"/>
              </w:trPr>
              <w:tc>
                <w:tcPr>
                  <w:tcW w:w="684" w:type="dxa"/>
                  <w:vMerge w:val="continue"/>
                  <w:tcBorders>
                    <w:tl2br w:val="nil"/>
                    <w:tr2bl w:val="nil"/>
                  </w:tcBorders>
                  <w:vAlign w:val="center"/>
                </w:tcPr>
                <w:p w14:paraId="06BF18E8">
                  <w:pPr>
                    <w:jc w:val="center"/>
                    <w:rPr>
                      <w:color w:val="000000" w:themeColor="text1"/>
                      <w:szCs w:val="21"/>
                      <w:highlight w:val="yellow"/>
                      <w14:textFill>
                        <w14:solidFill>
                          <w14:schemeClr w14:val="tx1"/>
                        </w14:solidFill>
                      </w14:textFill>
                    </w:rPr>
                  </w:pPr>
                </w:p>
              </w:tc>
              <w:tc>
                <w:tcPr>
                  <w:tcW w:w="1254" w:type="dxa"/>
                  <w:tcBorders>
                    <w:tl2br w:val="nil"/>
                    <w:tr2bl w:val="nil"/>
                  </w:tcBorders>
                  <w:vAlign w:val="center"/>
                </w:tcPr>
                <w:p w14:paraId="13C7423A">
                  <w:pPr>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初期</w:t>
                  </w:r>
                  <w:r>
                    <w:rPr>
                      <w:color w:val="000000" w:themeColor="text1"/>
                      <w:szCs w:val="21"/>
                      <w:highlight w:val="none"/>
                      <w14:textFill>
                        <w14:solidFill>
                          <w14:schemeClr w14:val="tx1"/>
                        </w14:solidFill>
                      </w14:textFill>
                    </w:rPr>
                    <w:t>雨水收集池</w:t>
                  </w:r>
                </w:p>
              </w:tc>
              <w:tc>
                <w:tcPr>
                  <w:tcW w:w="5302" w:type="dxa"/>
                  <w:tcBorders>
                    <w:tl2br w:val="nil"/>
                    <w:tr2bl w:val="nil"/>
                  </w:tcBorders>
                  <w:vAlign w:val="center"/>
                </w:tcPr>
                <w:p w14:paraId="45B87752">
                  <w:pP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14:textFill>
                        <w14:solidFill>
                          <w14:schemeClr w14:val="tx1"/>
                        </w14:solidFill>
                      </w14:textFill>
                    </w:rPr>
                    <w:t>建设</w:t>
                  </w:r>
                  <w:r>
                    <w:rPr>
                      <w:rFonts w:hint="eastAsia"/>
                      <w:color w:val="000000" w:themeColor="text1"/>
                      <w:szCs w:val="21"/>
                      <w:highlight w:val="none"/>
                      <w:lang w:val="en-US" w:eastAsia="zh-CN"/>
                      <w14:textFill>
                        <w14:solidFill>
                          <w14:schemeClr w14:val="tx1"/>
                        </w14:solidFill>
                      </w14:textFill>
                    </w:rPr>
                    <w:t>一座初期</w:t>
                  </w:r>
                  <w:r>
                    <w:rPr>
                      <w:rFonts w:hint="eastAsia"/>
                      <w:color w:val="000000" w:themeColor="text1"/>
                      <w:szCs w:val="21"/>
                      <w:highlight w:val="none"/>
                      <w14:textFill>
                        <w14:solidFill>
                          <w14:schemeClr w14:val="tx1"/>
                        </w14:solidFill>
                      </w14:textFill>
                    </w:rPr>
                    <w:t>雨水收集池，位于厂区</w:t>
                  </w:r>
                  <w:r>
                    <w:rPr>
                      <w:rFonts w:hint="eastAsia"/>
                      <w:color w:val="000000" w:themeColor="text1"/>
                      <w:szCs w:val="21"/>
                      <w:highlight w:val="none"/>
                      <w:lang w:val="en-US" w:eastAsia="zh-CN"/>
                      <w14:textFill>
                        <w14:solidFill>
                          <w14:schemeClr w14:val="tx1"/>
                        </w14:solidFill>
                      </w14:textFill>
                    </w:rPr>
                    <w:t>北侧，中煤、煤泥堆场附近</w:t>
                  </w:r>
                  <w:r>
                    <w:rPr>
                      <w:rFonts w:hint="eastAsia"/>
                      <w:color w:val="000000" w:themeColor="text1"/>
                      <w:szCs w:val="21"/>
                      <w:highlight w:val="none"/>
                      <w14:textFill>
                        <w14:solidFill>
                          <w14:schemeClr w14:val="tx1"/>
                        </w14:solidFill>
                      </w14:textFill>
                    </w:rPr>
                    <w:t>，容积</w:t>
                  </w:r>
                  <w:r>
                    <w:rPr>
                      <w:rFonts w:hint="eastAsia"/>
                      <w:color w:val="000000" w:themeColor="text1"/>
                      <w:szCs w:val="21"/>
                      <w:highlight w:val="none"/>
                      <w:lang w:val="en-US" w:eastAsia="zh-CN"/>
                      <w14:textFill>
                        <w14:solidFill>
                          <w14:schemeClr w14:val="tx1"/>
                        </w14:solidFill>
                      </w14:textFill>
                    </w:rPr>
                    <w:t>200</w:t>
                  </w:r>
                  <w:r>
                    <w:rPr>
                      <w:rFonts w:hint="eastAsia"/>
                      <w:color w:val="000000" w:themeColor="text1"/>
                      <w:szCs w:val="21"/>
                      <w:highlight w:val="none"/>
                      <w14:textFill>
                        <w14:solidFill>
                          <w14:schemeClr w14:val="tx1"/>
                        </w14:solidFill>
                      </w14:textFill>
                    </w:rPr>
                    <w:t>m³，</w:t>
                  </w:r>
                  <w:r>
                    <w:rPr>
                      <w:color w:val="000000" w:themeColor="text1"/>
                      <w:szCs w:val="21"/>
                      <w:highlight w:val="none"/>
                      <w14:textFill>
                        <w14:solidFill>
                          <w14:schemeClr w14:val="tx1"/>
                        </w14:solidFill>
                      </w14:textFill>
                    </w:rPr>
                    <w:t>用于收集</w:t>
                  </w:r>
                  <w:r>
                    <w:rPr>
                      <w:rFonts w:hint="eastAsia"/>
                      <w:color w:val="000000" w:themeColor="text1"/>
                      <w:szCs w:val="21"/>
                      <w:highlight w:val="none"/>
                      <w:lang w:val="en-US" w:eastAsia="zh-CN"/>
                      <w14:textFill>
                        <w14:solidFill>
                          <w14:schemeClr w14:val="tx1"/>
                        </w14:solidFill>
                      </w14:textFill>
                    </w:rPr>
                    <w:t>初期</w:t>
                  </w:r>
                  <w:r>
                    <w:rPr>
                      <w:color w:val="000000" w:themeColor="text1"/>
                      <w:szCs w:val="21"/>
                      <w:highlight w:val="none"/>
                      <w14:textFill>
                        <w14:solidFill>
                          <w14:schemeClr w14:val="tx1"/>
                        </w14:solidFill>
                      </w14:textFill>
                    </w:rPr>
                    <w:t>雨水</w:t>
                  </w:r>
                  <w:r>
                    <w:rPr>
                      <w:rFonts w:hint="eastAsia"/>
                      <w:color w:val="000000" w:themeColor="text1"/>
                      <w:szCs w:val="21"/>
                      <w:highlight w:val="none"/>
                      <w:lang w:eastAsia="zh-CN"/>
                      <w14:textFill>
                        <w14:solidFill>
                          <w14:schemeClr w14:val="tx1"/>
                        </w14:solidFill>
                      </w14:textFill>
                    </w:rPr>
                    <w:t>。</w:t>
                  </w:r>
                </w:p>
              </w:tc>
              <w:tc>
                <w:tcPr>
                  <w:tcW w:w="1146" w:type="dxa"/>
                  <w:tcBorders>
                    <w:tl2br w:val="nil"/>
                    <w:tr2bl w:val="nil"/>
                  </w:tcBorders>
                  <w:vAlign w:val="center"/>
                </w:tcPr>
                <w:p w14:paraId="6300ED8A">
                  <w:pPr>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新建</w:t>
                  </w:r>
                </w:p>
              </w:tc>
            </w:tr>
            <w:tr w14:paraId="3FA1F8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4" w:hRule="atLeast"/>
                <w:jc w:val="center"/>
              </w:trPr>
              <w:tc>
                <w:tcPr>
                  <w:tcW w:w="684" w:type="dxa"/>
                  <w:vMerge w:val="restart"/>
                  <w:tcBorders>
                    <w:tl2br w:val="nil"/>
                    <w:tr2bl w:val="nil"/>
                  </w:tcBorders>
                  <w:vAlign w:val="center"/>
                </w:tcPr>
                <w:p w14:paraId="52B09CA2">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储运工程</w:t>
                  </w:r>
                </w:p>
              </w:tc>
              <w:tc>
                <w:tcPr>
                  <w:tcW w:w="1254" w:type="dxa"/>
                  <w:tcBorders>
                    <w:tl2br w:val="nil"/>
                    <w:tr2bl w:val="nil"/>
                  </w:tcBorders>
                  <w:vAlign w:val="center"/>
                </w:tcPr>
                <w:p w14:paraId="391BB666">
                  <w:pPr>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原煤仓</w:t>
                  </w:r>
                </w:p>
              </w:tc>
              <w:tc>
                <w:tcPr>
                  <w:tcW w:w="5302" w:type="dxa"/>
                  <w:tcBorders>
                    <w:tl2br w:val="nil"/>
                    <w:tr2bl w:val="nil"/>
                  </w:tcBorders>
                  <w:vAlign w:val="center"/>
                </w:tcPr>
                <w:p w14:paraId="04A6E8BD">
                  <w:pPr>
                    <w:rPr>
                      <w:highlight w:val="none"/>
                    </w:rPr>
                  </w:pPr>
                  <w:r>
                    <w:rPr>
                      <w:rFonts w:hint="eastAsia"/>
                      <w:color w:val="000000" w:themeColor="text1"/>
                      <w:szCs w:val="21"/>
                      <w:highlight w:val="none"/>
                      <w:lang w:val="en-US" w:eastAsia="zh-CN"/>
                      <w14:textFill>
                        <w14:solidFill>
                          <w14:schemeClr w14:val="tx1"/>
                        </w14:solidFill>
                      </w14:textFill>
                    </w:rPr>
                    <w:t>全封闭原煤仓16个</w:t>
                  </w:r>
                  <w:r>
                    <w:rPr>
                      <w:rFonts w:hint="default"/>
                      <w:color w:val="000000" w:themeColor="text1"/>
                      <w:szCs w:val="21"/>
                      <w:highlight w:val="none"/>
                      <w:lang w:val="en-US"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砖混结构，</w:t>
                  </w:r>
                  <w:r>
                    <w:rPr>
                      <w:rFonts w:hint="eastAsia"/>
                      <w:color w:val="FF0000"/>
                      <w:szCs w:val="21"/>
                      <w:highlight w:val="none"/>
                      <w:lang w:val="en-US" w:eastAsia="zh-CN"/>
                    </w:rPr>
                    <w:t>设有通风口。</w:t>
                  </w:r>
                  <w:r>
                    <w:rPr>
                      <w:rFonts w:hint="eastAsia"/>
                      <w:color w:val="000000" w:themeColor="text1"/>
                      <w:szCs w:val="21"/>
                      <w:highlight w:val="none"/>
                      <w:lang w:val="en-US" w:eastAsia="zh-CN"/>
                      <w14:textFill>
                        <w14:solidFill>
                          <w14:schemeClr w14:val="tx1"/>
                        </w14:solidFill>
                      </w14:textFill>
                    </w:rPr>
                    <w:t>占地</w:t>
                  </w:r>
                  <w:r>
                    <w:rPr>
                      <w:rFonts w:hint="default"/>
                      <w:color w:val="000000" w:themeColor="text1"/>
                      <w:szCs w:val="21"/>
                      <w:highlight w:val="none"/>
                      <w:lang w:val="en-US" w:eastAsia="zh-CN"/>
                      <w14:textFill>
                        <w14:solidFill>
                          <w14:schemeClr w14:val="tx1"/>
                        </w14:solidFill>
                      </w14:textFill>
                    </w:rPr>
                    <w:t>面积</w:t>
                  </w:r>
                  <w:r>
                    <w:rPr>
                      <w:rFonts w:hint="eastAsia"/>
                      <w:color w:val="000000" w:themeColor="text1"/>
                      <w:szCs w:val="21"/>
                      <w:highlight w:val="none"/>
                      <w:lang w:val="en-US" w:eastAsia="zh-CN"/>
                      <w14:textFill>
                        <w14:solidFill>
                          <w14:schemeClr w14:val="tx1"/>
                        </w14:solidFill>
                      </w14:textFill>
                    </w:rPr>
                    <w:t>约600m</w:t>
                  </w:r>
                  <w:r>
                    <w:rPr>
                      <w:rFonts w:hint="eastAsia"/>
                      <w:color w:val="000000" w:themeColor="text1"/>
                      <w:szCs w:val="21"/>
                      <w:highlight w:val="none"/>
                      <w:vertAlign w:val="superscript"/>
                      <w:lang w:val="en-US" w:eastAsia="zh-CN"/>
                      <w14:textFill>
                        <w14:solidFill>
                          <w14:schemeClr w14:val="tx1"/>
                        </w14:solidFill>
                      </w14:textFill>
                    </w:rPr>
                    <w:t>2</w:t>
                  </w:r>
                  <w:r>
                    <w:rPr>
                      <w:rFonts w:hint="default"/>
                      <w:color w:val="000000" w:themeColor="text1"/>
                      <w:szCs w:val="21"/>
                      <w:highlight w:val="none"/>
                      <w:lang w:val="en-US" w:eastAsia="zh-CN"/>
                      <w14:textFill>
                        <w14:solidFill>
                          <w14:schemeClr w14:val="tx1"/>
                        </w14:solidFill>
                      </w14:textFill>
                    </w:rPr>
                    <w:t>，最大贮存能力</w:t>
                  </w:r>
                  <w:r>
                    <w:rPr>
                      <w:rFonts w:hint="eastAsia"/>
                      <w:color w:val="000000" w:themeColor="text1"/>
                      <w:szCs w:val="21"/>
                      <w:highlight w:val="none"/>
                      <w:lang w:val="en-US" w:eastAsia="zh-CN"/>
                      <w14:textFill>
                        <w14:solidFill>
                          <w14:schemeClr w14:val="tx1"/>
                        </w14:solidFill>
                      </w14:textFill>
                    </w:rPr>
                    <w:t>约4160</w:t>
                  </w:r>
                  <w:r>
                    <w:rPr>
                      <w:rFonts w:hint="default"/>
                      <w:color w:val="000000" w:themeColor="text1"/>
                      <w:szCs w:val="21"/>
                      <w:highlight w:val="none"/>
                      <w:lang w:val="en-US" w:eastAsia="zh-CN"/>
                      <w14:textFill>
                        <w14:solidFill>
                          <w14:schemeClr w14:val="tx1"/>
                        </w14:solidFill>
                      </w14:textFill>
                    </w:rPr>
                    <w:t>t，</w:t>
                  </w:r>
                  <w:r>
                    <w:rPr>
                      <w:rFonts w:hint="eastAsia"/>
                      <w:color w:val="000000" w:themeColor="text1"/>
                      <w:szCs w:val="21"/>
                      <w:highlight w:val="none"/>
                      <w:lang w:val="en-US" w:eastAsia="zh-CN"/>
                      <w14:textFill>
                        <w14:solidFill>
                          <w14:schemeClr w14:val="tx1"/>
                        </w14:solidFill>
                      </w14:textFill>
                    </w:rPr>
                    <w:t>属于临时缓存仓库。</w:t>
                  </w:r>
                </w:p>
              </w:tc>
              <w:tc>
                <w:tcPr>
                  <w:tcW w:w="1146" w:type="dxa"/>
                  <w:tcBorders>
                    <w:tl2br w:val="nil"/>
                    <w:tr2bl w:val="nil"/>
                  </w:tcBorders>
                  <w:vAlign w:val="center"/>
                </w:tcPr>
                <w:p w14:paraId="7ABBCAE4">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依托现有</w:t>
                  </w:r>
                </w:p>
              </w:tc>
            </w:tr>
            <w:tr w14:paraId="7D725C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4" w:type="dxa"/>
                  <w:vMerge w:val="continue"/>
                  <w:tcBorders>
                    <w:tl2br w:val="nil"/>
                    <w:tr2bl w:val="nil"/>
                  </w:tcBorders>
                  <w:vAlign w:val="center"/>
                </w:tcPr>
                <w:p w14:paraId="7AB1ACD2">
                  <w:pPr>
                    <w:jc w:val="center"/>
                    <w:rPr>
                      <w:color w:val="000000" w:themeColor="text1"/>
                      <w:szCs w:val="21"/>
                      <w:highlight w:val="none"/>
                      <w14:textFill>
                        <w14:solidFill>
                          <w14:schemeClr w14:val="tx1"/>
                        </w14:solidFill>
                      </w14:textFill>
                    </w:rPr>
                  </w:pPr>
                </w:p>
              </w:tc>
              <w:tc>
                <w:tcPr>
                  <w:tcW w:w="1254" w:type="dxa"/>
                  <w:tcBorders>
                    <w:tl2br w:val="nil"/>
                    <w:tr2bl w:val="nil"/>
                  </w:tcBorders>
                  <w:vAlign w:val="center"/>
                </w:tcPr>
                <w:p w14:paraId="5FDD0198">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精煤仓</w:t>
                  </w:r>
                </w:p>
              </w:tc>
              <w:tc>
                <w:tcPr>
                  <w:tcW w:w="5302" w:type="dxa"/>
                  <w:tcBorders>
                    <w:tl2br w:val="nil"/>
                    <w:tr2bl w:val="nil"/>
                  </w:tcBorders>
                  <w:vAlign w:val="center"/>
                </w:tcPr>
                <w:p w14:paraId="3083660C">
                  <w:pP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全封闭精煤仓46座</w:t>
                  </w:r>
                  <w:r>
                    <w:rPr>
                      <w:rFonts w:hint="default"/>
                      <w:color w:val="000000" w:themeColor="text1"/>
                      <w:szCs w:val="21"/>
                      <w:highlight w:val="none"/>
                      <w:lang w:val="en-US"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砖混结构，</w:t>
                  </w:r>
                  <w:r>
                    <w:rPr>
                      <w:rFonts w:hint="eastAsia"/>
                      <w:color w:val="FF0000"/>
                      <w:szCs w:val="21"/>
                      <w:highlight w:val="none"/>
                      <w:lang w:val="en-US" w:eastAsia="zh-CN"/>
                    </w:rPr>
                    <w:t>设有通风口。</w:t>
                  </w:r>
                  <w:r>
                    <w:rPr>
                      <w:rFonts w:hint="default"/>
                      <w:color w:val="000000" w:themeColor="text1"/>
                      <w:szCs w:val="21"/>
                      <w:highlight w:val="none"/>
                      <w:lang w:val="en-US" w:eastAsia="zh-CN"/>
                      <w14:textFill>
                        <w14:solidFill>
                          <w14:schemeClr w14:val="tx1"/>
                        </w14:solidFill>
                      </w14:textFill>
                    </w:rPr>
                    <w:t>最大贮存能力</w:t>
                  </w:r>
                  <w:r>
                    <w:rPr>
                      <w:rFonts w:hint="eastAsia"/>
                      <w:color w:val="000000" w:themeColor="text1"/>
                      <w:szCs w:val="21"/>
                      <w:highlight w:val="none"/>
                      <w:lang w:val="en-US" w:eastAsia="zh-CN"/>
                      <w14:textFill>
                        <w14:solidFill>
                          <w14:schemeClr w14:val="tx1"/>
                        </w14:solidFill>
                      </w14:textFill>
                    </w:rPr>
                    <w:t>约5980</w:t>
                  </w:r>
                  <w:r>
                    <w:rPr>
                      <w:rFonts w:hint="default"/>
                      <w:color w:val="000000" w:themeColor="text1"/>
                      <w:szCs w:val="21"/>
                      <w:highlight w:val="none"/>
                      <w:lang w:val="en-US" w:eastAsia="zh-CN"/>
                      <w14:textFill>
                        <w14:solidFill>
                          <w14:schemeClr w14:val="tx1"/>
                        </w14:solidFill>
                      </w14:textFill>
                    </w:rPr>
                    <w:t>t，</w:t>
                  </w:r>
                  <w:r>
                    <w:rPr>
                      <w:rFonts w:hint="eastAsia"/>
                      <w:color w:val="000000" w:themeColor="text1"/>
                      <w:szCs w:val="21"/>
                      <w:highlight w:val="none"/>
                      <w:lang w:val="en-US" w:eastAsia="zh-CN"/>
                      <w14:textFill>
                        <w14:solidFill>
                          <w14:schemeClr w14:val="tx1"/>
                        </w14:solidFill>
                      </w14:textFill>
                    </w:rPr>
                    <w:t>属于临时缓存仓库。</w:t>
                  </w:r>
                </w:p>
              </w:tc>
              <w:tc>
                <w:tcPr>
                  <w:tcW w:w="1146" w:type="dxa"/>
                  <w:tcBorders>
                    <w:tl2br w:val="nil"/>
                    <w:tr2bl w:val="nil"/>
                  </w:tcBorders>
                  <w:vAlign w:val="center"/>
                </w:tcPr>
                <w:p w14:paraId="365A25D8">
                  <w:pPr>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依托现有</w:t>
                  </w:r>
                </w:p>
              </w:tc>
            </w:tr>
            <w:tr w14:paraId="241C70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7" w:hRule="atLeast"/>
                <w:jc w:val="center"/>
              </w:trPr>
              <w:tc>
                <w:tcPr>
                  <w:tcW w:w="684" w:type="dxa"/>
                  <w:vMerge w:val="continue"/>
                  <w:tcBorders>
                    <w:tl2br w:val="nil"/>
                    <w:tr2bl w:val="nil"/>
                  </w:tcBorders>
                  <w:vAlign w:val="center"/>
                </w:tcPr>
                <w:p w14:paraId="2B73D550">
                  <w:pPr>
                    <w:jc w:val="center"/>
                    <w:rPr>
                      <w:color w:val="000000" w:themeColor="text1"/>
                      <w:szCs w:val="21"/>
                      <w:highlight w:val="none"/>
                      <w14:textFill>
                        <w14:solidFill>
                          <w14:schemeClr w14:val="tx1"/>
                        </w14:solidFill>
                      </w14:textFill>
                    </w:rPr>
                  </w:pPr>
                </w:p>
              </w:tc>
              <w:tc>
                <w:tcPr>
                  <w:tcW w:w="1254" w:type="dxa"/>
                  <w:tcBorders>
                    <w:tl2br w:val="nil"/>
                    <w:tr2bl w:val="nil"/>
                  </w:tcBorders>
                  <w:vAlign w:val="center"/>
                </w:tcPr>
                <w:p w14:paraId="0F25E30E">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中煤、煤泥堆场</w:t>
                  </w:r>
                </w:p>
              </w:tc>
              <w:tc>
                <w:tcPr>
                  <w:tcW w:w="5302" w:type="dxa"/>
                  <w:tcBorders>
                    <w:tl2br w:val="nil"/>
                    <w:tr2bl w:val="nil"/>
                  </w:tcBorders>
                  <w:vAlign w:val="center"/>
                </w:tcPr>
                <w:p w14:paraId="3B48827C">
                  <w:pPr>
                    <w:rPr>
                      <w:rFonts w:hint="default"/>
                      <w:color w:val="000000" w:themeColor="text1"/>
                      <w:szCs w:val="21"/>
                      <w:highlight w:val="none"/>
                      <w:lang w:val="en-US"/>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中煤、煤泥堆场占地</w:t>
                  </w:r>
                  <w:r>
                    <w:rPr>
                      <w:rFonts w:hint="default"/>
                      <w:color w:val="000000" w:themeColor="text1"/>
                      <w:szCs w:val="21"/>
                      <w:highlight w:val="none"/>
                      <w:lang w:val="en-US" w:eastAsia="zh-CN"/>
                      <w14:textFill>
                        <w14:solidFill>
                          <w14:schemeClr w14:val="tx1"/>
                        </w14:solidFill>
                      </w14:textFill>
                    </w:rPr>
                    <w:t>面积</w:t>
                  </w:r>
                  <w:r>
                    <w:rPr>
                      <w:rFonts w:hint="eastAsia"/>
                      <w:color w:val="000000" w:themeColor="text1"/>
                      <w:szCs w:val="21"/>
                      <w:highlight w:val="none"/>
                      <w:lang w:val="en-US" w:eastAsia="zh-CN"/>
                      <w14:textFill>
                        <w14:solidFill>
                          <w14:schemeClr w14:val="tx1"/>
                        </w14:solidFill>
                      </w14:textFill>
                    </w:rPr>
                    <w:t>约200m</w:t>
                  </w:r>
                  <w:r>
                    <w:rPr>
                      <w:rFonts w:hint="eastAsia"/>
                      <w:color w:val="000000" w:themeColor="text1"/>
                      <w:szCs w:val="21"/>
                      <w:highlight w:val="none"/>
                      <w:vertAlign w:val="superscript"/>
                      <w:lang w:val="en-US" w:eastAsia="zh-CN"/>
                      <w14:textFill>
                        <w14:solidFill>
                          <w14:schemeClr w14:val="tx1"/>
                        </w14:solidFill>
                      </w14:textFill>
                    </w:rPr>
                    <w:t>2</w:t>
                  </w:r>
                  <w:r>
                    <w:rPr>
                      <w:rFonts w:hint="default"/>
                      <w:color w:val="000000" w:themeColor="text1"/>
                      <w:szCs w:val="21"/>
                      <w:highlight w:val="none"/>
                      <w:lang w:val="en-US" w:eastAsia="zh-CN"/>
                      <w14:textFill>
                        <w14:solidFill>
                          <w14:schemeClr w14:val="tx1"/>
                        </w14:solidFill>
                      </w14:textFill>
                    </w:rPr>
                    <w:t>，</w:t>
                  </w:r>
                  <w:r>
                    <w:rPr>
                      <w:rFonts w:hint="eastAsia"/>
                      <w:color w:val="FF0000"/>
                      <w:szCs w:val="21"/>
                      <w:highlight w:val="green"/>
                      <w:lang w:val="en-US" w:eastAsia="zh-CN"/>
                    </w:rPr>
                    <w:t>中煤、煤泥堆场四周设置导流渠，</w:t>
                  </w:r>
                  <w:r>
                    <w:rPr>
                      <w:rFonts w:hint="default"/>
                      <w:color w:val="FF0000"/>
                      <w:szCs w:val="21"/>
                      <w:highlight w:val="green"/>
                      <w:lang w:val="en-US" w:eastAsia="zh-CN"/>
                    </w:rPr>
                    <w:t>中煤产品和煤泥日产日清冬季直接运往虹焱热电，夏季外售给大唐双鸭山热电有限公司，</w:t>
                  </w:r>
                  <w:r>
                    <w:rPr>
                      <w:rFonts w:hint="eastAsia"/>
                      <w:color w:val="FF0000"/>
                      <w:szCs w:val="21"/>
                      <w:highlight w:val="green"/>
                      <w:lang w:val="en-US" w:eastAsia="zh-CN"/>
                    </w:rPr>
                    <w:t>不堆存</w:t>
                  </w:r>
                  <w:r>
                    <w:rPr>
                      <w:rFonts w:hint="eastAsia"/>
                      <w:color w:val="FF0000"/>
                      <w:szCs w:val="21"/>
                      <w:highlight w:val="green"/>
                      <w:lang w:eastAsia="zh-CN"/>
                    </w:rPr>
                    <w:t>，</w:t>
                  </w:r>
                  <w:r>
                    <w:rPr>
                      <w:rFonts w:hint="eastAsia"/>
                      <w:color w:val="FF0000"/>
                      <w:szCs w:val="21"/>
                      <w:highlight w:val="green"/>
                      <w:lang w:val="en-US" w:eastAsia="zh-CN"/>
                    </w:rPr>
                    <w:t>渗滤液产生量较少，经导流渠收集后排入初期雨水收集池回用于生产。</w:t>
                  </w:r>
                </w:p>
              </w:tc>
              <w:tc>
                <w:tcPr>
                  <w:tcW w:w="1146" w:type="dxa"/>
                  <w:tcBorders>
                    <w:tl2br w:val="nil"/>
                    <w:tr2bl w:val="nil"/>
                  </w:tcBorders>
                  <w:vAlign w:val="center"/>
                </w:tcPr>
                <w:p w14:paraId="08A465F5">
                  <w:pPr>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依托现有</w:t>
                  </w:r>
                </w:p>
              </w:tc>
            </w:tr>
            <w:tr w14:paraId="0EC284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3" w:hRule="atLeast"/>
                <w:jc w:val="center"/>
              </w:trPr>
              <w:tc>
                <w:tcPr>
                  <w:tcW w:w="684" w:type="dxa"/>
                  <w:vMerge w:val="continue"/>
                  <w:tcBorders>
                    <w:tl2br w:val="nil"/>
                    <w:tr2bl w:val="nil"/>
                  </w:tcBorders>
                  <w:vAlign w:val="center"/>
                </w:tcPr>
                <w:p w14:paraId="5C9933DB">
                  <w:pPr>
                    <w:jc w:val="center"/>
                    <w:rPr>
                      <w:color w:val="000000" w:themeColor="text1"/>
                      <w:szCs w:val="21"/>
                      <w:highlight w:val="none"/>
                      <w14:textFill>
                        <w14:solidFill>
                          <w14:schemeClr w14:val="tx1"/>
                        </w14:solidFill>
                      </w14:textFill>
                    </w:rPr>
                  </w:pPr>
                </w:p>
              </w:tc>
              <w:tc>
                <w:tcPr>
                  <w:tcW w:w="1254" w:type="dxa"/>
                  <w:tcBorders>
                    <w:tl2br w:val="nil"/>
                    <w:tr2bl w:val="nil"/>
                  </w:tcBorders>
                  <w:vAlign w:val="center"/>
                </w:tcPr>
                <w:p w14:paraId="346D3D8B">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矸石仓</w:t>
                  </w:r>
                </w:p>
              </w:tc>
              <w:tc>
                <w:tcPr>
                  <w:tcW w:w="5302" w:type="dxa"/>
                  <w:tcBorders>
                    <w:tl2br w:val="nil"/>
                    <w:tr2bl w:val="nil"/>
                  </w:tcBorders>
                  <w:vAlign w:val="center"/>
                </w:tcPr>
                <w:p w14:paraId="29D4143E">
                  <w:pPr>
                    <w:rPr>
                      <w:color w:val="000000" w:themeColor="text1"/>
                      <w:szCs w:val="21"/>
                      <w:highlight w:val="none"/>
                      <w14:textFill>
                        <w14:solidFill>
                          <w14:schemeClr w14:val="tx1"/>
                        </w14:solidFill>
                      </w14:textFill>
                    </w:rPr>
                  </w:pPr>
                  <w:r>
                    <w:rPr>
                      <w:rFonts w:hint="eastAsia"/>
                      <w:color w:val="FF0000"/>
                      <w:szCs w:val="21"/>
                      <w:highlight w:val="none"/>
                      <w:lang w:val="en-US" w:eastAsia="zh-CN"/>
                    </w:rPr>
                    <w:t>全封闭</w:t>
                  </w:r>
                  <w:r>
                    <w:rPr>
                      <w:rFonts w:hint="eastAsia"/>
                      <w:color w:val="000000" w:themeColor="text1"/>
                      <w:szCs w:val="21"/>
                      <w:highlight w:val="none"/>
                      <w:lang w:val="en-US" w:eastAsia="zh-CN"/>
                      <w14:textFill>
                        <w14:solidFill>
                          <w14:schemeClr w14:val="tx1"/>
                        </w14:solidFill>
                      </w14:textFill>
                    </w:rPr>
                    <w:t>矸石仓占地面积约755m</w:t>
                  </w:r>
                  <w:r>
                    <w:rPr>
                      <w:rFonts w:hint="eastAsia"/>
                      <w:color w:val="000000" w:themeColor="text1"/>
                      <w:szCs w:val="21"/>
                      <w:highlight w:val="none"/>
                      <w:vertAlign w:val="superscript"/>
                      <w:lang w:val="en-US" w:eastAsia="zh-CN"/>
                      <w14:textFill>
                        <w14:solidFill>
                          <w14:schemeClr w14:val="tx1"/>
                        </w14:solidFill>
                      </w14:textFill>
                    </w:rPr>
                    <w:t>2</w:t>
                  </w:r>
                  <w:r>
                    <w:rPr>
                      <w:rFonts w:hint="eastAsia"/>
                      <w:color w:val="000000" w:themeColor="text1"/>
                      <w:szCs w:val="21"/>
                      <w:highlight w:val="none"/>
                      <w:lang w:val="en-US" w:eastAsia="zh-CN"/>
                      <w14:textFill>
                        <w14:solidFill>
                          <w14:schemeClr w14:val="tx1"/>
                        </w14:solidFill>
                      </w14:textFill>
                    </w:rPr>
                    <w:t>，高27.89m，</w:t>
                  </w:r>
                  <w:r>
                    <w:rPr>
                      <w:rFonts w:hint="eastAsia"/>
                      <w:color w:val="FF0000"/>
                      <w:szCs w:val="21"/>
                      <w:highlight w:val="none"/>
                      <w:lang w:val="en-US" w:eastAsia="zh-CN"/>
                    </w:rPr>
                    <w:t>砖混结构，设有通风口。</w:t>
                  </w:r>
                  <w:r>
                    <w:rPr>
                      <w:rFonts w:hint="eastAsia"/>
                      <w:color w:val="000000" w:themeColor="text1"/>
                      <w:szCs w:val="21"/>
                      <w:highlight w:val="none"/>
                      <w:lang w:val="en-US" w:eastAsia="zh-CN"/>
                      <w14:textFill>
                        <w14:solidFill>
                          <w14:schemeClr w14:val="tx1"/>
                        </w14:solidFill>
                      </w14:textFill>
                    </w:rPr>
                    <w:t>最大贮存能力约1800t。</w:t>
                  </w:r>
                </w:p>
              </w:tc>
              <w:tc>
                <w:tcPr>
                  <w:tcW w:w="1146" w:type="dxa"/>
                  <w:tcBorders>
                    <w:tl2br w:val="nil"/>
                    <w:tr2bl w:val="nil"/>
                  </w:tcBorders>
                  <w:vAlign w:val="center"/>
                </w:tcPr>
                <w:p w14:paraId="18B9114F">
                  <w:pPr>
                    <w:jc w:val="center"/>
                    <w:rPr>
                      <w:rFonts w:hint="eastAsia" w:eastAsia="宋体"/>
                      <w:color w:val="000000" w:themeColor="text1"/>
                      <w:szCs w:val="21"/>
                      <w:highlight w:val="yellow"/>
                      <w:lang w:val="en-US" w:eastAsia="zh-CN"/>
                      <w14:textFill>
                        <w14:solidFill>
                          <w14:schemeClr w14:val="tx1"/>
                        </w14:solidFill>
                      </w14:textFill>
                    </w:rPr>
                  </w:pPr>
                  <w:r>
                    <w:rPr>
                      <w:rFonts w:hint="eastAsia"/>
                      <w:color w:val="000000" w:themeColor="text1"/>
                      <w:szCs w:val="21"/>
                      <w:highlight w:val="none"/>
                      <w14:textFill>
                        <w14:solidFill>
                          <w14:schemeClr w14:val="tx1"/>
                        </w14:solidFill>
                      </w14:textFill>
                    </w:rPr>
                    <w:t>依托</w:t>
                  </w:r>
                  <w:r>
                    <w:rPr>
                      <w:rFonts w:hint="eastAsia"/>
                      <w:color w:val="000000" w:themeColor="text1"/>
                      <w:szCs w:val="21"/>
                      <w:highlight w:val="none"/>
                      <w:lang w:val="en-US" w:eastAsia="zh-CN"/>
                      <w14:textFill>
                        <w14:solidFill>
                          <w14:schemeClr w14:val="tx1"/>
                        </w14:solidFill>
                      </w14:textFill>
                    </w:rPr>
                    <w:t>现有</w:t>
                  </w:r>
                </w:p>
              </w:tc>
            </w:tr>
            <w:tr w14:paraId="02A97C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7" w:hRule="atLeast"/>
                <w:jc w:val="center"/>
              </w:trPr>
              <w:tc>
                <w:tcPr>
                  <w:tcW w:w="684" w:type="dxa"/>
                  <w:vMerge w:val="continue"/>
                  <w:tcBorders>
                    <w:tl2br w:val="nil"/>
                    <w:tr2bl w:val="nil"/>
                  </w:tcBorders>
                  <w:vAlign w:val="center"/>
                </w:tcPr>
                <w:p w14:paraId="7631D153">
                  <w:pPr>
                    <w:jc w:val="center"/>
                    <w:rPr>
                      <w:color w:val="000000" w:themeColor="text1"/>
                      <w:szCs w:val="21"/>
                      <w:highlight w:val="none"/>
                      <w14:textFill>
                        <w14:solidFill>
                          <w14:schemeClr w14:val="tx1"/>
                        </w14:solidFill>
                      </w14:textFill>
                    </w:rPr>
                  </w:pPr>
                </w:p>
              </w:tc>
              <w:tc>
                <w:tcPr>
                  <w:tcW w:w="1254" w:type="dxa"/>
                  <w:tcBorders>
                    <w:tl2br w:val="nil"/>
                    <w:tr2bl w:val="nil"/>
                  </w:tcBorders>
                  <w:vAlign w:val="center"/>
                </w:tcPr>
                <w:p w14:paraId="619F915D">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油罐区</w:t>
                  </w:r>
                </w:p>
              </w:tc>
              <w:tc>
                <w:tcPr>
                  <w:tcW w:w="5302" w:type="dxa"/>
                  <w:tcBorders>
                    <w:tl2br w:val="nil"/>
                    <w:tr2bl w:val="nil"/>
                  </w:tcBorders>
                  <w:vAlign w:val="center"/>
                </w:tcPr>
                <w:p w14:paraId="4EF4556F">
                  <w:pP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油罐区位于厂区东南角，面积约为125m</w:t>
                  </w:r>
                  <w:r>
                    <w:rPr>
                      <w:rFonts w:hint="eastAsia"/>
                      <w:color w:val="000000" w:themeColor="text1"/>
                      <w:szCs w:val="21"/>
                      <w:highlight w:val="none"/>
                      <w:vertAlign w:val="superscript"/>
                      <w:lang w:val="en-US" w:eastAsia="zh-CN"/>
                      <w14:textFill>
                        <w14:solidFill>
                          <w14:schemeClr w14:val="tx1"/>
                        </w14:solidFill>
                      </w14:textFill>
                    </w:rPr>
                    <w:t>2</w:t>
                  </w:r>
                  <w:r>
                    <w:rPr>
                      <w:rFonts w:hint="eastAsia"/>
                      <w:color w:val="000000" w:themeColor="text1"/>
                      <w:szCs w:val="21"/>
                      <w:highlight w:val="none"/>
                      <w:lang w:val="en-US" w:eastAsia="zh-CN"/>
                      <w14:textFill>
                        <w14:solidFill>
                          <w14:schemeClr w14:val="tx1"/>
                        </w14:solidFill>
                      </w14:textFill>
                    </w:rPr>
                    <w:t>，共5个柴油储罐，用于柴油储存，柴油最大存量20t；</w:t>
                  </w:r>
                  <w:r>
                    <w:rPr>
                      <w:rFonts w:hint="eastAsia"/>
                      <w:color w:val="FF0000"/>
                      <w:szCs w:val="21"/>
                      <w:highlight w:val="green"/>
                      <w:lang w:val="en-US" w:eastAsia="zh-CN"/>
                    </w:rPr>
                    <w:t>1个黄油储罐，用于黄油储存，黄油最大存量5t。</w:t>
                  </w:r>
                </w:p>
              </w:tc>
              <w:tc>
                <w:tcPr>
                  <w:tcW w:w="1146" w:type="dxa"/>
                  <w:tcBorders>
                    <w:tl2br w:val="nil"/>
                    <w:tr2bl w:val="nil"/>
                  </w:tcBorders>
                  <w:vAlign w:val="center"/>
                </w:tcPr>
                <w:p w14:paraId="6C59C200">
                  <w:pPr>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依托</w:t>
                  </w:r>
                  <w:r>
                    <w:rPr>
                      <w:rFonts w:hint="eastAsia"/>
                      <w:color w:val="000000" w:themeColor="text1"/>
                      <w:szCs w:val="21"/>
                      <w:highlight w:val="none"/>
                      <w:lang w:val="en-US" w:eastAsia="zh-CN"/>
                      <w14:textFill>
                        <w14:solidFill>
                          <w14:schemeClr w14:val="tx1"/>
                        </w14:solidFill>
                      </w14:textFill>
                    </w:rPr>
                    <w:t>现有</w:t>
                  </w:r>
                </w:p>
              </w:tc>
            </w:tr>
            <w:tr w14:paraId="28D0B2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684" w:type="dxa"/>
                  <w:vMerge w:val="continue"/>
                  <w:tcBorders>
                    <w:tl2br w:val="nil"/>
                    <w:tr2bl w:val="nil"/>
                  </w:tcBorders>
                  <w:vAlign w:val="center"/>
                </w:tcPr>
                <w:p w14:paraId="43A08BF7">
                  <w:pPr>
                    <w:jc w:val="center"/>
                    <w:rPr>
                      <w:color w:val="000000" w:themeColor="text1"/>
                      <w:szCs w:val="21"/>
                      <w:highlight w:val="none"/>
                      <w14:textFill>
                        <w14:solidFill>
                          <w14:schemeClr w14:val="tx1"/>
                        </w14:solidFill>
                      </w14:textFill>
                    </w:rPr>
                  </w:pPr>
                </w:p>
              </w:tc>
              <w:tc>
                <w:tcPr>
                  <w:tcW w:w="1254" w:type="dxa"/>
                  <w:tcBorders>
                    <w:tl2br w:val="nil"/>
                    <w:tr2bl w:val="nil"/>
                  </w:tcBorders>
                  <w:vAlign w:val="center"/>
                </w:tcPr>
                <w:p w14:paraId="46D8C886">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green"/>
                      <w:lang w:eastAsia="zh-CN"/>
                      <w14:textFill>
                        <w14:solidFill>
                          <w14:schemeClr w14:val="tx1"/>
                        </w14:solidFill>
                      </w14:textFill>
                    </w:rPr>
                    <w:t>危险废物贮存点</w:t>
                  </w:r>
                </w:p>
              </w:tc>
              <w:tc>
                <w:tcPr>
                  <w:tcW w:w="5302" w:type="dxa"/>
                  <w:tcBorders>
                    <w:tl2br w:val="nil"/>
                    <w:tr2bl w:val="nil"/>
                  </w:tcBorders>
                  <w:vAlign w:val="center"/>
                </w:tcPr>
                <w:p w14:paraId="7700C353">
                  <w:pPr>
                    <w:rPr>
                      <w:rFonts w:hint="default"/>
                      <w:color w:val="000000" w:themeColor="text1"/>
                      <w:szCs w:val="21"/>
                      <w:highlight w:val="none"/>
                      <w:lang w:val="en-US"/>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危险废物贮存点</w:t>
                  </w:r>
                  <w:r>
                    <w:rPr>
                      <w:rFonts w:hint="eastAsia"/>
                      <w:color w:val="000000" w:themeColor="text1"/>
                      <w:szCs w:val="21"/>
                      <w:highlight w:val="none"/>
                      <w14:textFill>
                        <w14:solidFill>
                          <w14:schemeClr w14:val="tx1"/>
                        </w14:solidFill>
                      </w14:textFill>
                    </w:rPr>
                    <w:t>一座，位于</w:t>
                  </w:r>
                  <w:r>
                    <w:rPr>
                      <w:rFonts w:hint="eastAsia"/>
                      <w:color w:val="000000" w:themeColor="text1"/>
                      <w:szCs w:val="21"/>
                      <w:highlight w:val="none"/>
                      <w:lang w:val="en-US" w:eastAsia="zh-CN"/>
                      <w14:textFill>
                        <w14:solidFill>
                          <w14:schemeClr w14:val="tx1"/>
                        </w14:solidFill>
                      </w14:textFill>
                    </w:rPr>
                    <w:t>厂区东南角</w:t>
                  </w:r>
                  <w:r>
                    <w:rPr>
                      <w:rFonts w:hint="eastAsia"/>
                      <w:color w:val="000000" w:themeColor="text1"/>
                      <w:szCs w:val="21"/>
                      <w:highlight w:val="none"/>
                      <w14:textFill>
                        <w14:solidFill>
                          <w14:schemeClr w14:val="tx1"/>
                        </w14:solidFill>
                      </w14:textFill>
                    </w:rPr>
                    <w:t>，面积为</w:t>
                  </w:r>
                  <w:r>
                    <w:rPr>
                      <w:rFonts w:hint="eastAsia"/>
                      <w:color w:val="000000" w:themeColor="text1"/>
                      <w:szCs w:val="21"/>
                      <w:highlight w:val="none"/>
                      <w:lang w:val="en-US" w:eastAsia="zh-CN"/>
                      <w14:textFill>
                        <w14:solidFill>
                          <w14:schemeClr w14:val="tx1"/>
                        </w14:solidFill>
                      </w14:textFill>
                    </w:rPr>
                    <w:t>32m</w:t>
                  </w:r>
                  <w:r>
                    <w:rPr>
                      <w:rFonts w:hint="eastAsia"/>
                      <w:color w:val="000000" w:themeColor="text1"/>
                      <w:szCs w:val="21"/>
                      <w:highlight w:val="none"/>
                      <w:vertAlign w:val="superscript"/>
                      <w:lang w:val="en-US" w:eastAsia="zh-CN"/>
                      <w14:textFill>
                        <w14:solidFill>
                          <w14:schemeClr w14:val="tx1"/>
                        </w14:solidFill>
                      </w14:textFill>
                    </w:rPr>
                    <w:t>2</w:t>
                  </w:r>
                  <w:r>
                    <w:rPr>
                      <w:rFonts w:hint="eastAsia"/>
                      <w:color w:val="000000" w:themeColor="text1"/>
                      <w:szCs w:val="21"/>
                      <w:highlight w:val="none"/>
                      <w:lang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用于危险废物暂存，</w:t>
                  </w:r>
                  <w:r>
                    <w:rPr>
                      <w:rFonts w:hint="eastAsia"/>
                      <w:color w:val="FF0000"/>
                      <w:szCs w:val="21"/>
                      <w:highlight w:val="none"/>
                      <w:lang w:val="en-US" w:eastAsia="zh-CN"/>
                    </w:rPr>
                    <w:t>最大存放量2t，已采用混凝土防渗，并设置围堰。</w:t>
                  </w:r>
                </w:p>
              </w:tc>
              <w:tc>
                <w:tcPr>
                  <w:tcW w:w="1146" w:type="dxa"/>
                  <w:tcBorders>
                    <w:tl2br w:val="nil"/>
                    <w:tr2bl w:val="nil"/>
                  </w:tcBorders>
                  <w:vAlign w:val="center"/>
                </w:tcPr>
                <w:p w14:paraId="2E595BE9">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依托</w:t>
                  </w:r>
                  <w:r>
                    <w:rPr>
                      <w:rFonts w:hint="eastAsia"/>
                      <w:color w:val="000000" w:themeColor="text1"/>
                      <w:szCs w:val="21"/>
                      <w:highlight w:val="none"/>
                      <w:lang w:val="en-US" w:eastAsia="zh-CN"/>
                      <w14:textFill>
                        <w14:solidFill>
                          <w14:schemeClr w14:val="tx1"/>
                        </w14:solidFill>
                      </w14:textFill>
                    </w:rPr>
                    <w:t>现有</w:t>
                  </w:r>
                </w:p>
              </w:tc>
            </w:tr>
            <w:tr w14:paraId="622864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4" w:type="dxa"/>
                  <w:vMerge w:val="restart"/>
                  <w:tcBorders>
                    <w:tl2br w:val="nil"/>
                    <w:tr2bl w:val="nil"/>
                  </w:tcBorders>
                  <w:vAlign w:val="center"/>
                </w:tcPr>
                <w:p w14:paraId="460301E9">
                  <w:pPr>
                    <w:jc w:val="center"/>
                    <w:rPr>
                      <w:color w:val="000000" w:themeColor="text1"/>
                      <w:szCs w:val="21"/>
                      <w:highlight w:val="yellow"/>
                      <w14:textFill>
                        <w14:solidFill>
                          <w14:schemeClr w14:val="tx1"/>
                        </w14:solidFill>
                      </w14:textFill>
                    </w:rPr>
                  </w:pPr>
                  <w:r>
                    <w:rPr>
                      <w:color w:val="000000" w:themeColor="text1"/>
                      <w:szCs w:val="21"/>
                      <w:highlight w:val="none"/>
                      <w14:textFill>
                        <w14:solidFill>
                          <w14:schemeClr w14:val="tx1"/>
                        </w14:solidFill>
                      </w14:textFill>
                    </w:rPr>
                    <w:t>公用工程</w:t>
                  </w:r>
                </w:p>
              </w:tc>
              <w:tc>
                <w:tcPr>
                  <w:tcW w:w="1254" w:type="dxa"/>
                  <w:tcBorders>
                    <w:tl2br w:val="nil"/>
                    <w:tr2bl w:val="nil"/>
                  </w:tcBorders>
                  <w:vAlign w:val="center"/>
                </w:tcPr>
                <w:p w14:paraId="06A1B35B">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给水</w:t>
                  </w:r>
                </w:p>
              </w:tc>
              <w:tc>
                <w:tcPr>
                  <w:tcW w:w="5302" w:type="dxa"/>
                  <w:tcBorders>
                    <w:tl2br w:val="nil"/>
                    <w:tr2bl w:val="nil"/>
                  </w:tcBorders>
                  <w:vAlign w:val="center"/>
                </w:tcPr>
                <w:p w14:paraId="15219DC9">
                  <w:pPr>
                    <w:pStyle w:val="37"/>
                    <w:spacing w:line="240" w:lineRule="auto"/>
                    <w:ind w:firstLine="0" w:firstLineChars="0"/>
                    <w:rPr>
                      <w:rFonts w:hAnsi="Times New Roman" w:cs="Times New Roman"/>
                      <w:color w:val="000000" w:themeColor="text1"/>
                      <w:szCs w:val="21"/>
                      <w:highlight w:val="none"/>
                      <w14:textFill>
                        <w14:solidFill>
                          <w14:schemeClr w14:val="tx1"/>
                        </w14:solidFill>
                      </w14:textFill>
                    </w:rPr>
                  </w:pPr>
                  <w:r>
                    <w:rPr>
                      <w:rFonts w:hAnsi="Times New Roman" w:cs="Times New Roman"/>
                      <w:color w:val="000000" w:themeColor="text1"/>
                      <w:szCs w:val="21"/>
                      <w:highlight w:val="none"/>
                      <w14:textFill>
                        <w14:solidFill>
                          <w14:schemeClr w14:val="tx1"/>
                        </w14:solidFill>
                      </w14:textFill>
                    </w:rPr>
                    <w:t>本项目生产用水</w:t>
                  </w:r>
                  <w:r>
                    <w:rPr>
                      <w:rFonts w:hint="eastAsia" w:hAnsi="Times New Roman" w:cs="Times New Roman"/>
                      <w:color w:val="000000" w:themeColor="text1"/>
                      <w:szCs w:val="21"/>
                      <w:highlight w:val="none"/>
                      <w:lang w:val="en-US" w:eastAsia="zh-CN"/>
                      <w14:textFill>
                        <w14:solidFill>
                          <w14:schemeClr w14:val="tx1"/>
                        </w14:solidFill>
                      </w14:textFill>
                    </w:rPr>
                    <w:t>、</w:t>
                  </w:r>
                  <w:r>
                    <w:rPr>
                      <w:rFonts w:hAnsi="Times New Roman" w:cs="Times New Roman"/>
                      <w:color w:val="000000" w:themeColor="text1"/>
                      <w:szCs w:val="21"/>
                      <w:highlight w:val="none"/>
                      <w14:textFill>
                        <w14:solidFill>
                          <w14:schemeClr w14:val="tx1"/>
                        </w14:solidFill>
                      </w14:textFill>
                    </w:rPr>
                    <w:t>生活用水由</w:t>
                  </w:r>
                  <w:r>
                    <w:rPr>
                      <w:rFonts w:hint="eastAsia" w:hAnsi="Times New Roman" w:cs="Times New Roman"/>
                      <w:color w:val="000000" w:themeColor="text1"/>
                      <w:szCs w:val="21"/>
                      <w:highlight w:val="none"/>
                      <w:lang w:val="en-US" w:eastAsia="zh-CN"/>
                      <w14:textFill>
                        <w14:solidFill>
                          <w14:schemeClr w14:val="tx1"/>
                        </w14:solidFill>
                      </w14:textFill>
                    </w:rPr>
                    <w:t>市政供水管网</w:t>
                  </w:r>
                  <w:r>
                    <w:rPr>
                      <w:rFonts w:hAnsi="Times New Roman" w:cs="Times New Roman"/>
                      <w:color w:val="000000" w:themeColor="text1"/>
                      <w:szCs w:val="21"/>
                      <w:highlight w:val="none"/>
                      <w14:textFill>
                        <w14:solidFill>
                          <w14:schemeClr w14:val="tx1"/>
                        </w14:solidFill>
                      </w14:textFill>
                    </w:rPr>
                    <w:t>供给</w:t>
                  </w:r>
                  <w:r>
                    <w:rPr>
                      <w:rFonts w:hint="eastAsia" w:hAnsi="Times New Roman" w:cs="Times New Roman"/>
                      <w:color w:val="000000" w:themeColor="text1"/>
                      <w:szCs w:val="21"/>
                      <w:highlight w:val="none"/>
                      <w14:textFill>
                        <w14:solidFill>
                          <w14:schemeClr w14:val="tx1"/>
                        </w14:solidFill>
                      </w14:textFill>
                    </w:rPr>
                    <w:t>。</w:t>
                  </w:r>
                </w:p>
              </w:tc>
              <w:tc>
                <w:tcPr>
                  <w:tcW w:w="1146" w:type="dxa"/>
                  <w:tcBorders>
                    <w:tl2br w:val="nil"/>
                    <w:tr2bl w:val="nil"/>
                  </w:tcBorders>
                  <w:vAlign w:val="center"/>
                </w:tcPr>
                <w:p w14:paraId="6CD6A80B">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依托</w:t>
                  </w:r>
                </w:p>
              </w:tc>
            </w:tr>
            <w:tr w14:paraId="3DF972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6" w:hRule="atLeast"/>
                <w:jc w:val="center"/>
              </w:trPr>
              <w:tc>
                <w:tcPr>
                  <w:tcW w:w="684" w:type="dxa"/>
                  <w:vMerge w:val="continue"/>
                  <w:tcBorders>
                    <w:tl2br w:val="nil"/>
                    <w:tr2bl w:val="nil"/>
                  </w:tcBorders>
                  <w:vAlign w:val="center"/>
                </w:tcPr>
                <w:p w14:paraId="63FA2BDB">
                  <w:pPr>
                    <w:jc w:val="center"/>
                    <w:rPr>
                      <w:color w:val="000000" w:themeColor="text1"/>
                      <w:szCs w:val="21"/>
                      <w:highlight w:val="none"/>
                      <w14:textFill>
                        <w14:solidFill>
                          <w14:schemeClr w14:val="tx1"/>
                        </w14:solidFill>
                      </w14:textFill>
                    </w:rPr>
                  </w:pPr>
                </w:p>
              </w:tc>
              <w:tc>
                <w:tcPr>
                  <w:tcW w:w="1254" w:type="dxa"/>
                  <w:tcBorders>
                    <w:tl2br w:val="nil"/>
                    <w:tr2bl w:val="nil"/>
                  </w:tcBorders>
                  <w:vAlign w:val="center"/>
                </w:tcPr>
                <w:p w14:paraId="67CF47F6">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排水</w:t>
                  </w:r>
                </w:p>
              </w:tc>
              <w:tc>
                <w:tcPr>
                  <w:tcW w:w="5302" w:type="dxa"/>
                  <w:tcBorders>
                    <w:tl2br w:val="nil"/>
                    <w:tr2bl w:val="nil"/>
                  </w:tcBorders>
                  <w:vAlign w:val="center"/>
                </w:tcPr>
                <w:p w14:paraId="72607CB5">
                  <w:pPr>
                    <w:spacing w:line="240" w:lineRule="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①</w:t>
                  </w:r>
                  <w:r>
                    <w:rPr>
                      <w:rFonts w:hint="default"/>
                      <w:color w:val="000000" w:themeColor="text1"/>
                      <w:highlight w:val="none"/>
                      <w:lang w:val="en-US" w:eastAsia="zh-CN"/>
                      <w14:textFill>
                        <w14:solidFill>
                          <w14:schemeClr w14:val="tx1"/>
                        </w14:solidFill>
                      </w14:textFill>
                    </w:rPr>
                    <w:t>洗</w:t>
                  </w:r>
                  <w:r>
                    <w:rPr>
                      <w:rFonts w:hint="eastAsia"/>
                      <w:color w:val="000000" w:themeColor="text1"/>
                      <w:highlight w:val="none"/>
                      <w:lang w:val="en-US" w:eastAsia="zh-CN"/>
                      <w14:textFill>
                        <w14:solidFill>
                          <w14:schemeClr w14:val="tx1"/>
                        </w14:solidFill>
                      </w14:textFill>
                    </w:rPr>
                    <w:t>煤</w:t>
                  </w:r>
                  <w:r>
                    <w:rPr>
                      <w:rFonts w:hint="default"/>
                      <w:color w:val="000000" w:themeColor="text1"/>
                      <w:highlight w:val="none"/>
                      <w:lang w:val="en-US" w:eastAsia="zh-CN"/>
                      <w14:textFill>
                        <w14:solidFill>
                          <w14:schemeClr w14:val="tx1"/>
                        </w14:solidFill>
                      </w14:textFill>
                    </w:rPr>
                    <w:t>废水一级闭路循环，各水池防渗处理；</w:t>
                  </w:r>
                </w:p>
                <w:p w14:paraId="59F5038D">
                  <w:pPr>
                    <w:spacing w:line="240" w:lineRule="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②厂区内</w:t>
                  </w:r>
                  <w:r>
                    <w:rPr>
                      <w:rFonts w:hint="default"/>
                      <w:color w:val="000000" w:themeColor="text1"/>
                      <w:highlight w:val="none"/>
                      <w:lang w:val="en-US" w:eastAsia="zh-CN"/>
                      <w14:textFill>
                        <w14:solidFill>
                          <w14:schemeClr w14:val="tx1"/>
                        </w14:solidFill>
                      </w14:textFill>
                    </w:rPr>
                    <w:t>初期雨水经收集池收集回用于生产；</w:t>
                  </w:r>
                </w:p>
                <w:p w14:paraId="5943F5A4">
                  <w:pPr>
                    <w:spacing w:line="240" w:lineRule="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③</w:t>
                  </w:r>
                  <w:r>
                    <w:rPr>
                      <w:rFonts w:hint="default"/>
                      <w:color w:val="000000" w:themeColor="text1"/>
                      <w:highlight w:val="none"/>
                      <w:lang w:val="en-US" w:eastAsia="zh-CN"/>
                      <w14:textFill>
                        <w14:solidFill>
                          <w14:schemeClr w14:val="tx1"/>
                        </w14:solidFill>
                      </w14:textFill>
                    </w:rPr>
                    <w:t>抑尘废水</w:t>
                  </w:r>
                  <w:r>
                    <w:rPr>
                      <w:rFonts w:hint="eastAsia"/>
                      <w:color w:val="000000" w:themeColor="text1"/>
                      <w:highlight w:val="none"/>
                      <w:lang w:val="en-US" w:eastAsia="zh-CN"/>
                      <w14:textFill>
                        <w14:solidFill>
                          <w14:schemeClr w14:val="tx1"/>
                        </w14:solidFill>
                      </w14:textFill>
                    </w:rPr>
                    <w:t>、车辆清洗水</w:t>
                  </w:r>
                  <w:r>
                    <w:rPr>
                      <w:rFonts w:hint="default"/>
                      <w:color w:val="000000" w:themeColor="text1"/>
                      <w:highlight w:val="none"/>
                      <w:lang w:val="en-US" w:eastAsia="zh-CN"/>
                      <w14:textFill>
                        <w14:solidFill>
                          <w14:schemeClr w14:val="tx1"/>
                        </w14:solidFill>
                      </w14:textFill>
                    </w:rPr>
                    <w:t>全部蒸发；</w:t>
                  </w:r>
                </w:p>
                <w:p w14:paraId="3F19D228">
                  <w:pPr>
                    <w:spacing w:line="240" w:lineRule="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④</w:t>
                  </w:r>
                  <w:r>
                    <w:rPr>
                      <w:rFonts w:hint="default"/>
                      <w:color w:val="000000" w:themeColor="text1"/>
                      <w:highlight w:val="none"/>
                      <w:lang w:val="en-US" w:eastAsia="zh-CN"/>
                      <w14:textFill>
                        <w14:solidFill>
                          <w14:schemeClr w14:val="tx1"/>
                        </w14:solidFill>
                      </w14:textFill>
                    </w:rPr>
                    <w:t>车间地面冲洗水</w:t>
                  </w:r>
                  <w:r>
                    <w:rPr>
                      <w:rFonts w:hint="eastAsia"/>
                      <w:color w:val="000000" w:themeColor="text1"/>
                      <w:highlight w:val="none"/>
                      <w:lang w:val="en-US" w:eastAsia="zh-CN"/>
                      <w14:textFill>
                        <w14:solidFill>
                          <w14:schemeClr w14:val="tx1"/>
                        </w14:solidFill>
                      </w14:textFill>
                    </w:rPr>
                    <w:t>、设备冲洗水</w:t>
                  </w:r>
                  <w:r>
                    <w:rPr>
                      <w:rFonts w:hint="default"/>
                      <w:color w:val="000000" w:themeColor="text1"/>
                      <w:highlight w:val="none"/>
                      <w:lang w:val="en-US" w:eastAsia="zh-CN"/>
                      <w14:textFill>
                        <w14:solidFill>
                          <w14:schemeClr w14:val="tx1"/>
                        </w14:solidFill>
                      </w14:textFill>
                    </w:rPr>
                    <w:t>回用于生产不外排；</w:t>
                  </w:r>
                </w:p>
                <w:p w14:paraId="56C9F474">
                  <w:pPr>
                    <w:spacing w:line="240" w:lineRule="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⑤</w:t>
                  </w:r>
                  <w:r>
                    <w:rPr>
                      <w:rFonts w:hint="eastAsia"/>
                      <w:color w:val="FF0000"/>
                      <w:highlight w:val="none"/>
                      <w:lang w:val="en-US" w:eastAsia="zh-CN"/>
                    </w:rPr>
                    <w:t>食堂废水经现有隔油池处理后同其他生活污水一起排入化粪池，处理后排入市政管网，进入双鸭山市城市污水处理厂处理；</w:t>
                  </w:r>
                </w:p>
                <w:p w14:paraId="58B54DBA">
                  <w:pPr>
                    <w:spacing w:line="240" w:lineRule="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⑥精煤、矸石仓内产生的渗滤液水经导流渠收集后，回用于生产；</w:t>
                  </w:r>
                  <w:r>
                    <w:rPr>
                      <w:rFonts w:hint="eastAsia"/>
                      <w:color w:val="FF0000"/>
                      <w:highlight w:val="green"/>
                      <w:lang w:val="en-US" w:eastAsia="zh-CN"/>
                    </w:rPr>
                    <w:t>中煤、煤泥堆场四周设置导流渠，中煤产品和煤泥日产日清冬季直接运往虹焱热电，夏季外售给大唐双鸭山热电有限公司，不堆存，渗滤液产生量较少，经导流渠收集后排入初期雨水收集池回用于生产</w:t>
                  </w:r>
                  <w:r>
                    <w:rPr>
                      <w:rFonts w:hint="eastAsia" w:cs="Times New Roman"/>
                      <w:color w:val="FF0000"/>
                      <w:kern w:val="2"/>
                      <w:sz w:val="21"/>
                      <w:szCs w:val="24"/>
                      <w:highlight w:val="green"/>
                      <w:lang w:val="en-US" w:eastAsia="zh-CN" w:bidi="ar-SA"/>
                    </w:rPr>
                    <w:t>；</w:t>
                  </w:r>
                  <w:r>
                    <w:rPr>
                      <w:rFonts w:hint="eastAsia" w:cs="Times New Roman"/>
                      <w:color w:val="FF0000"/>
                      <w:kern w:val="2"/>
                      <w:sz w:val="21"/>
                      <w:szCs w:val="24"/>
                      <w:highlight w:val="none"/>
                      <w:lang w:val="en-US" w:eastAsia="zh-CN" w:bidi="ar-SA"/>
                    </w:rPr>
                    <w:t>精煤仓、原煤仓、矸石仓为一般防渗区，防渗满足等效黏土防渗层Mb≥1.5m，K≤1×10</w:t>
                  </w:r>
                  <w:r>
                    <w:rPr>
                      <w:rFonts w:hint="eastAsia" w:cs="Times New Roman"/>
                      <w:color w:val="FF0000"/>
                      <w:kern w:val="2"/>
                      <w:sz w:val="21"/>
                      <w:szCs w:val="24"/>
                      <w:highlight w:val="none"/>
                      <w:vertAlign w:val="superscript"/>
                      <w:lang w:val="en-US" w:eastAsia="zh-CN" w:bidi="ar-SA"/>
                    </w:rPr>
                    <w:t>-7</w:t>
                  </w:r>
                  <w:r>
                    <w:rPr>
                      <w:rFonts w:hint="eastAsia" w:cs="Times New Roman"/>
                      <w:color w:val="FF0000"/>
                      <w:kern w:val="2"/>
                      <w:sz w:val="21"/>
                      <w:szCs w:val="24"/>
                      <w:highlight w:val="none"/>
                      <w:lang w:val="en-US" w:eastAsia="zh-CN" w:bidi="ar-SA"/>
                    </w:rPr>
                    <w:t>cm/s；</w:t>
                  </w:r>
                </w:p>
                <w:p w14:paraId="127A0424">
                  <w:pPr>
                    <w:spacing w:line="240" w:lineRule="auto"/>
                    <w:rPr>
                      <w:rFonts w:hint="eastAsia" w:eastAsia="宋体"/>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⑦化验室主要测定灰分、水分、挥发分，无废水产生</w:t>
                  </w:r>
                  <w:r>
                    <w:rPr>
                      <w:rFonts w:hint="eastAsia" w:cs="Times New Roman"/>
                      <w:color w:val="000000" w:themeColor="text1"/>
                      <w:kern w:val="2"/>
                      <w:sz w:val="21"/>
                      <w:szCs w:val="24"/>
                      <w:highlight w:val="none"/>
                      <w:lang w:val="en-US" w:eastAsia="zh-CN" w:bidi="ar-SA"/>
                      <w14:textFill>
                        <w14:solidFill>
                          <w14:schemeClr w14:val="tx1"/>
                        </w14:solidFill>
                      </w14:textFill>
                    </w:rPr>
                    <w:t>。</w:t>
                  </w:r>
                </w:p>
              </w:tc>
              <w:tc>
                <w:tcPr>
                  <w:tcW w:w="1146" w:type="dxa"/>
                  <w:tcBorders>
                    <w:tl2br w:val="nil"/>
                    <w:tr2bl w:val="nil"/>
                  </w:tcBorders>
                  <w:vAlign w:val="center"/>
                </w:tcPr>
                <w:p w14:paraId="0D4AF142">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新建</w:t>
                  </w:r>
                  <w:r>
                    <w:rPr>
                      <w:rFonts w:hint="eastAsia"/>
                      <w:color w:val="000000" w:themeColor="text1"/>
                      <w:szCs w:val="21"/>
                      <w:highlight w:val="none"/>
                      <w:lang w:val="en-US" w:eastAsia="zh-CN"/>
                      <w14:textFill>
                        <w14:solidFill>
                          <w14:schemeClr w14:val="tx1"/>
                        </w14:solidFill>
                      </w14:textFill>
                    </w:rPr>
                    <w:t>初期雨水收集池</w:t>
                  </w:r>
                </w:p>
              </w:tc>
            </w:tr>
            <w:tr w14:paraId="17E8CA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4" w:type="dxa"/>
                  <w:vMerge w:val="continue"/>
                  <w:tcBorders>
                    <w:tl2br w:val="nil"/>
                    <w:tr2bl w:val="nil"/>
                  </w:tcBorders>
                  <w:vAlign w:val="center"/>
                </w:tcPr>
                <w:p w14:paraId="00DB2794">
                  <w:pPr>
                    <w:jc w:val="center"/>
                    <w:rPr>
                      <w:color w:val="000000" w:themeColor="text1"/>
                      <w:szCs w:val="21"/>
                      <w:highlight w:val="yellow"/>
                      <w14:textFill>
                        <w14:solidFill>
                          <w14:schemeClr w14:val="tx1"/>
                        </w14:solidFill>
                      </w14:textFill>
                    </w:rPr>
                  </w:pPr>
                </w:p>
              </w:tc>
              <w:tc>
                <w:tcPr>
                  <w:tcW w:w="1254" w:type="dxa"/>
                  <w:tcBorders>
                    <w:tl2br w:val="nil"/>
                    <w:tr2bl w:val="nil"/>
                  </w:tcBorders>
                  <w:vAlign w:val="center"/>
                </w:tcPr>
                <w:p w14:paraId="3904CBCD">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供热</w:t>
                  </w:r>
                </w:p>
              </w:tc>
              <w:tc>
                <w:tcPr>
                  <w:tcW w:w="5302" w:type="dxa"/>
                  <w:tcBorders>
                    <w:tl2br w:val="nil"/>
                    <w:tr2bl w:val="nil"/>
                  </w:tcBorders>
                  <w:vAlign w:val="center"/>
                </w:tcPr>
                <w:p w14:paraId="1B77BFA0">
                  <w:pP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由虹焱热电余热集中供热。</w:t>
                  </w:r>
                </w:p>
              </w:tc>
              <w:tc>
                <w:tcPr>
                  <w:tcW w:w="1146" w:type="dxa"/>
                  <w:tcBorders>
                    <w:tl2br w:val="nil"/>
                    <w:tr2bl w:val="nil"/>
                  </w:tcBorders>
                  <w:vAlign w:val="center"/>
                </w:tcPr>
                <w:p w14:paraId="00D65085">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依托</w:t>
                  </w:r>
                </w:p>
              </w:tc>
            </w:tr>
            <w:tr w14:paraId="07B2C5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4" w:type="dxa"/>
                  <w:vMerge w:val="continue"/>
                  <w:tcBorders>
                    <w:tl2br w:val="nil"/>
                    <w:tr2bl w:val="nil"/>
                  </w:tcBorders>
                  <w:vAlign w:val="center"/>
                </w:tcPr>
                <w:p w14:paraId="41A9A28D">
                  <w:pPr>
                    <w:jc w:val="center"/>
                    <w:rPr>
                      <w:color w:val="000000" w:themeColor="text1"/>
                      <w:szCs w:val="21"/>
                      <w:highlight w:val="yellow"/>
                      <w14:textFill>
                        <w14:solidFill>
                          <w14:schemeClr w14:val="tx1"/>
                        </w14:solidFill>
                      </w14:textFill>
                    </w:rPr>
                  </w:pPr>
                </w:p>
              </w:tc>
              <w:tc>
                <w:tcPr>
                  <w:tcW w:w="1254" w:type="dxa"/>
                  <w:tcBorders>
                    <w:tl2br w:val="nil"/>
                    <w:tr2bl w:val="nil"/>
                  </w:tcBorders>
                  <w:vAlign w:val="center"/>
                </w:tcPr>
                <w:p w14:paraId="4EE79DA9">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供电</w:t>
                  </w:r>
                </w:p>
              </w:tc>
              <w:tc>
                <w:tcPr>
                  <w:tcW w:w="5302" w:type="dxa"/>
                  <w:tcBorders>
                    <w:tl2br w:val="nil"/>
                    <w:tr2bl w:val="nil"/>
                  </w:tcBorders>
                  <w:vAlign w:val="center"/>
                </w:tcPr>
                <w:p w14:paraId="20B9DAC4">
                  <w:pP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由双矿集团供电公司尖山变电所2台6kv地理电力电揽对选煤厂供电。</w:t>
                  </w:r>
                </w:p>
              </w:tc>
              <w:tc>
                <w:tcPr>
                  <w:tcW w:w="1146" w:type="dxa"/>
                  <w:tcBorders>
                    <w:tl2br w:val="nil"/>
                    <w:tr2bl w:val="nil"/>
                  </w:tcBorders>
                  <w:vAlign w:val="center"/>
                </w:tcPr>
                <w:p w14:paraId="64521129">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依托</w:t>
                  </w:r>
                </w:p>
              </w:tc>
            </w:tr>
            <w:tr w14:paraId="6688E9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4" w:hRule="atLeast"/>
                <w:jc w:val="center"/>
              </w:trPr>
              <w:tc>
                <w:tcPr>
                  <w:tcW w:w="684" w:type="dxa"/>
                  <w:vMerge w:val="restart"/>
                  <w:tcBorders>
                    <w:tl2br w:val="nil"/>
                    <w:tr2bl w:val="nil"/>
                  </w:tcBorders>
                  <w:vAlign w:val="center"/>
                </w:tcPr>
                <w:p w14:paraId="3B834F9B">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环保工程</w:t>
                  </w:r>
                </w:p>
              </w:tc>
              <w:tc>
                <w:tcPr>
                  <w:tcW w:w="1254" w:type="dxa"/>
                  <w:tcBorders>
                    <w:tl2br w:val="nil"/>
                    <w:tr2bl w:val="nil"/>
                  </w:tcBorders>
                  <w:vAlign w:val="center"/>
                </w:tcPr>
                <w:p w14:paraId="37CBE4D4">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废水</w:t>
                  </w:r>
                </w:p>
              </w:tc>
              <w:tc>
                <w:tcPr>
                  <w:tcW w:w="5302" w:type="dxa"/>
                  <w:tcBorders>
                    <w:tl2br w:val="nil"/>
                    <w:tr2bl w:val="nil"/>
                  </w:tcBorders>
                  <w:vAlign w:val="center"/>
                </w:tcPr>
                <w:p w14:paraId="19FADDEB">
                  <w:pP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①</w:t>
                  </w:r>
                  <w:r>
                    <w:rPr>
                      <w:rFonts w:hint="default"/>
                      <w:color w:val="000000" w:themeColor="text1"/>
                      <w:szCs w:val="21"/>
                      <w:highlight w:val="none"/>
                      <w:lang w:val="en-US" w:eastAsia="zh-CN"/>
                      <w14:textFill>
                        <w14:solidFill>
                          <w14:schemeClr w14:val="tx1"/>
                        </w14:solidFill>
                      </w14:textFill>
                    </w:rPr>
                    <w:t>洗</w:t>
                  </w:r>
                  <w:r>
                    <w:rPr>
                      <w:rFonts w:hint="eastAsia"/>
                      <w:color w:val="000000" w:themeColor="text1"/>
                      <w:szCs w:val="21"/>
                      <w:highlight w:val="none"/>
                      <w:lang w:val="en-US" w:eastAsia="zh-CN"/>
                      <w14:textFill>
                        <w14:solidFill>
                          <w14:schemeClr w14:val="tx1"/>
                        </w14:solidFill>
                      </w14:textFill>
                    </w:rPr>
                    <w:t>煤</w:t>
                  </w:r>
                  <w:r>
                    <w:rPr>
                      <w:rFonts w:hint="default"/>
                      <w:color w:val="000000" w:themeColor="text1"/>
                      <w:szCs w:val="21"/>
                      <w:highlight w:val="none"/>
                      <w:lang w:val="en-US" w:eastAsia="zh-CN"/>
                      <w14:textFill>
                        <w14:solidFill>
                          <w14:schemeClr w14:val="tx1"/>
                        </w14:solidFill>
                      </w14:textFill>
                    </w:rPr>
                    <w:t>废水一级闭路循环，各水池防渗处理；</w:t>
                  </w:r>
                </w:p>
                <w:p w14:paraId="418350D3">
                  <w:pP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②厂区内</w:t>
                  </w:r>
                  <w:r>
                    <w:rPr>
                      <w:rFonts w:hint="default"/>
                      <w:color w:val="000000" w:themeColor="text1"/>
                      <w:szCs w:val="21"/>
                      <w:highlight w:val="none"/>
                      <w:lang w:val="en-US" w:eastAsia="zh-CN"/>
                      <w14:textFill>
                        <w14:solidFill>
                          <w14:schemeClr w14:val="tx1"/>
                        </w14:solidFill>
                      </w14:textFill>
                    </w:rPr>
                    <w:t>初期雨水经收集池收集回用于生产；</w:t>
                  </w:r>
                </w:p>
                <w:p w14:paraId="06A832C3">
                  <w:pP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③</w:t>
                  </w:r>
                  <w:r>
                    <w:rPr>
                      <w:rFonts w:hint="default"/>
                      <w:color w:val="000000" w:themeColor="text1"/>
                      <w:szCs w:val="21"/>
                      <w:highlight w:val="none"/>
                      <w:lang w:val="en-US" w:eastAsia="zh-CN"/>
                      <w14:textFill>
                        <w14:solidFill>
                          <w14:schemeClr w14:val="tx1"/>
                        </w14:solidFill>
                      </w14:textFill>
                    </w:rPr>
                    <w:t>抑尘废水</w:t>
                  </w:r>
                  <w:r>
                    <w:rPr>
                      <w:rFonts w:hint="eastAsia"/>
                      <w:color w:val="000000" w:themeColor="text1"/>
                      <w:szCs w:val="21"/>
                      <w:highlight w:val="none"/>
                      <w:lang w:val="en-US" w:eastAsia="zh-CN"/>
                      <w14:textFill>
                        <w14:solidFill>
                          <w14:schemeClr w14:val="tx1"/>
                        </w14:solidFill>
                      </w14:textFill>
                    </w:rPr>
                    <w:t>、</w:t>
                  </w:r>
                  <w:r>
                    <w:rPr>
                      <w:rFonts w:hint="eastAsia"/>
                      <w:color w:val="000000" w:themeColor="text1"/>
                      <w:szCs w:val="21"/>
                      <w:highlight w:val="green"/>
                      <w:lang w:val="en-US" w:eastAsia="zh-CN"/>
                      <w14:textFill>
                        <w14:solidFill>
                          <w14:schemeClr w14:val="tx1"/>
                        </w14:solidFill>
                      </w14:textFill>
                    </w:rPr>
                    <w:t>车辆清洗水</w:t>
                  </w:r>
                  <w:r>
                    <w:rPr>
                      <w:rFonts w:hint="default"/>
                      <w:color w:val="000000" w:themeColor="text1"/>
                      <w:szCs w:val="21"/>
                      <w:highlight w:val="green"/>
                      <w:lang w:val="en-US" w:eastAsia="zh-CN"/>
                      <w14:textFill>
                        <w14:solidFill>
                          <w14:schemeClr w14:val="tx1"/>
                        </w14:solidFill>
                      </w14:textFill>
                    </w:rPr>
                    <w:t>全部蒸发；</w:t>
                  </w:r>
                </w:p>
                <w:p w14:paraId="3CC55CA7">
                  <w:pP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④</w:t>
                  </w:r>
                  <w:r>
                    <w:rPr>
                      <w:rFonts w:hint="default"/>
                      <w:color w:val="000000" w:themeColor="text1"/>
                      <w:szCs w:val="21"/>
                      <w:highlight w:val="none"/>
                      <w:lang w:val="en-US" w:eastAsia="zh-CN"/>
                      <w14:textFill>
                        <w14:solidFill>
                          <w14:schemeClr w14:val="tx1"/>
                        </w14:solidFill>
                      </w14:textFill>
                    </w:rPr>
                    <w:t>车间地面冲洗水</w:t>
                  </w:r>
                  <w:r>
                    <w:rPr>
                      <w:rFonts w:hint="eastAsia"/>
                      <w:color w:val="000000" w:themeColor="text1"/>
                      <w:szCs w:val="21"/>
                      <w:highlight w:val="none"/>
                      <w:lang w:val="en-US" w:eastAsia="zh-CN"/>
                      <w14:textFill>
                        <w14:solidFill>
                          <w14:schemeClr w14:val="tx1"/>
                        </w14:solidFill>
                      </w14:textFill>
                    </w:rPr>
                    <w:t>、设备冲洗水</w:t>
                  </w:r>
                  <w:r>
                    <w:rPr>
                      <w:rFonts w:hint="default"/>
                      <w:color w:val="000000" w:themeColor="text1"/>
                      <w:szCs w:val="21"/>
                      <w:highlight w:val="none"/>
                      <w:lang w:val="en-US" w:eastAsia="zh-CN"/>
                      <w14:textFill>
                        <w14:solidFill>
                          <w14:schemeClr w14:val="tx1"/>
                        </w14:solidFill>
                      </w14:textFill>
                    </w:rPr>
                    <w:t>回用于生产不外排；</w:t>
                  </w:r>
                </w:p>
                <w:p w14:paraId="5345065C">
                  <w:pPr>
                    <w:rPr>
                      <w:rFonts w:hint="eastAsia"/>
                      <w:color w:val="FF0000"/>
                      <w:szCs w:val="21"/>
                      <w:highlight w:val="none"/>
                      <w:lang w:val="en-US" w:eastAsia="zh-CN"/>
                    </w:rPr>
                  </w:pPr>
                  <w:r>
                    <w:rPr>
                      <w:rFonts w:hint="eastAsia"/>
                      <w:color w:val="FF0000"/>
                      <w:szCs w:val="21"/>
                      <w:highlight w:val="none"/>
                      <w:lang w:val="en-US" w:eastAsia="zh-CN"/>
                    </w:rPr>
                    <w:t>⑤食堂废水经现有隔油池处理后同其他</w:t>
                  </w:r>
                  <w:r>
                    <w:rPr>
                      <w:rFonts w:hint="default"/>
                      <w:color w:val="FF0000"/>
                      <w:szCs w:val="21"/>
                      <w:highlight w:val="none"/>
                      <w:lang w:val="en-US" w:eastAsia="zh-CN"/>
                    </w:rPr>
                    <w:t>生活污水</w:t>
                  </w:r>
                  <w:r>
                    <w:rPr>
                      <w:rFonts w:hint="eastAsia"/>
                      <w:color w:val="FF0000"/>
                      <w:szCs w:val="21"/>
                      <w:highlight w:val="none"/>
                      <w:lang w:val="en-US" w:eastAsia="zh-CN"/>
                    </w:rPr>
                    <w:t>一起排入化粪池，处理后排入市政管网，进入双鸭山市城市污水处理厂处理；</w:t>
                  </w:r>
                </w:p>
                <w:p w14:paraId="5366F923">
                  <w:pP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⑥精煤、矸石仓内产生的渗滤液水经导流渠收集后，回用于生产；</w:t>
                  </w:r>
                  <w:r>
                    <w:rPr>
                      <w:rFonts w:hint="eastAsia"/>
                      <w:color w:val="FF0000"/>
                      <w:szCs w:val="21"/>
                      <w:highlight w:val="none"/>
                      <w:lang w:val="en-US" w:eastAsia="zh-CN"/>
                    </w:rPr>
                    <w:t>中煤、煤泥日产日清，中煤、煤泥堆场附近初期雨水经收集池收集回用于生产；精煤仓、原煤仓、矸石仓为一般防渗区，防渗满足等效黏土防渗层Mb≥1.5m，K≤1×10</w:t>
                  </w:r>
                  <w:r>
                    <w:rPr>
                      <w:rFonts w:hint="eastAsia"/>
                      <w:color w:val="FF0000"/>
                      <w:szCs w:val="21"/>
                      <w:highlight w:val="none"/>
                      <w:vertAlign w:val="superscript"/>
                      <w:lang w:val="en-US" w:eastAsia="zh-CN"/>
                    </w:rPr>
                    <w:t>-7</w:t>
                  </w:r>
                  <w:r>
                    <w:rPr>
                      <w:rFonts w:hint="eastAsia"/>
                      <w:color w:val="FF0000"/>
                      <w:szCs w:val="21"/>
                      <w:highlight w:val="none"/>
                      <w:lang w:val="en-US" w:eastAsia="zh-CN"/>
                    </w:rPr>
                    <w:t>cm/s；</w:t>
                  </w:r>
                </w:p>
                <w:p w14:paraId="2BB75DEA">
                  <w:pP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⑦化验室主要测定灰分、水分、挥发分，无废水产生。</w:t>
                  </w:r>
                </w:p>
              </w:tc>
              <w:tc>
                <w:tcPr>
                  <w:tcW w:w="1146" w:type="dxa"/>
                  <w:tcBorders>
                    <w:tl2br w:val="nil"/>
                    <w:tr2bl w:val="nil"/>
                  </w:tcBorders>
                  <w:vAlign w:val="center"/>
                </w:tcPr>
                <w:p w14:paraId="369809EB">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r>
            <w:tr w14:paraId="79B75A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684" w:type="dxa"/>
                  <w:vMerge w:val="continue"/>
                  <w:tcBorders>
                    <w:tl2br w:val="nil"/>
                    <w:tr2bl w:val="nil"/>
                  </w:tcBorders>
                  <w:vAlign w:val="center"/>
                </w:tcPr>
                <w:p w14:paraId="6B8E857C">
                  <w:pPr>
                    <w:jc w:val="center"/>
                    <w:rPr>
                      <w:color w:val="000000" w:themeColor="text1"/>
                      <w:szCs w:val="21"/>
                      <w:highlight w:val="yellow"/>
                      <w14:textFill>
                        <w14:solidFill>
                          <w14:schemeClr w14:val="tx1"/>
                        </w14:solidFill>
                      </w14:textFill>
                    </w:rPr>
                  </w:pPr>
                </w:p>
              </w:tc>
              <w:tc>
                <w:tcPr>
                  <w:tcW w:w="1254" w:type="dxa"/>
                  <w:tcBorders>
                    <w:tl2br w:val="nil"/>
                    <w:tr2bl w:val="nil"/>
                  </w:tcBorders>
                  <w:vAlign w:val="center"/>
                </w:tcPr>
                <w:p w14:paraId="68EFD9A7">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噪声</w:t>
                  </w:r>
                </w:p>
              </w:tc>
              <w:tc>
                <w:tcPr>
                  <w:tcW w:w="5302" w:type="dxa"/>
                  <w:tcBorders>
                    <w:tl2br w:val="nil"/>
                    <w:tr2bl w:val="nil"/>
                  </w:tcBorders>
                  <w:vAlign w:val="center"/>
                </w:tcPr>
                <w:p w14:paraId="7570222E">
                  <w:pPr>
                    <w:widowControl/>
                    <w:rPr>
                      <w:rFonts w:hint="eastAsia" w:eastAsia="宋体"/>
                      <w:color w:val="000000" w:themeColor="text1"/>
                      <w:szCs w:val="21"/>
                      <w:highlight w:val="none"/>
                      <w:lang w:eastAsia="zh-CN"/>
                      <w14:textFill>
                        <w14:solidFill>
                          <w14:schemeClr w14:val="tx1"/>
                        </w14:solidFill>
                      </w14:textFill>
                    </w:rPr>
                  </w:pPr>
                  <w:r>
                    <w:rPr>
                      <w:color w:val="000000" w:themeColor="text1"/>
                      <w:szCs w:val="21"/>
                      <w:highlight w:val="none"/>
                      <w14:textFill>
                        <w14:solidFill>
                          <w14:schemeClr w14:val="tx1"/>
                        </w14:solidFill>
                      </w14:textFill>
                    </w:rPr>
                    <w:t>选用低噪声设备，底座固定，安装减振、隔声装置</w:t>
                  </w:r>
                  <w:r>
                    <w:rPr>
                      <w:rFonts w:hint="eastAsia"/>
                      <w:color w:val="000000" w:themeColor="text1"/>
                      <w:szCs w:val="21"/>
                      <w:highlight w:val="none"/>
                      <w:lang w:eastAsia="zh-CN"/>
                      <w14:textFill>
                        <w14:solidFill>
                          <w14:schemeClr w14:val="tx1"/>
                        </w14:solidFill>
                      </w14:textFill>
                    </w:rPr>
                    <w:t>。</w:t>
                  </w:r>
                </w:p>
              </w:tc>
              <w:tc>
                <w:tcPr>
                  <w:tcW w:w="1146" w:type="dxa"/>
                  <w:tcBorders>
                    <w:tl2br w:val="nil"/>
                    <w:tr2bl w:val="nil"/>
                  </w:tcBorders>
                  <w:vAlign w:val="center"/>
                </w:tcPr>
                <w:p w14:paraId="2CFE5587">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r>
            <w:tr w14:paraId="3E9B94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0" w:hRule="atLeast"/>
                <w:jc w:val="center"/>
              </w:trPr>
              <w:tc>
                <w:tcPr>
                  <w:tcW w:w="684" w:type="dxa"/>
                  <w:vMerge w:val="continue"/>
                  <w:tcBorders>
                    <w:tl2br w:val="nil"/>
                    <w:tr2bl w:val="nil"/>
                  </w:tcBorders>
                  <w:vAlign w:val="center"/>
                </w:tcPr>
                <w:p w14:paraId="3136D5D4">
                  <w:pPr>
                    <w:jc w:val="center"/>
                    <w:rPr>
                      <w:color w:val="000000" w:themeColor="text1"/>
                      <w:szCs w:val="21"/>
                      <w:highlight w:val="yellow"/>
                      <w14:textFill>
                        <w14:solidFill>
                          <w14:schemeClr w14:val="tx1"/>
                        </w14:solidFill>
                      </w14:textFill>
                    </w:rPr>
                  </w:pPr>
                </w:p>
              </w:tc>
              <w:tc>
                <w:tcPr>
                  <w:tcW w:w="1254" w:type="dxa"/>
                  <w:tcBorders>
                    <w:tl2br w:val="nil"/>
                    <w:tr2bl w:val="nil"/>
                  </w:tcBorders>
                  <w:vAlign w:val="center"/>
                </w:tcPr>
                <w:p w14:paraId="36F55039">
                  <w:pPr>
                    <w:jc w:val="center"/>
                    <w:textAlignment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废气</w:t>
                  </w:r>
                </w:p>
              </w:tc>
              <w:tc>
                <w:tcPr>
                  <w:tcW w:w="5302" w:type="dxa"/>
                  <w:tcBorders>
                    <w:tl2br w:val="nil"/>
                    <w:tr2bl w:val="nil"/>
                  </w:tcBorders>
                  <w:vAlign w:val="center"/>
                </w:tcPr>
                <w:p w14:paraId="3366AFD1">
                  <w:pPr>
                    <w:jc w:val="left"/>
                    <w:textAlignment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①主厂房全封闭结构，车间内大部分无组织粉尘重力沉降至车间地面，破碎、筛分等各产尘点进行喷淋降尘，车间内定期洒水降尘，定期冲洗车间地面；</w:t>
                  </w:r>
                </w:p>
                <w:p w14:paraId="3FBDE2F5">
                  <w:pPr>
                    <w:jc w:val="left"/>
                    <w:textAlignment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②</w:t>
                  </w:r>
                  <w:r>
                    <w:rPr>
                      <w:rFonts w:hint="default"/>
                      <w:color w:val="000000" w:themeColor="text1"/>
                      <w:szCs w:val="21"/>
                      <w:highlight w:val="none"/>
                      <w:lang w:val="en-US" w:eastAsia="zh-CN"/>
                      <w14:textFill>
                        <w14:solidFill>
                          <w14:schemeClr w14:val="tx1"/>
                        </w14:solidFill>
                      </w14:textFill>
                    </w:rPr>
                    <w:t>原</w:t>
                  </w:r>
                  <w:r>
                    <w:rPr>
                      <w:rFonts w:hint="eastAsia"/>
                      <w:color w:val="000000" w:themeColor="text1"/>
                      <w:szCs w:val="21"/>
                      <w:highlight w:val="none"/>
                      <w:lang w:val="en-US" w:eastAsia="zh-CN"/>
                      <w14:textFill>
                        <w14:solidFill>
                          <w14:schemeClr w14:val="tx1"/>
                        </w14:solidFill>
                      </w14:textFill>
                    </w:rPr>
                    <w:t>煤仓</w:t>
                  </w:r>
                  <w:r>
                    <w:rPr>
                      <w:rFonts w:hint="default"/>
                      <w:color w:val="000000" w:themeColor="text1"/>
                      <w:szCs w:val="21"/>
                      <w:highlight w:val="none"/>
                      <w:lang w:val="en-US"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精煤仓</w:t>
                  </w:r>
                  <w:r>
                    <w:rPr>
                      <w:rFonts w:hint="default"/>
                      <w:color w:val="000000" w:themeColor="text1"/>
                      <w:szCs w:val="21"/>
                      <w:highlight w:val="none"/>
                      <w:lang w:val="en-US" w:eastAsia="zh-CN"/>
                      <w14:textFill>
                        <w14:solidFill>
                          <w14:schemeClr w14:val="tx1"/>
                        </w14:solidFill>
                      </w14:textFill>
                    </w:rPr>
                    <w:t>、矸石</w:t>
                  </w:r>
                  <w:r>
                    <w:rPr>
                      <w:rFonts w:hint="eastAsia"/>
                      <w:color w:val="000000" w:themeColor="text1"/>
                      <w:szCs w:val="21"/>
                      <w:highlight w:val="none"/>
                      <w:lang w:val="en-US" w:eastAsia="zh-CN"/>
                      <w14:textFill>
                        <w14:solidFill>
                          <w14:schemeClr w14:val="tx1"/>
                        </w14:solidFill>
                      </w14:textFill>
                    </w:rPr>
                    <w:t>仓</w:t>
                  </w:r>
                  <w:r>
                    <w:rPr>
                      <w:rFonts w:hint="default"/>
                      <w:color w:val="000000" w:themeColor="text1"/>
                      <w:szCs w:val="21"/>
                      <w:highlight w:val="none"/>
                      <w:lang w:val="en-US" w:eastAsia="zh-CN"/>
                      <w14:textFill>
                        <w14:solidFill>
                          <w14:schemeClr w14:val="tx1"/>
                        </w14:solidFill>
                      </w14:textFill>
                    </w:rPr>
                    <w:t>均采取</w:t>
                  </w:r>
                  <w:r>
                    <w:rPr>
                      <w:rFonts w:hint="eastAsia"/>
                      <w:color w:val="000000" w:themeColor="text1"/>
                      <w:szCs w:val="21"/>
                      <w:highlight w:val="none"/>
                      <w:lang w:val="en-US" w:eastAsia="zh-CN"/>
                      <w14:textFill>
                        <w14:solidFill>
                          <w14:schemeClr w14:val="tx1"/>
                        </w14:solidFill>
                      </w14:textFill>
                    </w:rPr>
                    <w:t>全封闭措施，</w:t>
                  </w:r>
                  <w:r>
                    <w:rPr>
                      <w:rFonts w:hint="default"/>
                      <w:color w:val="000000" w:themeColor="text1"/>
                      <w:szCs w:val="21"/>
                      <w:highlight w:val="none"/>
                      <w:lang w:val="en-US" w:eastAsia="zh-CN"/>
                      <w14:textFill>
                        <w14:solidFill>
                          <w14:schemeClr w14:val="tx1"/>
                        </w14:solidFill>
                      </w14:textFill>
                    </w:rPr>
                    <w:t>定期洒水降尘；</w:t>
                  </w:r>
                </w:p>
                <w:p w14:paraId="29D56860">
                  <w:pPr>
                    <w:jc w:val="left"/>
                    <w:textAlignment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③物料</w:t>
                  </w:r>
                  <w:r>
                    <w:rPr>
                      <w:rFonts w:hint="default"/>
                      <w:color w:val="000000" w:themeColor="text1"/>
                      <w:szCs w:val="21"/>
                      <w:highlight w:val="none"/>
                      <w:lang w:val="en-US" w:eastAsia="zh-CN"/>
                      <w14:textFill>
                        <w14:solidFill>
                          <w14:schemeClr w14:val="tx1"/>
                        </w14:solidFill>
                      </w14:textFill>
                    </w:rPr>
                    <w:t>在运输过程中应采取减速行驶且运输车辆运输时车身加盖苫布，防止物料洒落；</w:t>
                  </w:r>
                </w:p>
                <w:p w14:paraId="0625B118">
                  <w:pPr>
                    <w:jc w:val="left"/>
                    <w:textAlignment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④</w:t>
                  </w:r>
                  <w:r>
                    <w:rPr>
                      <w:rFonts w:hint="default"/>
                      <w:color w:val="000000" w:themeColor="text1"/>
                      <w:szCs w:val="21"/>
                      <w:highlight w:val="none"/>
                      <w:lang w:val="en-US" w:eastAsia="zh-CN"/>
                      <w14:textFill>
                        <w14:solidFill>
                          <w14:schemeClr w14:val="tx1"/>
                        </w14:solidFill>
                      </w14:textFill>
                    </w:rPr>
                    <w:t>厂区定期清扫，定期洒水抑尘</w:t>
                  </w:r>
                  <w:r>
                    <w:rPr>
                      <w:rFonts w:hint="eastAsia"/>
                      <w:color w:val="000000" w:themeColor="text1"/>
                      <w:szCs w:val="21"/>
                      <w:highlight w:val="none"/>
                      <w:lang w:val="en-US" w:eastAsia="zh-CN"/>
                      <w14:textFill>
                        <w14:solidFill>
                          <w14:schemeClr w14:val="tx1"/>
                        </w14:solidFill>
                      </w14:textFill>
                    </w:rPr>
                    <w:t>，</w:t>
                  </w:r>
                  <w:r>
                    <w:rPr>
                      <w:rFonts w:hint="default"/>
                      <w:color w:val="000000" w:themeColor="text1"/>
                      <w:szCs w:val="21"/>
                      <w:highlight w:val="none"/>
                      <w:lang w:val="en-US" w:eastAsia="zh-CN"/>
                      <w14:textFill>
                        <w14:solidFill>
                          <w14:schemeClr w14:val="tx1"/>
                        </w14:solidFill>
                      </w14:textFill>
                    </w:rPr>
                    <w:t>保持厂区地面清洁；</w:t>
                  </w:r>
                </w:p>
                <w:p w14:paraId="0CA64FE1">
                  <w:pPr>
                    <w:jc w:val="left"/>
                    <w:textAlignment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⑤食堂油烟</w:t>
                  </w:r>
                  <w:r>
                    <w:rPr>
                      <w:color w:val="000000" w:themeColor="text1"/>
                      <w:szCs w:val="21"/>
                      <w:highlight w:val="none"/>
                      <w14:textFill>
                        <w14:solidFill>
                          <w14:schemeClr w14:val="tx1"/>
                        </w14:solidFill>
                      </w14:textFill>
                    </w:rPr>
                    <w:t>经油烟净化器处理后通过管道引至</w:t>
                  </w:r>
                  <w:r>
                    <w:rPr>
                      <w:rFonts w:hint="eastAsia"/>
                      <w:color w:val="000000" w:themeColor="text1"/>
                      <w:szCs w:val="21"/>
                      <w:highlight w:val="none"/>
                      <w:lang w:val="en-US" w:eastAsia="zh-CN"/>
                      <w14:textFill>
                        <w14:solidFill>
                          <w14:schemeClr w14:val="tx1"/>
                        </w14:solidFill>
                      </w14:textFill>
                    </w:rPr>
                    <w:t>屋</w:t>
                  </w:r>
                  <w:r>
                    <w:rPr>
                      <w:color w:val="000000" w:themeColor="text1"/>
                      <w:szCs w:val="21"/>
                      <w:highlight w:val="none"/>
                      <w14:textFill>
                        <w14:solidFill>
                          <w14:schemeClr w14:val="tx1"/>
                        </w14:solidFill>
                      </w14:textFill>
                    </w:rPr>
                    <w:t>顶部排放</w:t>
                  </w:r>
                  <w:r>
                    <w:rPr>
                      <w:rFonts w:hint="eastAsia"/>
                      <w:color w:val="000000" w:themeColor="text1"/>
                      <w:szCs w:val="21"/>
                      <w:highlight w:val="none"/>
                      <w:lang w:eastAsia="zh-CN"/>
                      <w14:textFill>
                        <w14:solidFill>
                          <w14:schemeClr w14:val="tx1"/>
                        </w14:solidFill>
                      </w14:textFill>
                    </w:rPr>
                    <w:t>。</w:t>
                  </w:r>
                </w:p>
              </w:tc>
              <w:tc>
                <w:tcPr>
                  <w:tcW w:w="1146" w:type="dxa"/>
                  <w:tcBorders>
                    <w:tl2br w:val="nil"/>
                    <w:tr2bl w:val="nil"/>
                  </w:tcBorders>
                  <w:vAlign w:val="center"/>
                </w:tcPr>
                <w:p w14:paraId="2176B5B9">
                  <w:pPr>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r>
            <w:tr w14:paraId="58886B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4" w:type="dxa"/>
                  <w:vMerge w:val="continue"/>
                  <w:tcBorders>
                    <w:tl2br w:val="nil"/>
                    <w:tr2bl w:val="nil"/>
                  </w:tcBorders>
                  <w:vAlign w:val="center"/>
                </w:tcPr>
                <w:p w14:paraId="325DE573">
                  <w:pPr>
                    <w:jc w:val="center"/>
                    <w:rPr>
                      <w:color w:val="000000" w:themeColor="text1"/>
                      <w:szCs w:val="21"/>
                      <w:highlight w:val="yellow"/>
                      <w14:textFill>
                        <w14:solidFill>
                          <w14:schemeClr w14:val="tx1"/>
                        </w14:solidFill>
                      </w14:textFill>
                    </w:rPr>
                  </w:pPr>
                </w:p>
              </w:tc>
              <w:tc>
                <w:tcPr>
                  <w:tcW w:w="1254" w:type="dxa"/>
                  <w:tcBorders>
                    <w:tl2br w:val="nil"/>
                    <w:tr2bl w:val="nil"/>
                  </w:tcBorders>
                  <w:vAlign w:val="center"/>
                </w:tcPr>
                <w:p w14:paraId="590C9E7E">
                  <w:pPr>
                    <w:spacing w:line="0" w:lineRule="atLeast"/>
                    <w:jc w:val="center"/>
                    <w:rPr>
                      <w:rFonts w:hint="eastAsia" w:eastAsia="宋体"/>
                      <w:color w:val="000000" w:themeColor="text1"/>
                      <w:szCs w:val="21"/>
                      <w:highlight w:val="yellow"/>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固体废物</w:t>
                  </w:r>
                </w:p>
              </w:tc>
              <w:tc>
                <w:tcPr>
                  <w:tcW w:w="5302" w:type="dxa"/>
                  <w:tcBorders>
                    <w:tl2br w:val="nil"/>
                    <w:tr2bl w:val="nil"/>
                  </w:tcBorders>
                  <w:vAlign w:val="center"/>
                </w:tcPr>
                <w:p w14:paraId="61A1509B">
                  <w:pPr>
                    <w:autoSpaceDE w:val="0"/>
                    <w:autoSpaceDN w:val="0"/>
                    <w:adjustRightInd w:val="0"/>
                    <w:snapToGrid w:val="0"/>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①</w:t>
                  </w:r>
                  <w:r>
                    <w:rPr>
                      <w:rFonts w:hint="default"/>
                      <w:color w:val="000000" w:themeColor="text1"/>
                      <w:szCs w:val="21"/>
                      <w:highlight w:val="none"/>
                      <w:lang w:val="en-US" w:eastAsia="zh-CN"/>
                      <w14:textFill>
                        <w14:solidFill>
                          <w14:schemeClr w14:val="tx1"/>
                        </w14:solidFill>
                      </w14:textFill>
                    </w:rPr>
                    <w:t>生活垃圾分类收集，定期</w:t>
                  </w:r>
                  <w:r>
                    <w:rPr>
                      <w:rFonts w:hint="eastAsia"/>
                      <w:color w:val="000000" w:themeColor="text1"/>
                      <w:szCs w:val="21"/>
                      <w:highlight w:val="none"/>
                      <w:lang w:val="en-US" w:eastAsia="zh-CN"/>
                      <w14:textFill>
                        <w14:solidFill>
                          <w14:schemeClr w14:val="tx1"/>
                        </w14:solidFill>
                      </w14:textFill>
                    </w:rPr>
                    <w:t>按照</w:t>
                  </w:r>
                  <w:r>
                    <w:rPr>
                      <w:rFonts w:hint="default"/>
                      <w:color w:val="000000" w:themeColor="text1"/>
                      <w:szCs w:val="21"/>
                      <w:highlight w:val="none"/>
                      <w:lang w:val="en-US" w:eastAsia="zh-CN"/>
                      <w14:textFill>
                        <w14:solidFill>
                          <w14:schemeClr w14:val="tx1"/>
                        </w14:solidFill>
                      </w14:textFill>
                    </w:rPr>
                    <w:t>市政环卫部门</w:t>
                  </w:r>
                  <w:r>
                    <w:rPr>
                      <w:rFonts w:hint="eastAsia"/>
                      <w:color w:val="000000" w:themeColor="text1"/>
                      <w:szCs w:val="21"/>
                      <w:highlight w:val="none"/>
                      <w:lang w:val="en-US" w:eastAsia="zh-CN"/>
                      <w14:textFill>
                        <w14:solidFill>
                          <w14:schemeClr w14:val="tx1"/>
                        </w14:solidFill>
                      </w14:textFill>
                    </w:rPr>
                    <w:t>要求</w:t>
                  </w:r>
                  <w:r>
                    <w:rPr>
                      <w:rFonts w:hint="default"/>
                      <w:color w:val="000000" w:themeColor="text1"/>
                      <w:szCs w:val="21"/>
                      <w:highlight w:val="none"/>
                      <w:lang w:val="en-US" w:eastAsia="zh-CN"/>
                      <w14:textFill>
                        <w14:solidFill>
                          <w14:schemeClr w14:val="tx1"/>
                        </w14:solidFill>
                      </w14:textFill>
                    </w:rPr>
                    <w:t>统一处理；</w:t>
                  </w:r>
                </w:p>
                <w:p w14:paraId="4DC762FD">
                  <w:pPr>
                    <w:autoSpaceDE w:val="0"/>
                    <w:autoSpaceDN w:val="0"/>
                    <w:adjustRightInd w:val="0"/>
                    <w:snapToGrid w:val="0"/>
                    <w:rPr>
                      <w:rFonts w:hint="eastAsia"/>
                      <w:color w:val="FF0000"/>
                      <w:szCs w:val="21"/>
                      <w:highlight w:val="none"/>
                      <w:lang w:val="en-US" w:eastAsia="zh-CN"/>
                    </w:rPr>
                  </w:pPr>
                  <w:r>
                    <w:rPr>
                      <w:rFonts w:hint="eastAsia"/>
                      <w:color w:val="FF0000"/>
                      <w:szCs w:val="21"/>
                      <w:highlight w:val="none"/>
                      <w:lang w:val="en-US" w:eastAsia="zh-CN"/>
                    </w:rPr>
                    <w:t>②废油脂统一收集，送有资质的餐厨垃圾处理单位处置；</w:t>
                  </w:r>
                </w:p>
                <w:p w14:paraId="47E93865">
                  <w:pPr>
                    <w:autoSpaceDE w:val="0"/>
                    <w:autoSpaceDN w:val="0"/>
                    <w:adjustRightInd w:val="0"/>
                    <w:snapToGrid w:val="0"/>
                    <w:rPr>
                      <w:rFonts w:hint="eastAsia"/>
                      <w:color w:val="000000" w:themeColor="text1"/>
                      <w:szCs w:val="21"/>
                      <w:highlight w:val="none"/>
                      <w:lang w:val="en-US" w:eastAsia="zh-CN"/>
                      <w14:textFill>
                        <w14:solidFill>
                          <w14:schemeClr w14:val="tx1"/>
                        </w14:solidFill>
                      </w14:textFill>
                    </w:rPr>
                  </w:pPr>
                  <w:r>
                    <w:rPr>
                      <w:rFonts w:hint="eastAsia"/>
                      <w:color w:val="FF0000"/>
                      <w:szCs w:val="21"/>
                      <w:highlight w:val="none"/>
                      <w:lang w:val="en-US" w:eastAsia="zh-CN"/>
                    </w:rPr>
                    <w:t>③</w:t>
                  </w:r>
                  <w:r>
                    <w:rPr>
                      <w:rFonts w:hint="eastAsia"/>
                      <w:color w:val="000000" w:themeColor="text1"/>
                      <w:szCs w:val="21"/>
                      <w:highlight w:val="none"/>
                      <w:lang w:val="en-US" w:eastAsia="zh-CN"/>
                      <w14:textFill>
                        <w14:solidFill>
                          <w14:schemeClr w14:val="tx1"/>
                        </w14:solidFill>
                      </w14:textFill>
                    </w:rPr>
                    <w:t>矸石用于集贤矿的井下回填以及填充东荣二矿和东荣三矿的沉陷区；</w:t>
                  </w:r>
                </w:p>
                <w:p w14:paraId="45A6244A">
                  <w:pPr>
                    <w:autoSpaceDE w:val="0"/>
                    <w:autoSpaceDN w:val="0"/>
                    <w:adjustRightInd w:val="0"/>
                    <w:snapToGrid w:val="0"/>
                    <w:rPr>
                      <w:rFonts w:hint="default"/>
                      <w:color w:val="FF0000"/>
                      <w:szCs w:val="21"/>
                      <w:highlight w:val="none"/>
                      <w:lang w:val="en-US" w:eastAsia="zh-CN"/>
                    </w:rPr>
                  </w:pPr>
                  <w:r>
                    <w:rPr>
                      <w:rFonts w:hint="eastAsia"/>
                      <w:color w:val="000000" w:themeColor="text1"/>
                      <w:szCs w:val="21"/>
                      <w:highlight w:val="none"/>
                      <w:lang w:val="en-US" w:eastAsia="zh-CN"/>
                      <w14:textFill>
                        <w14:solidFill>
                          <w14:schemeClr w14:val="tx1"/>
                        </w14:solidFill>
                      </w14:textFill>
                    </w:rPr>
                    <w:t>④</w:t>
                  </w:r>
                  <w:r>
                    <w:rPr>
                      <w:rFonts w:hint="eastAsia"/>
                      <w:color w:val="FF0000"/>
                      <w:szCs w:val="21"/>
                      <w:highlight w:val="none"/>
                      <w:lang w:val="en-US" w:eastAsia="zh-CN"/>
                    </w:rPr>
                    <w:t>煤泥日产日清，</w:t>
                  </w:r>
                  <w:r>
                    <w:rPr>
                      <w:rFonts w:hint="default"/>
                      <w:color w:val="FF0000"/>
                      <w:szCs w:val="21"/>
                      <w:highlight w:val="none"/>
                      <w:lang w:val="en-US" w:eastAsia="zh-CN"/>
                    </w:rPr>
                    <w:t>冬季直接运往虹焱热电，夏季外售给大唐双鸭山热电有限公司</w:t>
                  </w:r>
                  <w:r>
                    <w:rPr>
                      <w:rFonts w:hint="eastAsia"/>
                      <w:color w:val="FF0000"/>
                      <w:szCs w:val="21"/>
                      <w:highlight w:val="none"/>
                      <w:lang w:val="en-US" w:eastAsia="zh-CN"/>
                    </w:rPr>
                    <w:t>，全部综合利用</w:t>
                  </w:r>
                  <w:r>
                    <w:rPr>
                      <w:rFonts w:hint="default"/>
                      <w:color w:val="FF0000"/>
                      <w:szCs w:val="21"/>
                      <w:highlight w:val="none"/>
                      <w:lang w:val="en-US" w:eastAsia="zh-CN"/>
                    </w:rPr>
                    <w:t>；</w:t>
                  </w:r>
                  <w:r>
                    <w:rPr>
                      <w:rFonts w:hint="eastAsia"/>
                      <w:color w:val="FF0000"/>
                      <w:szCs w:val="21"/>
                      <w:highlight w:val="none"/>
                      <w:lang w:val="en-US" w:eastAsia="zh-CN"/>
                    </w:rPr>
                    <w:t>循环水池清掏的煤泥外售综合利用；</w:t>
                  </w:r>
                </w:p>
                <w:p w14:paraId="3B4F5204">
                  <w:pPr>
                    <w:autoSpaceDE w:val="0"/>
                    <w:autoSpaceDN w:val="0"/>
                    <w:adjustRightInd w:val="0"/>
                    <w:snapToGrid w:val="0"/>
                    <w:rPr>
                      <w:rFonts w:hint="default"/>
                      <w:color w:val="FF0000"/>
                      <w:szCs w:val="21"/>
                      <w:highlight w:val="green"/>
                      <w:lang w:val="en-US" w:eastAsia="zh-CN"/>
                    </w:rPr>
                  </w:pPr>
                  <w:r>
                    <w:rPr>
                      <w:rFonts w:hint="eastAsia"/>
                      <w:color w:val="FF0000"/>
                      <w:szCs w:val="21"/>
                      <w:highlight w:val="green"/>
                      <w:lang w:val="en-US" w:eastAsia="zh-CN"/>
                    </w:rPr>
                    <w:t>⑤化验室试验后灰渣产生量较少，与矸石一同综合利用；</w:t>
                  </w:r>
                </w:p>
                <w:p w14:paraId="4A25B588">
                  <w:pPr>
                    <w:autoSpaceDE w:val="0"/>
                    <w:autoSpaceDN w:val="0"/>
                    <w:adjustRightInd w:val="0"/>
                    <w:snapToGrid w:val="0"/>
                    <w:rPr>
                      <w:bCs/>
                      <w:color w:val="000000" w:themeColor="text1"/>
                      <w:szCs w:val="21"/>
                      <w:highlight w:val="yellow"/>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⑥</w:t>
                  </w:r>
                  <w:r>
                    <w:rPr>
                      <w:rFonts w:hint="default"/>
                      <w:color w:val="000000" w:themeColor="text1"/>
                      <w:szCs w:val="21"/>
                      <w:highlight w:val="none"/>
                      <w:lang w:val="en-US" w:eastAsia="zh-CN"/>
                      <w14:textFill>
                        <w14:solidFill>
                          <w14:schemeClr w14:val="tx1"/>
                        </w14:solidFill>
                      </w14:textFill>
                    </w:rPr>
                    <w:t>废机油</w:t>
                  </w:r>
                  <w:r>
                    <w:rPr>
                      <w:rFonts w:hint="eastAsia"/>
                      <w:color w:val="000000" w:themeColor="text1"/>
                      <w:szCs w:val="21"/>
                      <w:highlight w:val="none"/>
                      <w:lang w:val="en-US" w:eastAsia="zh-CN"/>
                      <w14:textFill>
                        <w14:solidFill>
                          <w14:schemeClr w14:val="tx1"/>
                        </w14:solidFill>
                      </w14:textFill>
                    </w:rPr>
                    <w:t>、废油桶分区暂存于现有危险废物贮存点</w:t>
                  </w:r>
                  <w:r>
                    <w:rPr>
                      <w:rFonts w:hint="default"/>
                      <w:color w:val="000000" w:themeColor="text1"/>
                      <w:szCs w:val="21"/>
                      <w:highlight w:val="none"/>
                      <w:lang w:val="en-US" w:eastAsia="zh-CN"/>
                      <w14:textFill>
                        <w14:solidFill>
                          <w14:schemeClr w14:val="tx1"/>
                        </w14:solidFill>
                      </w14:textFill>
                    </w:rPr>
                    <w:t>，定期委托有资质单位处置</w:t>
                  </w:r>
                  <w:r>
                    <w:rPr>
                      <w:rFonts w:hint="eastAsia"/>
                      <w:color w:val="000000" w:themeColor="text1"/>
                      <w:szCs w:val="21"/>
                      <w:highlight w:val="none"/>
                      <w:lang w:val="en-US" w:eastAsia="zh-CN"/>
                      <w14:textFill>
                        <w14:solidFill>
                          <w14:schemeClr w14:val="tx1"/>
                        </w14:solidFill>
                      </w14:textFill>
                    </w:rPr>
                    <w:t>。</w:t>
                  </w:r>
                </w:p>
              </w:tc>
              <w:tc>
                <w:tcPr>
                  <w:tcW w:w="1146" w:type="dxa"/>
                  <w:tcBorders>
                    <w:tl2br w:val="nil"/>
                    <w:tr2bl w:val="nil"/>
                  </w:tcBorders>
                  <w:vAlign w:val="center"/>
                </w:tcPr>
                <w:p w14:paraId="6342CC50">
                  <w:pPr>
                    <w:jc w:val="center"/>
                    <w:rPr>
                      <w:rFonts w:hint="eastAsia" w:ascii="Times New Roman" w:hAnsi="Times New Roman" w:eastAsia="宋体" w:cs="Times New Roman"/>
                      <w:color w:val="000000" w:themeColor="text1"/>
                      <w:kern w:val="2"/>
                      <w:sz w:val="21"/>
                      <w:szCs w:val="21"/>
                      <w:highlight w:val="yellow"/>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r>
            <w:tr w14:paraId="6C2686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4" w:type="dxa"/>
                  <w:tcBorders>
                    <w:tl2br w:val="nil"/>
                    <w:tr2bl w:val="nil"/>
                  </w:tcBorders>
                  <w:vAlign w:val="center"/>
                </w:tcPr>
                <w:p w14:paraId="542B4D01">
                  <w:pPr>
                    <w:jc w:val="center"/>
                    <w:rPr>
                      <w:rFonts w:hint="default" w:eastAsia="宋体"/>
                      <w:color w:val="000000" w:themeColor="text1"/>
                      <w:szCs w:val="21"/>
                      <w:highlight w:val="yellow"/>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依托工程</w:t>
                  </w:r>
                </w:p>
              </w:tc>
              <w:tc>
                <w:tcPr>
                  <w:tcW w:w="1254" w:type="dxa"/>
                  <w:tcBorders>
                    <w:tl2br w:val="nil"/>
                    <w:tr2bl w:val="nil"/>
                  </w:tcBorders>
                  <w:vAlign w:val="center"/>
                </w:tcPr>
                <w:p w14:paraId="3E7D413E">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排水</w:t>
                  </w:r>
                </w:p>
              </w:tc>
              <w:tc>
                <w:tcPr>
                  <w:tcW w:w="5302" w:type="dxa"/>
                  <w:tcBorders>
                    <w:tl2br w:val="nil"/>
                    <w:tr2bl w:val="nil"/>
                  </w:tcBorders>
                  <w:vAlign w:val="center"/>
                </w:tcPr>
                <w:p w14:paraId="551FA814">
                  <w:pPr>
                    <w:autoSpaceDE w:val="0"/>
                    <w:autoSpaceDN w:val="0"/>
                    <w:adjustRightInd w:val="0"/>
                    <w:snapToGrid w:val="0"/>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本项目生活污水排入市政管网，进入双鸭山市城市污水处理厂，双鸭山市城市污水处理厂设计处理能力为10万m</w:t>
                  </w:r>
                  <w:r>
                    <w:rPr>
                      <w:rFonts w:hint="eastAsia"/>
                      <w:color w:val="000000" w:themeColor="text1"/>
                      <w:szCs w:val="21"/>
                      <w:highlight w:val="none"/>
                      <w:vertAlign w:val="superscript"/>
                      <w:lang w:val="en-US" w:eastAsia="zh-CN"/>
                      <w14:textFill>
                        <w14:solidFill>
                          <w14:schemeClr w14:val="tx1"/>
                        </w14:solidFill>
                      </w14:textFill>
                    </w:rPr>
                    <w:t>3</w:t>
                  </w:r>
                  <w:r>
                    <w:rPr>
                      <w:rFonts w:hint="eastAsia"/>
                      <w:color w:val="000000" w:themeColor="text1"/>
                      <w:szCs w:val="21"/>
                      <w:highlight w:val="none"/>
                      <w:lang w:val="en-US" w:eastAsia="zh-CN"/>
                      <w14:textFill>
                        <w14:solidFill>
                          <w14:schemeClr w14:val="tx1"/>
                        </w14:solidFill>
                      </w14:textFill>
                    </w:rPr>
                    <w:t>/d，目前处理量约为8万m</w:t>
                  </w:r>
                  <w:r>
                    <w:rPr>
                      <w:rFonts w:hint="eastAsia"/>
                      <w:color w:val="000000" w:themeColor="text1"/>
                      <w:szCs w:val="21"/>
                      <w:highlight w:val="none"/>
                      <w:vertAlign w:val="superscript"/>
                      <w:lang w:val="en-US" w:eastAsia="zh-CN"/>
                      <w14:textFill>
                        <w14:solidFill>
                          <w14:schemeClr w14:val="tx1"/>
                        </w14:solidFill>
                      </w14:textFill>
                    </w:rPr>
                    <w:t>3</w:t>
                  </w:r>
                  <w:r>
                    <w:rPr>
                      <w:rFonts w:hint="eastAsia"/>
                      <w:color w:val="000000" w:themeColor="text1"/>
                      <w:szCs w:val="21"/>
                      <w:highlight w:val="none"/>
                      <w:lang w:val="en-US" w:eastAsia="zh-CN"/>
                      <w14:textFill>
                        <w14:solidFill>
                          <w14:schemeClr w14:val="tx1"/>
                        </w14:solidFill>
                      </w14:textFill>
                    </w:rPr>
                    <w:t>/d，主体工艺采用A</w:t>
                  </w:r>
                  <w:r>
                    <w:rPr>
                      <w:rFonts w:hint="eastAsia"/>
                      <w:color w:val="000000" w:themeColor="text1"/>
                      <w:szCs w:val="21"/>
                      <w:highlight w:val="none"/>
                      <w:vertAlign w:val="superscript"/>
                      <w:lang w:val="en-US" w:eastAsia="zh-CN"/>
                      <w14:textFill>
                        <w14:solidFill>
                          <w14:schemeClr w14:val="tx1"/>
                        </w14:solidFill>
                      </w14:textFill>
                    </w:rPr>
                    <w:t>2</w:t>
                  </w:r>
                  <w:r>
                    <w:rPr>
                      <w:rFonts w:hint="eastAsia"/>
                      <w:color w:val="000000" w:themeColor="text1"/>
                      <w:szCs w:val="21"/>
                      <w:highlight w:val="none"/>
                      <w:lang w:val="en-US" w:eastAsia="zh-CN"/>
                      <w14:textFill>
                        <w14:solidFill>
                          <w14:schemeClr w14:val="tx1"/>
                        </w14:solidFill>
                      </w14:textFill>
                    </w:rPr>
                    <w:t>/O。污水经处理后达到《城镇污水处理厂污染物排放标准》（GB18918-2002）一级A标准，排入安邦河。目前双鸭山市城市污水处理厂运行稳定。</w:t>
                  </w:r>
                </w:p>
              </w:tc>
              <w:tc>
                <w:tcPr>
                  <w:tcW w:w="1146" w:type="dxa"/>
                  <w:tcBorders>
                    <w:tl2br w:val="nil"/>
                    <w:tr2bl w:val="nil"/>
                  </w:tcBorders>
                  <w:vAlign w:val="center"/>
                </w:tcPr>
                <w:p w14:paraId="2A51148B">
                  <w:pPr>
                    <w:jc w:val="center"/>
                    <w:rPr>
                      <w:rFonts w:hint="default"/>
                      <w:color w:val="000000" w:themeColor="text1"/>
                      <w:szCs w:val="21"/>
                      <w:highlight w:val="none"/>
                      <w:lang w:val="en-US"/>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依托可行</w:t>
                  </w:r>
                </w:p>
              </w:tc>
            </w:tr>
          </w:tbl>
          <w:p w14:paraId="257CE05B">
            <w:pPr>
              <w:spacing w:line="360" w:lineRule="auto"/>
              <w:ind w:firstLine="482" w:firstLineChars="200"/>
              <w:rPr>
                <w:rFonts w:hint="eastAsia" w:ascii="Times New Roman" w:hAnsi="Times New Roman" w:eastAsia="宋体" w:cs="Times New Roman"/>
                <w:b/>
                <w:bCs/>
                <w:color w:val="000000" w:themeColor="text1"/>
                <w:sz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lang w:val="en-US" w:eastAsia="zh-CN"/>
                <w14:textFill>
                  <w14:solidFill>
                    <w14:schemeClr w14:val="tx1"/>
                  </w14:solidFill>
                </w14:textFill>
              </w:rPr>
              <w:t>3、主要生产设备</w:t>
            </w:r>
          </w:p>
          <w:p w14:paraId="03C30656">
            <w:pPr>
              <w:tabs>
                <w:tab w:val="left" w:pos="6480"/>
              </w:tabs>
              <w:spacing w:line="360" w:lineRule="auto"/>
              <w:ind w:firstLine="480" w:firstLineChars="200"/>
              <w:rPr>
                <w:rFonts w:hint="eastAsia" w:eastAsia="宋体"/>
                <w:color w:val="000000" w:themeColor="text1"/>
                <w:sz w:val="24"/>
                <w:lang w:val="en-US" w:eastAsia="zh-CN"/>
                <w14:textFill>
                  <w14:solidFill>
                    <w14:schemeClr w14:val="tx1"/>
                  </w14:solidFill>
                </w14:textFill>
              </w:rPr>
            </w:pPr>
            <w:r>
              <w:rPr>
                <w:color w:val="000000" w:themeColor="text1"/>
                <w:sz w:val="24"/>
                <w14:textFill>
                  <w14:solidFill>
                    <w14:schemeClr w14:val="tx1"/>
                  </w14:solidFill>
                </w14:textFill>
              </w:rPr>
              <w:t>本项目主要生产设备详见表2-</w:t>
            </w:r>
            <w:r>
              <w:rPr>
                <w:rFonts w:hint="eastAsia"/>
                <w:color w:val="000000" w:themeColor="text1"/>
                <w:sz w:val="24"/>
                <w:lang w:val="en-US" w:eastAsia="zh-CN"/>
                <w14:textFill>
                  <w14:solidFill>
                    <w14:schemeClr w14:val="tx1"/>
                  </w14:solidFill>
                </w14:textFill>
              </w:rPr>
              <w:t>2</w:t>
            </w: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 xml:space="preserve"> </w:t>
            </w:r>
          </w:p>
          <w:p w14:paraId="1B9DC604">
            <w:pPr>
              <w:spacing w:line="360" w:lineRule="auto"/>
              <w:jc w:val="center"/>
              <w:rPr>
                <w:color w:val="000000" w:themeColor="text1"/>
                <w:sz w:val="24"/>
                <w14:textFill>
                  <w14:solidFill>
                    <w14:schemeClr w14:val="tx1"/>
                  </w14:solidFill>
                </w14:textFill>
              </w:rPr>
            </w:pPr>
            <w:r>
              <w:rPr>
                <w:b/>
                <w:color w:val="000000" w:themeColor="text1"/>
                <w:sz w:val="24"/>
                <w14:textFill>
                  <w14:solidFill>
                    <w14:schemeClr w14:val="tx1"/>
                  </w14:solidFill>
                </w14:textFill>
              </w:rPr>
              <w:t>表2-</w:t>
            </w:r>
            <w:r>
              <w:rPr>
                <w:rFonts w:hint="eastAsia"/>
                <w:b/>
                <w:color w:val="000000" w:themeColor="text1"/>
                <w:sz w:val="24"/>
                <w:lang w:val="en-US" w:eastAsia="zh-CN"/>
                <w14:textFill>
                  <w14:solidFill>
                    <w14:schemeClr w14:val="tx1"/>
                  </w14:solidFill>
                </w14:textFill>
              </w:rPr>
              <w:t>2</w:t>
            </w:r>
            <w:r>
              <w:rPr>
                <w:b/>
                <w:color w:val="000000" w:themeColor="text1"/>
                <w:sz w:val="24"/>
                <w14:textFill>
                  <w14:solidFill>
                    <w14:schemeClr w14:val="tx1"/>
                  </w14:solidFill>
                </w14:textFill>
              </w:rPr>
              <w:t xml:space="preserve"> 主要生产设备一览表</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68"/>
              <w:gridCol w:w="2584"/>
              <w:gridCol w:w="2460"/>
              <w:gridCol w:w="1976"/>
            </w:tblGrid>
            <w:tr w14:paraId="607E5B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815" w:type="pct"/>
                  <w:tcBorders>
                    <w:tl2br w:val="nil"/>
                    <w:tr2bl w:val="nil"/>
                  </w:tcBorders>
                  <w:vAlign w:val="center"/>
                </w:tcPr>
                <w:p w14:paraId="6EC09822">
                  <w:pPr>
                    <w:jc w:val="cente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序号</w:t>
                  </w:r>
                </w:p>
              </w:tc>
              <w:tc>
                <w:tcPr>
                  <w:tcW w:w="1540" w:type="pct"/>
                  <w:tcBorders>
                    <w:tl2br w:val="nil"/>
                    <w:tr2bl w:val="nil"/>
                  </w:tcBorders>
                  <w:vAlign w:val="center"/>
                </w:tcPr>
                <w:p w14:paraId="4B406D4E">
                  <w:pPr>
                    <w:jc w:val="cente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设备名称</w:t>
                  </w:r>
                </w:p>
              </w:tc>
              <w:tc>
                <w:tcPr>
                  <w:tcW w:w="1466" w:type="pct"/>
                  <w:tcBorders>
                    <w:tl2br w:val="nil"/>
                    <w:tr2bl w:val="nil"/>
                  </w:tcBorders>
                  <w:vAlign w:val="center"/>
                </w:tcPr>
                <w:p w14:paraId="58B027D4">
                  <w:pPr>
                    <w:jc w:val="cente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设备型号</w:t>
                  </w:r>
                </w:p>
              </w:tc>
              <w:tc>
                <w:tcPr>
                  <w:tcW w:w="1177" w:type="pct"/>
                  <w:tcBorders>
                    <w:tl2br w:val="nil"/>
                    <w:tr2bl w:val="nil"/>
                  </w:tcBorders>
                  <w:vAlign w:val="center"/>
                </w:tcPr>
                <w:p w14:paraId="064F6347">
                  <w:pPr>
                    <w:jc w:val="cente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台/套数</w:t>
                  </w:r>
                </w:p>
              </w:tc>
            </w:tr>
            <w:tr w14:paraId="6170F6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5" w:type="pct"/>
                  <w:tcBorders>
                    <w:tl2br w:val="nil"/>
                    <w:tr2bl w:val="nil"/>
                  </w:tcBorders>
                  <w:vAlign w:val="center"/>
                </w:tcPr>
                <w:p w14:paraId="6C16EDA7">
                  <w:pPr>
                    <w:jc w:val="cente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1</w:t>
                  </w:r>
                </w:p>
              </w:tc>
              <w:tc>
                <w:tcPr>
                  <w:tcW w:w="1540" w:type="pct"/>
                  <w:tcBorders>
                    <w:tl2br w:val="nil"/>
                    <w:tr2bl w:val="nil"/>
                  </w:tcBorders>
                  <w:shd w:val="clear" w:color="auto" w:fill="auto"/>
                  <w:vAlign w:val="center"/>
                </w:tcPr>
                <w:p w14:paraId="35DFC15A">
                  <w:pPr>
                    <w:jc w:val="center"/>
                    <w:rPr>
                      <w:rFonts w:hint="default" w:eastAsia="宋体"/>
                      <w:b w:val="0"/>
                      <w:bCs w:val="0"/>
                      <w:color w:val="000000" w:themeColor="text1"/>
                      <w:lang w:val="en-US" w:eastAsia="zh-CN"/>
                      <w14:textFill>
                        <w14:solidFill>
                          <w14:schemeClr w14:val="tx1"/>
                        </w14:solidFill>
                      </w14:textFill>
                    </w:rPr>
                  </w:pPr>
                  <w:r>
                    <w:rPr>
                      <w:rFonts w:hint="default" w:eastAsia="宋体"/>
                      <w:b w:val="0"/>
                      <w:bCs w:val="0"/>
                      <w:color w:val="000000" w:themeColor="text1"/>
                      <w:lang w:val="en-US" w:eastAsia="zh-CN"/>
                      <w14:textFill>
                        <w14:solidFill>
                          <w14:schemeClr w14:val="tx1"/>
                        </w14:solidFill>
                      </w14:textFill>
                    </w:rPr>
                    <w:t>原煤给料机</w:t>
                  </w:r>
                </w:p>
              </w:tc>
              <w:tc>
                <w:tcPr>
                  <w:tcW w:w="1466" w:type="pct"/>
                  <w:tcBorders>
                    <w:tl2br w:val="nil"/>
                    <w:tr2bl w:val="nil"/>
                  </w:tcBorders>
                  <w:shd w:val="clear" w:color="auto" w:fill="auto"/>
                  <w:vAlign w:val="center"/>
                </w:tcPr>
                <w:p w14:paraId="6F39D444">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TGM-200</w:t>
                  </w:r>
                </w:p>
              </w:tc>
              <w:tc>
                <w:tcPr>
                  <w:tcW w:w="1177" w:type="pct"/>
                  <w:tcBorders>
                    <w:tl2br w:val="nil"/>
                    <w:tr2bl w:val="nil"/>
                  </w:tcBorders>
                  <w:shd w:val="clear" w:color="auto" w:fill="auto"/>
                  <w:vAlign w:val="center"/>
                </w:tcPr>
                <w:p w14:paraId="22883A39">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3</w:t>
                  </w:r>
                </w:p>
              </w:tc>
            </w:tr>
            <w:tr w14:paraId="76C7B4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5" w:type="pct"/>
                  <w:tcBorders>
                    <w:tl2br w:val="nil"/>
                    <w:tr2bl w:val="nil"/>
                  </w:tcBorders>
                  <w:vAlign w:val="center"/>
                </w:tcPr>
                <w:p w14:paraId="15718BBD">
                  <w:pPr>
                    <w:jc w:val="cente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2</w:t>
                  </w:r>
                </w:p>
              </w:tc>
              <w:tc>
                <w:tcPr>
                  <w:tcW w:w="1540" w:type="pct"/>
                  <w:tcBorders>
                    <w:tl2br w:val="nil"/>
                    <w:tr2bl w:val="nil"/>
                  </w:tcBorders>
                  <w:shd w:val="clear" w:color="auto" w:fill="auto"/>
                  <w:vAlign w:val="center"/>
                </w:tcPr>
                <w:p w14:paraId="33FEB6FF">
                  <w:pPr>
                    <w:jc w:val="center"/>
                    <w:rPr>
                      <w:rFonts w:hint="default" w:eastAsia="宋体"/>
                      <w:b w:val="0"/>
                      <w:bCs w:val="0"/>
                      <w:color w:val="000000" w:themeColor="text1"/>
                      <w:lang w:val="en-US" w:eastAsia="zh-CN"/>
                      <w14:textFill>
                        <w14:solidFill>
                          <w14:schemeClr w14:val="tx1"/>
                        </w14:solidFill>
                      </w14:textFill>
                    </w:rPr>
                  </w:pPr>
                  <w:r>
                    <w:rPr>
                      <w:rFonts w:hint="default" w:eastAsia="宋体"/>
                      <w:b w:val="0"/>
                      <w:bCs w:val="0"/>
                      <w:color w:val="000000" w:themeColor="text1"/>
                      <w:lang w:val="en-US" w:eastAsia="zh-CN"/>
                      <w14:textFill>
                        <w14:solidFill>
                          <w14:schemeClr w14:val="tx1"/>
                        </w14:solidFill>
                      </w14:textFill>
                    </w:rPr>
                    <w:t>三产品</w:t>
                  </w:r>
                  <w:r>
                    <w:rPr>
                      <w:rFonts w:hint="eastAsia" w:eastAsia="宋体"/>
                      <w:b w:val="0"/>
                      <w:bCs w:val="0"/>
                      <w:color w:val="000000" w:themeColor="text1"/>
                      <w:lang w:val="en-US" w:eastAsia="zh-CN"/>
                      <w14:textFill>
                        <w14:solidFill>
                          <w14:schemeClr w14:val="tx1"/>
                        </w14:solidFill>
                      </w14:textFill>
                    </w:rPr>
                    <w:t>重</w:t>
                  </w:r>
                  <w:r>
                    <w:rPr>
                      <w:rFonts w:hint="default" w:eastAsia="宋体"/>
                      <w:b w:val="0"/>
                      <w:bCs w:val="0"/>
                      <w:color w:val="000000" w:themeColor="text1"/>
                      <w:lang w:val="en-US" w:eastAsia="zh-CN"/>
                      <w14:textFill>
                        <w14:solidFill>
                          <w14:schemeClr w14:val="tx1"/>
                        </w14:solidFill>
                      </w14:textFill>
                    </w:rPr>
                    <w:t>介旋流器</w:t>
                  </w:r>
                </w:p>
              </w:tc>
              <w:tc>
                <w:tcPr>
                  <w:tcW w:w="1466" w:type="pct"/>
                  <w:tcBorders>
                    <w:tl2br w:val="nil"/>
                    <w:tr2bl w:val="nil"/>
                  </w:tcBorders>
                  <w:shd w:val="clear" w:color="auto" w:fill="auto"/>
                  <w:vAlign w:val="center"/>
                </w:tcPr>
                <w:p w14:paraId="619A83CA">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3GDMC1200/850AI</w:t>
                  </w:r>
                </w:p>
              </w:tc>
              <w:tc>
                <w:tcPr>
                  <w:tcW w:w="1177" w:type="pct"/>
                  <w:tcBorders>
                    <w:tl2br w:val="nil"/>
                    <w:tr2bl w:val="nil"/>
                  </w:tcBorders>
                  <w:shd w:val="clear" w:color="auto" w:fill="auto"/>
                  <w:vAlign w:val="center"/>
                </w:tcPr>
                <w:p w14:paraId="3D589B97">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2</w:t>
                  </w:r>
                </w:p>
              </w:tc>
            </w:tr>
            <w:tr w14:paraId="04725C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5" w:type="pct"/>
                  <w:tcBorders>
                    <w:tl2br w:val="nil"/>
                    <w:tr2bl w:val="nil"/>
                  </w:tcBorders>
                  <w:vAlign w:val="center"/>
                </w:tcPr>
                <w:p w14:paraId="78369D93">
                  <w:pPr>
                    <w:jc w:val="cente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3</w:t>
                  </w:r>
                </w:p>
              </w:tc>
              <w:tc>
                <w:tcPr>
                  <w:tcW w:w="1540" w:type="pct"/>
                  <w:tcBorders>
                    <w:tl2br w:val="nil"/>
                    <w:tr2bl w:val="nil"/>
                  </w:tcBorders>
                  <w:shd w:val="clear" w:color="auto" w:fill="auto"/>
                  <w:vAlign w:val="center"/>
                </w:tcPr>
                <w:p w14:paraId="22E4F811">
                  <w:pPr>
                    <w:jc w:val="center"/>
                    <w:rPr>
                      <w:rFonts w:hint="default" w:eastAsia="宋体"/>
                      <w:b w:val="0"/>
                      <w:bCs w:val="0"/>
                      <w:color w:val="000000" w:themeColor="text1"/>
                      <w:lang w:val="en-US" w:eastAsia="zh-CN"/>
                      <w14:textFill>
                        <w14:solidFill>
                          <w14:schemeClr w14:val="tx1"/>
                        </w14:solidFill>
                      </w14:textFill>
                    </w:rPr>
                  </w:pPr>
                  <w:r>
                    <w:rPr>
                      <w:rFonts w:hint="default" w:eastAsia="宋体"/>
                      <w:b w:val="0"/>
                      <w:bCs w:val="0"/>
                      <w:color w:val="000000" w:themeColor="text1"/>
                      <w:lang w:val="en-US" w:eastAsia="zh-CN"/>
                      <w14:textFill>
                        <w14:solidFill>
                          <w14:schemeClr w14:val="tx1"/>
                        </w14:solidFill>
                      </w14:textFill>
                    </w:rPr>
                    <w:t>精煤脱介筛</w:t>
                  </w:r>
                </w:p>
              </w:tc>
              <w:tc>
                <w:tcPr>
                  <w:tcW w:w="1466" w:type="pct"/>
                  <w:tcBorders>
                    <w:tl2br w:val="nil"/>
                    <w:tr2bl w:val="nil"/>
                  </w:tcBorders>
                  <w:shd w:val="clear" w:color="auto" w:fill="auto"/>
                  <w:vAlign w:val="center"/>
                </w:tcPr>
                <w:p w14:paraId="09311ABA">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DZK3642q2c-AT</w:t>
                  </w:r>
                </w:p>
              </w:tc>
              <w:tc>
                <w:tcPr>
                  <w:tcW w:w="1177" w:type="pct"/>
                  <w:tcBorders>
                    <w:tl2br w:val="nil"/>
                    <w:tr2bl w:val="nil"/>
                  </w:tcBorders>
                  <w:shd w:val="clear" w:color="auto" w:fill="auto"/>
                  <w:vAlign w:val="center"/>
                </w:tcPr>
                <w:p w14:paraId="39E0F4C1">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6</w:t>
                  </w:r>
                </w:p>
              </w:tc>
            </w:tr>
            <w:tr w14:paraId="1BB35D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5" w:type="pct"/>
                  <w:tcBorders>
                    <w:tl2br w:val="nil"/>
                    <w:tr2bl w:val="nil"/>
                  </w:tcBorders>
                  <w:vAlign w:val="center"/>
                </w:tcPr>
                <w:p w14:paraId="38DA8205">
                  <w:pPr>
                    <w:jc w:val="cente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4</w:t>
                  </w:r>
                </w:p>
              </w:tc>
              <w:tc>
                <w:tcPr>
                  <w:tcW w:w="1540" w:type="pct"/>
                  <w:tcBorders>
                    <w:tl2br w:val="nil"/>
                    <w:tr2bl w:val="nil"/>
                  </w:tcBorders>
                  <w:shd w:val="clear" w:color="auto" w:fill="auto"/>
                  <w:vAlign w:val="center"/>
                </w:tcPr>
                <w:p w14:paraId="38894382">
                  <w:pPr>
                    <w:jc w:val="center"/>
                    <w:rPr>
                      <w:rFonts w:hint="default" w:eastAsia="宋体"/>
                      <w:b w:val="0"/>
                      <w:bCs w:val="0"/>
                      <w:color w:val="000000" w:themeColor="text1"/>
                      <w:lang w:val="en-US" w:eastAsia="zh-CN"/>
                      <w14:textFill>
                        <w14:solidFill>
                          <w14:schemeClr w14:val="tx1"/>
                        </w14:solidFill>
                      </w14:textFill>
                    </w:rPr>
                  </w:pPr>
                  <w:r>
                    <w:rPr>
                      <w:rFonts w:hint="default" w:eastAsia="宋体"/>
                      <w:b w:val="0"/>
                      <w:bCs w:val="0"/>
                      <w:color w:val="000000" w:themeColor="text1"/>
                      <w:lang w:val="en-US" w:eastAsia="zh-CN"/>
                      <w14:textFill>
                        <w14:solidFill>
                          <w14:schemeClr w14:val="tx1"/>
                        </w14:solidFill>
                      </w14:textFill>
                    </w:rPr>
                    <w:t>中煤脱介筛</w:t>
                  </w:r>
                </w:p>
              </w:tc>
              <w:tc>
                <w:tcPr>
                  <w:tcW w:w="1466" w:type="pct"/>
                  <w:tcBorders>
                    <w:tl2br w:val="nil"/>
                    <w:tr2bl w:val="nil"/>
                  </w:tcBorders>
                  <w:shd w:val="clear" w:color="auto" w:fill="auto"/>
                  <w:vAlign w:val="center"/>
                </w:tcPr>
                <w:p w14:paraId="1228E9BE">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DZK3642q2c-AT</w:t>
                  </w:r>
                </w:p>
              </w:tc>
              <w:tc>
                <w:tcPr>
                  <w:tcW w:w="1177" w:type="pct"/>
                  <w:tcBorders>
                    <w:tl2br w:val="nil"/>
                    <w:tr2bl w:val="nil"/>
                  </w:tcBorders>
                  <w:shd w:val="clear" w:color="auto" w:fill="auto"/>
                  <w:vAlign w:val="center"/>
                </w:tcPr>
                <w:p w14:paraId="65E15ABA">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2</w:t>
                  </w:r>
                </w:p>
              </w:tc>
            </w:tr>
            <w:tr w14:paraId="6D0D94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5" w:type="pct"/>
                  <w:tcBorders>
                    <w:tl2br w:val="nil"/>
                    <w:tr2bl w:val="nil"/>
                  </w:tcBorders>
                  <w:vAlign w:val="center"/>
                </w:tcPr>
                <w:p w14:paraId="3DC36CAA">
                  <w:pPr>
                    <w:jc w:val="cente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5</w:t>
                  </w:r>
                </w:p>
              </w:tc>
              <w:tc>
                <w:tcPr>
                  <w:tcW w:w="1540" w:type="pct"/>
                  <w:tcBorders>
                    <w:tl2br w:val="nil"/>
                    <w:tr2bl w:val="nil"/>
                  </w:tcBorders>
                  <w:shd w:val="clear" w:color="auto" w:fill="auto"/>
                  <w:vAlign w:val="center"/>
                </w:tcPr>
                <w:p w14:paraId="24FB6622">
                  <w:pPr>
                    <w:jc w:val="center"/>
                    <w:rPr>
                      <w:rFonts w:hint="default" w:eastAsia="宋体"/>
                      <w:b w:val="0"/>
                      <w:bCs w:val="0"/>
                      <w:color w:val="000000" w:themeColor="text1"/>
                      <w:lang w:val="en-US" w:eastAsia="zh-CN"/>
                      <w14:textFill>
                        <w14:solidFill>
                          <w14:schemeClr w14:val="tx1"/>
                        </w14:solidFill>
                      </w14:textFill>
                    </w:rPr>
                  </w:pPr>
                  <w:r>
                    <w:rPr>
                      <w:rFonts w:hint="default" w:eastAsia="宋体"/>
                      <w:b w:val="0"/>
                      <w:bCs w:val="0"/>
                      <w:color w:val="000000" w:themeColor="text1"/>
                      <w:lang w:val="en-US" w:eastAsia="zh-CN"/>
                      <w14:textFill>
                        <w14:solidFill>
                          <w14:schemeClr w14:val="tx1"/>
                        </w14:solidFill>
                      </w14:textFill>
                    </w:rPr>
                    <w:t>矸石脱介筛</w:t>
                  </w:r>
                </w:p>
              </w:tc>
              <w:tc>
                <w:tcPr>
                  <w:tcW w:w="1466" w:type="pct"/>
                  <w:tcBorders>
                    <w:tl2br w:val="nil"/>
                    <w:tr2bl w:val="nil"/>
                  </w:tcBorders>
                  <w:shd w:val="clear" w:color="auto" w:fill="auto"/>
                  <w:vAlign w:val="center"/>
                </w:tcPr>
                <w:p w14:paraId="31D21BD8">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ZKK3036A-AT,</w:t>
                  </w:r>
                  <w:r>
                    <w:rPr>
                      <w:rFonts w:hint="default" w:eastAsia="宋体"/>
                      <w:b w:val="0"/>
                      <w:bCs w:val="0"/>
                      <w:color w:val="000000" w:themeColor="text1"/>
                      <w:lang w:val="en-US" w:eastAsia="zh-CN"/>
                      <w14:textFill>
                        <w14:solidFill>
                          <w14:schemeClr w14:val="tx1"/>
                        </w14:solidFill>
                      </w14:textFill>
                    </w:rPr>
                    <w:t>δ</w:t>
                  </w:r>
                  <w:r>
                    <w:rPr>
                      <w:rFonts w:hint="eastAsia" w:eastAsia="宋体"/>
                      <w:b w:val="0"/>
                      <w:bCs w:val="0"/>
                      <w:color w:val="000000" w:themeColor="text1"/>
                      <w:lang w:val="en-US" w:eastAsia="zh-CN"/>
                      <w14:textFill>
                        <w14:solidFill>
                          <w14:schemeClr w14:val="tx1"/>
                        </w14:solidFill>
                      </w14:textFill>
                    </w:rPr>
                    <w:t>1-</w:t>
                  </w:r>
                  <w:r>
                    <w:rPr>
                      <w:rFonts w:hint="default" w:eastAsia="宋体"/>
                      <w:b w:val="0"/>
                      <w:bCs w:val="0"/>
                      <w:color w:val="000000" w:themeColor="text1"/>
                      <w:lang w:val="en-US" w:eastAsia="zh-CN"/>
                      <w14:textFill>
                        <w14:solidFill>
                          <w14:schemeClr w14:val="tx1"/>
                        </w14:solidFill>
                      </w14:textFill>
                    </w:rPr>
                    <w:t>δ</w:t>
                  </w:r>
                  <w:r>
                    <w:rPr>
                      <w:rFonts w:hint="eastAsia" w:eastAsia="宋体"/>
                      <w:b w:val="0"/>
                      <w:bCs w:val="0"/>
                      <w:color w:val="000000" w:themeColor="text1"/>
                      <w:lang w:val="en-US" w:eastAsia="zh-CN"/>
                      <w14:textFill>
                        <w14:solidFill>
                          <w14:schemeClr w14:val="tx1"/>
                        </w14:solidFill>
                      </w14:textFill>
                    </w:rPr>
                    <w:t>5=0.5</w:t>
                  </w:r>
                </w:p>
              </w:tc>
              <w:tc>
                <w:tcPr>
                  <w:tcW w:w="1177" w:type="pct"/>
                  <w:tcBorders>
                    <w:tl2br w:val="nil"/>
                    <w:tr2bl w:val="nil"/>
                  </w:tcBorders>
                  <w:shd w:val="clear" w:color="auto" w:fill="auto"/>
                  <w:vAlign w:val="center"/>
                </w:tcPr>
                <w:p w14:paraId="711616DC">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2</w:t>
                  </w:r>
                </w:p>
              </w:tc>
            </w:tr>
            <w:tr w14:paraId="0764AC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5" w:type="pct"/>
                  <w:tcBorders>
                    <w:tl2br w:val="nil"/>
                    <w:tr2bl w:val="nil"/>
                  </w:tcBorders>
                  <w:vAlign w:val="center"/>
                </w:tcPr>
                <w:p w14:paraId="61C12AE2">
                  <w:pPr>
                    <w:jc w:val="both"/>
                    <w:rPr>
                      <w:b w:val="0"/>
                      <w:bCs w:val="0"/>
                      <w:color w:val="000000" w:themeColor="text1"/>
                      <w14:textFill>
                        <w14:solidFill>
                          <w14:schemeClr w14:val="tx1"/>
                        </w14:solidFill>
                      </w14:textFill>
                    </w:rPr>
                  </w:pPr>
                  <w:r>
                    <w:rPr>
                      <w:rFonts w:hint="eastAsia"/>
                      <w:b w:val="0"/>
                      <w:bCs w:val="0"/>
                      <w:color w:val="000000" w:themeColor="text1"/>
                      <w:lang w:val="en-US" w:eastAsia="zh-CN"/>
                      <w14:textFill>
                        <w14:solidFill>
                          <w14:schemeClr w14:val="tx1"/>
                        </w14:solidFill>
                      </w14:textFill>
                    </w:rPr>
                    <w:t xml:space="preserve">     6                                                                                                                                                                            </w:t>
                  </w:r>
                </w:p>
              </w:tc>
              <w:tc>
                <w:tcPr>
                  <w:tcW w:w="1540" w:type="pct"/>
                  <w:tcBorders>
                    <w:tl2br w:val="nil"/>
                    <w:tr2bl w:val="nil"/>
                  </w:tcBorders>
                  <w:shd w:val="clear" w:color="auto" w:fill="auto"/>
                  <w:vAlign w:val="center"/>
                </w:tcPr>
                <w:p w14:paraId="383C0254">
                  <w:pPr>
                    <w:jc w:val="center"/>
                    <w:rPr>
                      <w:rFonts w:hint="default" w:eastAsia="宋体"/>
                      <w:b w:val="0"/>
                      <w:bCs w:val="0"/>
                      <w:color w:val="000000" w:themeColor="text1"/>
                      <w:lang w:val="en-US" w:eastAsia="zh-CN"/>
                      <w14:textFill>
                        <w14:solidFill>
                          <w14:schemeClr w14:val="tx1"/>
                        </w14:solidFill>
                      </w14:textFill>
                    </w:rPr>
                  </w:pPr>
                  <w:r>
                    <w:rPr>
                      <w:rFonts w:hint="default" w:eastAsia="宋体"/>
                      <w:b w:val="0"/>
                      <w:bCs w:val="0"/>
                      <w:color w:val="000000" w:themeColor="text1"/>
                      <w:lang w:val="en-US" w:eastAsia="zh-CN"/>
                      <w14:textFill>
                        <w14:solidFill>
                          <w14:schemeClr w14:val="tx1"/>
                        </w14:solidFill>
                      </w14:textFill>
                    </w:rPr>
                    <w:t>精煤离心机</w:t>
                  </w:r>
                </w:p>
              </w:tc>
              <w:tc>
                <w:tcPr>
                  <w:tcW w:w="1466" w:type="pct"/>
                  <w:tcBorders>
                    <w:tl2br w:val="nil"/>
                    <w:tr2bl w:val="nil"/>
                  </w:tcBorders>
                  <w:shd w:val="clear" w:color="auto" w:fill="auto"/>
                  <w:vAlign w:val="center"/>
                </w:tcPr>
                <w:p w14:paraId="597C21DA">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LLL1030</w:t>
                  </w:r>
                  <w:r>
                    <w:rPr>
                      <w:rFonts w:hint="default" w:eastAsia="宋体"/>
                      <w:b w:val="0"/>
                      <w:bCs w:val="0"/>
                      <w:color w:val="000000" w:themeColor="text1"/>
                      <w:lang w:val="en-US" w:eastAsia="zh-CN"/>
                      <w14:textFill>
                        <w14:solidFill>
                          <w14:schemeClr w14:val="tx1"/>
                        </w14:solidFill>
                      </w14:textFill>
                    </w:rPr>
                    <w:t>×</w:t>
                  </w:r>
                  <w:r>
                    <w:rPr>
                      <w:rFonts w:hint="eastAsia" w:eastAsia="宋体"/>
                      <w:b w:val="0"/>
                      <w:bCs w:val="0"/>
                      <w:color w:val="000000" w:themeColor="text1"/>
                      <w:lang w:val="en-US" w:eastAsia="zh-CN"/>
                      <w14:textFill>
                        <w14:solidFill>
                          <w14:schemeClr w14:val="tx1"/>
                        </w14:solidFill>
                      </w14:textFill>
                    </w:rPr>
                    <w:t>550A,</w:t>
                  </w:r>
                  <w:r>
                    <w:rPr>
                      <w:rFonts w:hint="default" w:eastAsia="宋体"/>
                      <w:b w:val="0"/>
                      <w:bCs w:val="0"/>
                      <w:color w:val="000000" w:themeColor="text1"/>
                      <w:lang w:val="en-US" w:eastAsia="zh-CN"/>
                      <w14:textFill>
                        <w14:solidFill>
                          <w14:schemeClr w14:val="tx1"/>
                        </w14:solidFill>
                      </w14:textFill>
                    </w:rPr>
                    <w:t>δ</w:t>
                  </w:r>
                  <w:r>
                    <w:rPr>
                      <w:rFonts w:hint="eastAsia" w:eastAsia="宋体"/>
                      <w:b w:val="0"/>
                      <w:bCs w:val="0"/>
                      <w:color w:val="000000" w:themeColor="text1"/>
                      <w:lang w:val="en-US" w:eastAsia="zh-CN"/>
                      <w14:textFill>
                        <w14:solidFill>
                          <w14:schemeClr w14:val="tx1"/>
                        </w14:solidFill>
                      </w14:textFill>
                    </w:rPr>
                    <w:t>=0.5</w:t>
                  </w:r>
                </w:p>
              </w:tc>
              <w:tc>
                <w:tcPr>
                  <w:tcW w:w="1177" w:type="pct"/>
                  <w:tcBorders>
                    <w:tl2br w:val="nil"/>
                    <w:tr2bl w:val="nil"/>
                  </w:tcBorders>
                  <w:shd w:val="clear" w:color="auto" w:fill="auto"/>
                  <w:vAlign w:val="center"/>
                </w:tcPr>
                <w:p w14:paraId="52B95EF0">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6</w:t>
                  </w:r>
                </w:p>
              </w:tc>
            </w:tr>
            <w:tr w14:paraId="32D52B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815" w:type="pct"/>
                  <w:tcBorders>
                    <w:tl2br w:val="nil"/>
                    <w:tr2bl w:val="nil"/>
                  </w:tcBorders>
                  <w:vAlign w:val="center"/>
                </w:tcPr>
                <w:p w14:paraId="7C55FCE0">
                  <w:pPr>
                    <w:jc w:val="cente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7</w:t>
                  </w:r>
                </w:p>
              </w:tc>
              <w:tc>
                <w:tcPr>
                  <w:tcW w:w="1540" w:type="pct"/>
                  <w:tcBorders>
                    <w:tl2br w:val="nil"/>
                    <w:tr2bl w:val="nil"/>
                  </w:tcBorders>
                  <w:shd w:val="clear" w:color="auto" w:fill="auto"/>
                  <w:vAlign w:val="center"/>
                </w:tcPr>
                <w:p w14:paraId="74C2124F">
                  <w:pPr>
                    <w:jc w:val="center"/>
                    <w:rPr>
                      <w:rFonts w:hint="default" w:eastAsia="宋体"/>
                      <w:b w:val="0"/>
                      <w:bCs w:val="0"/>
                      <w:color w:val="000000" w:themeColor="text1"/>
                      <w:lang w:val="en-US" w:eastAsia="zh-CN"/>
                      <w14:textFill>
                        <w14:solidFill>
                          <w14:schemeClr w14:val="tx1"/>
                        </w14:solidFill>
                      </w14:textFill>
                    </w:rPr>
                  </w:pPr>
                  <w:r>
                    <w:rPr>
                      <w:rFonts w:hint="default" w:eastAsia="宋体"/>
                      <w:b w:val="0"/>
                      <w:bCs w:val="0"/>
                      <w:color w:val="000000" w:themeColor="text1"/>
                      <w:lang w:val="en-US" w:eastAsia="zh-CN"/>
                      <w14:textFill>
                        <w14:solidFill>
                          <w14:schemeClr w14:val="tx1"/>
                        </w14:solidFill>
                      </w14:textFill>
                    </w:rPr>
                    <w:t>精煤磁选机</w:t>
                  </w:r>
                </w:p>
              </w:tc>
              <w:tc>
                <w:tcPr>
                  <w:tcW w:w="1466" w:type="pct"/>
                  <w:tcBorders>
                    <w:tl2br w:val="nil"/>
                    <w:tr2bl w:val="nil"/>
                  </w:tcBorders>
                  <w:shd w:val="clear" w:color="auto" w:fill="auto"/>
                  <w:vAlign w:val="center"/>
                </w:tcPr>
                <w:p w14:paraId="4800F516">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DMM914</w:t>
                  </w:r>
                  <w:r>
                    <w:rPr>
                      <w:rFonts w:hint="default" w:eastAsia="宋体"/>
                      <w:b w:val="0"/>
                      <w:bCs w:val="0"/>
                      <w:color w:val="000000" w:themeColor="text1"/>
                      <w:lang w:val="en-US" w:eastAsia="zh-CN"/>
                      <w14:textFill>
                        <w14:solidFill>
                          <w14:schemeClr w14:val="tx1"/>
                        </w14:solidFill>
                      </w14:textFill>
                    </w:rPr>
                    <w:t>×</w:t>
                  </w:r>
                  <w:r>
                    <w:rPr>
                      <w:rFonts w:hint="eastAsia" w:eastAsia="宋体"/>
                      <w:b w:val="0"/>
                      <w:bCs w:val="0"/>
                      <w:color w:val="000000" w:themeColor="text1"/>
                      <w:lang w:val="en-US" w:eastAsia="zh-CN"/>
                      <w14:textFill>
                        <w14:solidFill>
                          <w14:schemeClr w14:val="tx1"/>
                        </w14:solidFill>
                      </w14:textFill>
                    </w:rPr>
                    <w:t>2972(6+5进口磁系）</w:t>
                  </w:r>
                </w:p>
              </w:tc>
              <w:tc>
                <w:tcPr>
                  <w:tcW w:w="1177" w:type="pct"/>
                  <w:tcBorders>
                    <w:tl2br w:val="nil"/>
                    <w:tr2bl w:val="nil"/>
                  </w:tcBorders>
                  <w:shd w:val="clear" w:color="auto" w:fill="auto"/>
                  <w:vAlign w:val="center"/>
                </w:tcPr>
                <w:p w14:paraId="18AFF780">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6</w:t>
                  </w:r>
                </w:p>
              </w:tc>
            </w:tr>
            <w:tr w14:paraId="19A542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5" w:type="pct"/>
                  <w:tcBorders>
                    <w:tl2br w:val="nil"/>
                    <w:tr2bl w:val="nil"/>
                  </w:tcBorders>
                  <w:vAlign w:val="center"/>
                </w:tcPr>
                <w:p w14:paraId="62BDEF92">
                  <w:pPr>
                    <w:jc w:val="cente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8</w:t>
                  </w:r>
                </w:p>
              </w:tc>
              <w:tc>
                <w:tcPr>
                  <w:tcW w:w="1540" w:type="pct"/>
                  <w:tcBorders>
                    <w:tl2br w:val="nil"/>
                    <w:tr2bl w:val="nil"/>
                  </w:tcBorders>
                  <w:shd w:val="clear" w:color="auto" w:fill="auto"/>
                  <w:vAlign w:val="center"/>
                </w:tcPr>
                <w:p w14:paraId="7EE70630">
                  <w:pPr>
                    <w:jc w:val="center"/>
                    <w:rPr>
                      <w:rFonts w:hint="default" w:eastAsia="宋体"/>
                      <w:b w:val="0"/>
                      <w:bCs w:val="0"/>
                      <w:color w:val="000000" w:themeColor="text1"/>
                      <w:lang w:val="en-US" w:eastAsia="zh-CN"/>
                      <w14:textFill>
                        <w14:solidFill>
                          <w14:schemeClr w14:val="tx1"/>
                        </w14:solidFill>
                      </w14:textFill>
                    </w:rPr>
                  </w:pPr>
                  <w:r>
                    <w:rPr>
                      <w:rFonts w:hint="default" w:eastAsia="宋体"/>
                      <w:b w:val="0"/>
                      <w:bCs w:val="0"/>
                      <w:color w:val="000000" w:themeColor="text1"/>
                      <w:lang w:val="en-US" w:eastAsia="zh-CN"/>
                      <w14:textFill>
                        <w14:solidFill>
                          <w14:schemeClr w14:val="tx1"/>
                        </w14:solidFill>
                      </w14:textFill>
                    </w:rPr>
                    <w:t>中煤磁选机</w:t>
                  </w:r>
                </w:p>
              </w:tc>
              <w:tc>
                <w:tcPr>
                  <w:tcW w:w="1466" w:type="pct"/>
                  <w:tcBorders>
                    <w:tl2br w:val="nil"/>
                    <w:tr2bl w:val="nil"/>
                  </w:tcBorders>
                  <w:shd w:val="clear" w:color="auto" w:fill="auto"/>
                  <w:vAlign w:val="center"/>
                </w:tcPr>
                <w:p w14:paraId="79DC803C">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HMDS-914</w:t>
                  </w:r>
                  <w:r>
                    <w:rPr>
                      <w:rFonts w:hint="default" w:eastAsia="宋体"/>
                      <w:b w:val="0"/>
                      <w:bCs w:val="0"/>
                      <w:color w:val="000000" w:themeColor="text1"/>
                      <w:lang w:val="en-US" w:eastAsia="zh-CN"/>
                      <w14:textFill>
                        <w14:solidFill>
                          <w14:schemeClr w14:val="tx1"/>
                        </w14:solidFill>
                      </w14:textFill>
                    </w:rPr>
                    <w:t>×</w:t>
                  </w:r>
                  <w:r>
                    <w:rPr>
                      <w:rFonts w:hint="eastAsia" w:eastAsia="宋体"/>
                      <w:b w:val="0"/>
                      <w:bCs w:val="0"/>
                      <w:color w:val="000000" w:themeColor="text1"/>
                      <w:lang w:val="en-US" w:eastAsia="zh-CN"/>
                      <w14:textFill>
                        <w14:solidFill>
                          <w14:schemeClr w14:val="tx1"/>
                        </w14:solidFill>
                      </w14:textFill>
                    </w:rPr>
                    <w:t>2972(6+5进口磁系）</w:t>
                  </w:r>
                </w:p>
              </w:tc>
              <w:tc>
                <w:tcPr>
                  <w:tcW w:w="1177" w:type="pct"/>
                  <w:tcBorders>
                    <w:tl2br w:val="nil"/>
                    <w:tr2bl w:val="nil"/>
                  </w:tcBorders>
                  <w:shd w:val="clear" w:color="auto" w:fill="auto"/>
                  <w:vAlign w:val="center"/>
                </w:tcPr>
                <w:p w14:paraId="37A3712E">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2</w:t>
                  </w:r>
                </w:p>
              </w:tc>
            </w:tr>
            <w:tr w14:paraId="507F32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5" w:type="pct"/>
                  <w:tcBorders>
                    <w:tl2br w:val="nil"/>
                    <w:tr2bl w:val="nil"/>
                  </w:tcBorders>
                  <w:vAlign w:val="center"/>
                </w:tcPr>
                <w:p w14:paraId="4D3C8E32">
                  <w:pPr>
                    <w:jc w:val="cente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9</w:t>
                  </w:r>
                </w:p>
              </w:tc>
              <w:tc>
                <w:tcPr>
                  <w:tcW w:w="1540" w:type="pct"/>
                  <w:tcBorders>
                    <w:tl2br w:val="nil"/>
                    <w:tr2bl w:val="nil"/>
                  </w:tcBorders>
                  <w:shd w:val="clear" w:color="auto" w:fill="auto"/>
                  <w:vAlign w:val="center"/>
                </w:tcPr>
                <w:p w14:paraId="7EFD4332">
                  <w:pPr>
                    <w:jc w:val="center"/>
                    <w:rPr>
                      <w:rFonts w:hint="default" w:eastAsia="宋体"/>
                      <w:b w:val="0"/>
                      <w:bCs w:val="0"/>
                      <w:color w:val="000000" w:themeColor="text1"/>
                      <w:lang w:val="en-US" w:eastAsia="zh-CN"/>
                      <w14:textFill>
                        <w14:solidFill>
                          <w14:schemeClr w14:val="tx1"/>
                        </w14:solidFill>
                      </w14:textFill>
                    </w:rPr>
                  </w:pPr>
                  <w:r>
                    <w:rPr>
                      <w:rFonts w:hint="default" w:eastAsia="宋体"/>
                      <w:b w:val="0"/>
                      <w:bCs w:val="0"/>
                      <w:color w:val="000000" w:themeColor="text1"/>
                      <w:lang w:val="en-US" w:eastAsia="zh-CN"/>
                      <w14:textFill>
                        <w14:solidFill>
                          <w14:schemeClr w14:val="tx1"/>
                        </w14:solidFill>
                      </w14:textFill>
                    </w:rPr>
                    <w:t>矸石磁选机</w:t>
                  </w:r>
                </w:p>
              </w:tc>
              <w:tc>
                <w:tcPr>
                  <w:tcW w:w="1466" w:type="pct"/>
                  <w:tcBorders>
                    <w:tl2br w:val="nil"/>
                    <w:tr2bl w:val="nil"/>
                  </w:tcBorders>
                  <w:shd w:val="clear" w:color="auto" w:fill="auto"/>
                  <w:vAlign w:val="center"/>
                </w:tcPr>
                <w:p w14:paraId="6F18B5A1">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DMM914</w:t>
                  </w:r>
                  <w:r>
                    <w:rPr>
                      <w:rFonts w:hint="default" w:eastAsia="宋体"/>
                      <w:b w:val="0"/>
                      <w:bCs w:val="0"/>
                      <w:color w:val="000000" w:themeColor="text1"/>
                      <w:lang w:val="en-US" w:eastAsia="zh-CN"/>
                      <w14:textFill>
                        <w14:solidFill>
                          <w14:schemeClr w14:val="tx1"/>
                        </w14:solidFill>
                      </w14:textFill>
                    </w:rPr>
                    <w:t>×2438</w:t>
                  </w:r>
                  <w:r>
                    <w:rPr>
                      <w:rFonts w:hint="eastAsia" w:eastAsia="宋体"/>
                      <w:b w:val="0"/>
                      <w:bCs w:val="0"/>
                      <w:color w:val="000000" w:themeColor="text1"/>
                      <w:lang w:val="en-US" w:eastAsia="zh-CN"/>
                      <w14:textFill>
                        <w14:solidFill>
                          <w14:schemeClr w14:val="tx1"/>
                        </w14:solidFill>
                      </w14:textFill>
                    </w:rPr>
                    <w:t>(6+5进口磁系）</w:t>
                  </w:r>
                </w:p>
              </w:tc>
              <w:tc>
                <w:tcPr>
                  <w:tcW w:w="1177" w:type="pct"/>
                  <w:tcBorders>
                    <w:tl2br w:val="nil"/>
                    <w:tr2bl w:val="nil"/>
                  </w:tcBorders>
                  <w:shd w:val="clear" w:color="auto" w:fill="auto"/>
                  <w:vAlign w:val="center"/>
                </w:tcPr>
                <w:p w14:paraId="368D2163">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2</w:t>
                  </w:r>
                </w:p>
              </w:tc>
            </w:tr>
            <w:tr w14:paraId="646976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5" w:type="pct"/>
                  <w:tcBorders>
                    <w:tl2br w:val="nil"/>
                    <w:tr2bl w:val="nil"/>
                  </w:tcBorders>
                  <w:vAlign w:val="center"/>
                </w:tcPr>
                <w:p w14:paraId="7841160B">
                  <w:pPr>
                    <w:jc w:val="cente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10</w:t>
                  </w:r>
                </w:p>
              </w:tc>
              <w:tc>
                <w:tcPr>
                  <w:tcW w:w="1540" w:type="pct"/>
                  <w:tcBorders>
                    <w:tl2br w:val="nil"/>
                    <w:tr2bl w:val="nil"/>
                  </w:tcBorders>
                  <w:shd w:val="clear" w:color="auto" w:fill="auto"/>
                  <w:vAlign w:val="center"/>
                </w:tcPr>
                <w:p w14:paraId="79EB0564">
                  <w:pPr>
                    <w:jc w:val="center"/>
                    <w:rPr>
                      <w:rFonts w:hint="default" w:eastAsia="宋体"/>
                      <w:b w:val="0"/>
                      <w:bCs w:val="0"/>
                      <w:color w:val="000000" w:themeColor="text1"/>
                      <w:lang w:val="en-US" w:eastAsia="zh-CN"/>
                      <w14:textFill>
                        <w14:solidFill>
                          <w14:schemeClr w14:val="tx1"/>
                        </w14:solidFill>
                      </w14:textFill>
                    </w:rPr>
                  </w:pPr>
                  <w:r>
                    <w:rPr>
                      <w:rFonts w:hint="default" w:eastAsia="宋体"/>
                      <w:b w:val="0"/>
                      <w:bCs w:val="0"/>
                      <w:color w:val="000000" w:themeColor="text1"/>
                      <w:lang w:val="en-US" w:eastAsia="zh-CN"/>
                      <w14:textFill>
                        <w14:solidFill>
                          <w14:schemeClr w14:val="tx1"/>
                        </w14:solidFill>
                      </w14:textFill>
                    </w:rPr>
                    <w:t>精煤泥沉降离心脱水机</w:t>
                  </w:r>
                </w:p>
              </w:tc>
              <w:tc>
                <w:tcPr>
                  <w:tcW w:w="1466" w:type="pct"/>
                  <w:tcBorders>
                    <w:tl2br w:val="nil"/>
                    <w:tr2bl w:val="nil"/>
                  </w:tcBorders>
                  <w:shd w:val="clear" w:color="auto" w:fill="auto"/>
                  <w:vAlign w:val="center"/>
                </w:tcPr>
                <w:p w14:paraId="69E5F0B9">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LLL1200</w:t>
                  </w:r>
                  <w:r>
                    <w:rPr>
                      <w:rFonts w:hint="default" w:eastAsia="宋体"/>
                      <w:b w:val="0"/>
                      <w:bCs w:val="0"/>
                      <w:color w:val="000000" w:themeColor="text1"/>
                      <w:lang w:val="en-US" w:eastAsia="zh-CN"/>
                      <w14:textFill>
                        <w14:solidFill>
                          <w14:schemeClr w14:val="tx1"/>
                        </w14:solidFill>
                      </w14:textFill>
                    </w:rPr>
                    <w:t>×</w:t>
                  </w:r>
                  <w:r>
                    <w:rPr>
                      <w:rFonts w:hint="eastAsia" w:eastAsia="宋体"/>
                      <w:b w:val="0"/>
                      <w:bCs w:val="0"/>
                      <w:color w:val="000000" w:themeColor="text1"/>
                      <w:lang w:val="en-US" w:eastAsia="zh-CN"/>
                      <w14:textFill>
                        <w14:solidFill>
                          <w14:schemeClr w14:val="tx1"/>
                        </w14:solidFill>
                      </w14:textFill>
                    </w:rPr>
                    <w:t>650B,</w:t>
                  </w:r>
                  <w:r>
                    <w:rPr>
                      <w:rFonts w:hint="default" w:eastAsia="宋体"/>
                      <w:b w:val="0"/>
                      <w:bCs w:val="0"/>
                      <w:color w:val="000000" w:themeColor="text1"/>
                      <w:lang w:val="en-US" w:eastAsia="zh-CN"/>
                      <w14:textFill>
                        <w14:solidFill>
                          <w14:schemeClr w14:val="tx1"/>
                        </w14:solidFill>
                      </w14:textFill>
                    </w:rPr>
                    <w:t>δ</w:t>
                  </w:r>
                  <w:r>
                    <w:rPr>
                      <w:rFonts w:hint="eastAsia" w:eastAsia="宋体"/>
                      <w:b w:val="0"/>
                      <w:bCs w:val="0"/>
                      <w:color w:val="000000" w:themeColor="text1"/>
                      <w:lang w:val="en-US" w:eastAsia="zh-CN"/>
                      <w14:textFill>
                        <w14:solidFill>
                          <w14:schemeClr w14:val="tx1"/>
                        </w14:solidFill>
                      </w14:textFill>
                    </w:rPr>
                    <w:t>=0.35</w:t>
                  </w:r>
                </w:p>
              </w:tc>
              <w:tc>
                <w:tcPr>
                  <w:tcW w:w="1177" w:type="pct"/>
                  <w:tcBorders>
                    <w:tl2br w:val="nil"/>
                    <w:tr2bl w:val="nil"/>
                  </w:tcBorders>
                  <w:shd w:val="clear" w:color="auto" w:fill="auto"/>
                  <w:vAlign w:val="center"/>
                </w:tcPr>
                <w:p w14:paraId="686A73CE">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2</w:t>
                  </w:r>
                </w:p>
              </w:tc>
            </w:tr>
            <w:tr w14:paraId="6D685D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5" w:type="pct"/>
                  <w:tcBorders>
                    <w:tl2br w:val="nil"/>
                    <w:tr2bl w:val="nil"/>
                  </w:tcBorders>
                  <w:vAlign w:val="center"/>
                </w:tcPr>
                <w:p w14:paraId="7C4FBA85">
                  <w:pPr>
                    <w:jc w:val="cente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11</w:t>
                  </w:r>
                </w:p>
              </w:tc>
              <w:tc>
                <w:tcPr>
                  <w:tcW w:w="1540" w:type="pct"/>
                  <w:tcBorders>
                    <w:tl2br w:val="nil"/>
                    <w:tr2bl w:val="nil"/>
                  </w:tcBorders>
                  <w:shd w:val="clear" w:color="auto" w:fill="auto"/>
                  <w:vAlign w:val="center"/>
                </w:tcPr>
                <w:p w14:paraId="58D88762">
                  <w:pPr>
                    <w:jc w:val="center"/>
                    <w:rPr>
                      <w:rFonts w:hint="default" w:eastAsia="宋体"/>
                      <w:b w:val="0"/>
                      <w:bCs w:val="0"/>
                      <w:color w:val="000000" w:themeColor="text1"/>
                      <w:lang w:val="en-US" w:eastAsia="zh-CN"/>
                      <w14:textFill>
                        <w14:solidFill>
                          <w14:schemeClr w14:val="tx1"/>
                        </w14:solidFill>
                      </w14:textFill>
                    </w:rPr>
                  </w:pPr>
                  <w:r>
                    <w:rPr>
                      <w:rFonts w:hint="default" w:eastAsia="宋体"/>
                      <w:b w:val="0"/>
                      <w:bCs w:val="0"/>
                      <w:color w:val="000000" w:themeColor="text1"/>
                      <w:lang w:val="en-US" w:eastAsia="zh-CN"/>
                      <w14:textFill>
                        <w14:solidFill>
                          <w14:schemeClr w14:val="tx1"/>
                        </w14:solidFill>
                      </w14:textFill>
                    </w:rPr>
                    <w:t>浮选机</w:t>
                  </w:r>
                </w:p>
              </w:tc>
              <w:tc>
                <w:tcPr>
                  <w:tcW w:w="1466" w:type="pct"/>
                  <w:tcBorders>
                    <w:tl2br w:val="nil"/>
                    <w:tr2bl w:val="nil"/>
                  </w:tcBorders>
                  <w:shd w:val="clear" w:color="auto" w:fill="auto"/>
                  <w:vAlign w:val="center"/>
                </w:tcPr>
                <w:p w14:paraId="5AD3E9D3">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XPM-8m3-6，Q=0.8-1.0t</w:t>
                  </w:r>
                  <w:r>
                    <w:rPr>
                      <w:rFonts w:hint="default" w:eastAsia="宋体"/>
                      <w:b w:val="0"/>
                      <w:bCs w:val="0"/>
                      <w:color w:val="000000" w:themeColor="text1"/>
                      <w:lang w:val="en-US" w:eastAsia="zh-CN"/>
                      <w14:textFill>
                        <w14:solidFill>
                          <w14:schemeClr w14:val="tx1"/>
                        </w14:solidFill>
                      </w14:textFill>
                    </w:rPr>
                    <w:t>*</w:t>
                  </w:r>
                  <w:r>
                    <w:rPr>
                      <w:rFonts w:hint="eastAsia" w:eastAsia="宋体"/>
                      <w:b w:val="0"/>
                      <w:bCs w:val="0"/>
                      <w:color w:val="000000" w:themeColor="text1"/>
                      <w:lang w:val="en-US" w:eastAsia="zh-CN"/>
                      <w14:textFill>
                        <w14:solidFill>
                          <w14:schemeClr w14:val="tx1"/>
                        </w14:solidFill>
                      </w14:textFill>
                    </w:rPr>
                    <w:t>m-2</w:t>
                  </w:r>
                  <w:r>
                    <w:rPr>
                      <w:rFonts w:hint="default" w:eastAsia="宋体"/>
                      <w:b w:val="0"/>
                      <w:bCs w:val="0"/>
                      <w:color w:val="000000" w:themeColor="text1"/>
                      <w:lang w:val="en-US" w:eastAsia="zh-CN"/>
                      <w14:textFill>
                        <w14:solidFill>
                          <w14:schemeClr w14:val="tx1"/>
                        </w14:solidFill>
                      </w14:textFill>
                    </w:rPr>
                    <w:t>*</w:t>
                  </w:r>
                  <w:r>
                    <w:rPr>
                      <w:rFonts w:hint="eastAsia" w:eastAsia="宋体"/>
                      <w:b w:val="0"/>
                      <w:bCs w:val="0"/>
                      <w:color w:val="000000" w:themeColor="text1"/>
                      <w:lang w:val="en-US" w:eastAsia="zh-CN"/>
                      <w14:textFill>
                        <w14:solidFill>
                          <w14:schemeClr w14:val="tx1"/>
                        </w14:solidFill>
                      </w14:textFill>
                    </w:rPr>
                    <w:t>h-1</w:t>
                  </w:r>
                </w:p>
              </w:tc>
              <w:tc>
                <w:tcPr>
                  <w:tcW w:w="1177" w:type="pct"/>
                  <w:tcBorders>
                    <w:tl2br w:val="nil"/>
                    <w:tr2bl w:val="nil"/>
                  </w:tcBorders>
                  <w:shd w:val="clear" w:color="auto" w:fill="auto"/>
                  <w:vAlign w:val="center"/>
                </w:tcPr>
                <w:p w14:paraId="14DCD0B7">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4</w:t>
                  </w:r>
                </w:p>
              </w:tc>
            </w:tr>
            <w:tr w14:paraId="1E2510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5" w:type="pct"/>
                  <w:tcBorders>
                    <w:tl2br w:val="nil"/>
                    <w:tr2bl w:val="nil"/>
                  </w:tcBorders>
                  <w:vAlign w:val="center"/>
                </w:tcPr>
                <w:p w14:paraId="656ECDCA">
                  <w:pPr>
                    <w:jc w:val="cente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12</w:t>
                  </w:r>
                </w:p>
              </w:tc>
              <w:tc>
                <w:tcPr>
                  <w:tcW w:w="1540" w:type="pct"/>
                  <w:tcBorders>
                    <w:tl2br w:val="nil"/>
                    <w:tr2bl w:val="nil"/>
                  </w:tcBorders>
                  <w:shd w:val="clear" w:color="auto" w:fill="auto"/>
                  <w:vAlign w:val="center"/>
                </w:tcPr>
                <w:p w14:paraId="59236E03">
                  <w:pPr>
                    <w:jc w:val="center"/>
                    <w:rPr>
                      <w:rFonts w:hint="default" w:eastAsia="宋体"/>
                      <w:b w:val="0"/>
                      <w:bCs w:val="0"/>
                      <w:color w:val="000000" w:themeColor="text1"/>
                      <w:lang w:val="en-US" w:eastAsia="zh-CN"/>
                      <w14:textFill>
                        <w14:solidFill>
                          <w14:schemeClr w14:val="tx1"/>
                        </w14:solidFill>
                      </w14:textFill>
                    </w:rPr>
                  </w:pPr>
                  <w:r>
                    <w:rPr>
                      <w:rFonts w:hint="default" w:eastAsia="宋体"/>
                      <w:b w:val="0"/>
                      <w:bCs w:val="0"/>
                      <w:color w:val="000000" w:themeColor="text1"/>
                      <w:lang w:val="en-US" w:eastAsia="zh-CN"/>
                      <w14:textFill>
                        <w14:solidFill>
                          <w14:schemeClr w14:val="tx1"/>
                        </w14:solidFill>
                      </w14:textFill>
                    </w:rPr>
                    <w:t>精煤压滤机</w:t>
                  </w:r>
                </w:p>
              </w:tc>
              <w:tc>
                <w:tcPr>
                  <w:tcW w:w="1466" w:type="pct"/>
                  <w:tcBorders>
                    <w:tl2br w:val="nil"/>
                    <w:tr2bl w:val="nil"/>
                  </w:tcBorders>
                  <w:shd w:val="clear" w:color="auto" w:fill="auto"/>
                  <w:vAlign w:val="center"/>
                </w:tcPr>
                <w:p w14:paraId="395A614C">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KX250/2000</w:t>
                  </w:r>
                </w:p>
              </w:tc>
              <w:tc>
                <w:tcPr>
                  <w:tcW w:w="1177" w:type="pct"/>
                  <w:tcBorders>
                    <w:tl2br w:val="nil"/>
                    <w:tr2bl w:val="nil"/>
                  </w:tcBorders>
                  <w:shd w:val="clear" w:color="auto" w:fill="auto"/>
                  <w:vAlign w:val="center"/>
                </w:tcPr>
                <w:p w14:paraId="0010D8F2">
                  <w:pPr>
                    <w:jc w:val="center"/>
                    <w:rPr>
                      <w:rFonts w:hint="default" w:eastAsia="宋体"/>
                      <w:b w:val="0"/>
                      <w:bCs w:val="0"/>
                      <w:color w:val="000000" w:themeColor="text1"/>
                      <w:lang w:val="en-US" w:eastAsia="zh-CN"/>
                      <w14:textFill>
                        <w14:solidFill>
                          <w14:schemeClr w14:val="tx1"/>
                        </w14:solidFill>
                      </w14:textFill>
                    </w:rPr>
                  </w:pPr>
                  <w:r>
                    <w:rPr>
                      <w:rFonts w:hint="eastAsia"/>
                      <w:b w:val="0"/>
                      <w:bCs w:val="0"/>
                      <w:color w:val="000000" w:themeColor="text1"/>
                      <w:lang w:val="en-US" w:eastAsia="zh-CN"/>
                      <w14:textFill>
                        <w14:solidFill>
                          <w14:schemeClr w14:val="tx1"/>
                        </w14:solidFill>
                      </w14:textFill>
                    </w:rPr>
                    <w:t>4</w:t>
                  </w:r>
                </w:p>
              </w:tc>
            </w:tr>
            <w:tr w14:paraId="72DFFE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5" w:type="pct"/>
                  <w:tcBorders>
                    <w:tl2br w:val="nil"/>
                    <w:tr2bl w:val="nil"/>
                  </w:tcBorders>
                  <w:vAlign w:val="center"/>
                </w:tcPr>
                <w:p w14:paraId="5CFB4E02">
                  <w:pPr>
                    <w:jc w:val="cente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13</w:t>
                  </w:r>
                </w:p>
              </w:tc>
              <w:tc>
                <w:tcPr>
                  <w:tcW w:w="1540" w:type="pct"/>
                  <w:tcBorders>
                    <w:tl2br w:val="nil"/>
                    <w:tr2bl w:val="nil"/>
                  </w:tcBorders>
                  <w:shd w:val="clear" w:color="auto" w:fill="auto"/>
                  <w:vAlign w:val="center"/>
                </w:tcPr>
                <w:p w14:paraId="0BEAF0BF">
                  <w:pPr>
                    <w:jc w:val="center"/>
                    <w:rPr>
                      <w:rFonts w:hint="default" w:eastAsia="宋体"/>
                      <w:b w:val="0"/>
                      <w:bCs w:val="0"/>
                      <w:color w:val="000000" w:themeColor="text1"/>
                      <w:lang w:val="en-US" w:eastAsia="zh-CN"/>
                      <w14:textFill>
                        <w14:solidFill>
                          <w14:schemeClr w14:val="tx1"/>
                        </w14:solidFill>
                      </w14:textFill>
                    </w:rPr>
                  </w:pPr>
                  <w:r>
                    <w:rPr>
                      <w:rFonts w:hint="default" w:eastAsia="宋体"/>
                      <w:b w:val="0"/>
                      <w:bCs w:val="0"/>
                      <w:color w:val="000000" w:themeColor="text1"/>
                      <w:lang w:val="en-US" w:eastAsia="zh-CN"/>
                      <w14:textFill>
                        <w14:solidFill>
                          <w14:schemeClr w14:val="tx1"/>
                        </w14:solidFill>
                      </w14:textFill>
                    </w:rPr>
                    <w:t>尾煤压滤机</w:t>
                  </w:r>
                </w:p>
              </w:tc>
              <w:tc>
                <w:tcPr>
                  <w:tcW w:w="1466" w:type="pct"/>
                  <w:tcBorders>
                    <w:tl2br w:val="nil"/>
                    <w:tr2bl w:val="nil"/>
                  </w:tcBorders>
                  <w:shd w:val="clear" w:color="auto" w:fill="auto"/>
                  <w:vAlign w:val="center"/>
                </w:tcPr>
                <w:p w14:paraId="3C1E95EA">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KX250/2000-U</w:t>
                  </w:r>
                </w:p>
              </w:tc>
              <w:tc>
                <w:tcPr>
                  <w:tcW w:w="1177" w:type="pct"/>
                  <w:tcBorders>
                    <w:tl2br w:val="nil"/>
                    <w:tr2bl w:val="nil"/>
                  </w:tcBorders>
                  <w:shd w:val="clear" w:color="auto" w:fill="auto"/>
                  <w:vAlign w:val="center"/>
                </w:tcPr>
                <w:p w14:paraId="40651363">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4</w:t>
                  </w:r>
                </w:p>
              </w:tc>
            </w:tr>
            <w:tr w14:paraId="6B1FAA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5" w:type="pct"/>
                  <w:tcBorders>
                    <w:tl2br w:val="nil"/>
                    <w:tr2bl w:val="nil"/>
                  </w:tcBorders>
                  <w:vAlign w:val="center"/>
                </w:tcPr>
                <w:p w14:paraId="6E8FBD3B">
                  <w:pPr>
                    <w:jc w:val="cente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14</w:t>
                  </w:r>
                </w:p>
              </w:tc>
              <w:tc>
                <w:tcPr>
                  <w:tcW w:w="1540" w:type="pct"/>
                  <w:tcBorders>
                    <w:tl2br w:val="nil"/>
                    <w:tr2bl w:val="nil"/>
                  </w:tcBorders>
                  <w:shd w:val="clear" w:color="auto" w:fill="auto"/>
                  <w:vAlign w:val="center"/>
                </w:tcPr>
                <w:p w14:paraId="567A61CF">
                  <w:pPr>
                    <w:jc w:val="center"/>
                    <w:rPr>
                      <w:rFonts w:hint="default" w:eastAsia="宋体"/>
                      <w:b w:val="0"/>
                      <w:bCs w:val="0"/>
                      <w:color w:val="000000" w:themeColor="text1"/>
                      <w:lang w:val="en-US" w:eastAsia="zh-CN"/>
                      <w14:textFill>
                        <w14:solidFill>
                          <w14:schemeClr w14:val="tx1"/>
                        </w14:solidFill>
                      </w14:textFill>
                    </w:rPr>
                  </w:pPr>
                  <w:r>
                    <w:rPr>
                      <w:rFonts w:hint="default" w:eastAsia="宋体"/>
                      <w:b w:val="0"/>
                      <w:bCs w:val="0"/>
                      <w:color w:val="000000" w:themeColor="text1"/>
                      <w:lang w:val="en-US" w:eastAsia="zh-CN"/>
                      <w14:textFill>
                        <w14:solidFill>
                          <w14:schemeClr w14:val="tx1"/>
                        </w14:solidFill>
                      </w14:textFill>
                    </w:rPr>
                    <w:t>耙式浓缩机</w:t>
                  </w:r>
                </w:p>
              </w:tc>
              <w:tc>
                <w:tcPr>
                  <w:tcW w:w="1466" w:type="pct"/>
                  <w:tcBorders>
                    <w:tl2br w:val="nil"/>
                    <w:tr2bl w:val="nil"/>
                  </w:tcBorders>
                  <w:shd w:val="clear" w:color="auto" w:fill="auto"/>
                  <w:vAlign w:val="center"/>
                </w:tcPr>
                <w:p w14:paraId="170F5BCD">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NGG-30</w:t>
                  </w:r>
                </w:p>
              </w:tc>
              <w:tc>
                <w:tcPr>
                  <w:tcW w:w="1177" w:type="pct"/>
                  <w:tcBorders>
                    <w:tl2br w:val="nil"/>
                    <w:tr2bl w:val="nil"/>
                  </w:tcBorders>
                  <w:shd w:val="clear" w:color="auto" w:fill="auto"/>
                  <w:vAlign w:val="center"/>
                </w:tcPr>
                <w:p w14:paraId="414BF334">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2</w:t>
                  </w:r>
                </w:p>
              </w:tc>
            </w:tr>
            <w:tr w14:paraId="3C7798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5" w:type="pct"/>
                  <w:tcBorders>
                    <w:tl2br w:val="nil"/>
                    <w:tr2bl w:val="nil"/>
                  </w:tcBorders>
                  <w:vAlign w:val="center"/>
                </w:tcPr>
                <w:p w14:paraId="63A75A85">
                  <w:pPr>
                    <w:jc w:val="center"/>
                    <w:rPr>
                      <w:rFonts w:hint="default" w:eastAsia="宋体"/>
                      <w:b w:val="0"/>
                      <w:bCs w:val="0"/>
                      <w:color w:val="000000" w:themeColor="text1"/>
                      <w:lang w:val="en-US" w:eastAsia="zh-CN"/>
                      <w14:textFill>
                        <w14:solidFill>
                          <w14:schemeClr w14:val="tx1"/>
                        </w14:solidFill>
                      </w14:textFill>
                    </w:rPr>
                  </w:pPr>
                  <w:r>
                    <w:rPr>
                      <w:rFonts w:hint="eastAsia"/>
                      <w:b w:val="0"/>
                      <w:bCs w:val="0"/>
                      <w:color w:val="000000" w:themeColor="text1"/>
                      <w:lang w:val="en-US" w:eastAsia="zh-CN"/>
                      <w14:textFill>
                        <w14:solidFill>
                          <w14:schemeClr w14:val="tx1"/>
                        </w14:solidFill>
                      </w14:textFill>
                    </w:rPr>
                    <w:t>15</w:t>
                  </w:r>
                </w:p>
              </w:tc>
              <w:tc>
                <w:tcPr>
                  <w:tcW w:w="1540" w:type="pct"/>
                  <w:tcBorders>
                    <w:tl2br w:val="nil"/>
                    <w:tr2bl w:val="nil"/>
                  </w:tcBorders>
                  <w:shd w:val="clear" w:color="auto" w:fill="auto"/>
                  <w:vAlign w:val="center"/>
                </w:tcPr>
                <w:p w14:paraId="64C602C9">
                  <w:pPr>
                    <w:jc w:val="center"/>
                    <w:rPr>
                      <w:rFonts w:hint="default" w:eastAsia="宋体"/>
                      <w:b w:val="0"/>
                      <w:bCs w:val="0"/>
                      <w:color w:val="000000" w:themeColor="text1"/>
                      <w:lang w:val="en-US" w:eastAsia="zh-CN"/>
                      <w14:textFill>
                        <w14:solidFill>
                          <w14:schemeClr w14:val="tx1"/>
                        </w14:solidFill>
                      </w14:textFill>
                    </w:rPr>
                  </w:pPr>
                  <w:r>
                    <w:rPr>
                      <w:rFonts w:hint="default" w:eastAsia="宋体"/>
                      <w:b w:val="0"/>
                      <w:bCs w:val="0"/>
                      <w:color w:val="000000" w:themeColor="text1"/>
                      <w:lang w:val="en-US" w:eastAsia="zh-CN"/>
                      <w14:textFill>
                        <w14:solidFill>
                          <w14:schemeClr w14:val="tx1"/>
                        </w14:solidFill>
                      </w14:textFill>
                    </w:rPr>
                    <w:t>破碎机</w:t>
                  </w:r>
                </w:p>
              </w:tc>
              <w:tc>
                <w:tcPr>
                  <w:tcW w:w="1466" w:type="pct"/>
                  <w:tcBorders>
                    <w:tl2br w:val="nil"/>
                    <w:tr2bl w:val="nil"/>
                  </w:tcBorders>
                  <w:shd w:val="clear" w:color="auto" w:fill="auto"/>
                  <w:vAlign w:val="center"/>
                </w:tcPr>
                <w:p w14:paraId="699AB6BB">
                  <w:pPr>
                    <w:jc w:val="center"/>
                    <w:rPr>
                      <w:rFonts w:hint="eastAsia"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CSB0710</w:t>
                  </w:r>
                </w:p>
              </w:tc>
              <w:tc>
                <w:tcPr>
                  <w:tcW w:w="1177" w:type="pct"/>
                  <w:tcBorders>
                    <w:tl2br w:val="nil"/>
                    <w:tr2bl w:val="nil"/>
                  </w:tcBorders>
                  <w:shd w:val="clear" w:color="auto" w:fill="auto"/>
                  <w:vAlign w:val="center"/>
                </w:tcPr>
                <w:p w14:paraId="49969A7B">
                  <w:pPr>
                    <w:jc w:val="center"/>
                    <w:rPr>
                      <w:rFonts w:hint="eastAsia"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2</w:t>
                  </w:r>
                </w:p>
              </w:tc>
            </w:tr>
            <w:tr w14:paraId="0D6BF9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5" w:type="pct"/>
                  <w:tcBorders>
                    <w:tl2br w:val="nil"/>
                    <w:tr2bl w:val="nil"/>
                  </w:tcBorders>
                  <w:vAlign w:val="center"/>
                </w:tcPr>
                <w:p w14:paraId="42CAE099">
                  <w:pPr>
                    <w:jc w:val="center"/>
                    <w:rPr>
                      <w:rFonts w:hint="default" w:eastAsia="宋体"/>
                      <w:b w:val="0"/>
                      <w:bCs w:val="0"/>
                      <w:color w:val="000000" w:themeColor="text1"/>
                      <w:lang w:val="en-US" w:eastAsia="zh-CN"/>
                      <w14:textFill>
                        <w14:solidFill>
                          <w14:schemeClr w14:val="tx1"/>
                        </w14:solidFill>
                      </w14:textFill>
                    </w:rPr>
                  </w:pPr>
                  <w:r>
                    <w:rPr>
                      <w:rFonts w:hint="eastAsia"/>
                      <w:b w:val="0"/>
                      <w:bCs w:val="0"/>
                      <w:color w:val="000000" w:themeColor="text1"/>
                      <w:lang w:val="en-US" w:eastAsia="zh-CN"/>
                      <w14:textFill>
                        <w14:solidFill>
                          <w14:schemeClr w14:val="tx1"/>
                        </w14:solidFill>
                      </w14:textFill>
                    </w:rPr>
                    <w:t>16</w:t>
                  </w:r>
                </w:p>
              </w:tc>
              <w:tc>
                <w:tcPr>
                  <w:tcW w:w="1540" w:type="pct"/>
                  <w:tcBorders>
                    <w:tl2br w:val="nil"/>
                    <w:tr2bl w:val="nil"/>
                  </w:tcBorders>
                  <w:shd w:val="clear" w:color="auto" w:fill="auto"/>
                  <w:vAlign w:val="center"/>
                </w:tcPr>
                <w:p w14:paraId="5922A041">
                  <w:pPr>
                    <w:jc w:val="center"/>
                    <w:rPr>
                      <w:rFonts w:hint="default" w:eastAsia="宋体"/>
                      <w:b w:val="0"/>
                      <w:bCs w:val="0"/>
                      <w:color w:val="000000" w:themeColor="text1"/>
                      <w:lang w:val="en-US" w:eastAsia="zh-CN"/>
                      <w14:textFill>
                        <w14:solidFill>
                          <w14:schemeClr w14:val="tx1"/>
                        </w14:solidFill>
                      </w14:textFill>
                    </w:rPr>
                  </w:pPr>
                  <w:r>
                    <w:rPr>
                      <w:rFonts w:hint="default" w:eastAsia="宋体"/>
                      <w:b w:val="0"/>
                      <w:bCs w:val="0"/>
                      <w:color w:val="000000" w:themeColor="text1"/>
                      <w:lang w:val="en-US" w:eastAsia="zh-CN"/>
                      <w14:textFill>
                        <w14:solidFill>
                          <w14:schemeClr w14:val="tx1"/>
                        </w14:solidFill>
                      </w14:textFill>
                    </w:rPr>
                    <w:t>分级筛</w:t>
                  </w:r>
                </w:p>
              </w:tc>
              <w:tc>
                <w:tcPr>
                  <w:tcW w:w="1466" w:type="pct"/>
                  <w:tcBorders>
                    <w:tl2br w:val="nil"/>
                    <w:tr2bl w:val="nil"/>
                  </w:tcBorders>
                  <w:shd w:val="clear" w:color="auto" w:fill="auto"/>
                  <w:vAlign w:val="center"/>
                </w:tcPr>
                <w:p w14:paraId="0BF8393B">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CS2448</w:t>
                  </w:r>
                </w:p>
              </w:tc>
              <w:tc>
                <w:tcPr>
                  <w:tcW w:w="1177" w:type="pct"/>
                  <w:tcBorders>
                    <w:tl2br w:val="nil"/>
                    <w:tr2bl w:val="nil"/>
                  </w:tcBorders>
                  <w:shd w:val="clear" w:color="auto" w:fill="auto"/>
                  <w:vAlign w:val="center"/>
                </w:tcPr>
                <w:p w14:paraId="0229728D">
                  <w:pPr>
                    <w:jc w:val="center"/>
                    <w:rPr>
                      <w:rFonts w:hint="eastAsia"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2</w:t>
                  </w:r>
                </w:p>
              </w:tc>
            </w:tr>
            <w:tr w14:paraId="144B56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Pr>
                <w:p w14:paraId="5B6C771D">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17</w:t>
                  </w:r>
                </w:p>
              </w:tc>
              <w:tc>
                <w:tcPr>
                  <w:tcW w:w="0" w:type="auto"/>
                  <w:shd w:val="clear" w:color="auto" w:fill="auto"/>
                  <w:vAlign w:val="center"/>
                </w:tcPr>
                <w:p w14:paraId="5BB9DCD2">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精煤弧形筛</w:t>
                  </w:r>
                </w:p>
              </w:tc>
              <w:tc>
                <w:tcPr>
                  <w:tcW w:w="0" w:type="auto"/>
                  <w:shd w:val="clear" w:color="auto" w:fill="auto"/>
                  <w:vAlign w:val="center"/>
                </w:tcPr>
                <w:p w14:paraId="3094BC56">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VOSB362060,</w:t>
                  </w:r>
                  <w:r>
                    <w:rPr>
                      <w:rFonts w:hint="default" w:eastAsia="宋体"/>
                      <w:b w:val="0"/>
                      <w:bCs w:val="0"/>
                      <w:color w:val="000000" w:themeColor="text1"/>
                      <w:lang w:val="en-US" w:eastAsia="zh-CN"/>
                      <w14:textFill>
                        <w14:solidFill>
                          <w14:schemeClr w14:val="tx1"/>
                        </w14:solidFill>
                      </w14:textFill>
                    </w:rPr>
                    <w:t>δ</w:t>
                  </w:r>
                  <w:r>
                    <w:rPr>
                      <w:rFonts w:hint="eastAsia" w:eastAsia="宋体"/>
                      <w:b w:val="0"/>
                      <w:bCs w:val="0"/>
                      <w:color w:val="000000" w:themeColor="text1"/>
                      <w:lang w:val="en-US" w:eastAsia="zh-CN"/>
                      <w14:textFill>
                        <w14:solidFill>
                          <w14:schemeClr w14:val="tx1"/>
                        </w14:solidFill>
                      </w14:textFill>
                    </w:rPr>
                    <w:t>=1</w:t>
                  </w:r>
                </w:p>
              </w:tc>
              <w:tc>
                <w:tcPr>
                  <w:tcW w:w="0" w:type="auto"/>
                  <w:shd w:val="clear" w:color="auto" w:fill="auto"/>
                  <w:vAlign w:val="center"/>
                </w:tcPr>
                <w:p w14:paraId="431BF3BE">
                  <w:pPr>
                    <w:jc w:val="center"/>
                    <w:rPr>
                      <w:rFonts w:hint="eastAsia"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4</w:t>
                  </w:r>
                </w:p>
              </w:tc>
            </w:tr>
            <w:tr w14:paraId="08C60C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Pr>
                <w:p w14:paraId="5D8D33B5">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18</w:t>
                  </w:r>
                </w:p>
              </w:tc>
              <w:tc>
                <w:tcPr>
                  <w:tcW w:w="0" w:type="auto"/>
                  <w:shd w:val="clear" w:color="auto" w:fill="auto"/>
                  <w:vAlign w:val="center"/>
                </w:tcPr>
                <w:p w14:paraId="38E8C3AE">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中煤弧形筛</w:t>
                  </w:r>
                </w:p>
              </w:tc>
              <w:tc>
                <w:tcPr>
                  <w:tcW w:w="0" w:type="auto"/>
                  <w:shd w:val="clear" w:color="auto" w:fill="auto"/>
                  <w:vAlign w:val="center"/>
                </w:tcPr>
                <w:p w14:paraId="50D56B32">
                  <w:pPr>
                    <w:jc w:val="center"/>
                    <w:rPr>
                      <w:rFonts w:hint="default"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VOSB362060,</w:t>
                  </w:r>
                  <w:r>
                    <w:rPr>
                      <w:rFonts w:hint="default" w:eastAsia="宋体"/>
                      <w:b w:val="0"/>
                      <w:bCs w:val="0"/>
                      <w:color w:val="000000" w:themeColor="text1"/>
                      <w:lang w:val="en-US" w:eastAsia="zh-CN"/>
                      <w14:textFill>
                        <w14:solidFill>
                          <w14:schemeClr w14:val="tx1"/>
                        </w14:solidFill>
                      </w14:textFill>
                    </w:rPr>
                    <w:t>δ</w:t>
                  </w:r>
                  <w:r>
                    <w:rPr>
                      <w:rFonts w:hint="eastAsia" w:eastAsia="宋体"/>
                      <w:b w:val="0"/>
                      <w:bCs w:val="0"/>
                      <w:color w:val="000000" w:themeColor="text1"/>
                      <w:lang w:val="en-US" w:eastAsia="zh-CN"/>
                      <w14:textFill>
                        <w14:solidFill>
                          <w14:schemeClr w14:val="tx1"/>
                        </w14:solidFill>
                      </w14:textFill>
                    </w:rPr>
                    <w:t>=1</w:t>
                  </w:r>
                </w:p>
              </w:tc>
              <w:tc>
                <w:tcPr>
                  <w:tcW w:w="0" w:type="auto"/>
                  <w:shd w:val="clear" w:color="auto" w:fill="auto"/>
                  <w:vAlign w:val="center"/>
                </w:tcPr>
                <w:p w14:paraId="06422B78">
                  <w:pPr>
                    <w:jc w:val="center"/>
                    <w:rPr>
                      <w:rFonts w:hint="eastAsia" w:eastAsia="宋体"/>
                      <w:b w:val="0"/>
                      <w:bCs w:val="0"/>
                      <w:color w:val="000000" w:themeColor="text1"/>
                      <w:lang w:val="en-US" w:eastAsia="zh-CN"/>
                      <w14:textFill>
                        <w14:solidFill>
                          <w14:schemeClr w14:val="tx1"/>
                        </w14:solidFill>
                      </w14:textFill>
                    </w:rPr>
                  </w:pPr>
                  <w:r>
                    <w:rPr>
                      <w:rFonts w:hint="eastAsia" w:eastAsia="宋体"/>
                      <w:b w:val="0"/>
                      <w:bCs w:val="0"/>
                      <w:color w:val="000000" w:themeColor="text1"/>
                      <w:lang w:val="en-US" w:eastAsia="zh-CN"/>
                      <w14:textFill>
                        <w14:solidFill>
                          <w14:schemeClr w14:val="tx1"/>
                        </w14:solidFill>
                      </w14:textFill>
                    </w:rPr>
                    <w:t>2</w:t>
                  </w:r>
                </w:p>
              </w:tc>
            </w:tr>
          </w:tbl>
          <w:p w14:paraId="0ED88D93">
            <w:pPr>
              <w:spacing w:line="360" w:lineRule="auto"/>
              <w:ind w:firstLine="482" w:firstLineChars="200"/>
              <w:rPr>
                <w:rFonts w:hint="eastAsia" w:ascii="Times New Roman" w:hAnsi="Times New Roman" w:eastAsia="宋体" w:cs="Times New Roman"/>
                <w:b/>
                <w:bCs/>
                <w:color w:val="000000" w:themeColor="text1"/>
                <w:sz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lang w:val="en-US" w:eastAsia="zh-CN"/>
                <w14:textFill>
                  <w14:solidFill>
                    <w14:schemeClr w14:val="tx1"/>
                  </w14:solidFill>
                </w14:textFill>
              </w:rPr>
              <w:t>4、产品方案</w:t>
            </w:r>
          </w:p>
          <w:p w14:paraId="3E46E6D9">
            <w:pPr>
              <w:tabs>
                <w:tab w:val="left" w:pos="6480"/>
              </w:tabs>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本项目产品方案详见表2-</w:t>
            </w:r>
            <w:r>
              <w:rPr>
                <w:rFonts w:hint="eastAsia"/>
                <w:bCs/>
                <w:color w:val="000000" w:themeColor="text1"/>
                <w:sz w:val="24"/>
                <w:lang w:val="en-US" w:eastAsia="zh-CN"/>
                <w14:textFill>
                  <w14:solidFill>
                    <w14:schemeClr w14:val="tx1"/>
                  </w14:solidFill>
                </w14:textFill>
              </w:rPr>
              <w:t>3</w:t>
            </w:r>
            <w:r>
              <w:rPr>
                <w:bCs/>
                <w:color w:val="000000" w:themeColor="text1"/>
                <w:sz w:val="24"/>
                <w14:textFill>
                  <w14:solidFill>
                    <w14:schemeClr w14:val="tx1"/>
                  </w14:solidFill>
                </w14:textFill>
              </w:rPr>
              <w:t>。</w:t>
            </w:r>
          </w:p>
          <w:p w14:paraId="0C442E44">
            <w:pPr>
              <w:spacing w:line="360" w:lineRule="auto"/>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表2-</w:t>
            </w:r>
            <w:r>
              <w:rPr>
                <w:rFonts w:hint="eastAsia"/>
                <w:b/>
                <w:color w:val="000000" w:themeColor="text1"/>
                <w:sz w:val="24"/>
                <w:lang w:val="en-US" w:eastAsia="zh-CN"/>
                <w14:textFill>
                  <w14:solidFill>
                    <w14:schemeClr w14:val="tx1"/>
                  </w14:solidFill>
                </w14:textFill>
              </w:rPr>
              <w:t>3</w:t>
            </w:r>
            <w:r>
              <w:rPr>
                <w:b/>
                <w:color w:val="000000" w:themeColor="text1"/>
                <w:sz w:val="24"/>
                <w14:textFill>
                  <w14:solidFill>
                    <w14:schemeClr w14:val="tx1"/>
                  </w14:solidFill>
                </w14:textFill>
              </w:rPr>
              <w:t xml:space="preserve"> 本项目产品方案一览表</w:t>
            </w:r>
          </w:p>
          <w:tbl>
            <w:tblPr>
              <w:tblStyle w:val="28"/>
              <w:tblW w:w="82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608"/>
              <w:gridCol w:w="775"/>
              <w:gridCol w:w="805"/>
              <w:gridCol w:w="963"/>
              <w:gridCol w:w="2871"/>
              <w:gridCol w:w="2256"/>
            </w:tblGrid>
            <w:tr w14:paraId="0E5E44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608" w:type="dxa"/>
                  <w:tcBorders>
                    <w:tl2br w:val="nil"/>
                    <w:tr2bl w:val="nil"/>
                  </w:tcBorders>
                  <w:vAlign w:val="center"/>
                </w:tcPr>
                <w:p w14:paraId="331B7F29">
                  <w:pPr>
                    <w:autoSpaceDE w:val="0"/>
                    <w:autoSpaceDN w:val="0"/>
                    <w:jc w:val="center"/>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序号</w:t>
                  </w:r>
                </w:p>
              </w:tc>
              <w:tc>
                <w:tcPr>
                  <w:tcW w:w="775" w:type="dxa"/>
                  <w:tcBorders>
                    <w:tl2br w:val="nil"/>
                    <w:tr2bl w:val="nil"/>
                  </w:tcBorders>
                  <w:vAlign w:val="center"/>
                </w:tcPr>
                <w:p w14:paraId="4E2211E2">
                  <w:pPr>
                    <w:autoSpaceDE w:val="0"/>
                    <w:autoSpaceDN w:val="0"/>
                    <w:jc w:val="center"/>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名称</w:t>
                  </w:r>
                </w:p>
              </w:tc>
              <w:tc>
                <w:tcPr>
                  <w:tcW w:w="805" w:type="dxa"/>
                  <w:tcBorders>
                    <w:tl2br w:val="nil"/>
                    <w:tr2bl w:val="nil"/>
                  </w:tcBorders>
                  <w:vAlign w:val="center"/>
                </w:tcPr>
                <w:p w14:paraId="07C68799">
                  <w:pPr>
                    <w:autoSpaceDE w:val="0"/>
                    <w:autoSpaceDN w:val="0"/>
                    <w:jc w:val="center"/>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单位</w:t>
                  </w:r>
                </w:p>
              </w:tc>
              <w:tc>
                <w:tcPr>
                  <w:tcW w:w="963" w:type="dxa"/>
                  <w:tcBorders>
                    <w:tl2br w:val="nil"/>
                    <w:tr2bl w:val="nil"/>
                  </w:tcBorders>
                  <w:vAlign w:val="center"/>
                </w:tcPr>
                <w:p w14:paraId="2C53E335">
                  <w:pPr>
                    <w:autoSpaceDE w:val="0"/>
                    <w:autoSpaceDN w:val="0"/>
                    <w:jc w:val="center"/>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产量</w:t>
                  </w:r>
                </w:p>
              </w:tc>
              <w:tc>
                <w:tcPr>
                  <w:tcW w:w="2871" w:type="dxa"/>
                  <w:tcBorders>
                    <w:tl2br w:val="nil"/>
                    <w:tr2bl w:val="nil"/>
                  </w:tcBorders>
                  <w:vAlign w:val="center"/>
                </w:tcPr>
                <w:p w14:paraId="1CA9D778">
                  <w:pPr>
                    <w:autoSpaceDE w:val="0"/>
                    <w:autoSpaceDN w:val="0"/>
                    <w:jc w:val="center"/>
                    <w:rPr>
                      <w:b w:val="0"/>
                      <w:bCs w:val="0"/>
                      <w:color w:val="000000" w:themeColor="text1"/>
                      <w:szCs w:val="21"/>
                      <w14:textFill>
                        <w14:solidFill>
                          <w14:schemeClr w14:val="tx1"/>
                        </w14:solidFill>
                      </w14:textFill>
                    </w:rPr>
                  </w:pPr>
                  <w:r>
                    <w:rPr>
                      <w:rFonts w:hint="eastAsia"/>
                      <w:b w:val="0"/>
                      <w:bCs w:val="0"/>
                      <w:color w:val="000000" w:themeColor="text1"/>
                      <w:szCs w:val="21"/>
                      <w14:textFill>
                        <w14:solidFill>
                          <w14:schemeClr w14:val="tx1"/>
                        </w14:solidFill>
                      </w14:textFill>
                    </w:rPr>
                    <w:t>储存</w:t>
                  </w:r>
                </w:p>
              </w:tc>
              <w:tc>
                <w:tcPr>
                  <w:tcW w:w="2256" w:type="dxa"/>
                  <w:tcBorders>
                    <w:tl2br w:val="nil"/>
                    <w:tr2bl w:val="nil"/>
                  </w:tcBorders>
                  <w:vAlign w:val="center"/>
                </w:tcPr>
                <w:p w14:paraId="7092DE9B">
                  <w:pPr>
                    <w:autoSpaceDE w:val="0"/>
                    <w:autoSpaceDN w:val="0"/>
                    <w:jc w:val="center"/>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备注</w:t>
                  </w:r>
                </w:p>
              </w:tc>
            </w:tr>
            <w:tr w14:paraId="08D0B2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7" w:hRule="atLeast"/>
                <w:jc w:val="center"/>
              </w:trPr>
              <w:tc>
                <w:tcPr>
                  <w:tcW w:w="608" w:type="dxa"/>
                  <w:tcBorders>
                    <w:tl2br w:val="nil"/>
                    <w:tr2bl w:val="nil"/>
                  </w:tcBorders>
                  <w:vAlign w:val="center"/>
                </w:tcPr>
                <w:p w14:paraId="3C5C67FD">
                  <w:pPr>
                    <w:autoSpaceDE w:val="0"/>
                    <w:autoSpaceDN w:val="0"/>
                    <w:jc w:val="center"/>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1</w:t>
                  </w:r>
                </w:p>
              </w:tc>
              <w:tc>
                <w:tcPr>
                  <w:tcW w:w="775" w:type="dxa"/>
                  <w:tcBorders>
                    <w:tl2br w:val="nil"/>
                    <w:tr2bl w:val="nil"/>
                  </w:tcBorders>
                  <w:vAlign w:val="center"/>
                </w:tcPr>
                <w:p w14:paraId="31E61D5E">
                  <w:pPr>
                    <w:adjustRightInd w:val="0"/>
                    <w:snapToGrid w:val="0"/>
                    <w:jc w:val="center"/>
                    <w:rPr>
                      <w:b w:val="0"/>
                      <w:bCs w:val="0"/>
                      <w:color w:val="000000" w:themeColor="text1"/>
                      <w:szCs w:val="21"/>
                      <w:highlight w:val="none"/>
                      <w14:textFill>
                        <w14:solidFill>
                          <w14:schemeClr w14:val="tx1"/>
                        </w14:solidFill>
                      </w14:textFill>
                    </w:rPr>
                  </w:pPr>
                  <w:r>
                    <w:rPr>
                      <w:rFonts w:hint="eastAsia"/>
                      <w:b w:val="0"/>
                      <w:bCs w:val="0"/>
                      <w:color w:val="000000" w:themeColor="text1"/>
                      <w:szCs w:val="21"/>
                      <w:highlight w:val="none"/>
                      <w14:textFill>
                        <w14:solidFill>
                          <w14:schemeClr w14:val="tx1"/>
                        </w14:solidFill>
                      </w14:textFill>
                    </w:rPr>
                    <w:t>精煤</w:t>
                  </w:r>
                </w:p>
              </w:tc>
              <w:tc>
                <w:tcPr>
                  <w:tcW w:w="805" w:type="dxa"/>
                  <w:tcBorders>
                    <w:tl2br w:val="nil"/>
                    <w:tr2bl w:val="nil"/>
                  </w:tcBorders>
                  <w:vAlign w:val="center"/>
                </w:tcPr>
                <w:p w14:paraId="61510A94">
                  <w:pPr>
                    <w:adjustRightInd w:val="0"/>
                    <w:snapToGrid w:val="0"/>
                    <w:jc w:val="center"/>
                    <w:rPr>
                      <w:b w:val="0"/>
                      <w:bCs w:val="0"/>
                      <w:color w:val="000000" w:themeColor="text1"/>
                      <w:szCs w:val="21"/>
                      <w:highlight w:val="none"/>
                      <w14:textFill>
                        <w14:solidFill>
                          <w14:schemeClr w14:val="tx1"/>
                        </w14:solidFill>
                      </w14:textFill>
                    </w:rPr>
                  </w:pPr>
                  <w:r>
                    <w:rPr>
                      <w:rFonts w:hint="eastAsia"/>
                      <w:b w:val="0"/>
                      <w:bCs w:val="0"/>
                      <w:color w:val="000000" w:themeColor="text1"/>
                      <w:szCs w:val="21"/>
                      <w:highlight w:val="none"/>
                      <w14:textFill>
                        <w14:solidFill>
                          <w14:schemeClr w14:val="tx1"/>
                        </w14:solidFill>
                      </w14:textFill>
                    </w:rPr>
                    <w:t>万吨/年</w:t>
                  </w:r>
                </w:p>
              </w:tc>
              <w:tc>
                <w:tcPr>
                  <w:tcW w:w="963" w:type="dxa"/>
                  <w:tcBorders>
                    <w:tl2br w:val="nil"/>
                    <w:tr2bl w:val="nil"/>
                  </w:tcBorders>
                  <w:vAlign w:val="center"/>
                </w:tcPr>
                <w:p w14:paraId="522E1147">
                  <w:pPr>
                    <w:autoSpaceDE w:val="0"/>
                    <w:autoSpaceDN w:val="0"/>
                    <w:jc w:val="center"/>
                    <w:rPr>
                      <w:rFonts w:hint="default" w:eastAsia="宋体"/>
                      <w:b w:val="0"/>
                      <w:bCs w:val="0"/>
                      <w:color w:val="000000" w:themeColor="text1"/>
                      <w:szCs w:val="21"/>
                      <w:highlight w:val="none"/>
                      <w:lang w:val="en-US" w:eastAsia="zh-CN"/>
                      <w14:textFill>
                        <w14:solidFill>
                          <w14:schemeClr w14:val="tx1"/>
                        </w14:solidFill>
                      </w14:textFill>
                    </w:rPr>
                  </w:pPr>
                  <w:r>
                    <w:rPr>
                      <w:rFonts w:hint="eastAsia" w:eastAsia="宋体"/>
                      <w:b w:val="0"/>
                      <w:bCs w:val="0"/>
                      <w:color w:val="000000" w:themeColor="text1"/>
                      <w:szCs w:val="21"/>
                      <w:highlight w:val="none"/>
                      <w:lang w:val="en-US" w:eastAsia="zh-CN"/>
                      <w14:textFill>
                        <w14:solidFill>
                          <w14:schemeClr w14:val="tx1"/>
                        </w14:solidFill>
                      </w14:textFill>
                    </w:rPr>
                    <w:t>180</w:t>
                  </w:r>
                </w:p>
              </w:tc>
              <w:tc>
                <w:tcPr>
                  <w:tcW w:w="2871" w:type="dxa"/>
                  <w:tcBorders>
                    <w:tl2br w:val="nil"/>
                    <w:tr2bl w:val="nil"/>
                  </w:tcBorders>
                  <w:vAlign w:val="center"/>
                </w:tcPr>
                <w:p w14:paraId="2B49ED4F">
                  <w:pPr>
                    <w:autoSpaceDE w:val="0"/>
                    <w:autoSpaceDN w:val="0"/>
                    <w:jc w:val="center"/>
                    <w:rPr>
                      <w:b w:val="0"/>
                      <w:bCs w:val="0"/>
                      <w:color w:val="000000" w:themeColor="text1"/>
                      <w:szCs w:val="21"/>
                      <w:highlight w:val="none"/>
                      <w14:textFill>
                        <w14:solidFill>
                          <w14:schemeClr w14:val="tx1"/>
                        </w14:solidFill>
                      </w14:textFill>
                    </w:rPr>
                  </w:pPr>
                  <w:r>
                    <w:rPr>
                      <w:rFonts w:hint="eastAsia"/>
                      <w:b w:val="0"/>
                      <w:bCs w:val="0"/>
                      <w:color w:val="000000" w:themeColor="text1"/>
                      <w:szCs w:val="21"/>
                      <w:highlight w:val="none"/>
                      <w:lang w:val="en-US" w:eastAsia="zh-CN"/>
                      <w14:textFill>
                        <w14:solidFill>
                          <w14:schemeClr w14:val="tx1"/>
                        </w14:solidFill>
                      </w14:textFill>
                    </w:rPr>
                    <w:t>精煤库</w:t>
                  </w:r>
                </w:p>
              </w:tc>
              <w:tc>
                <w:tcPr>
                  <w:tcW w:w="2256" w:type="dxa"/>
                  <w:tcBorders>
                    <w:tl2br w:val="nil"/>
                    <w:tr2bl w:val="nil"/>
                  </w:tcBorders>
                  <w:vAlign w:val="center"/>
                </w:tcPr>
                <w:p w14:paraId="443892AC">
                  <w:pPr>
                    <w:autoSpaceDE w:val="0"/>
                    <w:autoSpaceDN w:val="0"/>
                    <w:jc w:val="center"/>
                    <w:rPr>
                      <w:b w:val="0"/>
                      <w:bCs w:val="0"/>
                      <w:color w:val="000000" w:themeColor="text1"/>
                      <w:szCs w:val="21"/>
                      <w:highlight w:val="none"/>
                      <w14:textFill>
                        <w14:solidFill>
                          <w14:schemeClr w14:val="tx1"/>
                        </w14:solidFill>
                      </w14:textFill>
                    </w:rPr>
                  </w:pPr>
                  <w:r>
                    <w:rPr>
                      <w:rFonts w:hint="eastAsia"/>
                      <w:b w:val="0"/>
                      <w:bCs w:val="0"/>
                      <w:color w:val="000000" w:themeColor="text1"/>
                      <w:szCs w:val="21"/>
                      <w:highlight w:val="none"/>
                      <w14:textFill>
                        <w14:solidFill>
                          <w14:schemeClr w14:val="tx1"/>
                        </w14:solidFill>
                      </w14:textFill>
                    </w:rPr>
                    <w:t>外售</w:t>
                  </w:r>
                </w:p>
              </w:tc>
            </w:tr>
            <w:tr w14:paraId="5A901E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19" w:hRule="atLeast"/>
                <w:jc w:val="center"/>
              </w:trPr>
              <w:tc>
                <w:tcPr>
                  <w:tcW w:w="608" w:type="dxa"/>
                  <w:tcBorders>
                    <w:tl2br w:val="nil"/>
                    <w:tr2bl w:val="nil"/>
                  </w:tcBorders>
                  <w:vAlign w:val="center"/>
                </w:tcPr>
                <w:p w14:paraId="01564761">
                  <w:pPr>
                    <w:autoSpaceDE w:val="0"/>
                    <w:autoSpaceDN w:val="0"/>
                    <w:jc w:val="center"/>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2</w:t>
                  </w:r>
                </w:p>
              </w:tc>
              <w:tc>
                <w:tcPr>
                  <w:tcW w:w="775" w:type="dxa"/>
                  <w:tcBorders>
                    <w:tl2br w:val="nil"/>
                    <w:tr2bl w:val="nil"/>
                  </w:tcBorders>
                  <w:vAlign w:val="center"/>
                </w:tcPr>
                <w:p w14:paraId="1EC3D086">
                  <w:pPr>
                    <w:adjustRightInd w:val="0"/>
                    <w:snapToGrid w:val="0"/>
                    <w:jc w:val="center"/>
                    <w:rPr>
                      <w:b w:val="0"/>
                      <w:bCs w:val="0"/>
                      <w:color w:val="000000" w:themeColor="text1"/>
                      <w:szCs w:val="21"/>
                      <w:highlight w:val="none"/>
                      <w14:textFill>
                        <w14:solidFill>
                          <w14:schemeClr w14:val="tx1"/>
                        </w14:solidFill>
                      </w14:textFill>
                    </w:rPr>
                  </w:pPr>
                  <w:r>
                    <w:rPr>
                      <w:rFonts w:hint="eastAsia"/>
                      <w:b w:val="0"/>
                      <w:bCs w:val="0"/>
                      <w:color w:val="000000" w:themeColor="text1"/>
                      <w:szCs w:val="21"/>
                      <w:highlight w:val="none"/>
                      <w14:textFill>
                        <w14:solidFill>
                          <w14:schemeClr w14:val="tx1"/>
                        </w14:solidFill>
                      </w14:textFill>
                    </w:rPr>
                    <w:t>中煤</w:t>
                  </w:r>
                </w:p>
              </w:tc>
              <w:tc>
                <w:tcPr>
                  <w:tcW w:w="805" w:type="dxa"/>
                  <w:tcBorders>
                    <w:tl2br w:val="nil"/>
                    <w:tr2bl w:val="nil"/>
                  </w:tcBorders>
                  <w:vAlign w:val="center"/>
                </w:tcPr>
                <w:p w14:paraId="5E965150">
                  <w:pPr>
                    <w:adjustRightInd w:val="0"/>
                    <w:snapToGrid w:val="0"/>
                    <w:jc w:val="center"/>
                    <w:rPr>
                      <w:b w:val="0"/>
                      <w:bCs w:val="0"/>
                      <w:color w:val="000000" w:themeColor="text1"/>
                      <w:szCs w:val="21"/>
                      <w:highlight w:val="none"/>
                      <w14:textFill>
                        <w14:solidFill>
                          <w14:schemeClr w14:val="tx1"/>
                        </w14:solidFill>
                      </w14:textFill>
                    </w:rPr>
                  </w:pPr>
                  <w:r>
                    <w:rPr>
                      <w:rFonts w:hint="eastAsia"/>
                      <w:b w:val="0"/>
                      <w:bCs w:val="0"/>
                      <w:color w:val="000000" w:themeColor="text1"/>
                      <w:szCs w:val="21"/>
                      <w:highlight w:val="none"/>
                      <w14:textFill>
                        <w14:solidFill>
                          <w14:schemeClr w14:val="tx1"/>
                        </w14:solidFill>
                      </w14:textFill>
                    </w:rPr>
                    <w:t>万吨/年</w:t>
                  </w:r>
                </w:p>
              </w:tc>
              <w:tc>
                <w:tcPr>
                  <w:tcW w:w="963" w:type="dxa"/>
                  <w:tcBorders>
                    <w:tl2br w:val="nil"/>
                    <w:tr2bl w:val="nil"/>
                  </w:tcBorders>
                  <w:vAlign w:val="center"/>
                </w:tcPr>
                <w:p w14:paraId="4E38DAE3">
                  <w:pPr>
                    <w:autoSpaceDE w:val="0"/>
                    <w:autoSpaceDN w:val="0"/>
                    <w:jc w:val="center"/>
                    <w:rPr>
                      <w:rFonts w:hint="default" w:eastAsia="宋体"/>
                      <w:b w:val="0"/>
                      <w:bCs w:val="0"/>
                      <w:color w:val="000000" w:themeColor="text1"/>
                      <w:szCs w:val="21"/>
                      <w:highlight w:val="none"/>
                      <w:lang w:val="en-US" w:eastAsia="zh-CN"/>
                      <w14:textFill>
                        <w14:solidFill>
                          <w14:schemeClr w14:val="tx1"/>
                        </w14:solidFill>
                      </w14:textFill>
                    </w:rPr>
                  </w:pPr>
                  <w:r>
                    <w:rPr>
                      <w:rFonts w:hint="eastAsia" w:eastAsia="宋体"/>
                      <w:b w:val="0"/>
                      <w:bCs w:val="0"/>
                      <w:color w:val="000000" w:themeColor="text1"/>
                      <w:szCs w:val="21"/>
                      <w:highlight w:val="none"/>
                      <w:lang w:val="en-US" w:eastAsia="zh-CN"/>
                      <w14:textFill>
                        <w14:solidFill>
                          <w14:schemeClr w14:val="tx1"/>
                        </w14:solidFill>
                      </w14:textFill>
                    </w:rPr>
                    <w:t>30</w:t>
                  </w:r>
                </w:p>
              </w:tc>
              <w:tc>
                <w:tcPr>
                  <w:tcW w:w="2871" w:type="dxa"/>
                  <w:vMerge w:val="restart"/>
                  <w:tcBorders>
                    <w:tl2br w:val="nil"/>
                    <w:tr2bl w:val="nil"/>
                  </w:tcBorders>
                  <w:vAlign w:val="center"/>
                </w:tcPr>
                <w:p w14:paraId="6A55002C">
                  <w:pPr>
                    <w:autoSpaceDE w:val="0"/>
                    <w:autoSpaceDN w:val="0"/>
                    <w:jc w:val="center"/>
                    <w:rPr>
                      <w:rFonts w:hint="default"/>
                      <w:b w:val="0"/>
                      <w:bCs w:val="0"/>
                      <w:color w:val="000000" w:themeColor="text1"/>
                      <w:szCs w:val="21"/>
                      <w:highlight w:val="none"/>
                      <w:lang w:val="en-US"/>
                      <w14:textFill>
                        <w14:solidFill>
                          <w14:schemeClr w14:val="tx1"/>
                        </w14:solidFill>
                      </w14:textFill>
                    </w:rPr>
                  </w:pPr>
                  <w:r>
                    <w:rPr>
                      <w:rFonts w:hint="default"/>
                      <w:b w:val="0"/>
                      <w:bCs w:val="0"/>
                      <w:color w:val="000000" w:themeColor="text1"/>
                      <w:szCs w:val="21"/>
                      <w:highlight w:val="none"/>
                      <w:lang w:val="en-US" w:eastAsia="zh-CN"/>
                      <w14:textFill>
                        <w14:solidFill>
                          <w14:schemeClr w14:val="tx1"/>
                        </w14:solidFill>
                      </w14:textFill>
                    </w:rPr>
                    <w:t>日产日清冬季直接运往虹焱热电，夏季外售给大唐双鸭山热电有限公司</w:t>
                  </w:r>
                </w:p>
              </w:tc>
              <w:tc>
                <w:tcPr>
                  <w:tcW w:w="2256" w:type="dxa"/>
                  <w:tcBorders>
                    <w:tl2br w:val="nil"/>
                    <w:tr2bl w:val="nil"/>
                  </w:tcBorders>
                  <w:vAlign w:val="center"/>
                </w:tcPr>
                <w:p w14:paraId="668585FE">
                  <w:pPr>
                    <w:autoSpaceDE w:val="0"/>
                    <w:autoSpaceDN w:val="0"/>
                    <w:jc w:val="center"/>
                    <w:rPr>
                      <w:b w:val="0"/>
                      <w:bCs w:val="0"/>
                      <w:color w:val="000000" w:themeColor="text1"/>
                      <w:szCs w:val="21"/>
                      <w:highlight w:val="none"/>
                      <w14:textFill>
                        <w14:solidFill>
                          <w14:schemeClr w14:val="tx1"/>
                        </w14:solidFill>
                      </w14:textFill>
                    </w:rPr>
                  </w:pPr>
                  <w:r>
                    <w:rPr>
                      <w:rFonts w:hint="eastAsia"/>
                      <w:b w:val="0"/>
                      <w:bCs w:val="0"/>
                      <w:color w:val="000000" w:themeColor="text1"/>
                      <w:szCs w:val="21"/>
                      <w:highlight w:val="none"/>
                      <w14:textFill>
                        <w14:solidFill>
                          <w14:schemeClr w14:val="tx1"/>
                        </w14:solidFill>
                      </w14:textFill>
                    </w:rPr>
                    <w:t>外售</w:t>
                  </w:r>
                </w:p>
              </w:tc>
            </w:tr>
            <w:tr w14:paraId="0ED722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19" w:hRule="atLeast"/>
                <w:jc w:val="center"/>
              </w:trPr>
              <w:tc>
                <w:tcPr>
                  <w:tcW w:w="608" w:type="dxa"/>
                  <w:tcBorders>
                    <w:tl2br w:val="nil"/>
                    <w:tr2bl w:val="nil"/>
                  </w:tcBorders>
                  <w:vAlign w:val="center"/>
                </w:tcPr>
                <w:p w14:paraId="2100E95A">
                  <w:pPr>
                    <w:autoSpaceDE w:val="0"/>
                    <w:autoSpaceDN w:val="0"/>
                    <w:jc w:val="center"/>
                    <w:rPr>
                      <w:rFonts w:hint="default" w:eastAsia="宋体"/>
                      <w:b w:val="0"/>
                      <w:bCs w:val="0"/>
                      <w:color w:val="000000" w:themeColor="text1"/>
                      <w:szCs w:val="21"/>
                      <w:lang w:val="en-US" w:eastAsia="zh-CN"/>
                      <w14:textFill>
                        <w14:solidFill>
                          <w14:schemeClr w14:val="tx1"/>
                        </w14:solidFill>
                      </w14:textFill>
                    </w:rPr>
                  </w:pPr>
                  <w:r>
                    <w:rPr>
                      <w:rFonts w:hint="eastAsia"/>
                      <w:b w:val="0"/>
                      <w:bCs w:val="0"/>
                      <w:color w:val="000000" w:themeColor="text1"/>
                      <w:szCs w:val="21"/>
                      <w:lang w:val="en-US" w:eastAsia="zh-CN"/>
                      <w14:textFill>
                        <w14:solidFill>
                          <w14:schemeClr w14:val="tx1"/>
                        </w14:solidFill>
                      </w14:textFill>
                    </w:rPr>
                    <w:t>3</w:t>
                  </w:r>
                </w:p>
              </w:tc>
              <w:tc>
                <w:tcPr>
                  <w:tcW w:w="775" w:type="dxa"/>
                  <w:tcBorders>
                    <w:tl2br w:val="nil"/>
                    <w:tr2bl w:val="nil"/>
                  </w:tcBorders>
                  <w:vAlign w:val="center"/>
                </w:tcPr>
                <w:p w14:paraId="19EB5BB9">
                  <w:pPr>
                    <w:adjustRightInd w:val="0"/>
                    <w:snapToGrid w:val="0"/>
                    <w:jc w:val="center"/>
                    <w:rPr>
                      <w:rFonts w:hint="eastAsia"/>
                      <w:b w:val="0"/>
                      <w:bCs w:val="0"/>
                      <w:color w:val="000000" w:themeColor="text1"/>
                      <w:szCs w:val="21"/>
                      <w:highlight w:val="none"/>
                      <w14:textFill>
                        <w14:solidFill>
                          <w14:schemeClr w14:val="tx1"/>
                        </w14:solidFill>
                      </w14:textFill>
                    </w:rPr>
                  </w:pPr>
                  <w:r>
                    <w:rPr>
                      <w:rFonts w:hint="eastAsia"/>
                      <w:b w:val="0"/>
                      <w:bCs w:val="0"/>
                      <w:color w:val="000000" w:themeColor="text1"/>
                      <w:szCs w:val="21"/>
                      <w:lang w:val="en-US" w:eastAsia="zh-CN"/>
                      <w14:textFill>
                        <w14:solidFill>
                          <w14:schemeClr w14:val="tx1"/>
                        </w14:solidFill>
                      </w14:textFill>
                    </w:rPr>
                    <w:t>煤泥</w:t>
                  </w:r>
                </w:p>
              </w:tc>
              <w:tc>
                <w:tcPr>
                  <w:tcW w:w="805" w:type="dxa"/>
                  <w:tcBorders>
                    <w:tl2br w:val="nil"/>
                    <w:tr2bl w:val="nil"/>
                  </w:tcBorders>
                  <w:vAlign w:val="center"/>
                </w:tcPr>
                <w:p w14:paraId="502D7B5D">
                  <w:pPr>
                    <w:adjustRightInd w:val="0"/>
                    <w:snapToGrid w:val="0"/>
                    <w:jc w:val="center"/>
                    <w:rPr>
                      <w:rFonts w:hint="eastAsia"/>
                      <w:b w:val="0"/>
                      <w:bCs w:val="0"/>
                      <w:color w:val="000000" w:themeColor="text1"/>
                      <w:szCs w:val="21"/>
                      <w:highlight w:val="none"/>
                      <w14:textFill>
                        <w14:solidFill>
                          <w14:schemeClr w14:val="tx1"/>
                        </w14:solidFill>
                      </w14:textFill>
                    </w:rPr>
                  </w:pPr>
                  <w:r>
                    <w:rPr>
                      <w:rFonts w:hint="eastAsia"/>
                      <w:b w:val="0"/>
                      <w:bCs w:val="0"/>
                      <w:color w:val="000000" w:themeColor="text1"/>
                      <w:szCs w:val="21"/>
                      <w:highlight w:val="none"/>
                      <w14:textFill>
                        <w14:solidFill>
                          <w14:schemeClr w14:val="tx1"/>
                        </w14:solidFill>
                      </w14:textFill>
                    </w:rPr>
                    <w:t>万吨/年</w:t>
                  </w:r>
                </w:p>
              </w:tc>
              <w:tc>
                <w:tcPr>
                  <w:tcW w:w="963" w:type="dxa"/>
                  <w:tcBorders>
                    <w:tl2br w:val="nil"/>
                    <w:tr2bl w:val="nil"/>
                  </w:tcBorders>
                  <w:vAlign w:val="center"/>
                </w:tcPr>
                <w:p w14:paraId="2E4A40F4">
                  <w:pPr>
                    <w:autoSpaceDE w:val="0"/>
                    <w:autoSpaceDN w:val="0"/>
                    <w:jc w:val="center"/>
                    <w:rPr>
                      <w:rFonts w:hint="default" w:eastAsia="宋体"/>
                      <w:b w:val="0"/>
                      <w:bCs w:val="0"/>
                      <w:color w:val="000000" w:themeColor="text1"/>
                      <w:szCs w:val="21"/>
                      <w:highlight w:val="none"/>
                      <w:lang w:val="en-US" w:eastAsia="zh-CN"/>
                      <w14:textFill>
                        <w14:solidFill>
                          <w14:schemeClr w14:val="tx1"/>
                        </w14:solidFill>
                      </w14:textFill>
                    </w:rPr>
                  </w:pPr>
                  <w:r>
                    <w:rPr>
                      <w:rFonts w:hint="eastAsia"/>
                      <w:b w:val="0"/>
                      <w:bCs w:val="0"/>
                      <w:color w:val="000000" w:themeColor="text1"/>
                      <w:szCs w:val="21"/>
                      <w:highlight w:val="none"/>
                      <w:lang w:val="en-US" w:eastAsia="zh-CN"/>
                      <w14:textFill>
                        <w14:solidFill>
                          <w14:schemeClr w14:val="tx1"/>
                        </w14:solidFill>
                      </w14:textFill>
                    </w:rPr>
                    <w:t>18</w:t>
                  </w:r>
                </w:p>
              </w:tc>
              <w:tc>
                <w:tcPr>
                  <w:tcW w:w="2871" w:type="dxa"/>
                  <w:vMerge w:val="continue"/>
                  <w:tcBorders>
                    <w:tl2br w:val="nil"/>
                    <w:tr2bl w:val="nil"/>
                  </w:tcBorders>
                  <w:vAlign w:val="center"/>
                </w:tcPr>
                <w:p w14:paraId="56746B89">
                  <w:pPr>
                    <w:autoSpaceDE w:val="0"/>
                    <w:autoSpaceDN w:val="0"/>
                    <w:jc w:val="center"/>
                    <w:rPr>
                      <w:rFonts w:hint="eastAsia"/>
                      <w:b w:val="0"/>
                      <w:bCs w:val="0"/>
                      <w:color w:val="000000" w:themeColor="text1"/>
                      <w:szCs w:val="21"/>
                      <w:highlight w:val="none"/>
                      <w:lang w:val="en-US" w:eastAsia="zh-CN"/>
                      <w14:textFill>
                        <w14:solidFill>
                          <w14:schemeClr w14:val="tx1"/>
                        </w14:solidFill>
                      </w14:textFill>
                    </w:rPr>
                  </w:pPr>
                </w:p>
              </w:tc>
              <w:tc>
                <w:tcPr>
                  <w:tcW w:w="2256" w:type="dxa"/>
                  <w:tcBorders>
                    <w:tl2br w:val="nil"/>
                    <w:tr2bl w:val="nil"/>
                  </w:tcBorders>
                  <w:vAlign w:val="center"/>
                </w:tcPr>
                <w:p w14:paraId="634AF370">
                  <w:pPr>
                    <w:autoSpaceDE w:val="0"/>
                    <w:autoSpaceDN w:val="0"/>
                    <w:jc w:val="center"/>
                    <w:rPr>
                      <w:rFonts w:hint="eastAsia"/>
                      <w:b w:val="0"/>
                      <w:bCs w:val="0"/>
                      <w:color w:val="000000" w:themeColor="text1"/>
                      <w:szCs w:val="21"/>
                      <w:highlight w:val="none"/>
                      <w14:textFill>
                        <w14:solidFill>
                          <w14:schemeClr w14:val="tx1"/>
                        </w14:solidFill>
                      </w14:textFill>
                    </w:rPr>
                  </w:pPr>
                  <w:r>
                    <w:rPr>
                      <w:rFonts w:hint="eastAsia"/>
                      <w:b w:val="0"/>
                      <w:bCs w:val="0"/>
                      <w:color w:val="000000" w:themeColor="text1"/>
                      <w:szCs w:val="21"/>
                      <w:highlight w:val="none"/>
                      <w14:textFill>
                        <w14:solidFill>
                          <w14:schemeClr w14:val="tx1"/>
                        </w14:solidFill>
                      </w14:textFill>
                    </w:rPr>
                    <w:t>外售</w:t>
                  </w:r>
                </w:p>
              </w:tc>
            </w:tr>
            <w:tr w14:paraId="5A0EB1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19" w:hRule="atLeast"/>
                <w:jc w:val="center"/>
              </w:trPr>
              <w:tc>
                <w:tcPr>
                  <w:tcW w:w="608" w:type="dxa"/>
                  <w:tcBorders>
                    <w:tl2br w:val="nil"/>
                    <w:tr2bl w:val="nil"/>
                  </w:tcBorders>
                  <w:vAlign w:val="center"/>
                </w:tcPr>
                <w:p w14:paraId="39DD5348">
                  <w:pPr>
                    <w:autoSpaceDE w:val="0"/>
                    <w:autoSpaceDN w:val="0"/>
                    <w:jc w:val="center"/>
                    <w:rPr>
                      <w:rFonts w:hint="eastAsia" w:eastAsia="宋体"/>
                      <w:b w:val="0"/>
                      <w:bCs w:val="0"/>
                      <w:color w:val="000000" w:themeColor="text1"/>
                      <w:szCs w:val="21"/>
                      <w:lang w:val="en-US" w:eastAsia="zh-CN"/>
                      <w14:textFill>
                        <w14:solidFill>
                          <w14:schemeClr w14:val="tx1"/>
                        </w14:solidFill>
                      </w14:textFill>
                    </w:rPr>
                  </w:pPr>
                  <w:r>
                    <w:rPr>
                      <w:rFonts w:hint="eastAsia"/>
                      <w:b w:val="0"/>
                      <w:bCs w:val="0"/>
                      <w:color w:val="000000" w:themeColor="text1"/>
                      <w:szCs w:val="21"/>
                      <w:lang w:val="en-US" w:eastAsia="zh-CN"/>
                      <w14:textFill>
                        <w14:solidFill>
                          <w14:schemeClr w14:val="tx1"/>
                        </w14:solidFill>
                      </w14:textFill>
                    </w:rPr>
                    <w:t>4</w:t>
                  </w:r>
                </w:p>
              </w:tc>
              <w:tc>
                <w:tcPr>
                  <w:tcW w:w="775" w:type="dxa"/>
                  <w:tcBorders>
                    <w:tl2br w:val="nil"/>
                    <w:tr2bl w:val="nil"/>
                  </w:tcBorders>
                  <w:vAlign w:val="center"/>
                </w:tcPr>
                <w:p w14:paraId="236E85D3">
                  <w:pPr>
                    <w:adjustRightInd w:val="0"/>
                    <w:snapToGrid w:val="0"/>
                    <w:jc w:val="center"/>
                    <w:rPr>
                      <w:rFonts w:hint="eastAsia" w:eastAsia="宋体"/>
                      <w:b w:val="0"/>
                      <w:bCs w:val="0"/>
                      <w:color w:val="000000" w:themeColor="text1"/>
                      <w:szCs w:val="21"/>
                      <w:highlight w:val="none"/>
                      <w:lang w:val="en-US" w:eastAsia="zh-CN"/>
                      <w14:textFill>
                        <w14:solidFill>
                          <w14:schemeClr w14:val="tx1"/>
                        </w14:solidFill>
                      </w14:textFill>
                    </w:rPr>
                  </w:pPr>
                  <w:r>
                    <w:rPr>
                      <w:rFonts w:hint="eastAsia"/>
                      <w:b w:val="0"/>
                      <w:bCs w:val="0"/>
                      <w:color w:val="000000" w:themeColor="text1"/>
                      <w:szCs w:val="21"/>
                      <w:highlight w:val="none"/>
                      <w:lang w:val="en-US" w:eastAsia="zh-CN"/>
                      <w14:textFill>
                        <w14:solidFill>
                          <w14:schemeClr w14:val="tx1"/>
                        </w14:solidFill>
                      </w14:textFill>
                    </w:rPr>
                    <w:t>矸石</w:t>
                  </w:r>
                </w:p>
              </w:tc>
              <w:tc>
                <w:tcPr>
                  <w:tcW w:w="805" w:type="dxa"/>
                  <w:tcBorders>
                    <w:tl2br w:val="nil"/>
                    <w:tr2bl w:val="nil"/>
                  </w:tcBorders>
                  <w:vAlign w:val="center"/>
                </w:tcPr>
                <w:p w14:paraId="68FD9A8A">
                  <w:pPr>
                    <w:adjustRightInd w:val="0"/>
                    <w:snapToGrid w:val="0"/>
                    <w:jc w:val="center"/>
                    <w:rPr>
                      <w:rFonts w:hint="eastAsia"/>
                      <w:b w:val="0"/>
                      <w:bCs w:val="0"/>
                      <w:color w:val="000000" w:themeColor="text1"/>
                      <w:szCs w:val="21"/>
                      <w:highlight w:val="none"/>
                      <w14:textFill>
                        <w14:solidFill>
                          <w14:schemeClr w14:val="tx1"/>
                        </w14:solidFill>
                      </w14:textFill>
                    </w:rPr>
                  </w:pPr>
                  <w:r>
                    <w:rPr>
                      <w:rFonts w:hint="eastAsia"/>
                      <w:b w:val="0"/>
                      <w:bCs w:val="0"/>
                      <w:color w:val="000000" w:themeColor="text1"/>
                      <w:szCs w:val="21"/>
                      <w:highlight w:val="none"/>
                      <w14:textFill>
                        <w14:solidFill>
                          <w14:schemeClr w14:val="tx1"/>
                        </w14:solidFill>
                      </w14:textFill>
                    </w:rPr>
                    <w:t>万吨/年</w:t>
                  </w:r>
                </w:p>
              </w:tc>
              <w:tc>
                <w:tcPr>
                  <w:tcW w:w="963" w:type="dxa"/>
                  <w:tcBorders>
                    <w:tl2br w:val="nil"/>
                    <w:tr2bl w:val="nil"/>
                  </w:tcBorders>
                  <w:vAlign w:val="center"/>
                </w:tcPr>
                <w:p w14:paraId="29D547EE">
                  <w:pPr>
                    <w:autoSpaceDE w:val="0"/>
                    <w:autoSpaceDN w:val="0"/>
                    <w:jc w:val="center"/>
                    <w:rPr>
                      <w:rFonts w:hint="default" w:eastAsia="宋体"/>
                      <w:b w:val="0"/>
                      <w:bCs w:val="0"/>
                      <w:color w:val="000000" w:themeColor="text1"/>
                      <w:szCs w:val="21"/>
                      <w:highlight w:val="none"/>
                      <w:lang w:val="en-US" w:eastAsia="zh-CN"/>
                      <w14:textFill>
                        <w14:solidFill>
                          <w14:schemeClr w14:val="tx1"/>
                        </w14:solidFill>
                      </w14:textFill>
                    </w:rPr>
                  </w:pPr>
                  <w:r>
                    <w:rPr>
                      <w:rFonts w:hint="eastAsia"/>
                      <w:b w:val="0"/>
                      <w:bCs w:val="0"/>
                      <w:color w:val="000000" w:themeColor="text1"/>
                      <w:szCs w:val="21"/>
                      <w:highlight w:val="none"/>
                      <w:lang w:val="en-US" w:eastAsia="zh-CN"/>
                      <w14:textFill>
                        <w14:solidFill>
                          <w14:schemeClr w14:val="tx1"/>
                        </w14:solidFill>
                      </w14:textFill>
                    </w:rPr>
                    <w:t>72</w:t>
                  </w:r>
                </w:p>
              </w:tc>
              <w:tc>
                <w:tcPr>
                  <w:tcW w:w="2871" w:type="dxa"/>
                  <w:tcBorders>
                    <w:tl2br w:val="nil"/>
                    <w:tr2bl w:val="nil"/>
                  </w:tcBorders>
                  <w:vAlign w:val="center"/>
                </w:tcPr>
                <w:p w14:paraId="47F2F13A">
                  <w:pPr>
                    <w:autoSpaceDE w:val="0"/>
                    <w:autoSpaceDN w:val="0"/>
                    <w:jc w:val="center"/>
                    <w:rPr>
                      <w:rFonts w:hint="default"/>
                      <w:b w:val="0"/>
                      <w:bCs w:val="0"/>
                      <w:color w:val="000000" w:themeColor="text1"/>
                      <w:szCs w:val="21"/>
                      <w:highlight w:val="none"/>
                      <w:lang w:val="en-US" w:eastAsia="zh-CN"/>
                      <w14:textFill>
                        <w14:solidFill>
                          <w14:schemeClr w14:val="tx1"/>
                        </w14:solidFill>
                      </w14:textFill>
                    </w:rPr>
                  </w:pPr>
                  <w:r>
                    <w:rPr>
                      <w:rFonts w:hint="eastAsia"/>
                      <w:b w:val="0"/>
                      <w:bCs w:val="0"/>
                      <w:color w:val="000000" w:themeColor="text1"/>
                      <w:szCs w:val="21"/>
                      <w:highlight w:val="none"/>
                      <w:lang w:val="en-US" w:eastAsia="zh-CN"/>
                      <w14:textFill>
                        <w14:solidFill>
                          <w14:schemeClr w14:val="tx1"/>
                        </w14:solidFill>
                      </w14:textFill>
                    </w:rPr>
                    <w:t>矸石仓</w:t>
                  </w:r>
                </w:p>
              </w:tc>
              <w:tc>
                <w:tcPr>
                  <w:tcW w:w="2256" w:type="dxa"/>
                  <w:tcBorders>
                    <w:tl2br w:val="nil"/>
                    <w:tr2bl w:val="nil"/>
                  </w:tcBorders>
                  <w:vAlign w:val="center"/>
                </w:tcPr>
                <w:p w14:paraId="16ABB6E9">
                  <w:pPr>
                    <w:autoSpaceDE w:val="0"/>
                    <w:autoSpaceDN w:val="0"/>
                    <w:jc w:val="center"/>
                    <w:rPr>
                      <w:rFonts w:hint="eastAsia"/>
                      <w:b w:val="0"/>
                      <w:bCs w:val="0"/>
                      <w:color w:val="000000" w:themeColor="text1"/>
                      <w:szCs w:val="21"/>
                      <w:highlight w:val="none"/>
                      <w14:textFill>
                        <w14:solidFill>
                          <w14:schemeClr w14:val="tx1"/>
                        </w14:solidFill>
                      </w14:textFill>
                    </w:rPr>
                  </w:pPr>
                  <w:r>
                    <w:rPr>
                      <w:rFonts w:hint="eastAsia"/>
                      <w:b w:val="0"/>
                      <w:bCs w:val="0"/>
                      <w:color w:val="000000" w:themeColor="text1"/>
                      <w:szCs w:val="21"/>
                      <w:highlight w:val="none"/>
                      <w:lang w:val="en-US" w:eastAsia="zh-CN"/>
                      <w14:textFill>
                        <w14:solidFill>
                          <w14:schemeClr w14:val="tx1"/>
                        </w14:solidFill>
                      </w14:textFill>
                    </w:rPr>
                    <w:t>矸石用于集贤矿的井下回填以及填充东荣二矿和东荣三矿的沉陷区</w:t>
                  </w:r>
                </w:p>
              </w:tc>
            </w:tr>
          </w:tbl>
          <w:p w14:paraId="07ECD416">
            <w:pPr>
              <w:tabs>
                <w:tab w:val="left" w:pos="6480"/>
              </w:tabs>
              <w:spacing w:line="360" w:lineRule="auto"/>
              <w:jc w:val="center"/>
              <w:rPr>
                <w:rFonts w:hint="eastAsia" w:eastAsia="宋体"/>
                <w:bCs/>
                <w:color w:val="000000" w:themeColor="text1"/>
                <w:sz w:val="24"/>
                <w:highlight w:val="none"/>
                <w:lang w:eastAsia="zh-CN"/>
                <w14:textFill>
                  <w14:solidFill>
                    <w14:schemeClr w14:val="tx1"/>
                  </w14:solidFill>
                </w14:textFill>
              </w:rPr>
            </w:pPr>
            <w:r>
              <w:rPr>
                <w:rFonts w:hint="eastAsia" w:eastAsia="宋体"/>
                <w:bCs/>
                <w:color w:val="000000" w:themeColor="text1"/>
                <w:sz w:val="24"/>
                <w:highlight w:val="none"/>
                <w:lang w:eastAsia="zh-CN"/>
                <w14:textFill>
                  <w14:solidFill>
                    <w14:schemeClr w14:val="tx1"/>
                  </w14:solidFill>
                </w14:textFill>
              </w:rPr>
              <w:drawing>
                <wp:inline distT="0" distB="0" distL="114300" distR="114300">
                  <wp:extent cx="5352415" cy="2797175"/>
                  <wp:effectExtent l="0" t="0" r="635" b="3175"/>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r:embed="rId12"/>
                          <a:stretch>
                            <a:fillRect/>
                          </a:stretch>
                        </pic:blipFill>
                        <pic:spPr>
                          <a:xfrm>
                            <a:off x="0" y="0"/>
                            <a:ext cx="5352415" cy="2797175"/>
                          </a:xfrm>
                          <a:prstGeom prst="rect">
                            <a:avLst/>
                          </a:prstGeom>
                          <a:noFill/>
                          <a:ln>
                            <a:noFill/>
                          </a:ln>
                        </pic:spPr>
                      </pic:pic>
                    </a:graphicData>
                  </a:graphic>
                </wp:inline>
              </w:drawing>
            </w:r>
          </w:p>
          <w:p w14:paraId="74C2C9A0">
            <w:pPr>
              <w:spacing w:line="360" w:lineRule="auto"/>
              <w:jc w:val="center"/>
              <w:rPr>
                <w:rFonts w:hint="eastAsia" w:eastAsia="宋体"/>
                <w:bCs/>
                <w:color w:val="000000" w:themeColor="text1"/>
                <w:sz w:val="24"/>
                <w:szCs w:val="24"/>
                <w:highlight w:val="none"/>
                <w:lang w:eastAsia="zh-CN"/>
                <w14:textFill>
                  <w14:solidFill>
                    <w14:schemeClr w14:val="tx1"/>
                  </w14:solidFill>
                </w14:textFill>
              </w:rPr>
            </w:pPr>
            <w:r>
              <w:rPr>
                <w:rFonts w:hint="eastAsia"/>
                <w:b/>
                <w:color w:val="000000" w:themeColor="text1"/>
                <w:sz w:val="24"/>
                <w:szCs w:val="24"/>
                <w:highlight w:val="none"/>
                <w14:textFill>
                  <w14:solidFill>
                    <w14:schemeClr w14:val="tx1"/>
                  </w14:solidFill>
                </w14:textFill>
              </w:rPr>
              <w:t>图2-1物料平衡图</w:t>
            </w:r>
            <w:r>
              <w:rPr>
                <w:rFonts w:hint="eastAsia"/>
                <w:b/>
                <w:color w:val="000000" w:themeColor="text1"/>
                <w:sz w:val="24"/>
                <w:szCs w:val="24"/>
                <w:highlight w:val="none"/>
                <w:lang w:eastAsia="zh-CN"/>
                <w14:textFill>
                  <w14:solidFill>
                    <w14:schemeClr w14:val="tx1"/>
                  </w14:solidFill>
                </w14:textFill>
              </w:rPr>
              <w:t>（</w:t>
            </w:r>
            <w:r>
              <w:rPr>
                <w:rFonts w:hint="eastAsia"/>
                <w:b/>
                <w:color w:val="000000" w:themeColor="text1"/>
                <w:sz w:val="24"/>
                <w:szCs w:val="24"/>
                <w:highlight w:val="none"/>
                <w:lang w:val="en-US" w:eastAsia="zh-CN"/>
                <w14:textFill>
                  <w14:solidFill>
                    <w14:schemeClr w14:val="tx1"/>
                  </w14:solidFill>
                </w14:textFill>
              </w:rPr>
              <w:t>单位：万吨/年</w:t>
            </w:r>
            <w:r>
              <w:rPr>
                <w:rFonts w:hint="eastAsia"/>
                <w:b/>
                <w:color w:val="000000" w:themeColor="text1"/>
                <w:sz w:val="24"/>
                <w:szCs w:val="24"/>
                <w:highlight w:val="none"/>
                <w:lang w:eastAsia="zh-CN"/>
                <w14:textFill>
                  <w14:solidFill>
                    <w14:schemeClr w14:val="tx1"/>
                  </w14:solidFill>
                </w14:textFill>
              </w:rPr>
              <w:t>）</w:t>
            </w:r>
          </w:p>
          <w:p w14:paraId="46054A57">
            <w:pPr>
              <w:spacing w:line="360" w:lineRule="auto"/>
              <w:ind w:firstLine="482" w:firstLineChars="200"/>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5、主要原辅材料</w:t>
            </w:r>
          </w:p>
          <w:p w14:paraId="7938BD5A">
            <w:pPr>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本项目主要原辅材料详见表2-</w:t>
            </w:r>
            <w:r>
              <w:rPr>
                <w:rFonts w:hint="eastAsia"/>
                <w:color w:val="000000" w:themeColor="text1"/>
                <w:sz w:val="24"/>
                <w:highlight w:val="none"/>
                <w:lang w:val="en-US" w:eastAsia="zh-CN"/>
                <w14:textFill>
                  <w14:solidFill>
                    <w14:schemeClr w14:val="tx1"/>
                  </w14:solidFill>
                </w14:textFill>
              </w:rPr>
              <w:t>4</w:t>
            </w:r>
            <w:r>
              <w:rPr>
                <w:color w:val="000000" w:themeColor="text1"/>
                <w:sz w:val="24"/>
                <w:highlight w:val="none"/>
                <w14:textFill>
                  <w14:solidFill>
                    <w14:schemeClr w14:val="tx1"/>
                  </w14:solidFill>
                </w14:textFill>
              </w:rPr>
              <w:t>。</w:t>
            </w:r>
          </w:p>
          <w:p w14:paraId="185374A0">
            <w:pPr>
              <w:spacing w:line="360" w:lineRule="auto"/>
              <w:jc w:val="center"/>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表2-</w:t>
            </w:r>
            <w:r>
              <w:rPr>
                <w:rFonts w:hint="eastAsia"/>
                <w:b/>
                <w:color w:val="000000" w:themeColor="text1"/>
                <w:sz w:val="24"/>
                <w:highlight w:val="none"/>
                <w:lang w:val="en-US" w:eastAsia="zh-CN"/>
                <w14:textFill>
                  <w14:solidFill>
                    <w14:schemeClr w14:val="tx1"/>
                  </w14:solidFill>
                </w14:textFill>
              </w:rPr>
              <w:t>4</w:t>
            </w:r>
            <w:r>
              <w:rPr>
                <w:b/>
                <w:color w:val="000000" w:themeColor="text1"/>
                <w:sz w:val="24"/>
                <w:highlight w:val="none"/>
                <w14:textFill>
                  <w14:solidFill>
                    <w14:schemeClr w14:val="tx1"/>
                  </w14:solidFill>
                </w14:textFill>
              </w:rPr>
              <w:t xml:space="preserve"> 本项目主要原辅材料</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6"/>
              <w:gridCol w:w="1412"/>
              <w:gridCol w:w="1737"/>
              <w:gridCol w:w="1138"/>
              <w:gridCol w:w="1987"/>
              <w:gridCol w:w="1448"/>
            </w:tblGrid>
            <w:tr w14:paraId="0F43AF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397" w:type="pct"/>
                  <w:tcBorders>
                    <w:tl2br w:val="nil"/>
                    <w:tr2bl w:val="nil"/>
                  </w:tcBorders>
                  <w:vAlign w:val="center"/>
                </w:tcPr>
                <w:p w14:paraId="53B62FA4">
                  <w:pPr>
                    <w:jc w:val="center"/>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序号</w:t>
                  </w:r>
                </w:p>
              </w:tc>
              <w:tc>
                <w:tcPr>
                  <w:tcW w:w="841" w:type="pct"/>
                  <w:tcBorders>
                    <w:tl2br w:val="nil"/>
                    <w:tr2bl w:val="nil"/>
                  </w:tcBorders>
                  <w:vAlign w:val="center"/>
                </w:tcPr>
                <w:p w14:paraId="103CBCAA">
                  <w:pPr>
                    <w:jc w:val="center"/>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原料名称</w:t>
                  </w:r>
                </w:p>
              </w:tc>
              <w:tc>
                <w:tcPr>
                  <w:tcW w:w="1035" w:type="pct"/>
                  <w:tcBorders>
                    <w:tl2br w:val="nil"/>
                    <w:tr2bl w:val="nil"/>
                  </w:tcBorders>
                  <w:vAlign w:val="center"/>
                </w:tcPr>
                <w:p w14:paraId="0AF3C911">
                  <w:pPr>
                    <w:jc w:val="center"/>
                    <w:rPr>
                      <w:b/>
                      <w:bCs/>
                      <w:color w:val="FF0000"/>
                      <w:highlight w:val="none"/>
                    </w:rPr>
                  </w:pPr>
                  <w:r>
                    <w:rPr>
                      <w:rFonts w:hint="eastAsia"/>
                      <w:b/>
                      <w:bCs/>
                      <w:color w:val="FF0000"/>
                      <w:highlight w:val="none"/>
                      <w:lang w:val="en-US" w:eastAsia="zh-CN"/>
                    </w:rPr>
                    <w:t>年</w:t>
                  </w:r>
                  <w:r>
                    <w:rPr>
                      <w:rFonts w:hint="eastAsia"/>
                      <w:b/>
                      <w:bCs/>
                      <w:color w:val="FF0000"/>
                      <w:highlight w:val="none"/>
                    </w:rPr>
                    <w:t>用量</w:t>
                  </w:r>
                </w:p>
              </w:tc>
              <w:tc>
                <w:tcPr>
                  <w:tcW w:w="678" w:type="pct"/>
                  <w:tcBorders>
                    <w:tl2br w:val="nil"/>
                    <w:tr2bl w:val="nil"/>
                  </w:tcBorders>
                  <w:vAlign w:val="center"/>
                </w:tcPr>
                <w:p w14:paraId="798B714B">
                  <w:pPr>
                    <w:jc w:val="center"/>
                    <w:rPr>
                      <w:rFonts w:hint="eastAsia" w:eastAsia="宋体"/>
                      <w:b/>
                      <w:bCs/>
                      <w:color w:val="FF0000"/>
                      <w:highlight w:val="none"/>
                      <w:lang w:eastAsia="zh-CN"/>
                    </w:rPr>
                  </w:pPr>
                  <w:r>
                    <w:rPr>
                      <w:rFonts w:hint="eastAsia"/>
                      <w:b/>
                      <w:bCs/>
                      <w:color w:val="FF0000"/>
                      <w:highlight w:val="none"/>
                      <w:lang w:val="en-US" w:eastAsia="zh-CN"/>
                    </w:rPr>
                    <w:t>最大存量</w:t>
                  </w:r>
                </w:p>
              </w:tc>
              <w:tc>
                <w:tcPr>
                  <w:tcW w:w="1184" w:type="pct"/>
                  <w:tcBorders>
                    <w:tl2br w:val="nil"/>
                    <w:tr2bl w:val="nil"/>
                  </w:tcBorders>
                  <w:vAlign w:val="center"/>
                </w:tcPr>
                <w:p w14:paraId="7C9FACF2">
                  <w:pPr>
                    <w:jc w:val="center"/>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存放位置</w:t>
                  </w:r>
                </w:p>
              </w:tc>
              <w:tc>
                <w:tcPr>
                  <w:tcW w:w="862" w:type="pct"/>
                  <w:tcBorders>
                    <w:tl2br w:val="nil"/>
                    <w:tr2bl w:val="nil"/>
                  </w:tcBorders>
                  <w:vAlign w:val="center"/>
                </w:tcPr>
                <w:p w14:paraId="67915B7C">
                  <w:pPr>
                    <w:jc w:val="center"/>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用途</w:t>
                  </w:r>
                </w:p>
              </w:tc>
            </w:tr>
            <w:tr w14:paraId="0E3990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397" w:type="pct"/>
                  <w:tcBorders>
                    <w:tl2br w:val="nil"/>
                    <w:tr2bl w:val="nil"/>
                  </w:tcBorders>
                  <w:vAlign w:val="center"/>
                </w:tcPr>
                <w:p w14:paraId="6BD34721">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841" w:type="pct"/>
                  <w:tcBorders>
                    <w:tl2br w:val="nil"/>
                    <w:tr2bl w:val="nil"/>
                  </w:tcBorders>
                  <w:vAlign w:val="center"/>
                </w:tcPr>
                <w:p w14:paraId="14BEB1A5">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原煤</w:t>
                  </w:r>
                </w:p>
              </w:tc>
              <w:tc>
                <w:tcPr>
                  <w:tcW w:w="1035" w:type="pct"/>
                  <w:tcBorders>
                    <w:tl2br w:val="nil"/>
                    <w:tr2bl w:val="nil"/>
                  </w:tcBorders>
                  <w:vAlign w:val="center"/>
                </w:tcPr>
                <w:p w14:paraId="42209987">
                  <w:pPr>
                    <w:jc w:val="center"/>
                    <w:rPr>
                      <w:color w:val="FF0000"/>
                      <w:highlight w:val="none"/>
                    </w:rPr>
                  </w:pPr>
                  <w:r>
                    <w:rPr>
                      <w:rFonts w:hint="eastAsia"/>
                      <w:color w:val="FF0000"/>
                      <w:highlight w:val="none"/>
                      <w:lang w:val="en-US" w:eastAsia="zh-CN"/>
                    </w:rPr>
                    <w:t>300</w:t>
                  </w:r>
                  <w:r>
                    <w:rPr>
                      <w:rFonts w:hint="eastAsia"/>
                      <w:color w:val="FF0000"/>
                      <w:highlight w:val="none"/>
                    </w:rPr>
                    <w:t>万t/a</w:t>
                  </w:r>
                </w:p>
              </w:tc>
              <w:tc>
                <w:tcPr>
                  <w:tcW w:w="678" w:type="pct"/>
                  <w:tcBorders>
                    <w:tl2br w:val="nil"/>
                    <w:tr2bl w:val="nil"/>
                  </w:tcBorders>
                  <w:vAlign w:val="center"/>
                </w:tcPr>
                <w:p w14:paraId="3923EEAB">
                  <w:pPr>
                    <w:jc w:val="center"/>
                    <w:rPr>
                      <w:color w:val="FF0000"/>
                      <w:highlight w:val="none"/>
                    </w:rPr>
                  </w:pPr>
                  <w:r>
                    <w:rPr>
                      <w:rFonts w:hint="eastAsia"/>
                      <w:color w:val="FF0000"/>
                      <w:highlight w:val="none"/>
                      <w:lang w:val="en-US" w:eastAsia="zh-CN"/>
                    </w:rPr>
                    <w:t>4160</w:t>
                  </w:r>
                  <w:r>
                    <w:rPr>
                      <w:rFonts w:hint="default"/>
                      <w:color w:val="FF0000"/>
                      <w:highlight w:val="none"/>
                      <w:lang w:val="en-US" w:eastAsia="zh-CN"/>
                    </w:rPr>
                    <w:t>t</w:t>
                  </w:r>
                </w:p>
              </w:tc>
              <w:tc>
                <w:tcPr>
                  <w:tcW w:w="1184" w:type="pct"/>
                  <w:tcBorders>
                    <w:tl2br w:val="nil"/>
                    <w:tr2bl w:val="nil"/>
                  </w:tcBorders>
                  <w:vAlign w:val="center"/>
                </w:tcPr>
                <w:p w14:paraId="52D49024">
                  <w:pPr>
                    <w:jc w:val="center"/>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原煤</w:t>
                  </w:r>
                  <w:r>
                    <w:rPr>
                      <w:rFonts w:hint="eastAsia"/>
                      <w:color w:val="000000" w:themeColor="text1"/>
                      <w:highlight w:val="none"/>
                      <w:lang w:val="en-US" w:eastAsia="zh-CN"/>
                      <w14:textFill>
                        <w14:solidFill>
                          <w14:schemeClr w14:val="tx1"/>
                        </w14:solidFill>
                      </w14:textFill>
                    </w:rPr>
                    <w:t>仓</w:t>
                  </w:r>
                </w:p>
              </w:tc>
              <w:tc>
                <w:tcPr>
                  <w:tcW w:w="862" w:type="pct"/>
                  <w:tcBorders>
                    <w:tl2br w:val="nil"/>
                    <w:tr2bl w:val="nil"/>
                  </w:tcBorders>
                  <w:vAlign w:val="center"/>
                </w:tcPr>
                <w:p w14:paraId="31494244">
                  <w:pPr>
                    <w:jc w:val="center"/>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选</w:t>
                  </w:r>
                  <w:r>
                    <w:rPr>
                      <w:rFonts w:hint="eastAsia"/>
                      <w:color w:val="000000" w:themeColor="text1"/>
                      <w:highlight w:val="none"/>
                      <w14:textFill>
                        <w14:solidFill>
                          <w14:schemeClr w14:val="tx1"/>
                        </w14:solidFill>
                      </w14:textFill>
                    </w:rPr>
                    <w:t>煤</w:t>
                  </w:r>
                </w:p>
              </w:tc>
            </w:tr>
            <w:tr w14:paraId="7CBE7A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397" w:type="pct"/>
                  <w:tcBorders>
                    <w:tl2br w:val="nil"/>
                    <w:tr2bl w:val="nil"/>
                  </w:tcBorders>
                  <w:vAlign w:val="center"/>
                </w:tcPr>
                <w:p w14:paraId="7C149B62">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841" w:type="pct"/>
                  <w:tcBorders>
                    <w:tl2br w:val="nil"/>
                    <w:tr2bl w:val="nil"/>
                  </w:tcBorders>
                  <w:vAlign w:val="center"/>
                </w:tcPr>
                <w:p w14:paraId="450F9108">
                  <w:pPr>
                    <w:pStyle w:val="88"/>
                    <w:spacing w:line="240" w:lineRule="auto"/>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水</w:t>
                  </w:r>
                </w:p>
              </w:tc>
              <w:tc>
                <w:tcPr>
                  <w:tcW w:w="1035" w:type="pct"/>
                  <w:tcBorders>
                    <w:tl2br w:val="nil"/>
                    <w:tr2bl w:val="nil"/>
                  </w:tcBorders>
                  <w:vAlign w:val="center"/>
                </w:tcPr>
                <w:p w14:paraId="4537E302">
                  <w:pPr>
                    <w:jc w:val="center"/>
                    <w:rPr>
                      <w:rFonts w:hint="default"/>
                      <w:color w:val="FF0000"/>
                      <w:highlight w:val="none"/>
                      <w:lang w:val="en-US"/>
                    </w:rPr>
                  </w:pPr>
                  <w:r>
                    <w:rPr>
                      <w:rFonts w:hint="eastAsia"/>
                      <w:color w:val="FF0000"/>
                      <w:highlight w:val="none"/>
                      <w:lang w:val="en-US" w:eastAsia="zh-CN"/>
                    </w:rPr>
                    <w:t>38534</w:t>
                  </w:r>
                  <w:r>
                    <w:rPr>
                      <w:rFonts w:hint="eastAsia"/>
                      <w:color w:val="FF0000"/>
                      <w:highlight w:val="none"/>
                    </w:rPr>
                    <w:t>t/a</w:t>
                  </w:r>
                </w:p>
              </w:tc>
              <w:tc>
                <w:tcPr>
                  <w:tcW w:w="678" w:type="pct"/>
                  <w:tcBorders>
                    <w:tl2br w:val="nil"/>
                    <w:tr2bl w:val="nil"/>
                  </w:tcBorders>
                  <w:vAlign w:val="center"/>
                </w:tcPr>
                <w:p w14:paraId="4437805B">
                  <w:pPr>
                    <w:jc w:val="center"/>
                    <w:rPr>
                      <w:rFonts w:hint="eastAsia" w:eastAsia="宋体"/>
                      <w:color w:val="FF0000"/>
                      <w:highlight w:val="none"/>
                      <w:lang w:val="en-US" w:eastAsia="zh-CN"/>
                    </w:rPr>
                  </w:pPr>
                  <w:r>
                    <w:rPr>
                      <w:rFonts w:hint="eastAsia"/>
                      <w:color w:val="FF0000"/>
                      <w:highlight w:val="none"/>
                      <w:lang w:val="en-US" w:eastAsia="zh-CN"/>
                    </w:rPr>
                    <w:t>/</w:t>
                  </w:r>
                </w:p>
              </w:tc>
              <w:tc>
                <w:tcPr>
                  <w:tcW w:w="1184" w:type="pct"/>
                  <w:tcBorders>
                    <w:tl2br w:val="nil"/>
                    <w:tr2bl w:val="nil"/>
                  </w:tcBorders>
                  <w:vAlign w:val="center"/>
                </w:tcPr>
                <w:p w14:paraId="0D64ECA9">
                  <w:pPr>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p>
              </w:tc>
              <w:tc>
                <w:tcPr>
                  <w:tcW w:w="862" w:type="pct"/>
                  <w:tcBorders>
                    <w:tl2br w:val="nil"/>
                    <w:tr2bl w:val="nil"/>
                  </w:tcBorders>
                  <w:vAlign w:val="center"/>
                </w:tcPr>
                <w:p w14:paraId="113C6A09">
                  <w:pPr>
                    <w:jc w:val="center"/>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选</w:t>
                  </w:r>
                  <w:r>
                    <w:rPr>
                      <w:rFonts w:hint="eastAsia"/>
                      <w:color w:val="000000" w:themeColor="text1"/>
                      <w:highlight w:val="none"/>
                      <w14:textFill>
                        <w14:solidFill>
                          <w14:schemeClr w14:val="tx1"/>
                        </w14:solidFill>
                      </w14:textFill>
                    </w:rPr>
                    <w:t>煤</w:t>
                  </w:r>
                </w:p>
              </w:tc>
            </w:tr>
            <w:tr w14:paraId="5FC819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397" w:type="pct"/>
                  <w:tcBorders>
                    <w:tl2br w:val="nil"/>
                    <w:tr2bl w:val="nil"/>
                  </w:tcBorders>
                  <w:vAlign w:val="center"/>
                </w:tcPr>
                <w:p w14:paraId="2D224679">
                  <w:pPr>
                    <w:jc w:val="center"/>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p>
              </w:tc>
              <w:tc>
                <w:tcPr>
                  <w:tcW w:w="841" w:type="pct"/>
                  <w:tcBorders>
                    <w:tl2br w:val="nil"/>
                    <w:tr2bl w:val="nil"/>
                  </w:tcBorders>
                  <w:vAlign w:val="center"/>
                </w:tcPr>
                <w:p w14:paraId="2DB2B066">
                  <w:pPr>
                    <w:pStyle w:val="88"/>
                    <w:spacing w:line="240" w:lineRule="auto"/>
                    <w:rPr>
                      <w:rFonts w:hint="eastAsia" w:ascii="Times New Roman" w:hAnsi="Times New Roman" w:eastAsia="宋体"/>
                      <w:color w:val="000000" w:themeColor="text1"/>
                      <w:highlight w:val="none"/>
                      <w:lang w:eastAsia="zh-CN"/>
                      <w14:textFill>
                        <w14:solidFill>
                          <w14:schemeClr w14:val="tx1"/>
                        </w14:solidFill>
                      </w14:textFill>
                    </w:rPr>
                  </w:pPr>
                  <w:r>
                    <w:rPr>
                      <w:rFonts w:hint="eastAsia" w:ascii="Times New Roman" w:hAnsi="Times New Roman"/>
                      <w:color w:val="FF0000"/>
                      <w:highlight w:val="none"/>
                      <w:lang w:val="en-US" w:eastAsia="zh-CN"/>
                    </w:rPr>
                    <w:t>磁铁矿粉</w:t>
                  </w:r>
                </w:p>
              </w:tc>
              <w:tc>
                <w:tcPr>
                  <w:tcW w:w="1035" w:type="pct"/>
                  <w:tcBorders>
                    <w:tl2br w:val="nil"/>
                    <w:tr2bl w:val="nil"/>
                  </w:tcBorders>
                  <w:vAlign w:val="center"/>
                </w:tcPr>
                <w:p w14:paraId="2822163D">
                  <w:pPr>
                    <w:jc w:val="center"/>
                    <w:rPr>
                      <w:rFonts w:hint="default" w:eastAsia="宋体"/>
                      <w:color w:val="FF0000"/>
                      <w:highlight w:val="none"/>
                      <w:lang w:val="en-US" w:eastAsia="zh-CN"/>
                    </w:rPr>
                  </w:pPr>
                  <w:r>
                    <w:rPr>
                      <w:rFonts w:hint="eastAsia"/>
                      <w:color w:val="FF0000"/>
                      <w:highlight w:val="none"/>
                      <w:lang w:val="en-US" w:eastAsia="zh-CN"/>
                    </w:rPr>
                    <w:t>6000</w:t>
                  </w:r>
                  <w:r>
                    <w:rPr>
                      <w:rFonts w:hint="eastAsia"/>
                      <w:color w:val="FF0000"/>
                      <w:highlight w:val="none"/>
                    </w:rPr>
                    <w:t>t/a</w:t>
                  </w:r>
                </w:p>
              </w:tc>
              <w:tc>
                <w:tcPr>
                  <w:tcW w:w="678" w:type="pct"/>
                  <w:tcBorders>
                    <w:tl2br w:val="nil"/>
                    <w:tr2bl w:val="nil"/>
                  </w:tcBorders>
                  <w:vAlign w:val="center"/>
                </w:tcPr>
                <w:p w14:paraId="6C25EAE4">
                  <w:pPr>
                    <w:jc w:val="center"/>
                    <w:rPr>
                      <w:rFonts w:hint="default" w:eastAsia="宋体"/>
                      <w:color w:val="FF0000"/>
                      <w:highlight w:val="none"/>
                      <w:lang w:val="en-US" w:eastAsia="zh-CN"/>
                    </w:rPr>
                  </w:pPr>
                  <w:r>
                    <w:rPr>
                      <w:rFonts w:hint="eastAsia"/>
                      <w:color w:val="FF0000"/>
                      <w:highlight w:val="none"/>
                      <w:lang w:val="en-US" w:eastAsia="zh-CN"/>
                    </w:rPr>
                    <w:t>500t</w:t>
                  </w:r>
                </w:p>
              </w:tc>
              <w:tc>
                <w:tcPr>
                  <w:tcW w:w="1184" w:type="pct"/>
                  <w:tcBorders>
                    <w:tl2br w:val="nil"/>
                    <w:tr2bl w:val="nil"/>
                  </w:tcBorders>
                  <w:vAlign w:val="center"/>
                </w:tcPr>
                <w:p w14:paraId="27926E9F">
                  <w:pPr>
                    <w:jc w:val="center"/>
                    <w:rPr>
                      <w:rFonts w:hint="eastAsia" w:ascii="宋体" w:hAnsi="宋体" w:eastAsia="宋体" w:cs="宋体"/>
                      <w:color w:val="000000" w:themeColor="text1"/>
                      <w:szCs w:val="21"/>
                      <w:highlight w:val="none"/>
                      <w:lang w:eastAsia="zh-CN"/>
                      <w14:textFill>
                        <w14:solidFill>
                          <w14:schemeClr w14:val="tx1"/>
                        </w14:solidFill>
                      </w14:textFill>
                    </w:rPr>
                  </w:pPr>
                  <w:r>
                    <w:rPr>
                      <w:rFonts w:hint="eastAsia" w:ascii="宋体" w:hAnsi="宋体" w:cs="宋体"/>
                      <w:color w:val="000000" w:themeColor="text1"/>
                      <w:szCs w:val="21"/>
                      <w:highlight w:val="none"/>
                      <w:lang w:val="en-US" w:eastAsia="zh-CN"/>
                      <w14:textFill>
                        <w14:solidFill>
                          <w14:schemeClr w14:val="tx1"/>
                        </w14:solidFill>
                      </w14:textFill>
                    </w:rPr>
                    <w:t>铁粉库</w:t>
                  </w:r>
                </w:p>
              </w:tc>
              <w:tc>
                <w:tcPr>
                  <w:tcW w:w="862" w:type="pct"/>
                  <w:tcBorders>
                    <w:tl2br w:val="nil"/>
                    <w:tr2bl w:val="nil"/>
                  </w:tcBorders>
                  <w:vAlign w:val="center"/>
                </w:tcPr>
                <w:p w14:paraId="5D4BB580">
                  <w:pPr>
                    <w:jc w:val="center"/>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选</w:t>
                  </w:r>
                  <w:r>
                    <w:rPr>
                      <w:rFonts w:hint="eastAsia"/>
                      <w:color w:val="000000" w:themeColor="text1"/>
                      <w:highlight w:val="none"/>
                      <w:lang w:eastAsia="zh-CN"/>
                      <w14:textFill>
                        <w14:solidFill>
                          <w14:schemeClr w14:val="tx1"/>
                        </w14:solidFill>
                      </w14:textFill>
                    </w:rPr>
                    <w:t>煤</w:t>
                  </w:r>
                </w:p>
              </w:tc>
            </w:tr>
            <w:tr w14:paraId="46BF39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397" w:type="pct"/>
                  <w:tcBorders>
                    <w:tl2br w:val="nil"/>
                    <w:tr2bl w:val="nil"/>
                  </w:tcBorders>
                  <w:vAlign w:val="center"/>
                </w:tcPr>
                <w:p w14:paraId="7A11C15D">
                  <w:pPr>
                    <w:jc w:val="center"/>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w:t>
                  </w:r>
                </w:p>
              </w:tc>
              <w:tc>
                <w:tcPr>
                  <w:tcW w:w="841" w:type="pct"/>
                  <w:tcBorders>
                    <w:tl2br w:val="nil"/>
                    <w:tr2bl w:val="nil"/>
                  </w:tcBorders>
                  <w:vAlign w:val="center"/>
                </w:tcPr>
                <w:p w14:paraId="5F1D1B56">
                  <w:pPr>
                    <w:pStyle w:val="88"/>
                    <w:spacing w:line="240" w:lineRule="auto"/>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聚丙烯酰胺（PAM）</w:t>
                  </w:r>
                </w:p>
              </w:tc>
              <w:tc>
                <w:tcPr>
                  <w:tcW w:w="1035" w:type="pct"/>
                  <w:tcBorders>
                    <w:tl2br w:val="nil"/>
                    <w:tr2bl w:val="nil"/>
                  </w:tcBorders>
                  <w:vAlign w:val="center"/>
                </w:tcPr>
                <w:p w14:paraId="367F1360">
                  <w:pPr>
                    <w:jc w:val="center"/>
                    <w:rPr>
                      <w:rFonts w:hint="default" w:eastAsia="宋体"/>
                      <w:color w:val="FF0000"/>
                      <w:highlight w:val="none"/>
                      <w:lang w:val="en-US" w:eastAsia="zh-CN"/>
                    </w:rPr>
                  </w:pPr>
                  <w:r>
                    <w:rPr>
                      <w:rFonts w:hint="eastAsia"/>
                      <w:color w:val="FF0000"/>
                      <w:highlight w:val="none"/>
                      <w:lang w:val="en-US" w:eastAsia="zh-CN"/>
                    </w:rPr>
                    <w:t>45</w:t>
                  </w:r>
                  <w:r>
                    <w:rPr>
                      <w:rFonts w:hint="eastAsia"/>
                      <w:color w:val="FF0000"/>
                      <w:highlight w:val="none"/>
                    </w:rPr>
                    <w:t>t/a</w:t>
                  </w:r>
                </w:p>
              </w:tc>
              <w:tc>
                <w:tcPr>
                  <w:tcW w:w="678" w:type="pct"/>
                  <w:tcBorders>
                    <w:tl2br w:val="nil"/>
                    <w:tr2bl w:val="nil"/>
                  </w:tcBorders>
                  <w:vAlign w:val="center"/>
                </w:tcPr>
                <w:p w14:paraId="52A9A556">
                  <w:pPr>
                    <w:jc w:val="center"/>
                    <w:rPr>
                      <w:rFonts w:hint="default" w:eastAsia="宋体"/>
                      <w:color w:val="FF0000"/>
                      <w:highlight w:val="none"/>
                      <w:lang w:val="en-US" w:eastAsia="zh-CN"/>
                    </w:rPr>
                  </w:pPr>
                  <w:r>
                    <w:rPr>
                      <w:rFonts w:hint="eastAsia"/>
                      <w:color w:val="FF0000"/>
                      <w:highlight w:val="none"/>
                      <w:lang w:val="en-US" w:eastAsia="zh-CN"/>
                    </w:rPr>
                    <w:t>3t</w:t>
                  </w:r>
                </w:p>
              </w:tc>
              <w:tc>
                <w:tcPr>
                  <w:tcW w:w="1184" w:type="pct"/>
                  <w:tcBorders>
                    <w:tl2br w:val="nil"/>
                    <w:tr2bl w:val="nil"/>
                  </w:tcBorders>
                  <w:vAlign w:val="center"/>
                </w:tcPr>
                <w:p w14:paraId="6A062B79">
                  <w:pPr>
                    <w:jc w:val="center"/>
                    <w:rPr>
                      <w:color w:val="000000" w:themeColor="text1"/>
                      <w:highlight w:val="none"/>
                      <w14:textFill>
                        <w14:solidFill>
                          <w14:schemeClr w14:val="tx1"/>
                        </w14:solidFill>
                      </w14:textFill>
                    </w:rPr>
                  </w:pPr>
                  <w:r>
                    <w:rPr>
                      <w:rFonts w:hint="eastAsia" w:ascii="宋体" w:hAnsi="宋体" w:cs="宋体"/>
                      <w:color w:val="000000" w:themeColor="text1"/>
                      <w:szCs w:val="21"/>
                      <w:highlight w:val="none"/>
                      <w:lang w:val="en-US" w:eastAsia="zh-CN"/>
                      <w14:textFill>
                        <w14:solidFill>
                          <w14:schemeClr w14:val="tx1"/>
                        </w14:solidFill>
                      </w14:textFill>
                    </w:rPr>
                    <w:t>主厂房</w:t>
                  </w:r>
                  <w:r>
                    <w:rPr>
                      <w:rFonts w:hint="eastAsia" w:ascii="宋体" w:hAnsi="宋体" w:cs="宋体"/>
                      <w:color w:val="000000" w:themeColor="text1"/>
                      <w:szCs w:val="21"/>
                      <w:highlight w:val="none"/>
                      <w14:textFill>
                        <w14:solidFill>
                          <w14:schemeClr w14:val="tx1"/>
                        </w14:solidFill>
                      </w14:textFill>
                    </w:rPr>
                    <w:t>内</w:t>
                  </w:r>
                </w:p>
              </w:tc>
              <w:tc>
                <w:tcPr>
                  <w:tcW w:w="862" w:type="pct"/>
                  <w:tcBorders>
                    <w:tl2br w:val="nil"/>
                    <w:tr2bl w:val="nil"/>
                  </w:tcBorders>
                  <w:vAlign w:val="center"/>
                </w:tcPr>
                <w:p w14:paraId="7BDE2063">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絮凝剂</w:t>
                  </w:r>
                </w:p>
              </w:tc>
            </w:tr>
            <w:tr w14:paraId="591FF6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tcBorders>
                    <w:tl2br w:val="nil"/>
                    <w:tr2bl w:val="nil"/>
                  </w:tcBorders>
                  <w:vAlign w:val="center"/>
                </w:tcPr>
                <w:p w14:paraId="4828D76B">
                  <w:pPr>
                    <w:jc w:val="center"/>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p>
              </w:tc>
              <w:tc>
                <w:tcPr>
                  <w:tcW w:w="841" w:type="pct"/>
                  <w:tcBorders>
                    <w:tl2br w:val="nil"/>
                    <w:tr2bl w:val="nil"/>
                  </w:tcBorders>
                  <w:vAlign w:val="center"/>
                </w:tcPr>
                <w:p w14:paraId="76DC39D9">
                  <w:pPr>
                    <w:pStyle w:val="88"/>
                    <w:spacing w:line="240" w:lineRule="auto"/>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聚合氯化铝（PAC）</w:t>
                  </w:r>
                </w:p>
              </w:tc>
              <w:tc>
                <w:tcPr>
                  <w:tcW w:w="1035" w:type="pct"/>
                  <w:tcBorders>
                    <w:tl2br w:val="nil"/>
                    <w:tr2bl w:val="nil"/>
                  </w:tcBorders>
                  <w:vAlign w:val="center"/>
                </w:tcPr>
                <w:p w14:paraId="3165AD2D">
                  <w:pPr>
                    <w:jc w:val="center"/>
                    <w:rPr>
                      <w:rFonts w:hint="default" w:eastAsia="宋体"/>
                      <w:color w:val="FF0000"/>
                      <w:highlight w:val="none"/>
                      <w:lang w:val="en-US" w:eastAsia="zh-CN"/>
                    </w:rPr>
                  </w:pPr>
                  <w:r>
                    <w:rPr>
                      <w:rFonts w:hint="eastAsia"/>
                      <w:color w:val="FF0000"/>
                      <w:highlight w:val="none"/>
                      <w:lang w:val="en-US" w:eastAsia="zh-CN"/>
                    </w:rPr>
                    <w:t>150</w:t>
                  </w:r>
                  <w:r>
                    <w:rPr>
                      <w:rFonts w:hint="eastAsia"/>
                      <w:color w:val="FF0000"/>
                      <w:highlight w:val="none"/>
                    </w:rPr>
                    <w:t>t/a</w:t>
                  </w:r>
                </w:p>
              </w:tc>
              <w:tc>
                <w:tcPr>
                  <w:tcW w:w="678" w:type="pct"/>
                  <w:tcBorders>
                    <w:tl2br w:val="nil"/>
                    <w:tr2bl w:val="nil"/>
                  </w:tcBorders>
                  <w:vAlign w:val="center"/>
                </w:tcPr>
                <w:p w14:paraId="1BCB677F">
                  <w:pPr>
                    <w:jc w:val="center"/>
                    <w:rPr>
                      <w:rFonts w:hint="default"/>
                      <w:color w:val="FF0000"/>
                      <w:lang w:val="en-US" w:eastAsia="zh-CN"/>
                    </w:rPr>
                  </w:pPr>
                  <w:r>
                    <w:rPr>
                      <w:rFonts w:hint="eastAsia"/>
                      <w:color w:val="FF0000"/>
                      <w:highlight w:val="none"/>
                      <w:lang w:val="en-US" w:eastAsia="zh-CN"/>
                    </w:rPr>
                    <w:t>10t</w:t>
                  </w:r>
                </w:p>
              </w:tc>
              <w:tc>
                <w:tcPr>
                  <w:tcW w:w="1184" w:type="pct"/>
                  <w:tcBorders>
                    <w:tl2br w:val="nil"/>
                    <w:tr2bl w:val="nil"/>
                  </w:tcBorders>
                  <w:vAlign w:val="center"/>
                </w:tcPr>
                <w:p w14:paraId="47E13C91">
                  <w:pPr>
                    <w:jc w:val="center"/>
                    <w:rPr>
                      <w:color w:val="000000" w:themeColor="text1"/>
                      <w:highlight w:val="none"/>
                      <w14:textFill>
                        <w14:solidFill>
                          <w14:schemeClr w14:val="tx1"/>
                        </w14:solidFill>
                      </w14:textFill>
                    </w:rPr>
                  </w:pPr>
                  <w:r>
                    <w:rPr>
                      <w:rFonts w:hint="eastAsia" w:ascii="宋体" w:hAnsi="宋体" w:cs="宋体"/>
                      <w:color w:val="000000" w:themeColor="text1"/>
                      <w:szCs w:val="21"/>
                      <w:highlight w:val="none"/>
                      <w:lang w:val="en-US" w:eastAsia="zh-CN"/>
                      <w14:textFill>
                        <w14:solidFill>
                          <w14:schemeClr w14:val="tx1"/>
                        </w14:solidFill>
                      </w14:textFill>
                    </w:rPr>
                    <w:t>主厂房</w:t>
                  </w:r>
                  <w:r>
                    <w:rPr>
                      <w:rFonts w:hint="eastAsia" w:ascii="宋体" w:hAnsi="宋体" w:cs="宋体"/>
                      <w:color w:val="000000" w:themeColor="text1"/>
                      <w:szCs w:val="21"/>
                      <w:highlight w:val="none"/>
                      <w14:textFill>
                        <w14:solidFill>
                          <w14:schemeClr w14:val="tx1"/>
                        </w14:solidFill>
                      </w14:textFill>
                    </w:rPr>
                    <w:t>内</w:t>
                  </w:r>
                </w:p>
              </w:tc>
              <w:tc>
                <w:tcPr>
                  <w:tcW w:w="862" w:type="pct"/>
                  <w:tcBorders>
                    <w:tl2br w:val="nil"/>
                    <w:tr2bl w:val="nil"/>
                  </w:tcBorders>
                  <w:vAlign w:val="center"/>
                </w:tcPr>
                <w:p w14:paraId="2D07ED1C">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混凝剂</w:t>
                  </w:r>
                </w:p>
              </w:tc>
            </w:tr>
            <w:tr w14:paraId="1C1F19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tcBorders>
                    <w:tl2br w:val="nil"/>
                    <w:tr2bl w:val="nil"/>
                  </w:tcBorders>
                  <w:vAlign w:val="center"/>
                </w:tcPr>
                <w:p w14:paraId="6A648BA8">
                  <w:pPr>
                    <w:jc w:val="center"/>
                    <w:rPr>
                      <w:rFonts w:hint="default"/>
                      <w:color w:val="FF0000"/>
                      <w:highlight w:val="none"/>
                      <w:lang w:val="en-US" w:eastAsia="zh-CN"/>
                    </w:rPr>
                  </w:pPr>
                  <w:r>
                    <w:rPr>
                      <w:rFonts w:hint="eastAsia"/>
                      <w:color w:val="FF0000"/>
                      <w:highlight w:val="none"/>
                      <w:lang w:val="en-US" w:eastAsia="zh-CN"/>
                    </w:rPr>
                    <w:t>6</w:t>
                  </w:r>
                </w:p>
              </w:tc>
              <w:tc>
                <w:tcPr>
                  <w:tcW w:w="841" w:type="pct"/>
                  <w:tcBorders>
                    <w:tl2br w:val="nil"/>
                    <w:tr2bl w:val="nil"/>
                  </w:tcBorders>
                  <w:vAlign w:val="center"/>
                </w:tcPr>
                <w:p w14:paraId="625D08BF">
                  <w:pPr>
                    <w:pStyle w:val="88"/>
                    <w:spacing w:line="240" w:lineRule="auto"/>
                    <w:rPr>
                      <w:rFonts w:hint="default" w:ascii="Times New Roman" w:hAnsi="Times New Roman" w:eastAsia="宋体"/>
                      <w:color w:val="FF0000"/>
                      <w:highlight w:val="none"/>
                      <w:lang w:val="en-US" w:eastAsia="zh-CN"/>
                    </w:rPr>
                  </w:pPr>
                  <w:r>
                    <w:rPr>
                      <w:rFonts w:hint="eastAsia" w:ascii="Times New Roman" w:hAnsi="Times New Roman"/>
                      <w:color w:val="FF0000"/>
                      <w:highlight w:val="none"/>
                      <w:lang w:val="en-US" w:eastAsia="zh-CN"/>
                    </w:rPr>
                    <w:t>柴油</w:t>
                  </w:r>
                </w:p>
              </w:tc>
              <w:tc>
                <w:tcPr>
                  <w:tcW w:w="1035" w:type="pct"/>
                  <w:tcBorders>
                    <w:tl2br w:val="nil"/>
                    <w:tr2bl w:val="nil"/>
                  </w:tcBorders>
                  <w:vAlign w:val="center"/>
                </w:tcPr>
                <w:p w14:paraId="1AC25246">
                  <w:pPr>
                    <w:jc w:val="center"/>
                    <w:rPr>
                      <w:rFonts w:hint="eastAsia"/>
                      <w:color w:val="FF0000"/>
                      <w:highlight w:val="none"/>
                      <w:lang w:val="en-US" w:eastAsia="zh-CN"/>
                    </w:rPr>
                  </w:pPr>
                  <w:r>
                    <w:rPr>
                      <w:rFonts w:hint="eastAsia"/>
                      <w:color w:val="FF0000"/>
                      <w:highlight w:val="none"/>
                      <w:lang w:val="en-US" w:eastAsia="zh-CN"/>
                    </w:rPr>
                    <w:t>232t/a</w:t>
                  </w:r>
                </w:p>
              </w:tc>
              <w:tc>
                <w:tcPr>
                  <w:tcW w:w="678" w:type="pct"/>
                  <w:tcBorders>
                    <w:tl2br w:val="nil"/>
                    <w:tr2bl w:val="nil"/>
                  </w:tcBorders>
                  <w:vAlign w:val="center"/>
                </w:tcPr>
                <w:p w14:paraId="0994EBB2">
                  <w:pPr>
                    <w:jc w:val="center"/>
                    <w:rPr>
                      <w:rFonts w:hint="default"/>
                      <w:color w:val="FF0000"/>
                      <w:highlight w:val="none"/>
                      <w:lang w:val="en-US" w:eastAsia="zh-CN"/>
                    </w:rPr>
                  </w:pPr>
                  <w:r>
                    <w:rPr>
                      <w:rFonts w:hint="eastAsia"/>
                      <w:color w:val="FF0000"/>
                      <w:highlight w:val="none"/>
                      <w:lang w:val="en-US" w:eastAsia="zh-CN"/>
                    </w:rPr>
                    <w:t>20t</w:t>
                  </w:r>
                </w:p>
              </w:tc>
              <w:tc>
                <w:tcPr>
                  <w:tcW w:w="1184" w:type="pct"/>
                  <w:tcBorders>
                    <w:tl2br w:val="nil"/>
                    <w:tr2bl w:val="nil"/>
                  </w:tcBorders>
                  <w:vAlign w:val="center"/>
                </w:tcPr>
                <w:p w14:paraId="19862513">
                  <w:pPr>
                    <w:jc w:val="center"/>
                    <w:rPr>
                      <w:rFonts w:hint="default" w:ascii="宋体" w:hAnsi="宋体" w:cs="宋体"/>
                      <w:color w:val="FF0000"/>
                      <w:szCs w:val="21"/>
                      <w:highlight w:val="none"/>
                      <w:lang w:val="en-US" w:eastAsia="zh-CN"/>
                    </w:rPr>
                  </w:pPr>
                  <w:r>
                    <w:rPr>
                      <w:rFonts w:hint="eastAsia" w:ascii="宋体" w:hAnsi="宋体" w:cs="宋体"/>
                      <w:color w:val="FF0000"/>
                      <w:szCs w:val="21"/>
                      <w:highlight w:val="none"/>
                      <w:lang w:val="en-US" w:eastAsia="zh-CN"/>
                    </w:rPr>
                    <w:t>油罐区</w:t>
                  </w:r>
                </w:p>
              </w:tc>
              <w:tc>
                <w:tcPr>
                  <w:tcW w:w="862" w:type="pct"/>
                  <w:tcBorders>
                    <w:tl2br w:val="nil"/>
                    <w:tr2bl w:val="nil"/>
                  </w:tcBorders>
                  <w:vAlign w:val="center"/>
                </w:tcPr>
                <w:p w14:paraId="2F06A41F">
                  <w:pPr>
                    <w:jc w:val="center"/>
                    <w:rPr>
                      <w:rFonts w:hint="eastAsia" w:eastAsia="宋体"/>
                      <w:color w:val="FF0000"/>
                      <w:highlight w:val="none"/>
                      <w:lang w:val="en-US" w:eastAsia="zh-CN"/>
                    </w:rPr>
                  </w:pPr>
                  <w:r>
                    <w:rPr>
                      <w:rFonts w:hint="eastAsia"/>
                      <w:color w:val="FF0000"/>
                      <w:highlight w:val="none"/>
                      <w:lang w:val="en-US" w:eastAsia="zh-CN"/>
                    </w:rPr>
                    <w:t>捕收剂</w:t>
                  </w:r>
                </w:p>
              </w:tc>
            </w:tr>
            <w:tr w14:paraId="435E7B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tcBorders>
                    <w:tl2br w:val="nil"/>
                    <w:tr2bl w:val="nil"/>
                  </w:tcBorders>
                  <w:vAlign w:val="center"/>
                </w:tcPr>
                <w:p w14:paraId="30AB3911">
                  <w:pPr>
                    <w:jc w:val="center"/>
                    <w:rPr>
                      <w:rFonts w:hint="default"/>
                      <w:color w:val="FF0000"/>
                      <w:highlight w:val="none"/>
                      <w:lang w:val="en-US" w:eastAsia="zh-CN"/>
                    </w:rPr>
                  </w:pPr>
                  <w:r>
                    <w:rPr>
                      <w:rFonts w:hint="eastAsia"/>
                      <w:color w:val="FF0000"/>
                      <w:highlight w:val="none"/>
                      <w:lang w:val="en-US" w:eastAsia="zh-CN"/>
                    </w:rPr>
                    <w:t>7</w:t>
                  </w:r>
                </w:p>
              </w:tc>
              <w:tc>
                <w:tcPr>
                  <w:tcW w:w="841" w:type="pct"/>
                  <w:tcBorders>
                    <w:tl2br w:val="nil"/>
                    <w:tr2bl w:val="nil"/>
                  </w:tcBorders>
                  <w:vAlign w:val="center"/>
                </w:tcPr>
                <w:p w14:paraId="75880C81">
                  <w:pPr>
                    <w:pStyle w:val="88"/>
                    <w:spacing w:line="240" w:lineRule="auto"/>
                    <w:rPr>
                      <w:rFonts w:hint="default" w:ascii="Times New Roman" w:hAnsi="Times New Roman"/>
                      <w:color w:val="FF0000"/>
                      <w:highlight w:val="none"/>
                      <w:lang w:val="en-US" w:eastAsia="zh-CN"/>
                    </w:rPr>
                  </w:pPr>
                  <w:r>
                    <w:rPr>
                      <w:rFonts w:hint="eastAsia" w:ascii="Times New Roman" w:hAnsi="Times New Roman"/>
                      <w:color w:val="FF0000"/>
                      <w:highlight w:val="none"/>
                      <w:lang w:val="en-US" w:eastAsia="zh-CN"/>
                    </w:rPr>
                    <w:t>黄油（松醇油）</w:t>
                  </w:r>
                </w:p>
              </w:tc>
              <w:tc>
                <w:tcPr>
                  <w:tcW w:w="1035" w:type="pct"/>
                  <w:tcBorders>
                    <w:tl2br w:val="nil"/>
                    <w:tr2bl w:val="nil"/>
                  </w:tcBorders>
                  <w:vAlign w:val="center"/>
                </w:tcPr>
                <w:p w14:paraId="32610170">
                  <w:pPr>
                    <w:jc w:val="center"/>
                    <w:rPr>
                      <w:rFonts w:hint="default"/>
                      <w:color w:val="FF0000"/>
                      <w:highlight w:val="none"/>
                      <w:lang w:val="en-US" w:eastAsia="zh-CN"/>
                    </w:rPr>
                  </w:pPr>
                  <w:r>
                    <w:rPr>
                      <w:rFonts w:hint="eastAsia"/>
                      <w:color w:val="FF0000"/>
                      <w:highlight w:val="none"/>
                      <w:lang w:val="en-US" w:eastAsia="zh-CN"/>
                    </w:rPr>
                    <w:t>50t/a</w:t>
                  </w:r>
                </w:p>
              </w:tc>
              <w:tc>
                <w:tcPr>
                  <w:tcW w:w="678" w:type="pct"/>
                  <w:tcBorders>
                    <w:tl2br w:val="nil"/>
                    <w:tr2bl w:val="nil"/>
                  </w:tcBorders>
                  <w:vAlign w:val="center"/>
                </w:tcPr>
                <w:p w14:paraId="539CEFCE">
                  <w:pPr>
                    <w:jc w:val="center"/>
                    <w:rPr>
                      <w:rFonts w:hint="default"/>
                      <w:color w:val="FF0000"/>
                      <w:highlight w:val="none"/>
                      <w:lang w:val="en-US" w:eastAsia="zh-CN"/>
                    </w:rPr>
                  </w:pPr>
                  <w:r>
                    <w:rPr>
                      <w:rFonts w:hint="eastAsia"/>
                      <w:color w:val="FF0000"/>
                      <w:highlight w:val="none"/>
                      <w:lang w:val="en-US" w:eastAsia="zh-CN"/>
                    </w:rPr>
                    <w:t>5t</w:t>
                  </w:r>
                </w:p>
              </w:tc>
              <w:tc>
                <w:tcPr>
                  <w:tcW w:w="1184" w:type="pct"/>
                  <w:tcBorders>
                    <w:tl2br w:val="nil"/>
                    <w:tr2bl w:val="nil"/>
                  </w:tcBorders>
                  <w:vAlign w:val="center"/>
                </w:tcPr>
                <w:p w14:paraId="0423BF86">
                  <w:pPr>
                    <w:jc w:val="center"/>
                    <w:rPr>
                      <w:rFonts w:hint="eastAsia" w:ascii="宋体" w:hAnsi="宋体" w:cs="宋体"/>
                      <w:color w:val="FF0000"/>
                      <w:szCs w:val="21"/>
                      <w:highlight w:val="none"/>
                      <w:lang w:val="en-US" w:eastAsia="zh-CN"/>
                    </w:rPr>
                  </w:pPr>
                  <w:r>
                    <w:rPr>
                      <w:rFonts w:hint="eastAsia" w:ascii="宋体" w:hAnsi="宋体" w:cs="宋体"/>
                      <w:color w:val="FF0000"/>
                      <w:szCs w:val="21"/>
                      <w:highlight w:val="none"/>
                      <w:lang w:val="en-US" w:eastAsia="zh-CN"/>
                    </w:rPr>
                    <w:t>油罐区</w:t>
                  </w:r>
                </w:p>
              </w:tc>
              <w:tc>
                <w:tcPr>
                  <w:tcW w:w="862" w:type="pct"/>
                  <w:tcBorders>
                    <w:tl2br w:val="nil"/>
                    <w:tr2bl w:val="nil"/>
                  </w:tcBorders>
                  <w:vAlign w:val="center"/>
                </w:tcPr>
                <w:p w14:paraId="53696357">
                  <w:pPr>
                    <w:jc w:val="center"/>
                    <w:rPr>
                      <w:rFonts w:hint="default"/>
                      <w:color w:val="FF0000"/>
                      <w:highlight w:val="none"/>
                      <w:lang w:val="en-US" w:eastAsia="zh-CN"/>
                    </w:rPr>
                  </w:pPr>
                  <w:r>
                    <w:rPr>
                      <w:rFonts w:hint="eastAsia"/>
                      <w:color w:val="FF0000"/>
                      <w:highlight w:val="none"/>
                      <w:lang w:val="en-US" w:eastAsia="zh-CN"/>
                    </w:rPr>
                    <w:t>浮选剂</w:t>
                  </w:r>
                </w:p>
              </w:tc>
            </w:tr>
          </w:tbl>
          <w:p w14:paraId="36B4E96B">
            <w:pPr>
              <w:spacing w:line="360" w:lineRule="auto"/>
              <w:ind w:firstLine="482" w:firstLineChars="200"/>
              <w:jc w:val="left"/>
              <w:rPr>
                <w:b/>
                <w:bCs/>
                <w:color w:val="000000" w:themeColor="text1"/>
                <w:sz w:val="24"/>
                <w:szCs w:val="24"/>
                <w:highlight w:val="none"/>
                <w14:textFill>
                  <w14:solidFill>
                    <w14:schemeClr w14:val="tx1"/>
                  </w14:solidFill>
                </w14:textFill>
              </w:rPr>
            </w:pPr>
            <w:r>
              <w:rPr>
                <w:b/>
                <w:bCs/>
                <w:color w:val="000000" w:themeColor="text1"/>
                <w:sz w:val="24"/>
                <w:szCs w:val="24"/>
                <w:highlight w:val="none"/>
                <w14:textFill>
                  <w14:solidFill>
                    <w14:schemeClr w14:val="tx1"/>
                  </w14:solidFill>
                </w14:textFill>
              </w:rPr>
              <w:t>主要原辅材料物料理化性质：</w:t>
            </w:r>
          </w:p>
          <w:p w14:paraId="5F0BED9D">
            <w:pPr>
              <w:spacing w:line="360" w:lineRule="auto"/>
              <w:ind w:firstLine="480" w:firstLineChars="200"/>
              <w:rPr>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①</w:t>
            </w:r>
            <w:r>
              <w:rPr>
                <w:color w:val="000000" w:themeColor="text1"/>
                <w:sz w:val="24"/>
                <w:highlight w:val="none"/>
                <w14:textFill>
                  <w14:solidFill>
                    <w14:schemeClr w14:val="tx1"/>
                  </w14:solidFill>
                </w14:textFill>
              </w:rPr>
              <w:t>PAC：聚</w:t>
            </w:r>
            <w:r>
              <w:rPr>
                <w:rFonts w:hint="eastAsia"/>
                <w:color w:val="000000" w:themeColor="text1"/>
                <w:sz w:val="24"/>
                <w:highlight w:val="none"/>
                <w14:textFill>
                  <w14:solidFill>
                    <w14:schemeClr w14:val="tx1"/>
                  </w14:solidFill>
                </w14:textFill>
              </w:rPr>
              <w:t>合</w:t>
            </w:r>
            <w:r>
              <w:rPr>
                <w:color w:val="000000" w:themeColor="text1"/>
                <w:sz w:val="24"/>
                <w:highlight w:val="none"/>
                <w14:textFill>
                  <w14:solidFill>
                    <w14:schemeClr w14:val="tx1"/>
                  </w14:solidFill>
                </w14:textFill>
              </w:rPr>
              <w:t>氯化铝（PolyaluminumChloride）代号PAC。通常也称作净水剂或混凝剂，它是介于A</w:t>
            </w:r>
            <w:r>
              <w:rPr>
                <w:rFonts w:hint="eastAsia"/>
                <w:color w:val="000000" w:themeColor="text1"/>
                <w:sz w:val="24"/>
                <w:highlight w:val="none"/>
                <w14:textFill>
                  <w14:solidFill>
                    <w14:schemeClr w14:val="tx1"/>
                  </w14:solidFill>
                </w14:textFill>
              </w:rPr>
              <w:t>lCl</w:t>
            </w:r>
            <w:r>
              <w:rPr>
                <w:color w:val="000000" w:themeColor="text1"/>
                <w:sz w:val="24"/>
                <w:highlight w:val="none"/>
                <w:vertAlign w:val="subscript"/>
                <w14:textFill>
                  <w14:solidFill>
                    <w14:schemeClr w14:val="tx1"/>
                  </w14:solidFill>
                </w14:textFill>
              </w:rPr>
              <w:t>3</w:t>
            </w:r>
            <w:r>
              <w:rPr>
                <w:color w:val="000000" w:themeColor="text1"/>
                <w:sz w:val="24"/>
                <w:highlight w:val="none"/>
                <w14:textFill>
                  <w14:solidFill>
                    <w14:schemeClr w14:val="tx1"/>
                  </w14:solidFill>
                </w14:textFill>
              </w:rPr>
              <w:t>和A</w:t>
            </w:r>
            <w:r>
              <w:rPr>
                <w:rFonts w:hint="eastAsia"/>
                <w:color w:val="000000" w:themeColor="text1"/>
                <w:sz w:val="24"/>
                <w:highlight w:val="none"/>
                <w14:textFill>
                  <w14:solidFill>
                    <w14:schemeClr w14:val="tx1"/>
                  </w14:solidFill>
                </w14:textFill>
              </w:rPr>
              <w:t>l</w:t>
            </w:r>
            <w:r>
              <w:rPr>
                <w:color w:val="000000" w:themeColor="text1"/>
                <w:sz w:val="24"/>
                <w:highlight w:val="none"/>
                <w14:textFill>
                  <w14:solidFill>
                    <w14:schemeClr w14:val="tx1"/>
                  </w14:solidFill>
                </w14:textFill>
              </w:rPr>
              <w:t>(OH)</w:t>
            </w:r>
            <w:r>
              <w:rPr>
                <w:color w:val="000000" w:themeColor="text1"/>
                <w:sz w:val="24"/>
                <w:highlight w:val="none"/>
                <w:vertAlign w:val="subscript"/>
                <w14:textFill>
                  <w14:solidFill>
                    <w14:schemeClr w14:val="tx1"/>
                  </w14:solidFill>
                </w14:textFill>
              </w:rPr>
              <w:t>3</w:t>
            </w:r>
            <w:r>
              <w:rPr>
                <w:color w:val="000000" w:themeColor="text1"/>
                <w:sz w:val="24"/>
                <w:highlight w:val="none"/>
                <w14:textFill>
                  <w14:solidFill>
                    <w14:schemeClr w14:val="tx1"/>
                  </w14:solidFill>
                </w14:textFill>
              </w:rPr>
              <w:t>之间的一种水溶性无机高分子聚合物。</w:t>
            </w:r>
          </w:p>
          <w:p w14:paraId="5BE93E57">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颜色呈黄色或淡黄色、深褐色、深灰色树脂状固体。该产品有较强的架桥吸附性能，在水解过程中，伴随发生凝聚，吸附和沉淀等物理化学过程。聚合氯化铝与传统无机混凝剂的根本区别在于传统无机混凝剂为低分子结晶盐，而聚合氯化铝的结构由形态多变的多元羧基络合物组成，絮凝沉淀速度快，适用PH值范围宽，对管道设备无腐蚀性，净水效果明显，能有效</w:t>
            </w:r>
            <w:r>
              <w:rPr>
                <w:rFonts w:hint="eastAsia"/>
                <w:color w:val="000000" w:themeColor="text1"/>
                <w:sz w:val="24"/>
                <w:highlight w:val="none"/>
                <w14:textFill>
                  <w14:solidFill>
                    <w14:schemeClr w14:val="tx1"/>
                  </w14:solidFill>
                </w14:textFill>
              </w:rPr>
              <w:t>去</w:t>
            </w:r>
            <w:r>
              <w:rPr>
                <w:color w:val="000000" w:themeColor="text1"/>
                <w:sz w:val="24"/>
                <w:highlight w:val="none"/>
                <w14:textFill>
                  <w14:solidFill>
                    <w14:schemeClr w14:val="tx1"/>
                  </w14:solidFill>
                </w14:textFill>
              </w:rPr>
              <w:t>除水中</w:t>
            </w:r>
            <w:r>
              <w:rPr>
                <w:rFonts w:hint="eastAsia"/>
                <w:color w:val="000000" w:themeColor="text1"/>
                <w:sz w:val="24"/>
                <w:highlight w:val="none"/>
                <w14:textFill>
                  <w14:solidFill>
                    <w14:schemeClr w14:val="tx1"/>
                  </w14:solidFill>
                </w14:textFill>
              </w:rPr>
              <w:t>杂</w:t>
            </w:r>
            <w:r>
              <w:rPr>
                <w:color w:val="000000" w:themeColor="text1"/>
                <w:sz w:val="24"/>
                <w:highlight w:val="none"/>
                <w14:textFill>
                  <w14:solidFill>
                    <w14:schemeClr w14:val="tx1"/>
                  </w14:solidFill>
                </w14:textFill>
              </w:rPr>
              <w:t>质SS、COD、BOD及砷</w:t>
            </w:r>
            <w:r>
              <w:rPr>
                <w:rFonts w:eastAsia="黑体"/>
                <w:color w:val="000000" w:themeColor="text1"/>
                <w:sz w:val="28"/>
                <w:szCs w:val="28"/>
                <w:highlight w:val="none"/>
                <w14:textFill>
                  <w14:solidFill>
                    <w14:schemeClr w14:val="tx1"/>
                  </w14:solidFill>
                </w14:textFill>
              </w:rPr>
              <w:t>、</w:t>
            </w:r>
            <w:r>
              <w:rPr>
                <w:color w:val="000000" w:themeColor="text1"/>
                <w:sz w:val="24"/>
                <w:highlight w:val="none"/>
                <w14:textFill>
                  <w14:solidFill>
                    <w14:schemeClr w14:val="tx1"/>
                  </w14:solidFill>
                </w14:textFill>
              </w:rPr>
              <w:t>汞等重金属离子，该产品广泛用于饮用水、工业用水和污水处理领域。</w:t>
            </w:r>
          </w:p>
          <w:p w14:paraId="6B12D5E5">
            <w:pPr>
              <w:spacing w:line="360" w:lineRule="auto"/>
              <w:ind w:firstLine="480" w:firstLineChars="200"/>
              <w:rPr>
                <w:color w:val="000000" w:themeColor="text1"/>
                <w:highlight w:val="yellow"/>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②</w:t>
            </w:r>
            <w:r>
              <w:rPr>
                <w:color w:val="000000" w:themeColor="text1"/>
                <w:sz w:val="24"/>
                <w:highlight w:val="none"/>
                <w14:textFill>
                  <w14:solidFill>
                    <w14:schemeClr w14:val="tx1"/>
                  </w14:solidFill>
                </w14:textFill>
              </w:rPr>
              <w:t>PAM：PAM全名为聚丙烯酰胺，该产品的分子能与分散于溶液中的悬浮粒子架桥吸附，有着极强的絮凝作用</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密度=1.3g/cm³。PAM在50-60°C下溶于水，水解度为5%-35%，也溶于乙酸、丙酸、氯代乙酸、乙二醇、甘油和胺等有机溶剂。由于单体丙烯酰胺在聚合时发生链转移产生支链，使PAM高分子链结构中包含以支链和亚胺桥为主的交联结构。交联适度则相对分子质量高且易溶解，交联多则产物不溶。若减弱分子链的缔合，则PAM玻璃化温度降低，较易溶解。在加入低分子酰胺化合物（如尿素）后能</w:t>
            </w:r>
            <w:r>
              <w:rPr>
                <w:rFonts w:hint="eastAsia"/>
                <w:color w:val="000000" w:themeColor="text1"/>
                <w:sz w:val="24"/>
                <w:highlight w:val="none"/>
                <w:lang w:eastAsia="zh-CN"/>
                <w14:textFill>
                  <w14:solidFill>
                    <w14:schemeClr w14:val="tx1"/>
                  </w14:solidFill>
                </w14:textFill>
              </w:rPr>
              <w:t>削弱</w:t>
            </w:r>
            <w:r>
              <w:rPr>
                <w:color w:val="000000" w:themeColor="text1"/>
                <w:sz w:val="24"/>
                <w:highlight w:val="none"/>
                <w14:textFill>
                  <w14:solidFill>
                    <w14:schemeClr w14:val="tx1"/>
                  </w14:solidFill>
                </w14:textFill>
              </w:rPr>
              <w:t>PAM的链间缔合，从而改善PAM的溶解。此外，尿素还有抑制产品交联和提高PAM相对分子质量等作用。制备高相对分子质量PAM为所追求的目标，但相对分子质量越大，则支链越多，所以增加了PAM溶解的困难。PAM水解度：PAM的溶解可在适度水解下进行，水解度越大越溶解。PAM在大于200°C以上容易分解，在210°C无氧条件下，PAM中酰胺基脱水转变为氰基；在500°C以上时聚丙烯酰胺PAM炭化为黑色粉末。PAM分子中的酰胺基具有很高的活性，包括增稠、絮凝和降阻等多种性质。PAM：毒性：PAM本身无毒，但由于聚丙烯酰胺PAM分子内残留着丙烯酰胺，而丙烯酰胺有毒，在聚丙烯酰胺PAM中一般允许丙烯酰胺残留量为1%。</w:t>
            </w:r>
          </w:p>
          <w:p w14:paraId="1ECFE01A">
            <w:pPr>
              <w:tabs>
                <w:tab w:val="left" w:pos="6480"/>
              </w:tabs>
              <w:spacing w:line="360" w:lineRule="auto"/>
              <w:ind w:firstLine="480" w:firstLineChars="200"/>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③磁铁矿粉，即粉状的磁铁矿。是带有磁性，制作钢灰、灰黑色的颜料，色泽浓厚、庄重，抗风化，抗腐蚀、耐酸、碱性强。在现代装修中做地板砖、瓷砖间勾缝用料，性能稳定，与瓷砖颜色反差大，线条鲜明、美观。中国各省均有分布。</w:t>
            </w:r>
          </w:p>
          <w:p w14:paraId="0C7E6BC8">
            <w:pPr>
              <w:tabs>
                <w:tab w:val="left" w:pos="6480"/>
              </w:tabs>
              <w:spacing w:line="360" w:lineRule="auto"/>
              <w:ind w:firstLine="480" w:firstLineChars="200"/>
              <w:rPr>
                <w:rFonts w:hint="default"/>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磁铁矿的化学成分为氧化铁。这表明磁铁矿同时含有亚铁（二价）和三价铁（三价），表明在含氧量中等的环境中结晶。其结构的主要细节是在1915年确定的。它是最早使用X射线衍射获得的晶体结构之一。结构为反尖晶石，O</w:t>
            </w:r>
            <w:r>
              <w:rPr>
                <w:rFonts w:hint="eastAsia"/>
                <w:b w:val="0"/>
                <w:bCs w:val="0"/>
                <w:color w:val="000000" w:themeColor="text1"/>
                <w:sz w:val="24"/>
                <w:highlight w:val="none"/>
                <w:vertAlign w:val="superscript"/>
                <w:lang w:val="en-US" w:eastAsia="zh-CN"/>
                <w14:textFill>
                  <w14:solidFill>
                    <w14:schemeClr w14:val="tx1"/>
                  </w14:solidFill>
                </w14:textFill>
              </w:rPr>
              <w:t>2−</w:t>
            </w:r>
            <w:r>
              <w:rPr>
                <w:rFonts w:hint="eastAsia"/>
                <w:b w:val="0"/>
                <w:bCs w:val="0"/>
                <w:color w:val="000000" w:themeColor="text1"/>
                <w:sz w:val="24"/>
                <w:highlight w:val="none"/>
                <w:lang w:val="en-US" w:eastAsia="zh-CN"/>
                <w14:textFill>
                  <w14:solidFill>
                    <w14:schemeClr w14:val="tx1"/>
                  </w14:solidFill>
                </w14:textFill>
              </w:rPr>
              <w:t>离子形成面心立方占据间隙位点的晶格和铁阳离子。一半的Fe</w:t>
            </w:r>
            <w:r>
              <w:rPr>
                <w:rFonts w:hint="eastAsia"/>
                <w:b w:val="0"/>
                <w:bCs w:val="0"/>
                <w:color w:val="000000" w:themeColor="text1"/>
                <w:sz w:val="24"/>
                <w:highlight w:val="none"/>
                <w:vertAlign w:val="superscript"/>
                <w:lang w:val="en-US" w:eastAsia="zh-CN"/>
                <w14:textFill>
                  <w14:solidFill>
                    <w14:schemeClr w14:val="tx1"/>
                  </w14:solidFill>
                </w14:textFill>
              </w:rPr>
              <w:t>3+</w:t>
            </w:r>
            <w:r>
              <w:rPr>
                <w:rFonts w:hint="eastAsia"/>
                <w:b w:val="0"/>
                <w:bCs w:val="0"/>
                <w:color w:val="000000" w:themeColor="text1"/>
                <w:sz w:val="24"/>
                <w:highlight w:val="none"/>
                <w:lang w:val="en-US" w:eastAsia="zh-CN"/>
                <w14:textFill>
                  <w14:solidFill>
                    <w14:schemeClr w14:val="tx1"/>
                  </w14:solidFill>
                </w14:textFill>
              </w:rPr>
              <w:t>阳离子占据四面体位置，而另一半与Fe</w:t>
            </w:r>
            <w:r>
              <w:rPr>
                <w:rFonts w:hint="eastAsia"/>
                <w:b w:val="0"/>
                <w:bCs w:val="0"/>
                <w:color w:val="000000" w:themeColor="text1"/>
                <w:sz w:val="24"/>
                <w:highlight w:val="none"/>
                <w:vertAlign w:val="superscript"/>
                <w:lang w:val="en-US" w:eastAsia="zh-CN"/>
                <w14:textFill>
                  <w14:solidFill>
                    <w14:schemeClr w14:val="tx1"/>
                  </w14:solidFill>
                </w14:textFill>
              </w:rPr>
              <w:t>2+</w:t>
            </w:r>
            <w:r>
              <w:rPr>
                <w:rFonts w:hint="eastAsia"/>
                <w:b w:val="0"/>
                <w:bCs w:val="0"/>
                <w:color w:val="000000" w:themeColor="text1"/>
                <w:sz w:val="24"/>
                <w:highlight w:val="none"/>
                <w:lang w:val="en-US" w:eastAsia="zh-CN"/>
                <w14:textFill>
                  <w14:solidFill>
                    <w14:schemeClr w14:val="tx1"/>
                  </w14:solidFill>
                </w14:textFill>
              </w:rPr>
              <w:t>阳离子一起占据八面体位置。晶胞由32个O</w:t>
            </w:r>
            <w:r>
              <w:rPr>
                <w:rFonts w:hint="eastAsia"/>
                <w:b w:val="0"/>
                <w:bCs w:val="0"/>
                <w:color w:val="000000" w:themeColor="text1"/>
                <w:sz w:val="24"/>
                <w:highlight w:val="none"/>
                <w:vertAlign w:val="superscript"/>
                <w:lang w:val="en-US" w:eastAsia="zh-CN"/>
                <w14:textFill>
                  <w14:solidFill>
                    <w14:schemeClr w14:val="tx1"/>
                  </w14:solidFill>
                </w14:textFill>
              </w:rPr>
              <w:t>2-</w:t>
            </w:r>
            <w:r>
              <w:rPr>
                <w:rFonts w:hint="eastAsia"/>
                <w:b w:val="0"/>
                <w:bCs w:val="0"/>
                <w:color w:val="000000" w:themeColor="text1"/>
                <w:sz w:val="24"/>
                <w:highlight w:val="none"/>
                <w:lang w:val="en-US" w:eastAsia="zh-CN"/>
                <w14:textFill>
                  <w14:solidFill>
                    <w14:schemeClr w14:val="tx1"/>
                  </w14:solidFill>
                </w14:textFill>
              </w:rPr>
              <w:t>离子组成，晶胞长度为a=0.839nm。</w:t>
            </w:r>
          </w:p>
          <w:p w14:paraId="45F01DB7">
            <w:pPr>
              <w:tabs>
                <w:tab w:val="left" w:pos="6480"/>
              </w:tabs>
              <w:spacing w:line="360" w:lineRule="auto"/>
              <w:ind w:firstLine="482" w:firstLineChars="200"/>
              <w:rPr>
                <w:b/>
                <w:bCs/>
                <w:color w:val="000000" w:themeColor="text1"/>
                <w:sz w:val="24"/>
                <w:highlight w:val="none"/>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6</w:t>
            </w:r>
            <w:r>
              <w:rPr>
                <w:b/>
                <w:bCs/>
                <w:color w:val="000000" w:themeColor="text1"/>
                <w:sz w:val="24"/>
                <w:highlight w:val="none"/>
                <w14:textFill>
                  <w14:solidFill>
                    <w14:schemeClr w14:val="tx1"/>
                  </w14:solidFill>
                </w14:textFill>
              </w:rPr>
              <w:t>、公用工程</w:t>
            </w:r>
          </w:p>
          <w:p w14:paraId="3B47A8F6">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（1）给水</w:t>
            </w:r>
          </w:p>
          <w:p w14:paraId="5F90FE25">
            <w:pPr>
              <w:tabs>
                <w:tab w:val="left" w:pos="6480"/>
              </w:tabs>
              <w:spacing w:line="360" w:lineRule="auto"/>
              <w:ind w:firstLine="480" w:firstLineChars="200"/>
              <w:rPr>
                <w:rFonts w:hint="default"/>
                <w:color w:val="000000" w:themeColor="text1"/>
                <w:sz w:val="24"/>
                <w:highlight w:val="none"/>
                <w:lang w:val="en-US" w:eastAsia="zh-CN"/>
                <w14:textFill>
                  <w14:solidFill>
                    <w14:schemeClr w14:val="tx1"/>
                  </w14:solidFill>
                </w14:textFill>
              </w:rPr>
            </w:pPr>
            <w:r>
              <w:rPr>
                <w:rFonts w:hint="default"/>
                <w:color w:val="000000" w:themeColor="text1"/>
                <w:sz w:val="24"/>
                <w:highlight w:val="none"/>
                <w:lang w:val="en-US" w:eastAsia="zh-CN"/>
                <w14:textFill>
                  <w14:solidFill>
                    <w14:schemeClr w14:val="tx1"/>
                  </w14:solidFill>
                </w14:textFill>
              </w:rPr>
              <w:t>本项目用水包括生产用水和生活用水，其中生产用水包括</w:t>
            </w:r>
            <w:r>
              <w:rPr>
                <w:rFonts w:hint="eastAsia"/>
                <w:color w:val="000000" w:themeColor="text1"/>
                <w:sz w:val="24"/>
                <w:highlight w:val="none"/>
                <w:lang w:val="en-US" w:eastAsia="zh-CN"/>
                <w14:textFill>
                  <w14:solidFill>
                    <w14:schemeClr w14:val="tx1"/>
                  </w14:solidFill>
                </w14:textFill>
              </w:rPr>
              <w:t>选</w:t>
            </w:r>
            <w:r>
              <w:rPr>
                <w:rFonts w:hint="default"/>
                <w:color w:val="000000" w:themeColor="text1"/>
                <w:sz w:val="24"/>
                <w:highlight w:val="none"/>
                <w:lang w:val="en-US" w:eastAsia="zh-CN"/>
                <w14:textFill>
                  <w14:solidFill>
                    <w14:schemeClr w14:val="tx1"/>
                  </w14:solidFill>
                </w14:textFill>
              </w:rPr>
              <w:t>煤补充水、抑尘用水、车间地面冲洗用水</w:t>
            </w:r>
            <w:r>
              <w:rPr>
                <w:rFonts w:hint="eastAsia"/>
                <w:color w:val="000000" w:themeColor="text1"/>
                <w:sz w:val="24"/>
                <w:highlight w:val="none"/>
                <w:lang w:val="en-US" w:eastAsia="zh-CN"/>
                <w14:textFill>
                  <w14:solidFill>
                    <w14:schemeClr w14:val="tx1"/>
                  </w14:solidFill>
                </w14:textFill>
              </w:rPr>
              <w:t>、</w:t>
            </w:r>
            <w:r>
              <w:rPr>
                <w:rFonts w:hint="eastAsia"/>
                <w:color w:val="FF0000"/>
                <w:sz w:val="24"/>
                <w:highlight w:val="none"/>
                <w:lang w:val="en-US" w:eastAsia="zh-CN"/>
              </w:rPr>
              <w:t>设备冲洗水</w:t>
            </w:r>
            <w:r>
              <w:rPr>
                <w:rFonts w:hint="default"/>
                <w:color w:val="000000" w:themeColor="text1"/>
                <w:sz w:val="24"/>
                <w:highlight w:val="none"/>
                <w:lang w:val="en-US" w:eastAsia="zh-CN"/>
                <w14:textFill>
                  <w14:solidFill>
                    <w14:schemeClr w14:val="tx1"/>
                  </w14:solidFill>
                </w14:textFill>
              </w:rPr>
              <w:t>。</w:t>
            </w:r>
          </w:p>
          <w:p w14:paraId="4264C4A2">
            <w:pPr>
              <w:tabs>
                <w:tab w:val="left" w:pos="6480"/>
              </w:tabs>
              <w:spacing w:line="360" w:lineRule="auto"/>
              <w:ind w:firstLine="480" w:firstLineChars="200"/>
              <w:rPr>
                <w:color w:val="000000" w:themeColor="text1"/>
                <w:sz w:val="24"/>
                <w:highlight w:val="none"/>
                <w14:textFill>
                  <w14:solidFill>
                    <w14:schemeClr w14:val="tx1"/>
                  </w14:solidFill>
                </w14:textFill>
              </w:rPr>
            </w:pPr>
            <w:r>
              <w:rPr>
                <w:rFonts w:hint="default"/>
                <w:color w:val="000000" w:themeColor="text1"/>
                <w:sz w:val="24"/>
                <w:highlight w:val="none"/>
                <w:lang w:val="en-US" w:eastAsia="zh-CN"/>
                <w14:textFill>
                  <w14:solidFill>
                    <w14:schemeClr w14:val="tx1"/>
                  </w14:solidFill>
                </w14:textFill>
              </w:rPr>
              <w:t>项目生产用水</w:t>
            </w:r>
            <w:r>
              <w:rPr>
                <w:rFonts w:hint="eastAsia"/>
                <w:color w:val="000000" w:themeColor="text1"/>
                <w:sz w:val="24"/>
                <w:highlight w:val="none"/>
                <w:lang w:val="en-US" w:eastAsia="zh-CN"/>
                <w14:textFill>
                  <w14:solidFill>
                    <w14:schemeClr w14:val="tx1"/>
                  </w14:solidFill>
                </w14:textFill>
              </w:rPr>
              <w:t>及</w:t>
            </w:r>
            <w:r>
              <w:rPr>
                <w:rFonts w:hint="default"/>
                <w:color w:val="000000" w:themeColor="text1"/>
                <w:sz w:val="24"/>
                <w:highlight w:val="none"/>
                <w:lang w:val="en-US" w:eastAsia="zh-CN"/>
                <w14:textFill>
                  <w14:solidFill>
                    <w14:schemeClr w14:val="tx1"/>
                  </w14:solidFill>
                </w14:textFill>
              </w:rPr>
              <w:t>生活用水</w:t>
            </w:r>
            <w:r>
              <w:rPr>
                <w:rFonts w:hint="eastAsia"/>
                <w:color w:val="000000" w:themeColor="text1"/>
                <w:sz w:val="24"/>
                <w:highlight w:val="none"/>
                <w:lang w:val="en-US" w:eastAsia="zh-CN"/>
                <w14:textFill>
                  <w14:solidFill>
                    <w14:schemeClr w14:val="tx1"/>
                  </w14:solidFill>
                </w14:textFill>
              </w:rPr>
              <w:t>均</w:t>
            </w:r>
            <w:r>
              <w:rPr>
                <w:rFonts w:hint="default"/>
                <w:color w:val="000000" w:themeColor="text1"/>
                <w:sz w:val="24"/>
                <w:highlight w:val="none"/>
                <w:lang w:val="en-US" w:eastAsia="zh-CN"/>
                <w14:textFill>
                  <w14:solidFill>
                    <w14:schemeClr w14:val="tx1"/>
                  </w14:solidFill>
                </w14:textFill>
              </w:rPr>
              <w:t>来自</w:t>
            </w:r>
            <w:r>
              <w:rPr>
                <w:color w:val="000000" w:themeColor="text1"/>
                <w:sz w:val="24"/>
                <w:highlight w:val="none"/>
                <w14:textFill>
                  <w14:solidFill>
                    <w14:schemeClr w14:val="tx1"/>
                  </w14:solidFill>
                </w14:textFill>
              </w:rPr>
              <w:t>市政供水管网。</w:t>
            </w:r>
          </w:p>
          <w:p w14:paraId="713ACFA6">
            <w:pPr>
              <w:tabs>
                <w:tab w:val="left" w:pos="6480"/>
              </w:tabs>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①生产用水</w:t>
            </w:r>
          </w:p>
          <w:p w14:paraId="7AFBD6FE">
            <w:pPr>
              <w:tabs>
                <w:tab w:val="left" w:pos="6480"/>
              </w:tabs>
              <w:spacing w:line="360" w:lineRule="auto"/>
              <w:ind w:firstLine="480" w:firstLineChars="200"/>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本项目选煤废水采用闭路循环水洗煤工艺，选煤废水经过投加絮凝剂，使细小的颗粒絮凝沉淀，上清液循环用于生产。</w:t>
            </w:r>
          </w:p>
          <w:p w14:paraId="1479BF40">
            <w:pPr>
              <w:tabs>
                <w:tab w:val="left" w:pos="6480"/>
              </w:tabs>
              <w:spacing w:line="360" w:lineRule="auto"/>
              <w:ind w:firstLine="480" w:firstLineChars="200"/>
              <w:rPr>
                <w:rFonts w:hint="eastAsia"/>
                <w:color w:val="000000" w:themeColor="text1"/>
                <w:sz w:val="24"/>
                <w:highlight w:val="yellow"/>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根据《黑龙江省地方标准 用水定额》（DB23/T727-2021）中烟煤和无烟煤开采洗选用水定额为0.09-0.1m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lang w:val="en-US" w:eastAsia="zh-CN"/>
                <w14:textFill>
                  <w14:solidFill>
                    <w14:schemeClr w14:val="tx1"/>
                  </w14:solidFill>
                </w14:textFill>
              </w:rPr>
              <w:t>/t-原煤，本项目按最大值0.1m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lang w:val="en-US" w:eastAsia="zh-CN"/>
                <w14:textFill>
                  <w14:solidFill>
                    <w14:schemeClr w14:val="tx1"/>
                  </w14:solidFill>
                </w14:textFill>
              </w:rPr>
              <w:t>/t计算，本项目入洗原煤量为300万t/a，计算得本项目用水量为30万m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lang w:val="en-US" w:eastAsia="zh-CN"/>
                <w14:textFill>
                  <w14:solidFill>
                    <w14:schemeClr w14:val="tx1"/>
                  </w14:solidFill>
                </w14:textFill>
              </w:rPr>
              <w:t>/a，则本项目生产用水量为909.1m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lang w:val="en-US" w:eastAsia="zh-CN"/>
                <w14:textFill>
                  <w14:solidFill>
                    <w14:schemeClr w14:val="tx1"/>
                  </w14:solidFill>
                </w14:textFill>
              </w:rPr>
              <w:t>/d，</w:t>
            </w:r>
            <w:r>
              <w:rPr>
                <w:rFonts w:hint="eastAsia"/>
                <w:color w:val="FF0000"/>
                <w:sz w:val="24"/>
                <w:highlight w:val="none"/>
                <w:lang w:val="en-US" w:eastAsia="zh-CN"/>
              </w:rPr>
              <w:t>原煤含水率约为8%，则原煤带入水量为727.3m</w:t>
            </w:r>
            <w:r>
              <w:rPr>
                <w:rFonts w:hint="eastAsia"/>
                <w:color w:val="FF0000"/>
                <w:sz w:val="24"/>
                <w:highlight w:val="none"/>
                <w:vertAlign w:val="superscript"/>
                <w:lang w:val="en-US" w:eastAsia="zh-CN"/>
              </w:rPr>
              <w:t>3</w:t>
            </w:r>
            <w:r>
              <w:rPr>
                <w:rFonts w:hint="eastAsia"/>
                <w:color w:val="FF0000"/>
                <w:sz w:val="24"/>
                <w:highlight w:val="none"/>
                <w:lang w:val="en-US" w:eastAsia="zh-CN"/>
              </w:rPr>
              <w:t>/d。精煤、中煤、矸石、煤泥含水率分别约为9%、8%、5.5%、24%，则精煤、中煤、矸石、煤泥带走水量分别为490.9m</w:t>
            </w:r>
            <w:r>
              <w:rPr>
                <w:rFonts w:hint="eastAsia"/>
                <w:color w:val="FF0000"/>
                <w:sz w:val="24"/>
                <w:highlight w:val="none"/>
                <w:vertAlign w:val="superscript"/>
                <w:lang w:val="en-US" w:eastAsia="zh-CN"/>
              </w:rPr>
              <w:t>3</w:t>
            </w:r>
            <w:r>
              <w:rPr>
                <w:rFonts w:hint="eastAsia"/>
                <w:color w:val="FF0000"/>
                <w:sz w:val="24"/>
                <w:highlight w:val="none"/>
                <w:lang w:val="en-US" w:eastAsia="zh-CN"/>
              </w:rPr>
              <w:t>/d、72.7m</w:t>
            </w:r>
            <w:r>
              <w:rPr>
                <w:rFonts w:hint="eastAsia"/>
                <w:color w:val="FF0000"/>
                <w:sz w:val="24"/>
                <w:highlight w:val="none"/>
                <w:vertAlign w:val="superscript"/>
                <w:lang w:val="en-US" w:eastAsia="zh-CN"/>
              </w:rPr>
              <w:t>3</w:t>
            </w:r>
            <w:r>
              <w:rPr>
                <w:rFonts w:hint="eastAsia"/>
                <w:color w:val="FF0000"/>
                <w:sz w:val="24"/>
                <w:highlight w:val="none"/>
                <w:lang w:val="en-US" w:eastAsia="zh-CN"/>
              </w:rPr>
              <w:t>/d、120.0m</w:t>
            </w:r>
            <w:r>
              <w:rPr>
                <w:rFonts w:hint="eastAsia"/>
                <w:color w:val="FF0000"/>
                <w:sz w:val="24"/>
                <w:highlight w:val="none"/>
                <w:vertAlign w:val="superscript"/>
                <w:lang w:val="en-US" w:eastAsia="zh-CN"/>
              </w:rPr>
              <w:t>3</w:t>
            </w:r>
            <w:r>
              <w:rPr>
                <w:rFonts w:hint="eastAsia"/>
                <w:color w:val="FF0000"/>
                <w:sz w:val="24"/>
                <w:highlight w:val="none"/>
                <w:lang w:val="en-US" w:eastAsia="zh-CN"/>
              </w:rPr>
              <w:t>/d、130.9m</w:t>
            </w:r>
            <w:r>
              <w:rPr>
                <w:rFonts w:hint="eastAsia"/>
                <w:color w:val="FF0000"/>
                <w:sz w:val="24"/>
                <w:highlight w:val="none"/>
                <w:vertAlign w:val="superscript"/>
                <w:lang w:val="en-US" w:eastAsia="zh-CN"/>
              </w:rPr>
              <w:t>3</w:t>
            </w:r>
            <w:r>
              <w:rPr>
                <w:rFonts w:hint="eastAsia"/>
                <w:color w:val="FF0000"/>
                <w:sz w:val="24"/>
                <w:highlight w:val="none"/>
                <w:lang w:val="en-US" w:eastAsia="zh-CN"/>
              </w:rPr>
              <w:t>/d；</w:t>
            </w:r>
            <w:r>
              <w:rPr>
                <w:rFonts w:hint="eastAsia"/>
                <w:color w:val="FF0000"/>
                <w:sz w:val="24"/>
                <w:highlight w:val="green"/>
                <w:lang w:val="en-US" w:eastAsia="zh-CN"/>
              </w:rPr>
              <w:t>精煤、中煤、矸石、煤泥产生的渗滤液约为带走水量的10%，则精煤、中煤、矸石、煤泥产生的渗滤液量分别为49.09m</w:t>
            </w:r>
            <w:r>
              <w:rPr>
                <w:rFonts w:hint="eastAsia"/>
                <w:color w:val="FF0000"/>
                <w:sz w:val="24"/>
                <w:highlight w:val="green"/>
                <w:vertAlign w:val="superscript"/>
                <w:lang w:val="en-US" w:eastAsia="zh-CN"/>
              </w:rPr>
              <w:t>3</w:t>
            </w:r>
            <w:r>
              <w:rPr>
                <w:rFonts w:hint="eastAsia"/>
                <w:color w:val="FF0000"/>
                <w:sz w:val="24"/>
                <w:highlight w:val="green"/>
                <w:lang w:val="en-US" w:eastAsia="zh-CN"/>
              </w:rPr>
              <w:t>/d、7.27m</w:t>
            </w:r>
            <w:r>
              <w:rPr>
                <w:rFonts w:hint="eastAsia"/>
                <w:color w:val="FF0000"/>
                <w:sz w:val="24"/>
                <w:highlight w:val="green"/>
                <w:vertAlign w:val="superscript"/>
                <w:lang w:val="en-US" w:eastAsia="zh-CN"/>
              </w:rPr>
              <w:t>3</w:t>
            </w:r>
            <w:r>
              <w:rPr>
                <w:rFonts w:hint="eastAsia"/>
                <w:color w:val="FF0000"/>
                <w:sz w:val="24"/>
                <w:highlight w:val="green"/>
                <w:lang w:val="en-US" w:eastAsia="zh-CN"/>
              </w:rPr>
              <w:t>/d、12.00m</w:t>
            </w:r>
            <w:r>
              <w:rPr>
                <w:rFonts w:hint="eastAsia"/>
                <w:color w:val="FF0000"/>
                <w:sz w:val="24"/>
                <w:highlight w:val="green"/>
                <w:vertAlign w:val="superscript"/>
                <w:lang w:val="en-US" w:eastAsia="zh-CN"/>
              </w:rPr>
              <w:t>3</w:t>
            </w:r>
            <w:r>
              <w:rPr>
                <w:rFonts w:hint="eastAsia"/>
                <w:color w:val="FF0000"/>
                <w:sz w:val="24"/>
                <w:highlight w:val="green"/>
                <w:lang w:val="en-US" w:eastAsia="zh-CN"/>
              </w:rPr>
              <w:t>/d、13.09m</w:t>
            </w:r>
            <w:r>
              <w:rPr>
                <w:rFonts w:hint="eastAsia"/>
                <w:color w:val="FF0000"/>
                <w:sz w:val="24"/>
                <w:highlight w:val="green"/>
                <w:vertAlign w:val="superscript"/>
                <w:lang w:val="en-US" w:eastAsia="zh-CN"/>
              </w:rPr>
              <w:t>3</w:t>
            </w:r>
            <w:r>
              <w:rPr>
                <w:rFonts w:hint="eastAsia"/>
                <w:color w:val="FF0000"/>
                <w:sz w:val="24"/>
                <w:highlight w:val="green"/>
                <w:lang w:val="en-US" w:eastAsia="zh-CN"/>
              </w:rPr>
              <w:t>/d，回用于生产，则补水量5.75m</w:t>
            </w:r>
            <w:r>
              <w:rPr>
                <w:rFonts w:hint="eastAsia"/>
                <w:color w:val="FF0000"/>
                <w:sz w:val="24"/>
                <w:highlight w:val="green"/>
                <w:vertAlign w:val="superscript"/>
                <w:lang w:val="en-US" w:eastAsia="zh-CN"/>
              </w:rPr>
              <w:t>3</w:t>
            </w:r>
            <w:r>
              <w:rPr>
                <w:rFonts w:hint="eastAsia"/>
                <w:color w:val="FF0000"/>
                <w:sz w:val="24"/>
                <w:highlight w:val="green"/>
                <w:lang w:val="en-US" w:eastAsia="zh-CN"/>
              </w:rPr>
              <w:t>/d，</w:t>
            </w:r>
            <w:r>
              <w:rPr>
                <w:rFonts w:hint="eastAsia"/>
                <w:color w:val="FF0000"/>
                <w:sz w:val="24"/>
                <w:highlight w:val="none"/>
                <w:lang w:val="en-US" w:eastAsia="zh-CN"/>
              </w:rPr>
              <w:t>循环系统每吨入选原煤补水量约为0.001m</w:t>
            </w:r>
            <w:r>
              <w:rPr>
                <w:rFonts w:hint="eastAsia"/>
                <w:color w:val="FF0000"/>
                <w:sz w:val="24"/>
                <w:highlight w:val="none"/>
                <w:vertAlign w:val="superscript"/>
                <w:lang w:val="en-US" w:eastAsia="zh-CN"/>
              </w:rPr>
              <w:t>3</w:t>
            </w:r>
            <w:r>
              <w:rPr>
                <w:rFonts w:hint="eastAsia"/>
                <w:color w:val="FF0000"/>
                <w:sz w:val="24"/>
                <w:highlight w:val="none"/>
                <w:lang w:val="en-US" w:eastAsia="zh-CN"/>
              </w:rPr>
              <w:t>，满足《洗煤厂洗水闭路循环等级》（GB/T35051-2018）一级闭路循环要求（最小单位补水量＜0.055m</w:t>
            </w:r>
            <w:r>
              <w:rPr>
                <w:rFonts w:hint="eastAsia"/>
                <w:color w:val="FF0000"/>
                <w:sz w:val="24"/>
                <w:highlight w:val="none"/>
                <w:vertAlign w:val="superscript"/>
                <w:lang w:val="en-US" w:eastAsia="zh-CN"/>
              </w:rPr>
              <w:t>3</w:t>
            </w:r>
            <w:r>
              <w:rPr>
                <w:rFonts w:hint="eastAsia"/>
                <w:color w:val="FF0000"/>
                <w:sz w:val="24"/>
                <w:highlight w:val="none"/>
                <w:lang w:val="en-US" w:eastAsia="zh-CN"/>
              </w:rPr>
              <w:t>/t）。项目选煤工艺水循环利用率为97%，用水量指标满足《洗煤厂洗水闭路循环等级》（GB/T3505-2018）要求，即：一级闭路循环系统补水量＜0.15m</w:t>
            </w:r>
            <w:r>
              <w:rPr>
                <w:rFonts w:hint="eastAsia"/>
                <w:color w:val="FF0000"/>
                <w:sz w:val="24"/>
                <w:highlight w:val="none"/>
                <w:vertAlign w:val="superscript"/>
                <w:lang w:val="en-US" w:eastAsia="zh-CN"/>
              </w:rPr>
              <w:t>3</w:t>
            </w:r>
            <w:r>
              <w:rPr>
                <w:rFonts w:hint="eastAsia"/>
                <w:color w:val="FF0000"/>
                <w:sz w:val="24"/>
                <w:highlight w:val="none"/>
                <w:lang w:val="en-US" w:eastAsia="zh-CN"/>
              </w:rPr>
              <w:t>/t（入选原料），水重复利用率＞90%。</w:t>
            </w:r>
          </w:p>
          <w:p w14:paraId="7FB67110">
            <w:pPr>
              <w:tabs>
                <w:tab w:val="left" w:pos="6480"/>
              </w:tabs>
              <w:spacing w:line="360" w:lineRule="auto"/>
              <w:ind w:firstLine="480" w:firstLineChars="200"/>
              <w:rPr>
                <w:rFonts w:hint="eastAsia"/>
                <w:color w:val="FF0000"/>
                <w:sz w:val="24"/>
                <w:highlight w:val="none"/>
                <w:lang w:val="en-US" w:eastAsia="zh-CN"/>
              </w:rPr>
            </w:pPr>
            <w:r>
              <w:rPr>
                <w:rFonts w:hint="eastAsia"/>
                <w:color w:val="000000" w:themeColor="text1"/>
                <w:sz w:val="24"/>
                <w:highlight w:val="none"/>
                <w:lang w:val="en-US" w:eastAsia="zh-CN"/>
                <w14:textFill>
                  <w14:solidFill>
                    <w14:schemeClr w14:val="tx1"/>
                  </w14:solidFill>
                </w14:textFill>
              </w:rPr>
              <w:t>抑尘用水：主厂房为封闭车间，在上料、破碎、筛分等工序均进行喷淋降尘，</w:t>
            </w:r>
            <w:r>
              <w:rPr>
                <w:rFonts w:hint="eastAsia"/>
                <w:color w:val="FF0000"/>
                <w:sz w:val="24"/>
                <w:highlight w:val="none"/>
                <w:lang w:val="en-US" w:eastAsia="zh-CN"/>
              </w:rPr>
              <w:t>设置6个固定式喷洒点作为主要抑尘措施，单个喷洒点耗水量为32m</w:t>
            </w:r>
            <w:r>
              <w:rPr>
                <w:rFonts w:hint="eastAsia"/>
                <w:color w:val="FF0000"/>
                <w:sz w:val="24"/>
                <w:highlight w:val="none"/>
                <w:vertAlign w:val="superscript"/>
                <w:lang w:val="en-US" w:eastAsia="zh-CN"/>
              </w:rPr>
              <w:t>3</w:t>
            </w:r>
            <w:r>
              <w:rPr>
                <w:rFonts w:hint="eastAsia"/>
                <w:color w:val="FF0000"/>
                <w:sz w:val="24"/>
                <w:highlight w:val="none"/>
                <w:lang w:val="en-US" w:eastAsia="zh-CN"/>
              </w:rPr>
              <w:t>/h；实施全车间的喷淋作业，每个喷洒器喷洒3~5min，每日4次，则喷洒系统用水量为64m</w:t>
            </w:r>
            <w:r>
              <w:rPr>
                <w:rFonts w:hint="eastAsia"/>
                <w:color w:val="FF0000"/>
                <w:sz w:val="24"/>
                <w:highlight w:val="none"/>
                <w:vertAlign w:val="superscript"/>
                <w:lang w:val="en-US" w:eastAsia="zh-CN"/>
              </w:rPr>
              <w:t>3</w:t>
            </w:r>
            <w:r>
              <w:rPr>
                <w:rFonts w:hint="eastAsia"/>
                <w:color w:val="FF0000"/>
                <w:sz w:val="24"/>
                <w:highlight w:val="none"/>
                <w:lang w:val="en-US" w:eastAsia="zh-CN"/>
              </w:rPr>
              <w:t>/d。</w:t>
            </w:r>
          </w:p>
          <w:p w14:paraId="76F0C42E">
            <w:pPr>
              <w:tabs>
                <w:tab w:val="left" w:pos="6480"/>
              </w:tabs>
              <w:spacing w:line="360" w:lineRule="auto"/>
              <w:ind w:firstLine="480" w:firstLineChars="200"/>
              <w:rPr>
                <w:rFonts w:hint="eastAsia"/>
                <w:color w:val="FF0000"/>
                <w:sz w:val="24"/>
                <w:highlight w:val="none"/>
                <w:lang w:val="en-US" w:eastAsia="zh-CN"/>
              </w:rPr>
            </w:pPr>
            <w:r>
              <w:rPr>
                <w:rFonts w:hint="eastAsia"/>
                <w:color w:val="000000" w:themeColor="text1"/>
                <w:sz w:val="24"/>
                <w:highlight w:val="none"/>
                <w:lang w:val="en-US" w:eastAsia="zh-CN"/>
                <w14:textFill>
                  <w14:solidFill>
                    <w14:schemeClr w14:val="tx1"/>
                  </w14:solidFill>
                </w14:textFill>
              </w:rPr>
              <w:t>物料在装卸和暂存过程中进行洒水抑尘，厂内运输路面需要定期洒水抑尘。</w:t>
            </w:r>
            <w:r>
              <w:rPr>
                <w:rFonts w:hint="eastAsia"/>
                <w:color w:val="FF0000"/>
                <w:sz w:val="24"/>
                <w:highlight w:val="none"/>
                <w:lang w:val="en-US" w:eastAsia="zh-CN"/>
              </w:rPr>
              <w:t>根据《煤炭洗选工程设计规范》（GB50359-2016）道路浇洒用水计算洒水量，用水定额2.0~3.0L/（m</w:t>
            </w:r>
            <w:r>
              <w:rPr>
                <w:rFonts w:hint="eastAsia"/>
                <w:color w:val="FF0000"/>
                <w:sz w:val="24"/>
                <w:highlight w:val="none"/>
                <w:vertAlign w:val="superscript"/>
                <w:lang w:val="en-US" w:eastAsia="zh-CN"/>
              </w:rPr>
              <w:t>3</w:t>
            </w:r>
            <w:r>
              <w:rPr>
                <w:rFonts w:hint="eastAsia"/>
                <w:color w:val="FF0000"/>
                <w:sz w:val="24"/>
                <w:highlight w:val="none"/>
                <w:lang w:val="en-US" w:eastAsia="zh-CN"/>
              </w:rPr>
              <w:t>/d），本次评价取3.0L，整个生产、暂存过程需洒水面积约为4000m</w:t>
            </w:r>
            <w:r>
              <w:rPr>
                <w:rFonts w:hint="eastAsia"/>
                <w:color w:val="FF0000"/>
                <w:sz w:val="24"/>
                <w:highlight w:val="none"/>
                <w:vertAlign w:val="superscript"/>
                <w:lang w:val="en-US" w:eastAsia="zh-CN"/>
              </w:rPr>
              <w:t>2</w:t>
            </w:r>
            <w:r>
              <w:rPr>
                <w:rFonts w:hint="eastAsia"/>
                <w:color w:val="FF0000"/>
                <w:sz w:val="24"/>
                <w:highlight w:val="none"/>
                <w:lang w:val="en-US" w:eastAsia="zh-CN"/>
              </w:rPr>
              <w:t>，则用水量约为12m</w:t>
            </w:r>
            <w:r>
              <w:rPr>
                <w:rFonts w:hint="eastAsia"/>
                <w:color w:val="FF0000"/>
                <w:sz w:val="24"/>
                <w:highlight w:val="none"/>
                <w:vertAlign w:val="superscript"/>
                <w:lang w:val="en-US" w:eastAsia="zh-CN"/>
              </w:rPr>
              <w:t>3</w:t>
            </w:r>
            <w:r>
              <w:rPr>
                <w:rFonts w:hint="eastAsia"/>
                <w:color w:val="FF0000"/>
                <w:sz w:val="24"/>
                <w:highlight w:val="none"/>
                <w:lang w:val="en-US" w:eastAsia="zh-CN"/>
              </w:rPr>
              <w:t>/d。</w:t>
            </w:r>
          </w:p>
          <w:p w14:paraId="2CF6C452">
            <w:pPr>
              <w:tabs>
                <w:tab w:val="left" w:pos="6480"/>
              </w:tabs>
              <w:spacing w:line="360" w:lineRule="auto"/>
              <w:ind w:firstLine="480" w:firstLineChars="200"/>
              <w:rPr>
                <w:rFonts w:hint="default"/>
                <w:color w:val="FF0000"/>
                <w:sz w:val="24"/>
                <w:highlight w:val="none"/>
                <w:lang w:val="en-US" w:eastAsia="zh-CN"/>
              </w:rPr>
            </w:pPr>
            <w:r>
              <w:rPr>
                <w:rFonts w:hint="eastAsia"/>
                <w:color w:val="FF0000"/>
                <w:sz w:val="24"/>
                <w:highlight w:val="none"/>
                <w:lang w:val="en-US" w:eastAsia="zh-CN"/>
              </w:rPr>
              <w:t>地面冲洗水：项目生产车间地面需用水清洗，根据《煤炭洗选工程设计规范》（GB50359-2016）室内地面冲洗给水定额，对原煤和干煤产品（除矸石外）生产系统，可为4L/（m</w:t>
            </w:r>
            <w:r>
              <w:rPr>
                <w:rFonts w:hint="eastAsia"/>
                <w:color w:val="FF0000"/>
                <w:sz w:val="24"/>
                <w:highlight w:val="none"/>
                <w:vertAlign w:val="superscript"/>
                <w:lang w:val="en-US" w:eastAsia="zh-CN"/>
              </w:rPr>
              <w:t>2</w:t>
            </w:r>
            <w:r>
              <w:rPr>
                <w:rFonts w:hint="eastAsia"/>
                <w:color w:val="FF0000"/>
                <w:sz w:val="24"/>
                <w:highlight w:val="none"/>
                <w:lang w:val="en-US" w:eastAsia="zh-CN"/>
              </w:rPr>
              <w:t>·次）~6L/（m</w:t>
            </w:r>
            <w:r>
              <w:rPr>
                <w:rFonts w:hint="eastAsia"/>
                <w:color w:val="FF0000"/>
                <w:sz w:val="24"/>
                <w:highlight w:val="none"/>
                <w:vertAlign w:val="superscript"/>
                <w:lang w:val="en-US" w:eastAsia="zh-CN"/>
              </w:rPr>
              <w:t>2</w:t>
            </w:r>
            <w:r>
              <w:rPr>
                <w:rFonts w:hint="eastAsia"/>
                <w:color w:val="FF0000"/>
                <w:sz w:val="24"/>
                <w:highlight w:val="none"/>
                <w:lang w:val="en-US" w:eastAsia="zh-CN"/>
              </w:rPr>
              <w:t>·次），本次取最大值6L/（m</w:t>
            </w:r>
            <w:r>
              <w:rPr>
                <w:rFonts w:hint="eastAsia"/>
                <w:color w:val="FF0000"/>
                <w:sz w:val="24"/>
                <w:highlight w:val="none"/>
                <w:vertAlign w:val="superscript"/>
                <w:lang w:val="en-US" w:eastAsia="zh-CN"/>
              </w:rPr>
              <w:t>2</w:t>
            </w:r>
            <w:r>
              <w:rPr>
                <w:rFonts w:hint="eastAsia"/>
                <w:color w:val="FF0000"/>
                <w:sz w:val="24"/>
                <w:highlight w:val="none"/>
                <w:lang w:val="en-US" w:eastAsia="zh-CN"/>
              </w:rPr>
              <w:t>·次），每天2次，冲洗面积约为4000m</w:t>
            </w:r>
            <w:r>
              <w:rPr>
                <w:rFonts w:hint="eastAsia"/>
                <w:color w:val="FF0000"/>
                <w:sz w:val="24"/>
                <w:highlight w:val="none"/>
                <w:vertAlign w:val="superscript"/>
                <w:lang w:val="en-US" w:eastAsia="zh-CN"/>
              </w:rPr>
              <w:t>2</w:t>
            </w:r>
            <w:r>
              <w:rPr>
                <w:rFonts w:hint="eastAsia"/>
                <w:color w:val="FF0000"/>
                <w:sz w:val="24"/>
                <w:highlight w:val="none"/>
                <w:lang w:val="en-US" w:eastAsia="zh-CN"/>
              </w:rPr>
              <w:t>，则冲洗用水量为48m</w:t>
            </w:r>
            <w:r>
              <w:rPr>
                <w:rFonts w:hint="eastAsia"/>
                <w:color w:val="FF0000"/>
                <w:sz w:val="24"/>
                <w:highlight w:val="none"/>
                <w:vertAlign w:val="superscript"/>
                <w:lang w:val="en-US" w:eastAsia="zh-CN"/>
              </w:rPr>
              <w:t>3</w:t>
            </w:r>
            <w:r>
              <w:rPr>
                <w:rFonts w:hint="eastAsia"/>
                <w:color w:val="FF0000"/>
                <w:sz w:val="24"/>
                <w:highlight w:val="none"/>
                <w:lang w:val="en-US" w:eastAsia="zh-CN"/>
              </w:rPr>
              <w:t>/d。</w:t>
            </w:r>
          </w:p>
          <w:p w14:paraId="6A24D2F2">
            <w:pPr>
              <w:tabs>
                <w:tab w:val="left" w:pos="6480"/>
              </w:tabs>
              <w:spacing w:line="360" w:lineRule="auto"/>
              <w:ind w:firstLine="480" w:firstLineChars="200"/>
              <w:rPr>
                <w:rFonts w:hint="default" w:eastAsia="宋体"/>
                <w:color w:val="FF0000"/>
                <w:sz w:val="24"/>
                <w:highlight w:val="none"/>
                <w:lang w:val="en-US" w:eastAsia="zh-CN"/>
              </w:rPr>
            </w:pPr>
            <w:r>
              <w:rPr>
                <w:rFonts w:hint="eastAsia"/>
                <w:color w:val="FF0000"/>
                <w:sz w:val="24"/>
                <w:highlight w:val="none"/>
                <w:lang w:val="en-US" w:eastAsia="zh-CN"/>
              </w:rPr>
              <w:t>设备冲洗水：压滤机在暂时停止生产时必须清洗干净，压滤机每天清洗一次，压滤机冲洗用水以0.5m</w:t>
            </w:r>
            <w:r>
              <w:rPr>
                <w:rFonts w:hint="eastAsia"/>
                <w:color w:val="FF0000"/>
                <w:sz w:val="24"/>
                <w:highlight w:val="none"/>
                <w:vertAlign w:val="superscript"/>
                <w:lang w:val="en-US" w:eastAsia="zh-CN"/>
              </w:rPr>
              <w:t>3</w:t>
            </w:r>
            <w:r>
              <w:rPr>
                <w:rFonts w:hint="eastAsia"/>
                <w:color w:val="FF0000"/>
                <w:sz w:val="24"/>
                <w:highlight w:val="none"/>
                <w:lang w:val="en-US" w:eastAsia="zh-CN"/>
              </w:rPr>
              <w:t>/台·天计，本项目设置10台压滤机，则项目压滤机冲洗用水量为5m</w:t>
            </w:r>
            <w:r>
              <w:rPr>
                <w:rFonts w:hint="eastAsia"/>
                <w:color w:val="FF0000"/>
                <w:sz w:val="24"/>
                <w:highlight w:val="none"/>
                <w:vertAlign w:val="superscript"/>
                <w:lang w:val="en-US" w:eastAsia="zh-CN"/>
              </w:rPr>
              <w:t>3</w:t>
            </w:r>
            <w:r>
              <w:rPr>
                <w:rFonts w:hint="eastAsia"/>
                <w:color w:val="FF0000"/>
                <w:sz w:val="24"/>
                <w:highlight w:val="none"/>
                <w:lang w:val="en-US" w:eastAsia="zh-CN"/>
              </w:rPr>
              <w:t>/d。</w:t>
            </w:r>
          </w:p>
          <w:p w14:paraId="3890F36D">
            <w:pPr>
              <w:tabs>
                <w:tab w:val="left" w:pos="6480"/>
              </w:tabs>
              <w:spacing w:line="360" w:lineRule="auto"/>
              <w:ind w:firstLine="480" w:firstLineChars="200"/>
              <w:rPr>
                <w:color w:val="FF0000"/>
                <w:sz w:val="24"/>
                <w:highlight w:val="none"/>
              </w:rPr>
            </w:pPr>
            <w:r>
              <w:rPr>
                <w:rFonts w:hint="eastAsia"/>
                <w:color w:val="FF0000"/>
                <w:sz w:val="24"/>
                <w:highlight w:val="none"/>
                <w:lang w:val="en-US" w:eastAsia="zh-CN"/>
              </w:rPr>
              <w:t>车辆清洗</w:t>
            </w:r>
            <w:r>
              <w:rPr>
                <w:rFonts w:hint="eastAsia"/>
                <w:color w:val="FF0000"/>
                <w:sz w:val="24"/>
                <w:highlight w:val="none"/>
              </w:rPr>
              <w:t>用水</w:t>
            </w:r>
            <w:r>
              <w:rPr>
                <w:rFonts w:hint="eastAsia"/>
                <w:color w:val="FF0000"/>
                <w:sz w:val="24"/>
                <w:highlight w:val="none"/>
                <w:lang w:eastAsia="zh-CN"/>
              </w:rPr>
              <w:t>：</w:t>
            </w:r>
            <w:r>
              <w:rPr>
                <w:rFonts w:hint="eastAsia"/>
                <w:color w:val="FF0000"/>
                <w:sz w:val="24"/>
                <w:highlight w:val="none"/>
              </w:rPr>
              <w:t>本次</w:t>
            </w:r>
            <w:r>
              <w:rPr>
                <w:rFonts w:hint="eastAsia"/>
                <w:color w:val="FF0000"/>
                <w:sz w:val="24"/>
                <w:highlight w:val="none"/>
                <w:lang w:val="en-US" w:eastAsia="zh-CN"/>
              </w:rPr>
              <w:t>车辆清洗</w:t>
            </w:r>
            <w:r>
              <w:rPr>
                <w:rFonts w:hint="eastAsia"/>
                <w:color w:val="FF0000"/>
                <w:sz w:val="24"/>
                <w:highlight w:val="none"/>
              </w:rPr>
              <w:t>用水量取40L/(辆·次)，本项目</w:t>
            </w:r>
            <w:r>
              <w:rPr>
                <w:rFonts w:hint="eastAsia"/>
                <w:color w:val="FF0000"/>
                <w:sz w:val="24"/>
                <w:highlight w:val="none"/>
                <w:lang w:val="en-US" w:eastAsia="zh-CN"/>
              </w:rPr>
              <w:t>精煤采用汽运、火运，汽运</w:t>
            </w:r>
            <w:r>
              <w:rPr>
                <w:rFonts w:hint="eastAsia"/>
                <w:color w:val="FF0000"/>
                <w:sz w:val="24"/>
                <w:highlight w:val="none"/>
              </w:rPr>
              <w:t>年运输量</w:t>
            </w:r>
            <w:r>
              <w:rPr>
                <w:rFonts w:hint="eastAsia"/>
                <w:color w:val="FF0000"/>
                <w:sz w:val="24"/>
                <w:highlight w:val="none"/>
                <w:lang w:val="en-US" w:eastAsia="zh-CN"/>
              </w:rPr>
              <w:t>约</w:t>
            </w:r>
            <w:r>
              <w:rPr>
                <w:rFonts w:hint="eastAsia"/>
                <w:color w:val="FF0000"/>
                <w:sz w:val="24"/>
                <w:highlight w:val="none"/>
              </w:rPr>
              <w:t>为</w:t>
            </w:r>
            <w:r>
              <w:rPr>
                <w:rFonts w:hint="eastAsia"/>
                <w:color w:val="FF0000"/>
                <w:sz w:val="24"/>
                <w:highlight w:val="none"/>
                <w:lang w:val="en-US" w:eastAsia="zh-CN"/>
              </w:rPr>
              <w:t>90</w:t>
            </w:r>
            <w:r>
              <w:rPr>
                <w:rFonts w:hint="eastAsia"/>
                <w:color w:val="FF0000"/>
                <w:sz w:val="24"/>
                <w:highlight w:val="none"/>
              </w:rPr>
              <w:t>万t，车辆装载吨位为40t/辆，车流量估计为</w:t>
            </w:r>
            <w:r>
              <w:rPr>
                <w:rFonts w:hint="eastAsia"/>
                <w:color w:val="FF0000"/>
                <w:sz w:val="24"/>
                <w:highlight w:val="none"/>
                <w:lang w:val="en-US" w:eastAsia="zh-CN"/>
              </w:rPr>
              <w:t>68</w:t>
            </w:r>
            <w:r>
              <w:rPr>
                <w:rFonts w:hint="eastAsia"/>
                <w:color w:val="FF0000"/>
                <w:sz w:val="24"/>
                <w:highlight w:val="none"/>
              </w:rPr>
              <w:t>辆·次/d，则</w:t>
            </w:r>
            <w:r>
              <w:rPr>
                <w:rFonts w:hint="eastAsia"/>
                <w:color w:val="FF0000"/>
                <w:sz w:val="24"/>
                <w:highlight w:val="none"/>
                <w:lang w:val="en-US" w:eastAsia="zh-CN"/>
              </w:rPr>
              <w:t>车辆清洗</w:t>
            </w:r>
            <w:r>
              <w:rPr>
                <w:rFonts w:hint="eastAsia"/>
                <w:color w:val="FF0000"/>
                <w:sz w:val="24"/>
                <w:highlight w:val="none"/>
              </w:rPr>
              <w:t>用水量为</w:t>
            </w:r>
            <w:r>
              <w:rPr>
                <w:rFonts w:hint="eastAsia"/>
                <w:color w:val="FF0000"/>
                <w:sz w:val="24"/>
                <w:highlight w:val="none"/>
                <w:lang w:val="en-US" w:eastAsia="zh-CN"/>
              </w:rPr>
              <w:t>2.72</w:t>
            </w:r>
            <w:r>
              <w:rPr>
                <w:rFonts w:hint="eastAsia"/>
                <w:color w:val="FF0000"/>
                <w:sz w:val="24"/>
                <w:highlight w:val="none"/>
              </w:rPr>
              <w:t>m</w:t>
            </w:r>
            <w:r>
              <w:rPr>
                <w:rFonts w:hint="eastAsia"/>
                <w:color w:val="FF0000"/>
                <w:sz w:val="24"/>
                <w:highlight w:val="none"/>
                <w:vertAlign w:val="superscript"/>
              </w:rPr>
              <w:t>3</w:t>
            </w:r>
            <w:r>
              <w:rPr>
                <w:rFonts w:hint="eastAsia"/>
                <w:color w:val="FF0000"/>
                <w:sz w:val="24"/>
                <w:highlight w:val="none"/>
              </w:rPr>
              <w:t>/d。</w:t>
            </w:r>
          </w:p>
          <w:p w14:paraId="69E3CD7C">
            <w:pPr>
              <w:tabs>
                <w:tab w:val="left" w:pos="6480"/>
              </w:tabs>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②</w:t>
            </w:r>
            <w:r>
              <w:rPr>
                <w:rFonts w:hint="eastAsia"/>
                <w:color w:val="000000" w:themeColor="text1"/>
                <w:sz w:val="24"/>
                <w:highlight w:val="none"/>
                <w14:textFill>
                  <w14:solidFill>
                    <w14:schemeClr w14:val="tx1"/>
                  </w14:solidFill>
                </w14:textFill>
              </w:rPr>
              <w:t>生活用水</w:t>
            </w:r>
          </w:p>
          <w:p w14:paraId="22F8B6AF">
            <w:pPr>
              <w:tabs>
                <w:tab w:val="left" w:pos="6480"/>
              </w:tabs>
              <w:spacing w:line="360" w:lineRule="auto"/>
              <w:ind w:firstLine="480" w:firstLineChars="200"/>
              <w:rPr>
                <w:color w:val="000000" w:themeColor="text1"/>
                <w:sz w:val="24"/>
                <w:highlight w:val="yellow"/>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本项目劳动定员130人，厂内食宿人员75人，根据</w:t>
            </w:r>
            <w:r>
              <w:rPr>
                <w:rFonts w:hint="default"/>
                <w:color w:val="000000" w:themeColor="text1"/>
                <w:sz w:val="24"/>
                <w:highlight w:val="none"/>
                <w:lang w:val="en-US" w:eastAsia="zh-CN"/>
                <w14:textFill>
                  <w14:solidFill>
                    <w14:schemeClr w14:val="tx1"/>
                  </w14:solidFill>
                </w14:textFill>
              </w:rPr>
              <w:t>《黑龙江省地方标准用水定额》（DB 23/T727-2021）</w:t>
            </w:r>
            <w:r>
              <w:rPr>
                <w:rFonts w:hint="eastAsia"/>
                <w:color w:val="000000" w:themeColor="text1"/>
                <w:sz w:val="24"/>
                <w:highlight w:val="none"/>
                <w:lang w:val="en-US" w:eastAsia="zh-CN"/>
                <w14:textFill>
                  <w14:solidFill>
                    <w14:schemeClr w14:val="tx1"/>
                  </w14:solidFill>
                </w14:textFill>
              </w:rPr>
              <w:t>，用水定额按115</w:t>
            </w:r>
            <w:r>
              <w:rPr>
                <w:rFonts w:hint="default"/>
                <w:color w:val="000000" w:themeColor="text1"/>
                <w:sz w:val="24"/>
                <w:highlight w:val="none"/>
                <w:lang w:val="en-US" w:eastAsia="zh-CN"/>
                <w14:textFill>
                  <w14:solidFill>
                    <w14:schemeClr w14:val="tx1"/>
                  </w14:solidFill>
                </w14:textFill>
              </w:rPr>
              <w:t>L/</w:t>
            </w:r>
            <w:r>
              <w:rPr>
                <w:rFonts w:hint="eastAsia"/>
                <w:color w:val="000000" w:themeColor="text1"/>
                <w:sz w:val="24"/>
                <w:highlight w:val="none"/>
                <w:lang w:val="en-US" w:eastAsia="zh-CN"/>
                <w14:textFill>
                  <w14:solidFill>
                    <w14:schemeClr w14:val="tx1"/>
                  </w14:solidFill>
                </w14:textFill>
              </w:rPr>
              <w:t>人·</w:t>
            </w:r>
            <w:r>
              <w:rPr>
                <w:rFonts w:hint="default"/>
                <w:color w:val="000000" w:themeColor="text1"/>
                <w:sz w:val="24"/>
                <w:highlight w:val="none"/>
                <w:lang w:val="en-US" w:eastAsia="zh-CN"/>
                <w14:textFill>
                  <w14:solidFill>
                    <w14:schemeClr w14:val="tx1"/>
                  </w14:solidFill>
                </w14:textFill>
              </w:rPr>
              <w:t>d</w:t>
            </w:r>
            <w:r>
              <w:rPr>
                <w:rFonts w:hint="eastAsia"/>
                <w:color w:val="000000" w:themeColor="text1"/>
                <w:sz w:val="24"/>
                <w:highlight w:val="none"/>
                <w:lang w:val="en-US" w:eastAsia="zh-CN"/>
                <w14:textFill>
                  <w14:solidFill>
                    <w14:schemeClr w14:val="tx1"/>
                  </w14:solidFill>
                </w14:textFill>
              </w:rPr>
              <w:t>计算，本项目的生活用水量为14.95</w:t>
            </w:r>
            <w:r>
              <w:rPr>
                <w:rFonts w:hint="default"/>
                <w:color w:val="000000" w:themeColor="text1"/>
                <w:sz w:val="24"/>
                <w:highlight w:val="none"/>
                <w:lang w:val="en-US" w:eastAsia="zh-CN"/>
                <w14:textFill>
                  <w14:solidFill>
                    <w14:schemeClr w14:val="tx1"/>
                  </w14:solidFill>
                </w14:textFill>
              </w:rPr>
              <w:t>m</w:t>
            </w:r>
            <w:r>
              <w:rPr>
                <w:rFonts w:hint="default"/>
                <w:color w:val="000000" w:themeColor="text1"/>
                <w:sz w:val="24"/>
                <w:highlight w:val="none"/>
                <w:vertAlign w:val="superscript"/>
                <w:lang w:val="en-US" w:eastAsia="zh-CN"/>
                <w14:textFill>
                  <w14:solidFill>
                    <w14:schemeClr w14:val="tx1"/>
                  </w14:solidFill>
                </w14:textFill>
              </w:rPr>
              <w:t>3</w:t>
            </w:r>
            <w:r>
              <w:rPr>
                <w:rFonts w:hint="default"/>
                <w:color w:val="000000" w:themeColor="text1"/>
                <w:sz w:val="24"/>
                <w:highlight w:val="none"/>
                <w:lang w:val="en-US" w:eastAsia="zh-CN"/>
                <w14:textFill>
                  <w14:solidFill>
                    <w14:schemeClr w14:val="tx1"/>
                  </w14:solidFill>
                </w14:textFill>
              </w:rPr>
              <w:t>/d</w:t>
            </w:r>
            <w:r>
              <w:rPr>
                <w:rFonts w:hint="eastAsia"/>
                <w:color w:val="000000" w:themeColor="text1"/>
                <w:sz w:val="24"/>
                <w:highlight w:val="none"/>
                <w:lang w:val="en-US" w:eastAsia="zh-CN"/>
                <w14:textFill>
                  <w14:solidFill>
                    <w14:schemeClr w14:val="tx1"/>
                  </w14:solidFill>
                </w14:textFill>
              </w:rPr>
              <w:t>；根据《黑龙江省地方标准用水定额》（DB 23/T727-2021），食堂用水定额按20L/人·餐计算，每天3餐，则食堂用水量为4.50m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lang w:val="en-US" w:eastAsia="zh-CN"/>
                <w14:textFill>
                  <w14:solidFill>
                    <w14:schemeClr w14:val="tx1"/>
                  </w14:solidFill>
                </w14:textFill>
              </w:rPr>
              <w:t>/d。</w:t>
            </w:r>
            <w:r>
              <w:rPr>
                <w:color w:val="000000" w:themeColor="text1"/>
                <w:sz w:val="24"/>
                <w:highlight w:val="none"/>
                <w14:textFill>
                  <w14:solidFill>
                    <w14:schemeClr w14:val="tx1"/>
                  </w14:solidFill>
                </w14:textFill>
              </w:rPr>
              <w:t>全年生产3</w:t>
            </w:r>
            <w:r>
              <w:rPr>
                <w:rFonts w:hint="eastAsia"/>
                <w:color w:val="000000" w:themeColor="text1"/>
                <w:sz w:val="24"/>
                <w:highlight w:val="none"/>
                <w14:textFill>
                  <w14:solidFill>
                    <w14:schemeClr w14:val="tx1"/>
                  </w14:solidFill>
                </w14:textFill>
              </w:rPr>
              <w:t>3</w:t>
            </w:r>
            <w:r>
              <w:rPr>
                <w:color w:val="000000" w:themeColor="text1"/>
                <w:sz w:val="24"/>
                <w:highlight w:val="none"/>
                <w14:textFill>
                  <w14:solidFill>
                    <w14:schemeClr w14:val="tx1"/>
                  </w14:solidFill>
                </w14:textFill>
              </w:rPr>
              <w:t>0天，本项目</w:t>
            </w:r>
            <w:r>
              <w:rPr>
                <w:rFonts w:hint="eastAsia"/>
                <w:color w:val="000000" w:themeColor="text1"/>
                <w:sz w:val="24"/>
                <w:highlight w:val="none"/>
                <w:lang w:val="en-US" w:eastAsia="zh-CN"/>
                <w14:textFill>
                  <w14:solidFill>
                    <w14:schemeClr w14:val="tx1"/>
                  </w14:solidFill>
                </w14:textFill>
              </w:rPr>
              <w:t>总</w:t>
            </w:r>
            <w:r>
              <w:rPr>
                <w:color w:val="000000" w:themeColor="text1"/>
                <w:sz w:val="24"/>
                <w:highlight w:val="none"/>
                <w14:textFill>
                  <w14:solidFill>
                    <w14:schemeClr w14:val="tx1"/>
                  </w14:solidFill>
                </w14:textFill>
              </w:rPr>
              <w:t>生活用水量为</w:t>
            </w:r>
            <w:r>
              <w:rPr>
                <w:rFonts w:hint="eastAsia"/>
                <w:color w:val="000000" w:themeColor="text1"/>
                <w:sz w:val="24"/>
                <w:highlight w:val="none"/>
                <w:lang w:val="en-US" w:eastAsia="zh-CN"/>
                <w14:textFill>
                  <w14:solidFill>
                    <w14:schemeClr w14:val="tx1"/>
                  </w14:solidFill>
                </w14:textFill>
              </w:rPr>
              <w:t>19.45</w:t>
            </w:r>
            <w:r>
              <w:rPr>
                <w:color w:val="000000" w:themeColor="text1"/>
                <w:sz w:val="24"/>
                <w:highlight w:val="none"/>
                <w14:textFill>
                  <w14:solidFill>
                    <w14:schemeClr w14:val="tx1"/>
                  </w14:solidFill>
                </w14:textFill>
              </w:rPr>
              <w:t>m</w:t>
            </w:r>
            <w:r>
              <w:rPr>
                <w:rFonts w:hint="eastAsia"/>
                <w:color w:val="000000" w:themeColor="text1"/>
                <w:sz w:val="24"/>
                <w:highlight w:val="none"/>
                <w:vertAlign w:val="superscript"/>
                <w:lang w:val="en-US" w:eastAsia="zh-CN"/>
                <w14:textFill>
                  <w14:solidFill>
                    <w14:schemeClr w14:val="tx1"/>
                  </w14:solidFill>
                </w14:textFill>
              </w:rPr>
              <w:t>3</w:t>
            </w:r>
            <w:r>
              <w:rPr>
                <w:color w:val="000000" w:themeColor="text1"/>
                <w:sz w:val="24"/>
                <w:highlight w:val="none"/>
                <w14:textFill>
                  <w14:solidFill>
                    <w14:schemeClr w14:val="tx1"/>
                  </w14:solidFill>
                </w14:textFill>
              </w:rPr>
              <w:t>/d，</w:t>
            </w:r>
            <w:r>
              <w:rPr>
                <w:rFonts w:hint="eastAsia"/>
                <w:color w:val="000000" w:themeColor="text1"/>
                <w:sz w:val="24"/>
                <w:highlight w:val="none"/>
                <w:lang w:val="en-US" w:eastAsia="zh-CN"/>
                <w14:textFill>
                  <w14:solidFill>
                    <w14:schemeClr w14:val="tx1"/>
                  </w14:solidFill>
                </w14:textFill>
              </w:rPr>
              <w:t>6418.5</w:t>
            </w:r>
            <w:r>
              <w:rPr>
                <w:color w:val="000000" w:themeColor="text1"/>
                <w:sz w:val="24"/>
                <w:highlight w:val="none"/>
                <w14:textFill>
                  <w14:solidFill>
                    <w14:schemeClr w14:val="tx1"/>
                  </w14:solidFill>
                </w14:textFill>
              </w:rPr>
              <w:t>m</w:t>
            </w:r>
            <w:r>
              <w:rPr>
                <w:rFonts w:hint="eastAsia"/>
                <w:color w:val="000000" w:themeColor="text1"/>
                <w:sz w:val="24"/>
                <w:highlight w:val="none"/>
                <w:vertAlign w:val="superscript"/>
                <w:lang w:val="en-US" w:eastAsia="zh-CN"/>
                <w14:textFill>
                  <w14:solidFill>
                    <w14:schemeClr w14:val="tx1"/>
                  </w14:solidFill>
                </w14:textFill>
              </w:rPr>
              <w:t>3</w:t>
            </w:r>
            <w:r>
              <w:rPr>
                <w:color w:val="000000" w:themeColor="text1"/>
                <w:sz w:val="24"/>
                <w:highlight w:val="none"/>
                <w14:textFill>
                  <w14:solidFill>
                    <w14:schemeClr w14:val="tx1"/>
                  </w14:solidFill>
                </w14:textFill>
              </w:rPr>
              <w:t>/a。</w:t>
            </w:r>
          </w:p>
          <w:p w14:paraId="4A65D427">
            <w:pPr>
              <w:pStyle w:val="22"/>
              <w:spacing w:line="360" w:lineRule="auto"/>
              <w:ind w:left="0" w:leftChars="0" w:firstLine="480" w:firstLineChars="20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③初期雨水</w:t>
            </w:r>
          </w:p>
          <w:p w14:paraId="195F9325">
            <w:pPr>
              <w:tabs>
                <w:tab w:val="left" w:pos="6480"/>
              </w:tabs>
              <w:spacing w:line="360" w:lineRule="auto"/>
              <w:ind w:firstLine="480" w:firstLineChars="200"/>
              <w:jc w:val="left"/>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根据《室外排水设计规范》雨水流量公式为：</w:t>
            </w:r>
          </w:p>
          <w:p w14:paraId="761B22EF">
            <w:pPr>
              <w:tabs>
                <w:tab w:val="left" w:pos="6480"/>
              </w:tabs>
              <w:spacing w:line="360" w:lineRule="auto"/>
              <w:ind w:firstLine="420" w:firstLineChars="200"/>
              <w:jc w:val="center"/>
              <w:rPr>
                <w:rFonts w:hint="default"/>
                <w:color w:val="000000" w:themeColor="text1"/>
                <w:sz w:val="24"/>
                <w:highlight w:val="none"/>
                <w:lang w:val="en-US"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494790" cy="354330"/>
                  <wp:effectExtent l="0" t="0" r="10160" b="7620"/>
                  <wp:docPr id="19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0"/>
                          <pic:cNvPicPr>
                            <a:picLocks noChangeAspect="1"/>
                          </pic:cNvPicPr>
                        </pic:nvPicPr>
                        <pic:blipFill>
                          <a:blip r:embed="rId13"/>
                          <a:stretch>
                            <a:fillRect/>
                          </a:stretch>
                        </pic:blipFill>
                        <pic:spPr>
                          <a:xfrm>
                            <a:off x="0" y="0"/>
                            <a:ext cx="1494790" cy="354330"/>
                          </a:xfrm>
                          <a:prstGeom prst="rect">
                            <a:avLst/>
                          </a:prstGeom>
                          <a:noFill/>
                          <a:ln>
                            <a:noFill/>
                          </a:ln>
                        </pic:spPr>
                      </pic:pic>
                    </a:graphicData>
                  </a:graphic>
                </wp:inline>
              </w:drawing>
            </w:r>
          </w:p>
          <w:p w14:paraId="428DB458">
            <w:pPr>
              <w:tabs>
                <w:tab w:val="left" w:pos="6480"/>
              </w:tabs>
              <w:spacing w:line="360" w:lineRule="auto"/>
              <w:ind w:firstLine="480" w:firstLineChars="200"/>
              <w:jc w:val="left"/>
              <w:rPr>
                <w:rFonts w:hint="default"/>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式中：Q—雨水设计流量（L/s）；</w:t>
            </w:r>
          </w:p>
          <w:p w14:paraId="3CD9CE1B">
            <w:pPr>
              <w:tabs>
                <w:tab w:val="left" w:pos="6480"/>
              </w:tabs>
              <w:spacing w:line="360" w:lineRule="auto"/>
              <w:ind w:firstLine="1200" w:firstLineChars="500"/>
              <w:jc w:val="left"/>
              <w:rPr>
                <w:rFonts w:hint="default"/>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q—设计暴雨强度（L/s·hm</w:t>
            </w:r>
            <w:r>
              <w:rPr>
                <w:rFonts w:hint="eastAsia"/>
                <w:color w:val="000000" w:themeColor="text1"/>
                <w:sz w:val="24"/>
                <w:highlight w:val="none"/>
                <w:vertAlign w:val="superscript"/>
                <w:lang w:val="en-US" w:eastAsia="zh-CN"/>
                <w14:textFill>
                  <w14:solidFill>
                    <w14:schemeClr w14:val="tx1"/>
                  </w14:solidFill>
                </w14:textFill>
              </w:rPr>
              <w:t>2</w:t>
            </w:r>
            <w:r>
              <w:rPr>
                <w:rFonts w:hint="eastAsia"/>
                <w:color w:val="000000" w:themeColor="text1"/>
                <w:sz w:val="24"/>
                <w:highlight w:val="none"/>
                <w:lang w:val="en-US" w:eastAsia="zh-CN"/>
                <w14:textFill>
                  <w14:solidFill>
                    <w14:schemeClr w14:val="tx1"/>
                  </w14:solidFill>
                </w14:textFill>
              </w:rPr>
              <w:t>）；</w:t>
            </w:r>
          </w:p>
          <w:p w14:paraId="702BB829">
            <w:pPr>
              <w:tabs>
                <w:tab w:val="left" w:pos="6480"/>
              </w:tabs>
              <w:spacing w:line="360" w:lineRule="auto"/>
              <w:ind w:firstLine="1200" w:firstLineChars="500"/>
              <w:jc w:val="left"/>
              <w:rPr>
                <w:rFonts w:hint="default"/>
                <w:color w:val="000000" w:themeColor="text1"/>
                <w:sz w:val="24"/>
                <w:highlight w:val="none"/>
                <w:lang w:val="en-US" w:eastAsia="zh-CN"/>
                <w14:textFill>
                  <w14:solidFill>
                    <w14:schemeClr w14:val="tx1"/>
                  </w14:solidFill>
                </w14:textFill>
              </w:rPr>
            </w:pPr>
            <w:r>
              <w:rPr>
                <w:rFonts w:hint="default"/>
                <w:color w:val="000000" w:themeColor="text1"/>
                <w:sz w:val="24"/>
                <w:highlight w:val="none"/>
                <w:lang w:val="en-US" w:eastAsia="zh-CN"/>
                <w14:textFill>
                  <w14:solidFill>
                    <w14:schemeClr w14:val="tx1"/>
                  </w14:solidFill>
                </w14:textFill>
              </w:rPr>
              <w:t>Φ</w:t>
            </w:r>
            <w:r>
              <w:rPr>
                <w:rFonts w:hint="eastAsia"/>
                <w:color w:val="000000" w:themeColor="text1"/>
                <w:sz w:val="24"/>
                <w:highlight w:val="none"/>
                <w:lang w:val="en-US" w:eastAsia="zh-CN"/>
                <w14:textFill>
                  <w14:solidFill>
                    <w14:schemeClr w14:val="tx1"/>
                  </w14:solidFill>
                </w14:textFill>
              </w:rPr>
              <w:t>—径流系数，取0.9；</w:t>
            </w:r>
          </w:p>
          <w:p w14:paraId="6F9E96F5">
            <w:pPr>
              <w:tabs>
                <w:tab w:val="left" w:pos="6480"/>
              </w:tabs>
              <w:spacing w:line="360" w:lineRule="auto"/>
              <w:ind w:firstLine="1200" w:firstLineChars="500"/>
              <w:jc w:val="left"/>
              <w:rPr>
                <w:rFonts w:hint="default"/>
                <w:color w:val="FF0000"/>
                <w:sz w:val="24"/>
                <w:highlight w:val="none"/>
                <w:lang w:val="en-US" w:eastAsia="zh-CN"/>
              </w:rPr>
            </w:pPr>
            <w:r>
              <w:rPr>
                <w:rFonts w:hint="eastAsia"/>
                <w:color w:val="FF0000"/>
                <w:sz w:val="24"/>
                <w:highlight w:val="none"/>
                <w:lang w:val="en-US" w:eastAsia="zh-CN"/>
              </w:rPr>
              <w:t>F—汇水面积（hm</w:t>
            </w:r>
            <w:r>
              <w:rPr>
                <w:rFonts w:hint="eastAsia"/>
                <w:color w:val="FF0000"/>
                <w:sz w:val="24"/>
                <w:highlight w:val="none"/>
                <w:vertAlign w:val="superscript"/>
                <w:lang w:val="en-US" w:eastAsia="zh-CN"/>
              </w:rPr>
              <w:t>2</w:t>
            </w:r>
            <w:r>
              <w:rPr>
                <w:rFonts w:hint="eastAsia"/>
                <w:color w:val="FF0000"/>
                <w:sz w:val="24"/>
                <w:highlight w:val="none"/>
                <w:lang w:val="en-US" w:eastAsia="zh-CN"/>
              </w:rPr>
              <w:t>），取1hm</w:t>
            </w:r>
            <w:r>
              <w:rPr>
                <w:rFonts w:hint="eastAsia"/>
                <w:color w:val="FF0000"/>
                <w:sz w:val="24"/>
                <w:highlight w:val="none"/>
                <w:vertAlign w:val="superscript"/>
                <w:lang w:val="en-US" w:eastAsia="zh-CN"/>
              </w:rPr>
              <w:t>2</w:t>
            </w:r>
            <w:r>
              <w:rPr>
                <w:rFonts w:hint="eastAsia"/>
                <w:color w:val="FF0000"/>
                <w:sz w:val="24"/>
                <w:highlight w:val="none"/>
                <w:lang w:val="en-US" w:eastAsia="zh-CN"/>
              </w:rPr>
              <w:t>。</w:t>
            </w:r>
          </w:p>
          <w:p w14:paraId="42FDFFCE">
            <w:pPr>
              <w:tabs>
                <w:tab w:val="left" w:pos="6480"/>
              </w:tabs>
              <w:spacing w:line="360" w:lineRule="auto"/>
              <w:ind w:firstLine="480" w:firstLineChars="200"/>
              <w:jc w:val="left"/>
              <w:rPr>
                <w:rFonts w:hint="default"/>
                <w:color w:val="FF0000"/>
                <w:sz w:val="24"/>
                <w:highlight w:val="none"/>
                <w:lang w:val="en-US" w:eastAsia="zh-CN"/>
              </w:rPr>
            </w:pPr>
            <w:r>
              <w:rPr>
                <w:rFonts w:hint="eastAsia"/>
                <w:color w:val="FF0000"/>
                <w:sz w:val="24"/>
                <w:highlight w:val="none"/>
                <w:lang w:val="en-US" w:eastAsia="zh-CN"/>
              </w:rPr>
              <w:t>暴雨强度公式：</w:t>
            </w:r>
          </w:p>
          <w:p w14:paraId="3118D4FB">
            <w:pPr>
              <w:tabs>
                <w:tab w:val="left" w:pos="6480"/>
              </w:tabs>
              <w:spacing w:line="360" w:lineRule="auto"/>
              <w:ind w:firstLine="420" w:firstLineChars="200"/>
              <w:jc w:val="center"/>
              <w:rPr>
                <w:rFonts w:hint="default"/>
                <w:color w:val="FF0000"/>
                <w:sz w:val="24"/>
                <w:highlight w:val="none"/>
                <w:lang w:val="en-US" w:eastAsia="zh-CN"/>
              </w:rPr>
            </w:pPr>
            <w:r>
              <w:rPr>
                <w:color w:val="FF0000"/>
                <w:highlight w:val="none"/>
              </w:rPr>
              <w:drawing>
                <wp:inline distT="0" distB="0" distL="114300" distR="114300">
                  <wp:extent cx="2314575" cy="476250"/>
                  <wp:effectExtent l="0" t="0" r="9525" b="0"/>
                  <wp:docPr id="19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2"/>
                          <pic:cNvPicPr>
                            <a:picLocks noChangeAspect="1"/>
                          </pic:cNvPicPr>
                        </pic:nvPicPr>
                        <pic:blipFill>
                          <a:blip r:embed="rId14"/>
                          <a:stretch>
                            <a:fillRect/>
                          </a:stretch>
                        </pic:blipFill>
                        <pic:spPr>
                          <a:xfrm>
                            <a:off x="0" y="0"/>
                            <a:ext cx="2314575" cy="476250"/>
                          </a:xfrm>
                          <a:prstGeom prst="rect">
                            <a:avLst/>
                          </a:prstGeom>
                          <a:noFill/>
                          <a:ln>
                            <a:noFill/>
                          </a:ln>
                        </pic:spPr>
                      </pic:pic>
                    </a:graphicData>
                  </a:graphic>
                </wp:inline>
              </w:drawing>
            </w:r>
          </w:p>
          <w:p w14:paraId="53C0BADF">
            <w:pPr>
              <w:tabs>
                <w:tab w:val="left" w:pos="6480"/>
              </w:tabs>
              <w:spacing w:line="360" w:lineRule="auto"/>
              <w:ind w:firstLine="480" w:firstLineChars="200"/>
              <w:jc w:val="left"/>
              <w:rPr>
                <w:rFonts w:hint="default"/>
                <w:color w:val="FF0000"/>
                <w:sz w:val="24"/>
                <w:highlight w:val="none"/>
                <w:lang w:val="en-US" w:eastAsia="zh-CN"/>
              </w:rPr>
            </w:pPr>
            <w:r>
              <w:rPr>
                <w:rFonts w:hint="eastAsia"/>
                <w:color w:val="FF0000"/>
                <w:sz w:val="24"/>
                <w:highlight w:val="none"/>
                <w:lang w:val="en-US" w:eastAsia="zh-CN"/>
              </w:rPr>
              <w:t>式中：P—设计重现期，单位：年；</w:t>
            </w:r>
          </w:p>
          <w:p w14:paraId="678C201A">
            <w:pPr>
              <w:tabs>
                <w:tab w:val="left" w:pos="6480"/>
              </w:tabs>
              <w:spacing w:line="360" w:lineRule="auto"/>
              <w:ind w:firstLine="1200" w:firstLineChars="500"/>
              <w:jc w:val="left"/>
              <w:rPr>
                <w:rFonts w:hint="default"/>
                <w:color w:val="FF0000"/>
                <w:sz w:val="24"/>
                <w:highlight w:val="yellow"/>
                <w:lang w:val="en-US" w:eastAsia="zh-CN"/>
              </w:rPr>
            </w:pPr>
            <w:r>
              <w:rPr>
                <w:rFonts w:hint="eastAsia"/>
                <w:color w:val="FF0000"/>
                <w:sz w:val="24"/>
                <w:highlight w:val="none"/>
                <w:lang w:val="en-US" w:eastAsia="zh-CN"/>
              </w:rPr>
              <w:t>t—降雨历时，单位：分钟；</w:t>
            </w:r>
          </w:p>
          <w:p w14:paraId="18C281B4">
            <w:pPr>
              <w:tabs>
                <w:tab w:val="left" w:pos="6480"/>
              </w:tabs>
              <w:spacing w:line="360" w:lineRule="auto"/>
              <w:ind w:firstLine="480" w:firstLineChars="200"/>
              <w:jc w:val="left"/>
              <w:rPr>
                <w:rFonts w:hint="default" w:eastAsia="宋体"/>
                <w:color w:val="000000" w:themeColor="text1"/>
                <w:sz w:val="24"/>
                <w:highlight w:val="yellow"/>
                <w:lang w:val="en-US" w:eastAsia="zh-CN"/>
                <w14:textFill>
                  <w14:solidFill>
                    <w14:schemeClr w14:val="tx1"/>
                  </w14:solidFill>
                </w14:textFill>
              </w:rPr>
            </w:pPr>
            <w:r>
              <w:rPr>
                <w:rFonts w:hint="eastAsia"/>
                <w:color w:val="FF0000"/>
                <w:sz w:val="24"/>
                <w:highlight w:val="green"/>
                <w:lang w:val="en-US" w:eastAsia="zh-CN"/>
              </w:rPr>
              <w:t>计算得：在重现期2年、降雨历时15分钟情况下的暴雨强度q=197.28L/s·hm</w:t>
            </w:r>
            <w:r>
              <w:rPr>
                <w:rFonts w:hint="eastAsia"/>
                <w:color w:val="FF0000"/>
                <w:sz w:val="24"/>
                <w:highlight w:val="green"/>
                <w:vertAlign w:val="superscript"/>
                <w:lang w:val="en-US" w:eastAsia="zh-CN"/>
              </w:rPr>
              <w:t>2</w:t>
            </w:r>
            <w:r>
              <w:rPr>
                <w:rFonts w:hint="eastAsia"/>
                <w:color w:val="FF0000"/>
                <w:sz w:val="24"/>
                <w:highlight w:val="green"/>
                <w:lang w:val="en-US" w:eastAsia="zh-CN"/>
              </w:rPr>
              <w:t>。</w:t>
            </w:r>
            <w:r>
              <w:rPr>
                <w:rFonts w:hint="eastAsia"/>
                <w:bCs/>
                <w:color w:val="FF0000"/>
                <w:sz w:val="24"/>
                <w:highlight w:val="green"/>
                <w:lang w:val="en-US" w:eastAsia="zh-CN"/>
              </w:rPr>
              <w:t>企业占地面积约15hm</w:t>
            </w:r>
            <w:r>
              <w:rPr>
                <w:rFonts w:hint="eastAsia"/>
                <w:bCs/>
                <w:color w:val="FF0000"/>
                <w:sz w:val="24"/>
                <w:highlight w:val="green"/>
                <w:vertAlign w:val="superscript"/>
                <w:lang w:val="en-US" w:eastAsia="zh-CN"/>
              </w:rPr>
              <w:t>2</w:t>
            </w:r>
            <w:r>
              <w:rPr>
                <w:rFonts w:hint="eastAsia"/>
                <w:bCs/>
                <w:color w:val="FF0000"/>
                <w:sz w:val="24"/>
                <w:highlight w:val="green"/>
                <w:lang w:val="en-US" w:eastAsia="zh-CN"/>
              </w:rPr>
              <w:t>，厂区内生产区初期雨水面积按1hm</w:t>
            </w:r>
            <w:r>
              <w:rPr>
                <w:rFonts w:hint="eastAsia"/>
                <w:bCs/>
                <w:color w:val="FF0000"/>
                <w:sz w:val="24"/>
                <w:highlight w:val="green"/>
                <w:vertAlign w:val="superscript"/>
                <w:lang w:val="en-US" w:eastAsia="zh-CN"/>
              </w:rPr>
              <w:t>2</w:t>
            </w:r>
            <w:r>
              <w:rPr>
                <w:rFonts w:hint="eastAsia"/>
                <w:bCs/>
                <w:color w:val="FF0000"/>
                <w:sz w:val="24"/>
                <w:highlight w:val="green"/>
                <w:lang w:val="en-US" w:eastAsia="zh-CN"/>
              </w:rPr>
              <w:t>计，</w:t>
            </w:r>
            <w:r>
              <w:rPr>
                <w:rFonts w:hint="eastAsia"/>
                <w:color w:val="FF0000"/>
                <w:sz w:val="24"/>
                <w:highlight w:val="green"/>
                <w:lang w:val="en-US" w:eastAsia="zh-CN"/>
              </w:rPr>
              <w:t>本项目每次要收集前15分钟的初期雨水水量为Q=197.28×0.9×1×15×60÷1000=159.8m</w:t>
            </w:r>
            <w:r>
              <w:rPr>
                <w:rFonts w:hint="eastAsia"/>
                <w:color w:val="FF0000"/>
                <w:sz w:val="24"/>
                <w:highlight w:val="green"/>
                <w:vertAlign w:val="superscript"/>
                <w:lang w:val="en-US" w:eastAsia="zh-CN"/>
              </w:rPr>
              <w:t>3</w:t>
            </w:r>
            <w:r>
              <w:rPr>
                <w:rFonts w:hint="default"/>
                <w:color w:val="FF0000"/>
                <w:sz w:val="24"/>
                <w:highlight w:val="green"/>
                <w:lang w:val="en-US" w:eastAsia="zh-CN"/>
              </w:rPr>
              <w:t>，</w:t>
            </w:r>
            <w:r>
              <w:rPr>
                <w:rFonts w:hint="eastAsia"/>
                <w:color w:val="FF0000"/>
                <w:sz w:val="24"/>
                <w:highlight w:val="green"/>
                <w:lang w:val="en-US" w:eastAsia="zh-CN"/>
              </w:rPr>
              <w:t>在中煤、煤泥堆场附近地势低处设置1座容积200m</w:t>
            </w:r>
            <w:r>
              <w:rPr>
                <w:rFonts w:hint="eastAsia"/>
                <w:color w:val="FF0000"/>
                <w:sz w:val="24"/>
                <w:highlight w:val="green"/>
                <w:vertAlign w:val="superscript"/>
                <w:lang w:val="en-US" w:eastAsia="zh-CN"/>
              </w:rPr>
              <w:t>3</w:t>
            </w:r>
            <w:r>
              <w:rPr>
                <w:rFonts w:hint="eastAsia"/>
                <w:color w:val="FF0000"/>
                <w:sz w:val="24"/>
                <w:highlight w:val="green"/>
                <w:lang w:val="en-US" w:eastAsia="zh-CN"/>
              </w:rPr>
              <w:t>初期雨水收集池</w:t>
            </w:r>
            <w:r>
              <w:rPr>
                <w:rFonts w:hint="eastAsia"/>
                <w:bCs/>
                <w:color w:val="FF0000"/>
                <w:sz w:val="24"/>
                <w:highlight w:val="green"/>
                <w:lang w:val="en-US" w:eastAsia="zh-CN"/>
              </w:rPr>
              <w:t>。暴雨天数按5次/年计算，每年最大初期雨水量为799m</w:t>
            </w:r>
            <w:r>
              <w:rPr>
                <w:rFonts w:hint="eastAsia"/>
                <w:bCs/>
                <w:color w:val="FF0000"/>
                <w:sz w:val="24"/>
                <w:highlight w:val="green"/>
                <w:vertAlign w:val="superscript"/>
                <w:lang w:val="en-US" w:eastAsia="zh-CN"/>
              </w:rPr>
              <w:t>3</w:t>
            </w:r>
            <w:r>
              <w:rPr>
                <w:rFonts w:hint="eastAsia"/>
                <w:bCs/>
                <w:color w:val="FF0000"/>
                <w:sz w:val="24"/>
                <w:highlight w:val="green"/>
                <w:lang w:val="en-US" w:eastAsia="zh-CN"/>
              </w:rPr>
              <w:t>/a。厂内非生产区雨水通过现有雨水管道排入现有雨水池。</w:t>
            </w:r>
          </w:p>
          <w:p w14:paraId="410A5A96">
            <w:pPr>
              <w:tabs>
                <w:tab w:val="left" w:pos="6480"/>
              </w:tabs>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（2）排水</w:t>
            </w:r>
          </w:p>
          <w:p w14:paraId="4A3A3DAC">
            <w:pPr>
              <w:autoSpaceDE w:val="0"/>
              <w:autoSpaceDN w:val="0"/>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本项目废水包括生产废水、生活污水和初期雨水。生产用水包括</w:t>
            </w:r>
            <w:r>
              <w:rPr>
                <w:rFonts w:hint="default"/>
                <w:color w:val="000000" w:themeColor="text1"/>
                <w:sz w:val="24"/>
                <w:highlight w:val="none"/>
                <w:lang w:val="en-US" w:eastAsia="zh-CN"/>
                <w14:textFill>
                  <w14:solidFill>
                    <w14:schemeClr w14:val="tx1"/>
                  </w14:solidFill>
                </w14:textFill>
              </w:rPr>
              <w:t>洗煤废水</w:t>
            </w:r>
            <w:r>
              <w:rPr>
                <w:rFonts w:hint="eastAsia"/>
                <w:color w:val="000000" w:themeColor="text1"/>
                <w:sz w:val="24"/>
                <w:highlight w:val="none"/>
                <w:lang w:val="en-US" w:eastAsia="zh-CN"/>
                <w14:textFill>
                  <w14:solidFill>
                    <w14:schemeClr w14:val="tx1"/>
                  </w14:solidFill>
                </w14:textFill>
              </w:rPr>
              <w:t>、抑尘废水、地面冲洗废水、</w:t>
            </w:r>
            <w:r>
              <w:rPr>
                <w:rFonts w:hint="eastAsia"/>
                <w:color w:val="FF0000"/>
                <w:sz w:val="24"/>
                <w:highlight w:val="none"/>
                <w:lang w:val="en-US" w:eastAsia="zh-CN"/>
              </w:rPr>
              <w:t>设备冲洗水、</w:t>
            </w:r>
            <w:r>
              <w:rPr>
                <w:rFonts w:hint="eastAsia"/>
                <w:color w:val="000000" w:themeColor="text1"/>
                <w:sz w:val="24"/>
                <w:highlight w:val="none"/>
                <w:lang w:val="en-US" w:eastAsia="zh-CN"/>
                <w14:textFill>
                  <w14:solidFill>
                    <w14:schemeClr w14:val="tx1"/>
                  </w14:solidFill>
                </w14:textFill>
              </w:rPr>
              <w:t>精煤仓、矸石仓产生的渗滤液。</w:t>
            </w:r>
          </w:p>
          <w:p w14:paraId="48C117AE">
            <w:pPr>
              <w:autoSpaceDE w:val="0"/>
              <w:autoSpaceDN w:val="0"/>
              <w:spacing w:line="360" w:lineRule="auto"/>
              <w:ind w:firstLine="480" w:firstLineChars="200"/>
              <w:rPr>
                <w:rFonts w:hint="eastAsia"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lang w:val="en-US" w:eastAsia="zh-CN"/>
                <w14:textFill>
                  <w14:solidFill>
                    <w14:schemeClr w14:val="tx1"/>
                  </w14:solidFill>
                </w14:textFill>
              </w:rPr>
              <w:t>本项目洗煤废水实行一级闭路循环，不外排；抑尘用水、车辆清洗水全部蒸发；</w:t>
            </w:r>
            <w:r>
              <w:rPr>
                <w:rFonts w:hint="eastAsia" w:ascii="宋体" w:hAnsi="宋体" w:cs="宋体"/>
                <w:color w:val="FF0000"/>
                <w:sz w:val="24"/>
                <w:highlight w:val="none"/>
                <w:lang w:val="en-US" w:eastAsia="zh-CN"/>
              </w:rPr>
              <w:t>车间地面冲洗水、设备冲洗水，回用于洒水降尘不外排；</w:t>
            </w:r>
            <w:r>
              <w:rPr>
                <w:rFonts w:hint="eastAsia" w:ascii="宋体" w:hAnsi="宋体" w:cs="宋体"/>
                <w:color w:val="000000" w:themeColor="text1"/>
                <w:sz w:val="24"/>
                <w:highlight w:val="none"/>
                <w:lang w:val="en-US" w:eastAsia="zh-CN"/>
                <w14:textFill>
                  <w14:solidFill>
                    <w14:schemeClr w14:val="tx1"/>
                  </w14:solidFill>
                </w14:textFill>
              </w:rPr>
              <w:t>精煤仓、矸石仓库产生的渗滤液经导流渠收集后，泵回生产系统回用于生产；</w:t>
            </w:r>
            <w:r>
              <w:rPr>
                <w:rFonts w:hint="eastAsia" w:ascii="宋体" w:hAnsi="宋体" w:cs="宋体"/>
                <w:color w:val="FF0000"/>
                <w:sz w:val="24"/>
                <w:highlight w:val="none"/>
                <w:lang w:val="en-US" w:eastAsia="zh-CN"/>
              </w:rPr>
              <w:t>在中煤、煤泥堆场附近</w:t>
            </w:r>
            <w:r>
              <w:rPr>
                <w:rFonts w:hint="eastAsia"/>
                <w:color w:val="FF0000"/>
                <w:sz w:val="24"/>
                <w:highlight w:val="none"/>
                <w:lang w:val="en-US" w:eastAsia="zh-CN"/>
              </w:rPr>
              <w:t>初期雨水顺地势进入初期雨水收集池，沉淀后</w:t>
            </w:r>
            <w:r>
              <w:rPr>
                <w:color w:val="FF0000"/>
                <w:sz w:val="24"/>
                <w:highlight w:val="none"/>
              </w:rPr>
              <w:t>回用于</w:t>
            </w:r>
            <w:r>
              <w:rPr>
                <w:rFonts w:hint="eastAsia"/>
                <w:color w:val="FF0000"/>
                <w:sz w:val="24"/>
                <w:highlight w:val="none"/>
                <w:lang w:val="en-US" w:eastAsia="zh-CN"/>
              </w:rPr>
              <w:t>生产</w:t>
            </w:r>
            <w:r>
              <w:rPr>
                <w:rFonts w:hint="default" w:ascii="Times New Roman" w:hAnsi="Times New Roman" w:cs="Times New Roman"/>
                <w:color w:val="FF0000"/>
                <w:sz w:val="24"/>
                <w:highlight w:val="none"/>
                <w:lang w:val="en-US" w:eastAsia="zh-CN"/>
              </w:rPr>
              <w:t>，不外排。</w:t>
            </w:r>
            <w:r>
              <w:rPr>
                <w:rFonts w:hint="default" w:ascii="Times New Roman" w:hAnsi="Times New Roman" w:cs="Times New Roman"/>
                <w:color w:val="000000" w:themeColor="text1"/>
                <w:sz w:val="24"/>
                <w:highlight w:val="none"/>
                <w:lang w:val="en-US" w:eastAsia="zh-CN"/>
                <w14:textFill>
                  <w14:solidFill>
                    <w14:schemeClr w14:val="tx1"/>
                  </w14:solidFill>
                </w14:textFill>
              </w:rPr>
              <w:t>因此，项目运营期排放的废水主要为员工产生的生活污水，废水量按用水量80%计，即</w:t>
            </w:r>
            <w:r>
              <w:rPr>
                <w:rFonts w:hint="eastAsia" w:cs="Times New Roman"/>
                <w:color w:val="000000" w:themeColor="text1"/>
                <w:sz w:val="24"/>
                <w:highlight w:val="none"/>
                <w:lang w:val="en-US" w:eastAsia="zh-CN"/>
                <w14:textFill>
                  <w14:solidFill>
                    <w14:schemeClr w14:val="tx1"/>
                  </w14:solidFill>
                </w14:textFill>
              </w:rPr>
              <w:t>15.56</w:t>
            </w:r>
            <w:r>
              <w:rPr>
                <w:rFonts w:hint="default" w:ascii="Times New Roman" w:hAnsi="Times New Roman" w:cs="Times New Roman"/>
                <w:color w:val="000000" w:themeColor="text1"/>
                <w:sz w:val="24"/>
                <w:highlight w:val="none"/>
                <w:lang w:val="en-US" w:eastAsia="zh-CN"/>
                <w14:textFill>
                  <w14:solidFill>
                    <w14:schemeClr w14:val="tx1"/>
                  </w14:solidFill>
                </w14:textFill>
              </w:rPr>
              <w:t>m</w:t>
            </w:r>
            <w:r>
              <w:rPr>
                <w:rFonts w:hint="default" w:ascii="Times New Roman" w:hAnsi="Times New Roman" w:cs="Times New Roman"/>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highlight w:val="none"/>
                <w:lang w:val="en-US" w:eastAsia="zh-CN"/>
                <w14:textFill>
                  <w14:solidFill>
                    <w14:schemeClr w14:val="tx1"/>
                  </w14:solidFill>
                </w14:textFill>
              </w:rPr>
              <w:t>/d，食堂废水经现有隔油池处理后同其他生活污水一起排入化粪池，处理后排入市政管网，进入双鸭山市城市污水处理厂处理</w:t>
            </w:r>
            <w:r>
              <w:rPr>
                <w:rFonts w:hint="eastAsia" w:ascii="宋体" w:hAnsi="宋体" w:cs="宋体"/>
                <w:color w:val="000000" w:themeColor="text1"/>
                <w:sz w:val="24"/>
                <w:highlight w:val="none"/>
                <w:lang w:val="en-US" w:eastAsia="zh-CN"/>
                <w14:textFill>
                  <w14:solidFill>
                    <w14:schemeClr w14:val="tx1"/>
                  </w14:solidFill>
                </w14:textFill>
              </w:rPr>
              <w:t>。</w:t>
            </w:r>
          </w:p>
          <w:p w14:paraId="61F12919">
            <w:pPr>
              <w:tabs>
                <w:tab w:val="left" w:pos="6480"/>
              </w:tabs>
              <w:spacing w:line="360" w:lineRule="auto"/>
              <w:ind w:left="0" w:leftChars="0" w:right="0" w:rightChars="0" w:firstLine="0" w:firstLineChars="0"/>
              <w:jc w:val="center"/>
              <w:rPr>
                <w:rFonts w:hint="eastAsia" w:eastAsia="宋体"/>
                <w:bCs/>
                <w:color w:val="000000" w:themeColor="text1"/>
                <w:sz w:val="24"/>
                <w:highlight w:val="none"/>
                <w:lang w:eastAsia="zh-CN"/>
                <w14:textFill>
                  <w14:solidFill>
                    <w14:schemeClr w14:val="tx1"/>
                  </w14:solidFill>
                </w14:textFill>
              </w:rPr>
            </w:pPr>
            <w:r>
              <w:rPr>
                <w:rFonts w:hint="eastAsia" w:eastAsia="宋体"/>
                <w:bCs/>
                <w:color w:val="000000" w:themeColor="text1"/>
                <w:sz w:val="24"/>
                <w:highlight w:val="none"/>
                <w:lang w:eastAsia="zh-CN"/>
                <w14:textFill>
                  <w14:solidFill>
                    <w14:schemeClr w14:val="tx1"/>
                  </w14:solidFill>
                </w14:textFill>
              </w:rPr>
              <w:drawing>
                <wp:inline distT="0" distB="0" distL="114300" distR="114300">
                  <wp:extent cx="5381625" cy="4358640"/>
                  <wp:effectExtent l="0" t="0" r="9525" b="381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15"/>
                          <a:stretch>
                            <a:fillRect/>
                          </a:stretch>
                        </pic:blipFill>
                        <pic:spPr>
                          <a:xfrm>
                            <a:off x="0" y="0"/>
                            <a:ext cx="5381625" cy="4358640"/>
                          </a:xfrm>
                          <a:prstGeom prst="rect">
                            <a:avLst/>
                          </a:prstGeom>
                          <a:noFill/>
                          <a:ln>
                            <a:noFill/>
                          </a:ln>
                        </pic:spPr>
                      </pic:pic>
                    </a:graphicData>
                  </a:graphic>
                </wp:inline>
              </w:drawing>
            </w:r>
          </w:p>
          <w:p w14:paraId="200BF4F9">
            <w:pPr>
              <w:pStyle w:val="62"/>
              <w:spacing w:before="120" w:afterLines="0" w:line="360" w:lineRule="auto"/>
              <w:ind w:left="0" w:leftChars="0" w:right="0" w:rightChars="0" w:firstLine="0" w:firstLineChars="0"/>
              <w:jc w:val="center"/>
              <w:rPr>
                <w:bCs/>
                <w:color w:val="FF0000"/>
                <w:sz w:val="24"/>
                <w:highlight w:val="green"/>
              </w:rPr>
            </w:pPr>
            <w:r>
              <w:rPr>
                <w:b/>
                <w:color w:val="FF0000"/>
                <w:highlight w:val="green"/>
              </w:rPr>
              <w:t>图2-</w:t>
            </w:r>
            <w:r>
              <w:rPr>
                <w:rFonts w:hint="eastAsia"/>
                <w:b/>
                <w:color w:val="FF0000"/>
                <w:highlight w:val="green"/>
              </w:rPr>
              <w:t>2</w:t>
            </w:r>
            <w:r>
              <w:rPr>
                <w:b/>
                <w:color w:val="FF0000"/>
                <w:highlight w:val="green"/>
              </w:rPr>
              <w:t xml:space="preserve"> 水量平衡图 单位：m</w:t>
            </w:r>
            <w:r>
              <w:rPr>
                <w:b/>
                <w:color w:val="FF0000"/>
                <w:highlight w:val="green"/>
                <w:vertAlign w:val="superscript"/>
              </w:rPr>
              <w:t>3</w:t>
            </w:r>
            <w:r>
              <w:rPr>
                <w:b/>
                <w:color w:val="FF0000"/>
                <w:highlight w:val="green"/>
              </w:rPr>
              <w:t>/</w:t>
            </w:r>
            <w:r>
              <w:rPr>
                <w:rFonts w:hint="eastAsia"/>
                <w:b/>
                <w:color w:val="FF0000"/>
                <w:highlight w:val="green"/>
              </w:rPr>
              <w:t>d</w:t>
            </w:r>
          </w:p>
          <w:p w14:paraId="296EEE96">
            <w:pPr>
              <w:tabs>
                <w:tab w:val="left" w:pos="6480"/>
              </w:tabs>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（3）供电</w:t>
            </w:r>
          </w:p>
          <w:p w14:paraId="4F7FBB4B">
            <w:pPr>
              <w:tabs>
                <w:tab w:val="left" w:pos="6480"/>
              </w:tabs>
              <w:spacing w:line="360" w:lineRule="auto"/>
              <w:ind w:firstLine="480" w:firstLineChars="200"/>
              <w:rPr>
                <w:snapToGrid w:val="0"/>
                <w:color w:val="000000" w:themeColor="text1"/>
                <w:kern w:val="0"/>
                <w:sz w:val="24"/>
                <w:highlight w:val="none"/>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本项目由双矿集团供电公司尖山变电所2台6kv地理电力电揽对选煤厂供电。</w:t>
            </w:r>
          </w:p>
          <w:p w14:paraId="58C17772">
            <w:pPr>
              <w:tabs>
                <w:tab w:val="left" w:pos="6480"/>
              </w:tabs>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（4）供热</w:t>
            </w:r>
          </w:p>
          <w:p w14:paraId="028324F4">
            <w:pPr>
              <w:tabs>
                <w:tab w:val="left" w:pos="6480"/>
              </w:tabs>
              <w:spacing w:line="360" w:lineRule="auto"/>
              <w:ind w:firstLine="480" w:firstLineChars="200"/>
              <w:rPr>
                <w:bCs/>
                <w:color w:val="000000" w:themeColor="text1"/>
                <w:sz w:val="24"/>
                <w:highlight w:val="none"/>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本项目供热由虹焱热电余热集中供热。</w:t>
            </w:r>
          </w:p>
          <w:p w14:paraId="2E435C08">
            <w:pPr>
              <w:tabs>
                <w:tab w:val="left" w:pos="6480"/>
              </w:tabs>
              <w:spacing w:line="360" w:lineRule="auto"/>
              <w:ind w:firstLine="482" w:firstLineChars="200"/>
              <w:rPr>
                <w:rFonts w:hint="eastAsia"/>
                <w:b/>
                <w:bCs/>
                <w:color w:val="000000" w:themeColor="text1"/>
                <w:sz w:val="24"/>
                <w:highlight w:val="none"/>
                <w:lang w:val="en-US" w:eastAsia="zh-CN"/>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7、劳动定员及工作制度</w:t>
            </w:r>
          </w:p>
          <w:p w14:paraId="0A100B4E">
            <w:pPr>
              <w:tabs>
                <w:tab w:val="left" w:pos="6480"/>
              </w:tabs>
              <w:spacing w:line="360" w:lineRule="auto"/>
              <w:ind w:firstLine="480" w:firstLineChars="200"/>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本项目</w:t>
            </w:r>
            <w:r>
              <w:rPr>
                <w:rFonts w:hint="eastAsia" w:cs="Times New Roman"/>
                <w:bCs/>
                <w:color w:val="000000" w:themeColor="text1"/>
                <w:sz w:val="24"/>
                <w:highlight w:val="none"/>
                <w:lang w:val="en-US" w:eastAsia="zh-CN"/>
                <w14:textFill>
                  <w14:solidFill>
                    <w14:schemeClr w14:val="tx1"/>
                  </w14:solidFill>
                </w14:textFill>
              </w:rPr>
              <w:t>现有</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劳动定员</w:t>
            </w:r>
            <w:r>
              <w:rPr>
                <w:rFonts w:hint="eastAsia" w:cs="Times New Roman"/>
                <w:bCs/>
                <w:color w:val="000000" w:themeColor="text1"/>
                <w:sz w:val="24"/>
                <w:highlight w:val="none"/>
                <w:lang w:val="en-US" w:eastAsia="zh-CN"/>
                <w14:textFill>
                  <w14:solidFill>
                    <w14:schemeClr w14:val="tx1"/>
                  </w14:solidFill>
                </w14:textFill>
              </w:rPr>
              <w:t>130</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人，</w:t>
            </w:r>
            <w:r>
              <w:rPr>
                <w:rFonts w:hint="eastAsia" w:cs="Times New Roman"/>
                <w:bCs/>
                <w:color w:val="000000" w:themeColor="text1"/>
                <w:sz w:val="24"/>
                <w:highlight w:val="none"/>
                <w:lang w:val="en-US" w:eastAsia="zh-CN"/>
                <w14:textFill>
                  <w14:solidFill>
                    <w14:schemeClr w14:val="tx1"/>
                  </w14:solidFill>
                </w14:textFill>
              </w:rPr>
              <w:t>本次改扩建不新增员工，</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全年工作330天，每天</w:t>
            </w:r>
            <w:r>
              <w:rPr>
                <w:rFonts w:hint="eastAsia" w:cs="Times New Roman"/>
                <w:bCs/>
                <w:color w:val="000000" w:themeColor="text1"/>
                <w:sz w:val="24"/>
                <w:highlight w:val="none"/>
                <w:lang w:val="en-US" w:eastAsia="zh-CN"/>
                <w14:textFill>
                  <w14:solidFill>
                    <w14:schemeClr w14:val="tx1"/>
                  </w14:solidFill>
                </w14:textFill>
              </w:rPr>
              <w:t>三</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班</w:t>
            </w:r>
            <w:r>
              <w:rPr>
                <w:rFonts w:hint="eastAsia" w:cs="Times New Roman"/>
                <w:bCs/>
                <w:color w:val="000000" w:themeColor="text1"/>
                <w:sz w:val="24"/>
                <w:highlight w:val="none"/>
                <w:lang w:val="en-US" w:eastAsia="zh-CN"/>
                <w14:textFill>
                  <w14:solidFill>
                    <w14:schemeClr w14:val="tx1"/>
                  </w14:solidFill>
                </w14:textFill>
              </w:rPr>
              <w:t>，两班</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生产，一班检修。</w:t>
            </w:r>
          </w:p>
          <w:p w14:paraId="023939DA">
            <w:pPr>
              <w:tabs>
                <w:tab w:val="left" w:pos="6480"/>
              </w:tabs>
              <w:spacing w:line="360" w:lineRule="auto"/>
              <w:ind w:firstLine="482" w:firstLineChars="200"/>
              <w:rPr>
                <w:rFonts w:hint="eastAsia"/>
                <w:b/>
                <w:bCs/>
                <w:color w:val="000000" w:themeColor="text1"/>
                <w:sz w:val="24"/>
                <w:highlight w:val="none"/>
                <w:lang w:val="en-US" w:eastAsia="zh-CN"/>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8</w:t>
            </w:r>
            <w:r>
              <w:rPr>
                <w:b/>
                <w:bCs/>
                <w:color w:val="000000" w:themeColor="text1"/>
                <w:sz w:val="24"/>
                <w:highlight w:val="none"/>
                <w14:textFill>
                  <w14:solidFill>
                    <w14:schemeClr w14:val="tx1"/>
                  </w14:solidFill>
                </w14:textFill>
              </w:rPr>
              <w:t>、</w:t>
            </w:r>
            <w:r>
              <w:rPr>
                <w:rFonts w:hint="eastAsia"/>
                <w:b/>
                <w:bCs/>
                <w:color w:val="000000" w:themeColor="text1"/>
                <w:sz w:val="24"/>
                <w:highlight w:val="none"/>
                <w:lang w:val="en-US" w:eastAsia="zh-CN"/>
                <w14:textFill>
                  <w14:solidFill>
                    <w14:schemeClr w14:val="tx1"/>
                  </w14:solidFill>
                </w14:textFill>
              </w:rPr>
              <w:t>项目平面布置</w:t>
            </w:r>
          </w:p>
          <w:p w14:paraId="4A4F5F78">
            <w:pPr>
              <w:tabs>
                <w:tab w:val="left" w:pos="6480"/>
              </w:tabs>
              <w:spacing w:line="360" w:lineRule="auto"/>
              <w:ind w:firstLine="480" w:firstLineChars="200"/>
              <w:rPr>
                <w:rFonts w:hint="eastAsia" w:ascii="Times New Roman" w:hAnsi="Times New Roman" w:eastAsia="宋体" w:cs="Times New Roman"/>
                <w:bCs/>
                <w:color w:val="000000" w:themeColor="text1"/>
                <w:sz w:val="24"/>
                <w:highlight w:val="yellow"/>
                <w:lang w:val="en-US"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现有厂区已按照</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《煤炭洗选工程设计规范》（GB50359-2016）要求进行平面设计，根据选煤工艺流程，结合厂区地形特点，厂区</w:t>
            </w:r>
            <w:r>
              <w:rPr>
                <w:rFonts w:hint="eastAsia" w:cs="Times New Roman"/>
                <w:bCs/>
                <w:color w:val="000000" w:themeColor="text1"/>
                <w:sz w:val="24"/>
                <w:highlight w:val="none"/>
                <w:lang w:val="en-US" w:eastAsia="zh-CN"/>
                <w14:textFill>
                  <w14:solidFill>
                    <w14:schemeClr w14:val="tx1"/>
                  </w14:solidFill>
                </w14:textFill>
              </w:rPr>
              <w:t>东</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侧为办公楼</w:t>
            </w:r>
            <w:r>
              <w:rPr>
                <w:rFonts w:hint="eastAsia" w:cs="Times New Roman"/>
                <w:bCs/>
                <w:color w:val="000000" w:themeColor="text1"/>
                <w:sz w:val="24"/>
                <w:highlight w:val="none"/>
                <w:lang w:val="en-US" w:eastAsia="zh-CN"/>
                <w14:textFill>
                  <w14:solidFill>
                    <w14:schemeClr w14:val="tx1"/>
                  </w14:solidFill>
                </w14:textFill>
              </w:rPr>
              <w:t>，</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生产区布置在厂区中央偏</w:t>
            </w:r>
            <w:r>
              <w:rPr>
                <w:rFonts w:hint="eastAsia" w:cs="Times New Roman"/>
                <w:bCs/>
                <w:color w:val="000000" w:themeColor="text1"/>
                <w:sz w:val="24"/>
                <w:highlight w:val="none"/>
                <w:lang w:val="en-US" w:eastAsia="zh-CN"/>
                <w14:textFill>
                  <w14:solidFill>
                    <w14:schemeClr w14:val="tx1"/>
                  </w14:solidFill>
                </w14:textFill>
              </w:rPr>
              <w:t>西</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侧，生产区从南至北依次为受煤坑、皮带走廊、</w:t>
            </w:r>
            <w:r>
              <w:rPr>
                <w:rFonts w:hint="eastAsia" w:cs="Times New Roman"/>
                <w:bCs/>
                <w:color w:val="000000" w:themeColor="text1"/>
                <w:sz w:val="24"/>
                <w:highlight w:val="none"/>
                <w:lang w:val="en-US" w:eastAsia="zh-CN"/>
                <w14:textFill>
                  <w14:solidFill>
                    <w14:schemeClr w14:val="tx1"/>
                  </w14:solidFill>
                </w14:textFill>
              </w:rPr>
              <w:t>主厂房、</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皮带走廊、浓缩池、</w:t>
            </w:r>
            <w:r>
              <w:rPr>
                <w:rFonts w:hint="eastAsia" w:cs="Times New Roman"/>
                <w:bCs/>
                <w:color w:val="000000" w:themeColor="text1"/>
                <w:sz w:val="24"/>
                <w:highlight w:val="none"/>
                <w:lang w:val="en-US" w:eastAsia="zh-CN"/>
                <w14:textFill>
                  <w14:solidFill>
                    <w14:schemeClr w14:val="tx1"/>
                  </w14:solidFill>
                </w14:textFill>
              </w:rPr>
              <w:t>原煤仓</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w:t>
            </w:r>
            <w:r>
              <w:rPr>
                <w:rFonts w:hint="eastAsia" w:cs="Times New Roman"/>
                <w:bCs/>
                <w:color w:val="000000" w:themeColor="text1"/>
                <w:sz w:val="24"/>
                <w:highlight w:val="none"/>
                <w:lang w:val="en-US" w:eastAsia="zh-CN"/>
                <w14:textFill>
                  <w14:solidFill>
                    <w14:schemeClr w14:val="tx1"/>
                  </w14:solidFill>
                </w14:textFill>
              </w:rPr>
              <w:t>中煤和煤泥场</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；项目平面布置功能分区明确，厂区布局紧凑，人流、物流顺畅，可节省能耗，降低成本，使场地得到最大化合理利用，且充分考虑安全、环保等因素，布局基本合理。本项目平面布置图见附图2。</w:t>
            </w:r>
          </w:p>
          <w:p w14:paraId="1C078F89">
            <w:pPr>
              <w:tabs>
                <w:tab w:val="left" w:pos="6480"/>
              </w:tabs>
              <w:spacing w:line="360" w:lineRule="auto"/>
              <w:ind w:firstLine="482" w:firstLineChars="200"/>
              <w:rPr>
                <w:bCs/>
                <w:color w:val="000000" w:themeColor="text1"/>
                <w:sz w:val="24"/>
                <w:highlight w:val="none"/>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9、</w:t>
            </w:r>
            <w:r>
              <w:rPr>
                <w:b/>
                <w:bCs/>
                <w:color w:val="000000" w:themeColor="text1"/>
                <w:sz w:val="24"/>
                <w:highlight w:val="none"/>
                <w14:textFill>
                  <w14:solidFill>
                    <w14:schemeClr w14:val="tx1"/>
                  </w14:solidFill>
                </w14:textFill>
              </w:rPr>
              <w:t>环保投资</w:t>
            </w:r>
          </w:p>
          <w:p w14:paraId="348F0A21">
            <w:pPr>
              <w:spacing w:line="360" w:lineRule="auto"/>
              <w:ind w:firstLine="480" w:firstLineChars="200"/>
              <w:rPr>
                <w:color w:val="000000" w:themeColor="text1"/>
                <w:sz w:val="24"/>
                <w:highlight w:val="yellow"/>
                <w14:textFill>
                  <w14:solidFill>
                    <w14:schemeClr w14:val="tx1"/>
                  </w14:solidFill>
                </w14:textFill>
              </w:rPr>
            </w:pPr>
            <w:r>
              <w:rPr>
                <w:color w:val="000000" w:themeColor="text1"/>
                <w:sz w:val="24"/>
                <w:highlight w:val="none"/>
                <w14:textFill>
                  <w14:solidFill>
                    <w14:schemeClr w14:val="tx1"/>
                  </w14:solidFill>
                </w14:textFill>
              </w:rPr>
              <w:t>本项目总投资</w:t>
            </w:r>
            <w:r>
              <w:rPr>
                <w:rFonts w:hint="eastAsia"/>
                <w:color w:val="000000" w:themeColor="text1"/>
                <w:sz w:val="24"/>
                <w:highlight w:val="none"/>
                <w:lang w:val="en-US" w:eastAsia="zh-CN"/>
                <w14:textFill>
                  <w14:solidFill>
                    <w14:schemeClr w14:val="tx1"/>
                  </w14:solidFill>
                </w14:textFill>
              </w:rPr>
              <w:t>2700</w:t>
            </w:r>
            <w:r>
              <w:rPr>
                <w:color w:val="000000" w:themeColor="text1"/>
                <w:sz w:val="24"/>
                <w:highlight w:val="none"/>
                <w14:textFill>
                  <w14:solidFill>
                    <w14:schemeClr w14:val="tx1"/>
                  </w14:solidFill>
                </w14:textFill>
              </w:rPr>
              <w:t>万元，环保投资</w:t>
            </w:r>
            <w:r>
              <w:rPr>
                <w:rFonts w:hint="eastAsia"/>
                <w:color w:val="000000" w:themeColor="text1"/>
                <w:sz w:val="24"/>
                <w:highlight w:val="none"/>
                <w:lang w:val="en-US" w:eastAsia="zh-CN"/>
                <w14:textFill>
                  <w14:solidFill>
                    <w14:schemeClr w14:val="tx1"/>
                  </w14:solidFill>
                </w14:textFill>
              </w:rPr>
              <w:t>26.5</w:t>
            </w:r>
            <w:r>
              <w:rPr>
                <w:color w:val="000000" w:themeColor="text1"/>
                <w:sz w:val="24"/>
                <w:highlight w:val="none"/>
                <w14:textFill>
                  <w14:solidFill>
                    <w14:schemeClr w14:val="tx1"/>
                  </w14:solidFill>
                </w14:textFill>
              </w:rPr>
              <w:t>万元，占总投资的</w:t>
            </w:r>
            <w:r>
              <w:rPr>
                <w:rFonts w:hint="eastAsia"/>
                <w:color w:val="000000" w:themeColor="text1"/>
                <w:sz w:val="24"/>
                <w:highlight w:val="none"/>
                <w:lang w:val="en-US" w:eastAsia="zh-CN"/>
                <w14:textFill>
                  <w14:solidFill>
                    <w14:schemeClr w14:val="tx1"/>
                  </w14:solidFill>
                </w14:textFill>
              </w:rPr>
              <w:t>0.98</w:t>
            </w:r>
            <w:r>
              <w:rPr>
                <w:color w:val="000000" w:themeColor="text1"/>
                <w:sz w:val="24"/>
                <w:highlight w:val="none"/>
                <w14:textFill>
                  <w14:solidFill>
                    <w14:schemeClr w14:val="tx1"/>
                  </w14:solidFill>
                </w14:textFill>
              </w:rPr>
              <w:t>%。环保投资详见表2-</w:t>
            </w:r>
            <w:r>
              <w:rPr>
                <w:rFonts w:hint="eastAsia"/>
                <w:color w:val="000000" w:themeColor="text1"/>
                <w:sz w:val="24"/>
                <w:highlight w:val="none"/>
                <w:lang w:val="en-US" w:eastAsia="zh-CN"/>
                <w14:textFill>
                  <w14:solidFill>
                    <w14:schemeClr w14:val="tx1"/>
                  </w14:solidFill>
                </w14:textFill>
              </w:rPr>
              <w:t>5</w:t>
            </w:r>
            <w:r>
              <w:rPr>
                <w:color w:val="000000" w:themeColor="text1"/>
                <w:sz w:val="24"/>
                <w:highlight w:val="none"/>
                <w14:textFill>
                  <w14:solidFill>
                    <w14:schemeClr w14:val="tx1"/>
                  </w14:solidFill>
                </w14:textFill>
              </w:rPr>
              <w:t>。</w:t>
            </w:r>
          </w:p>
          <w:p w14:paraId="0813238B">
            <w:pPr>
              <w:spacing w:line="360" w:lineRule="auto"/>
              <w:jc w:val="center"/>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表2-</w:t>
            </w:r>
            <w:r>
              <w:rPr>
                <w:rFonts w:hint="eastAsia"/>
                <w:b/>
                <w:color w:val="000000" w:themeColor="text1"/>
                <w:sz w:val="24"/>
                <w:highlight w:val="none"/>
                <w:lang w:val="en-US" w:eastAsia="zh-CN"/>
                <w14:textFill>
                  <w14:solidFill>
                    <w14:schemeClr w14:val="tx1"/>
                  </w14:solidFill>
                </w14:textFill>
              </w:rPr>
              <w:t>5</w:t>
            </w:r>
            <w:r>
              <w:rPr>
                <w:b/>
                <w:color w:val="000000" w:themeColor="text1"/>
                <w:sz w:val="24"/>
                <w:highlight w:val="none"/>
                <w14:textFill>
                  <w14:solidFill>
                    <w14:schemeClr w14:val="tx1"/>
                  </w14:solidFill>
                </w14:textFill>
              </w:rPr>
              <w:t xml:space="preserve"> 建设项目环保投资一览表</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9"/>
              <w:gridCol w:w="1808"/>
              <w:gridCol w:w="3966"/>
              <w:gridCol w:w="1708"/>
            </w:tblGrid>
            <w:tr w14:paraId="77F948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17" w:type="dxa"/>
                  <w:gridSpan w:val="2"/>
                  <w:tcBorders>
                    <w:tl2br w:val="nil"/>
                    <w:tr2bl w:val="nil"/>
                  </w:tcBorders>
                  <w:vAlign w:val="center"/>
                </w:tcPr>
                <w:p w14:paraId="228EF4CF">
                  <w:pPr>
                    <w:pStyle w:val="15"/>
                    <w:autoSpaceDE w:val="0"/>
                    <w:autoSpaceDN w:val="0"/>
                    <w:spacing w:after="0"/>
                    <w:ind w:left="0" w:leftChars="0"/>
                    <w:jc w:val="center"/>
                    <w:rPr>
                      <w:b w:val="0"/>
                      <w:bCs/>
                      <w:color w:val="000000" w:themeColor="text1"/>
                      <w:sz w:val="21"/>
                      <w:szCs w:val="21"/>
                      <w:highlight w:val="none"/>
                      <w14:textFill>
                        <w14:solidFill>
                          <w14:schemeClr w14:val="tx1"/>
                        </w14:solidFill>
                      </w14:textFill>
                    </w:rPr>
                  </w:pPr>
                  <w:r>
                    <w:rPr>
                      <w:b w:val="0"/>
                      <w:bCs/>
                      <w:color w:val="000000" w:themeColor="text1"/>
                      <w:sz w:val="21"/>
                      <w:szCs w:val="21"/>
                      <w:highlight w:val="none"/>
                      <w14:textFill>
                        <w14:solidFill>
                          <w14:schemeClr w14:val="tx1"/>
                        </w14:solidFill>
                      </w14:textFill>
                    </w:rPr>
                    <w:t>污染源</w:t>
                  </w:r>
                </w:p>
              </w:tc>
              <w:tc>
                <w:tcPr>
                  <w:tcW w:w="3965" w:type="dxa"/>
                  <w:tcBorders>
                    <w:tl2br w:val="nil"/>
                    <w:tr2bl w:val="nil"/>
                  </w:tcBorders>
                  <w:vAlign w:val="center"/>
                </w:tcPr>
                <w:p w14:paraId="222CF986">
                  <w:pPr>
                    <w:pStyle w:val="15"/>
                    <w:autoSpaceDE w:val="0"/>
                    <w:autoSpaceDN w:val="0"/>
                    <w:spacing w:after="0"/>
                    <w:ind w:left="0" w:leftChars="0"/>
                    <w:jc w:val="center"/>
                    <w:rPr>
                      <w:b w:val="0"/>
                      <w:bCs/>
                      <w:color w:val="000000" w:themeColor="text1"/>
                      <w:sz w:val="21"/>
                      <w:szCs w:val="21"/>
                      <w:highlight w:val="none"/>
                      <w14:textFill>
                        <w14:solidFill>
                          <w14:schemeClr w14:val="tx1"/>
                        </w14:solidFill>
                      </w14:textFill>
                    </w:rPr>
                  </w:pPr>
                  <w:r>
                    <w:rPr>
                      <w:b w:val="0"/>
                      <w:bCs/>
                      <w:color w:val="000000" w:themeColor="text1"/>
                      <w:sz w:val="21"/>
                      <w:szCs w:val="21"/>
                      <w:highlight w:val="none"/>
                      <w14:textFill>
                        <w14:solidFill>
                          <w14:schemeClr w14:val="tx1"/>
                        </w14:solidFill>
                      </w14:textFill>
                    </w:rPr>
                    <w:t>污染防治措施</w:t>
                  </w:r>
                </w:p>
              </w:tc>
              <w:tc>
                <w:tcPr>
                  <w:tcW w:w="1707" w:type="dxa"/>
                  <w:tcBorders>
                    <w:tl2br w:val="nil"/>
                    <w:tr2bl w:val="nil"/>
                  </w:tcBorders>
                  <w:vAlign w:val="center"/>
                </w:tcPr>
                <w:p w14:paraId="7CD79634">
                  <w:pPr>
                    <w:pStyle w:val="15"/>
                    <w:autoSpaceDE w:val="0"/>
                    <w:autoSpaceDN w:val="0"/>
                    <w:spacing w:after="0"/>
                    <w:ind w:left="0" w:leftChars="0"/>
                    <w:jc w:val="center"/>
                    <w:rPr>
                      <w:b w:val="0"/>
                      <w:bCs/>
                      <w:color w:val="000000" w:themeColor="text1"/>
                      <w:sz w:val="21"/>
                      <w:szCs w:val="21"/>
                      <w:highlight w:val="none"/>
                      <w14:textFill>
                        <w14:solidFill>
                          <w14:schemeClr w14:val="tx1"/>
                        </w14:solidFill>
                      </w14:textFill>
                    </w:rPr>
                  </w:pPr>
                  <w:r>
                    <w:rPr>
                      <w:b w:val="0"/>
                      <w:bCs/>
                      <w:color w:val="000000" w:themeColor="text1"/>
                      <w:sz w:val="21"/>
                      <w:szCs w:val="21"/>
                      <w:highlight w:val="none"/>
                      <w14:textFill>
                        <w14:solidFill>
                          <w14:schemeClr w14:val="tx1"/>
                        </w14:solidFill>
                      </w14:textFill>
                    </w:rPr>
                    <w:t>投资（万元）</w:t>
                  </w:r>
                </w:p>
              </w:tc>
            </w:tr>
            <w:tr w14:paraId="47B6E5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909" w:type="dxa"/>
                  <w:vMerge w:val="restart"/>
                  <w:tcBorders>
                    <w:tl2br w:val="nil"/>
                    <w:tr2bl w:val="nil"/>
                  </w:tcBorders>
                  <w:vAlign w:val="center"/>
                </w:tcPr>
                <w:p w14:paraId="0F353D28">
                  <w:pPr>
                    <w:pStyle w:val="15"/>
                    <w:autoSpaceDE w:val="0"/>
                    <w:autoSpaceDN w:val="0"/>
                    <w:spacing w:after="0"/>
                    <w:ind w:left="0" w:left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废气</w:t>
                  </w:r>
                </w:p>
              </w:tc>
              <w:tc>
                <w:tcPr>
                  <w:tcW w:w="1808" w:type="dxa"/>
                  <w:tcBorders>
                    <w:tl2br w:val="nil"/>
                    <w:tr2bl w:val="nil"/>
                  </w:tcBorders>
                  <w:vAlign w:val="center"/>
                </w:tcPr>
                <w:p w14:paraId="54AC562E">
                  <w:pPr>
                    <w:jc w:val="center"/>
                    <w:rPr>
                      <w:bCs/>
                      <w:color w:val="000000" w:themeColor="text1"/>
                      <w:szCs w:val="21"/>
                      <w:highlight w:val="none"/>
                      <w:lang w:bidi="zh-CN"/>
                      <w14:textFill>
                        <w14:solidFill>
                          <w14:schemeClr w14:val="tx1"/>
                        </w14:solidFill>
                      </w14:textFill>
                    </w:rPr>
                  </w:pPr>
                  <w:r>
                    <w:rPr>
                      <w:color w:val="000000" w:themeColor="text1"/>
                      <w:szCs w:val="21"/>
                      <w:highlight w:val="none"/>
                      <w14:textFill>
                        <w14:solidFill>
                          <w14:schemeClr w14:val="tx1"/>
                        </w14:solidFill>
                      </w14:textFill>
                    </w:rPr>
                    <w:t>受煤坑</w:t>
                  </w:r>
                </w:p>
              </w:tc>
              <w:tc>
                <w:tcPr>
                  <w:tcW w:w="3965" w:type="dxa"/>
                  <w:tcBorders>
                    <w:tl2br w:val="nil"/>
                    <w:tr2bl w:val="nil"/>
                  </w:tcBorders>
                  <w:vAlign w:val="center"/>
                </w:tcPr>
                <w:p w14:paraId="017905F8">
                  <w:pPr>
                    <w:jc w:val="center"/>
                    <w:rPr>
                      <w:bCs/>
                      <w:color w:val="000000" w:themeColor="text1"/>
                      <w:szCs w:val="21"/>
                      <w:highlight w:val="none"/>
                      <w:lang w:bidi="zh-CN"/>
                      <w14:textFill>
                        <w14:solidFill>
                          <w14:schemeClr w14:val="tx1"/>
                        </w14:solidFill>
                      </w14:textFill>
                    </w:rPr>
                  </w:pPr>
                  <w:r>
                    <w:rPr>
                      <w:color w:val="000000" w:themeColor="text1"/>
                      <w:szCs w:val="21"/>
                      <w:highlight w:val="none"/>
                      <w14:textFill>
                        <w14:solidFill>
                          <w14:schemeClr w14:val="tx1"/>
                        </w14:solidFill>
                      </w14:textFill>
                    </w:rPr>
                    <w:t>受煤坑采用洒水降尘，轴流风机强制通风，进入密闭输煤栈桥</w:t>
                  </w:r>
                </w:p>
              </w:tc>
              <w:tc>
                <w:tcPr>
                  <w:tcW w:w="1707" w:type="dxa"/>
                  <w:tcBorders>
                    <w:tl2br w:val="nil"/>
                    <w:tr2bl w:val="nil"/>
                  </w:tcBorders>
                  <w:vAlign w:val="center"/>
                </w:tcPr>
                <w:p w14:paraId="47B9A22E">
                  <w:pPr>
                    <w:jc w:val="center"/>
                    <w:rPr>
                      <w:rFonts w:hint="default"/>
                      <w:bCs/>
                      <w:color w:val="000000" w:themeColor="text1"/>
                      <w:szCs w:val="21"/>
                      <w:highlight w:val="none"/>
                      <w:lang w:val="en-US" w:bidi="zh-CN"/>
                      <w14:textFill>
                        <w14:solidFill>
                          <w14:schemeClr w14:val="tx1"/>
                        </w14:solidFill>
                      </w14:textFill>
                    </w:rPr>
                  </w:pPr>
                  <w:r>
                    <w:rPr>
                      <w:rFonts w:hint="eastAsia"/>
                      <w:bCs/>
                      <w:color w:val="000000" w:themeColor="text1"/>
                      <w:szCs w:val="21"/>
                      <w:highlight w:val="none"/>
                      <w:lang w:val="en-US" w:bidi="zh-CN"/>
                      <w14:textFill>
                        <w14:solidFill>
                          <w14:schemeClr w14:val="tx1"/>
                        </w14:solidFill>
                      </w14:textFill>
                    </w:rPr>
                    <w:t>依托现有</w:t>
                  </w:r>
                </w:p>
              </w:tc>
            </w:tr>
            <w:tr w14:paraId="55EB1F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9" w:type="dxa"/>
                  <w:vMerge w:val="continue"/>
                  <w:tcBorders>
                    <w:tl2br w:val="nil"/>
                    <w:tr2bl w:val="nil"/>
                  </w:tcBorders>
                  <w:vAlign w:val="center"/>
                </w:tcPr>
                <w:p w14:paraId="2B2F8965">
                  <w:pPr>
                    <w:pStyle w:val="15"/>
                    <w:autoSpaceDE w:val="0"/>
                    <w:autoSpaceDN w:val="0"/>
                    <w:spacing w:after="0"/>
                    <w:ind w:left="0" w:leftChars="0"/>
                    <w:jc w:val="center"/>
                    <w:rPr>
                      <w:bCs/>
                      <w:color w:val="000000" w:themeColor="text1"/>
                      <w:sz w:val="21"/>
                      <w:szCs w:val="21"/>
                      <w:highlight w:val="yellow"/>
                      <w14:textFill>
                        <w14:solidFill>
                          <w14:schemeClr w14:val="tx1"/>
                        </w14:solidFill>
                      </w14:textFill>
                    </w:rPr>
                  </w:pPr>
                </w:p>
              </w:tc>
              <w:tc>
                <w:tcPr>
                  <w:tcW w:w="1808" w:type="dxa"/>
                  <w:tcBorders>
                    <w:tl2br w:val="nil"/>
                    <w:tr2bl w:val="nil"/>
                  </w:tcBorders>
                  <w:vAlign w:val="center"/>
                </w:tcPr>
                <w:p w14:paraId="48EFA267">
                  <w:pPr>
                    <w:jc w:val="center"/>
                    <w:rPr>
                      <w:bCs/>
                      <w:color w:val="000000" w:themeColor="text1"/>
                      <w:szCs w:val="21"/>
                      <w:highlight w:val="none"/>
                      <w:lang w:bidi="zh-CN"/>
                      <w14:textFill>
                        <w14:solidFill>
                          <w14:schemeClr w14:val="tx1"/>
                        </w14:solidFill>
                      </w14:textFill>
                    </w:rPr>
                  </w:pPr>
                  <w:r>
                    <w:rPr>
                      <w:color w:val="000000" w:themeColor="text1"/>
                      <w:szCs w:val="21"/>
                      <w:highlight w:val="none"/>
                      <w14:textFill>
                        <w14:solidFill>
                          <w14:schemeClr w14:val="tx1"/>
                        </w14:solidFill>
                      </w14:textFill>
                    </w:rPr>
                    <w:t>上料、运输</w:t>
                  </w:r>
                </w:p>
              </w:tc>
              <w:tc>
                <w:tcPr>
                  <w:tcW w:w="3965" w:type="dxa"/>
                  <w:tcBorders>
                    <w:tl2br w:val="nil"/>
                    <w:tr2bl w:val="nil"/>
                  </w:tcBorders>
                  <w:vAlign w:val="center"/>
                </w:tcPr>
                <w:p w14:paraId="4D914C27">
                  <w:pPr>
                    <w:jc w:val="center"/>
                    <w:rPr>
                      <w:bCs/>
                      <w:color w:val="000000" w:themeColor="text1"/>
                      <w:szCs w:val="21"/>
                      <w:highlight w:val="none"/>
                      <w:lang w:bidi="zh-CN"/>
                      <w14:textFill>
                        <w14:solidFill>
                          <w14:schemeClr w14:val="tx1"/>
                        </w14:solidFill>
                      </w14:textFill>
                    </w:rPr>
                  </w:pPr>
                  <w:r>
                    <w:rPr>
                      <w:color w:val="000000" w:themeColor="text1"/>
                      <w:szCs w:val="21"/>
                      <w:highlight w:val="none"/>
                      <w14:textFill>
                        <w14:solidFill>
                          <w14:schemeClr w14:val="tx1"/>
                        </w14:solidFill>
                      </w14:textFill>
                    </w:rPr>
                    <w:t>上料口、运输皮带均安装在封闭的通廊中，通廊上方留有通风口，并在转载点采取</w:t>
                  </w:r>
                  <w:r>
                    <w:rPr>
                      <w:rFonts w:hint="eastAsia"/>
                      <w:color w:val="000000" w:themeColor="text1"/>
                      <w:szCs w:val="21"/>
                      <w:highlight w:val="none"/>
                      <w:lang w:val="en-US" w:eastAsia="zh-CN"/>
                      <w14:textFill>
                        <w14:solidFill>
                          <w14:schemeClr w14:val="tx1"/>
                        </w14:solidFill>
                      </w14:textFill>
                    </w:rPr>
                    <w:t>喷淋</w:t>
                  </w:r>
                  <w:r>
                    <w:rPr>
                      <w:color w:val="000000" w:themeColor="text1"/>
                      <w:szCs w:val="21"/>
                      <w:highlight w:val="none"/>
                      <w14:textFill>
                        <w14:solidFill>
                          <w14:schemeClr w14:val="tx1"/>
                        </w14:solidFill>
                      </w14:textFill>
                    </w:rPr>
                    <w:t>降尘措施，将皮带输送机在封闭的皮带走廊内</w:t>
                  </w:r>
                </w:p>
              </w:tc>
              <w:tc>
                <w:tcPr>
                  <w:tcW w:w="1707" w:type="dxa"/>
                  <w:tcBorders>
                    <w:tl2br w:val="nil"/>
                    <w:tr2bl w:val="nil"/>
                  </w:tcBorders>
                  <w:vAlign w:val="center"/>
                </w:tcPr>
                <w:p w14:paraId="5662E88A">
                  <w:pPr>
                    <w:jc w:val="center"/>
                    <w:rPr>
                      <w:bCs/>
                      <w:color w:val="000000" w:themeColor="text1"/>
                      <w:szCs w:val="21"/>
                      <w:highlight w:val="none"/>
                      <w:lang w:bidi="zh-CN"/>
                      <w14:textFill>
                        <w14:solidFill>
                          <w14:schemeClr w14:val="tx1"/>
                        </w14:solidFill>
                      </w14:textFill>
                    </w:rPr>
                  </w:pPr>
                  <w:r>
                    <w:rPr>
                      <w:rFonts w:hint="eastAsia"/>
                      <w:bCs/>
                      <w:color w:val="000000" w:themeColor="text1"/>
                      <w:szCs w:val="21"/>
                      <w:highlight w:val="none"/>
                      <w:lang w:val="en-US" w:bidi="zh-CN"/>
                      <w14:textFill>
                        <w14:solidFill>
                          <w14:schemeClr w14:val="tx1"/>
                        </w14:solidFill>
                      </w14:textFill>
                    </w:rPr>
                    <w:t>依托现有</w:t>
                  </w:r>
                </w:p>
              </w:tc>
            </w:tr>
            <w:tr w14:paraId="33AC51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09" w:type="dxa"/>
                  <w:vMerge w:val="continue"/>
                  <w:tcBorders>
                    <w:tl2br w:val="nil"/>
                    <w:tr2bl w:val="nil"/>
                  </w:tcBorders>
                  <w:vAlign w:val="center"/>
                </w:tcPr>
                <w:p w14:paraId="0662AA93">
                  <w:pPr>
                    <w:pStyle w:val="15"/>
                    <w:autoSpaceDE w:val="0"/>
                    <w:autoSpaceDN w:val="0"/>
                    <w:spacing w:after="0"/>
                    <w:ind w:left="0" w:leftChars="0"/>
                    <w:jc w:val="center"/>
                    <w:rPr>
                      <w:bCs/>
                      <w:color w:val="000000" w:themeColor="text1"/>
                      <w:sz w:val="21"/>
                      <w:szCs w:val="21"/>
                      <w:highlight w:val="yellow"/>
                      <w14:textFill>
                        <w14:solidFill>
                          <w14:schemeClr w14:val="tx1"/>
                        </w14:solidFill>
                      </w14:textFill>
                    </w:rPr>
                  </w:pPr>
                </w:p>
              </w:tc>
              <w:tc>
                <w:tcPr>
                  <w:tcW w:w="1808" w:type="dxa"/>
                  <w:tcBorders>
                    <w:tl2br w:val="nil"/>
                    <w:tr2bl w:val="nil"/>
                  </w:tcBorders>
                  <w:vAlign w:val="center"/>
                </w:tcPr>
                <w:p w14:paraId="3E03E1FC">
                  <w:pPr>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精煤仓</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矸石仓</w:t>
                  </w:r>
                </w:p>
              </w:tc>
              <w:tc>
                <w:tcPr>
                  <w:tcW w:w="3965" w:type="dxa"/>
                  <w:tcBorders>
                    <w:tl2br w:val="nil"/>
                    <w:tr2bl w:val="nil"/>
                  </w:tcBorders>
                  <w:vAlign w:val="center"/>
                </w:tcPr>
                <w:p w14:paraId="4F2E9C4B">
                  <w:pPr>
                    <w:jc w:val="center"/>
                    <w:rPr>
                      <w:bCs/>
                      <w:color w:val="000000" w:themeColor="text1"/>
                      <w:szCs w:val="21"/>
                      <w:highlight w:val="none"/>
                      <w:lang w:bidi="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地面</w:t>
                  </w:r>
                  <w:r>
                    <w:rPr>
                      <w:rFonts w:hint="eastAsia"/>
                      <w:color w:val="000000" w:themeColor="text1"/>
                      <w:szCs w:val="21"/>
                      <w:highlight w:val="none"/>
                      <w14:textFill>
                        <w14:solidFill>
                          <w14:schemeClr w14:val="tx1"/>
                        </w14:solidFill>
                      </w14:textFill>
                    </w:rPr>
                    <w:t>防渗+洒水降尘+</w:t>
                  </w:r>
                  <w:r>
                    <w:rPr>
                      <w:rFonts w:hint="eastAsia"/>
                      <w:color w:val="000000" w:themeColor="text1"/>
                      <w:szCs w:val="21"/>
                      <w:highlight w:val="none"/>
                      <w:lang w:val="en-US" w:eastAsia="zh-CN"/>
                      <w14:textFill>
                        <w14:solidFill>
                          <w14:schemeClr w14:val="tx1"/>
                        </w14:solidFill>
                      </w14:textFill>
                    </w:rPr>
                    <w:t>渗滤液收集</w:t>
                  </w:r>
                </w:p>
              </w:tc>
              <w:tc>
                <w:tcPr>
                  <w:tcW w:w="1707" w:type="dxa"/>
                  <w:tcBorders>
                    <w:tl2br w:val="nil"/>
                    <w:tr2bl w:val="nil"/>
                  </w:tcBorders>
                  <w:vAlign w:val="center"/>
                </w:tcPr>
                <w:p w14:paraId="661F6424">
                  <w:pPr>
                    <w:jc w:val="center"/>
                    <w:rPr>
                      <w:rFonts w:hint="default"/>
                      <w:bCs/>
                      <w:color w:val="000000" w:themeColor="text1"/>
                      <w:szCs w:val="21"/>
                      <w:highlight w:val="none"/>
                      <w:lang w:val="en-US" w:bidi="zh-CN"/>
                      <w14:textFill>
                        <w14:solidFill>
                          <w14:schemeClr w14:val="tx1"/>
                        </w14:solidFill>
                      </w14:textFill>
                    </w:rPr>
                  </w:pPr>
                  <w:r>
                    <w:rPr>
                      <w:rFonts w:hint="eastAsia"/>
                      <w:bCs/>
                      <w:color w:val="000000" w:themeColor="text1"/>
                      <w:szCs w:val="21"/>
                      <w:highlight w:val="none"/>
                      <w:lang w:val="en-US" w:bidi="zh-CN"/>
                      <w14:textFill>
                        <w14:solidFill>
                          <w14:schemeClr w14:val="tx1"/>
                        </w14:solidFill>
                      </w14:textFill>
                    </w:rPr>
                    <w:t>依托现有</w:t>
                  </w:r>
                </w:p>
              </w:tc>
            </w:tr>
            <w:tr w14:paraId="3EDC0A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09" w:type="dxa"/>
                  <w:vMerge w:val="continue"/>
                  <w:tcBorders>
                    <w:tl2br w:val="nil"/>
                    <w:tr2bl w:val="nil"/>
                  </w:tcBorders>
                  <w:vAlign w:val="center"/>
                </w:tcPr>
                <w:p w14:paraId="162FE1C8">
                  <w:pPr>
                    <w:pStyle w:val="15"/>
                    <w:autoSpaceDE w:val="0"/>
                    <w:autoSpaceDN w:val="0"/>
                    <w:spacing w:after="0"/>
                    <w:ind w:left="0" w:leftChars="0"/>
                    <w:jc w:val="center"/>
                    <w:rPr>
                      <w:bCs/>
                      <w:color w:val="000000" w:themeColor="text1"/>
                      <w:sz w:val="21"/>
                      <w:szCs w:val="21"/>
                      <w:highlight w:val="yellow"/>
                      <w14:textFill>
                        <w14:solidFill>
                          <w14:schemeClr w14:val="tx1"/>
                        </w14:solidFill>
                      </w14:textFill>
                    </w:rPr>
                  </w:pPr>
                </w:p>
              </w:tc>
              <w:tc>
                <w:tcPr>
                  <w:tcW w:w="1808" w:type="dxa"/>
                  <w:tcBorders>
                    <w:tl2br w:val="nil"/>
                    <w:tr2bl w:val="nil"/>
                  </w:tcBorders>
                  <w:vAlign w:val="center"/>
                </w:tcPr>
                <w:p w14:paraId="036EC0C5">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筛分、破碎</w:t>
                  </w:r>
                </w:p>
              </w:tc>
              <w:tc>
                <w:tcPr>
                  <w:tcW w:w="3965" w:type="dxa"/>
                  <w:tcBorders>
                    <w:tl2br w:val="nil"/>
                    <w:tr2bl w:val="nil"/>
                  </w:tcBorders>
                  <w:vAlign w:val="center"/>
                </w:tcPr>
                <w:p w14:paraId="64A7F092">
                  <w:pPr>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封闭车间、</w:t>
                  </w:r>
                  <w:r>
                    <w:rPr>
                      <w:rFonts w:hint="eastAsia"/>
                      <w:color w:val="000000" w:themeColor="text1"/>
                      <w:szCs w:val="21"/>
                      <w:highlight w:val="none"/>
                      <w14:textFill>
                        <w14:solidFill>
                          <w14:schemeClr w14:val="tx1"/>
                        </w14:solidFill>
                      </w14:textFill>
                    </w:rPr>
                    <w:t>洒水降尘措施</w:t>
                  </w:r>
                </w:p>
              </w:tc>
              <w:tc>
                <w:tcPr>
                  <w:tcW w:w="1707" w:type="dxa"/>
                  <w:tcBorders>
                    <w:tl2br w:val="nil"/>
                    <w:tr2bl w:val="nil"/>
                  </w:tcBorders>
                  <w:vAlign w:val="center"/>
                </w:tcPr>
                <w:p w14:paraId="6841B2BC">
                  <w:pPr>
                    <w:jc w:val="center"/>
                    <w:rPr>
                      <w:rFonts w:hint="default"/>
                      <w:bCs/>
                      <w:color w:val="000000" w:themeColor="text1"/>
                      <w:szCs w:val="21"/>
                      <w:highlight w:val="none"/>
                      <w:lang w:val="en-US" w:bidi="zh-CN"/>
                      <w14:textFill>
                        <w14:solidFill>
                          <w14:schemeClr w14:val="tx1"/>
                        </w14:solidFill>
                      </w14:textFill>
                    </w:rPr>
                  </w:pPr>
                  <w:r>
                    <w:rPr>
                      <w:rFonts w:hint="eastAsia"/>
                      <w:bCs/>
                      <w:color w:val="000000" w:themeColor="text1"/>
                      <w:szCs w:val="21"/>
                      <w:highlight w:val="none"/>
                      <w:lang w:val="en-US" w:bidi="zh-CN"/>
                      <w14:textFill>
                        <w14:solidFill>
                          <w14:schemeClr w14:val="tx1"/>
                        </w14:solidFill>
                      </w14:textFill>
                    </w:rPr>
                    <w:t>依托现有</w:t>
                  </w:r>
                </w:p>
              </w:tc>
            </w:tr>
            <w:tr w14:paraId="0D4180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909" w:type="dxa"/>
                  <w:vMerge w:val="continue"/>
                  <w:tcBorders>
                    <w:tl2br w:val="nil"/>
                    <w:tr2bl w:val="nil"/>
                  </w:tcBorders>
                  <w:vAlign w:val="center"/>
                </w:tcPr>
                <w:p w14:paraId="0D90AA4D">
                  <w:pPr>
                    <w:pStyle w:val="15"/>
                    <w:autoSpaceDE w:val="0"/>
                    <w:autoSpaceDN w:val="0"/>
                    <w:spacing w:after="0"/>
                    <w:ind w:left="0" w:leftChars="0"/>
                    <w:jc w:val="center"/>
                    <w:rPr>
                      <w:bCs/>
                      <w:color w:val="000000" w:themeColor="text1"/>
                      <w:sz w:val="21"/>
                      <w:szCs w:val="21"/>
                      <w:highlight w:val="yellow"/>
                      <w14:textFill>
                        <w14:solidFill>
                          <w14:schemeClr w14:val="tx1"/>
                        </w14:solidFill>
                      </w14:textFill>
                    </w:rPr>
                  </w:pPr>
                </w:p>
              </w:tc>
              <w:tc>
                <w:tcPr>
                  <w:tcW w:w="1808" w:type="dxa"/>
                  <w:tcBorders>
                    <w:tl2br w:val="nil"/>
                    <w:tr2bl w:val="nil"/>
                  </w:tcBorders>
                  <w:vAlign w:val="center"/>
                </w:tcPr>
                <w:p w14:paraId="6DB569B4">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食堂</w:t>
                  </w:r>
                </w:p>
              </w:tc>
              <w:tc>
                <w:tcPr>
                  <w:tcW w:w="3965" w:type="dxa"/>
                  <w:tcBorders>
                    <w:tl2br w:val="nil"/>
                    <w:tr2bl w:val="nil"/>
                  </w:tcBorders>
                  <w:vAlign w:val="center"/>
                </w:tcPr>
                <w:p w14:paraId="00DDD1EB">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油烟净化器</w:t>
                  </w:r>
                </w:p>
              </w:tc>
              <w:tc>
                <w:tcPr>
                  <w:tcW w:w="1707" w:type="dxa"/>
                  <w:tcBorders>
                    <w:tl2br w:val="nil"/>
                    <w:tr2bl w:val="nil"/>
                  </w:tcBorders>
                  <w:vAlign w:val="center"/>
                </w:tcPr>
                <w:p w14:paraId="41A530B4">
                  <w:pPr>
                    <w:jc w:val="center"/>
                    <w:rPr>
                      <w:rFonts w:hint="default"/>
                      <w:bCs/>
                      <w:color w:val="000000" w:themeColor="text1"/>
                      <w:szCs w:val="21"/>
                      <w:highlight w:val="none"/>
                      <w:lang w:val="en-US" w:bidi="zh-CN"/>
                      <w14:textFill>
                        <w14:solidFill>
                          <w14:schemeClr w14:val="tx1"/>
                        </w14:solidFill>
                      </w14:textFill>
                    </w:rPr>
                  </w:pPr>
                  <w:r>
                    <w:rPr>
                      <w:rFonts w:hint="eastAsia"/>
                      <w:bCs/>
                      <w:color w:val="000000" w:themeColor="text1"/>
                      <w:szCs w:val="21"/>
                      <w:highlight w:val="none"/>
                      <w:lang w:val="en-US" w:bidi="zh-CN"/>
                      <w14:textFill>
                        <w14:solidFill>
                          <w14:schemeClr w14:val="tx1"/>
                        </w14:solidFill>
                      </w14:textFill>
                    </w:rPr>
                    <w:t>0.5</w:t>
                  </w:r>
                </w:p>
              </w:tc>
            </w:tr>
            <w:tr w14:paraId="5B0F37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909" w:type="dxa"/>
                  <w:vMerge w:val="restart"/>
                  <w:tcBorders>
                    <w:tl2br w:val="nil"/>
                    <w:tr2bl w:val="nil"/>
                  </w:tcBorders>
                  <w:vAlign w:val="center"/>
                </w:tcPr>
                <w:p w14:paraId="4CE336F0">
                  <w:pPr>
                    <w:pStyle w:val="15"/>
                    <w:autoSpaceDE w:val="0"/>
                    <w:autoSpaceDN w:val="0"/>
                    <w:spacing w:after="0"/>
                    <w:ind w:left="0" w:left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废水</w:t>
                  </w:r>
                </w:p>
              </w:tc>
              <w:tc>
                <w:tcPr>
                  <w:tcW w:w="1808" w:type="dxa"/>
                  <w:tcBorders>
                    <w:tl2br w:val="nil"/>
                    <w:tr2bl w:val="nil"/>
                  </w:tcBorders>
                  <w:vAlign w:val="center"/>
                </w:tcPr>
                <w:p w14:paraId="55E70BA8">
                  <w:pPr>
                    <w:pStyle w:val="15"/>
                    <w:autoSpaceDE w:val="0"/>
                    <w:autoSpaceDN w:val="0"/>
                    <w:spacing w:after="0"/>
                    <w:ind w:left="0" w:leftChars="0"/>
                    <w:jc w:val="center"/>
                    <w:rPr>
                      <w:bCs/>
                      <w:color w:val="000000" w:themeColor="text1"/>
                      <w:sz w:val="21"/>
                      <w:szCs w:val="21"/>
                      <w:highlight w:val="none"/>
                      <w:lang w:bidi="zh-CN"/>
                      <w14:textFill>
                        <w14:solidFill>
                          <w14:schemeClr w14:val="tx1"/>
                        </w14:solidFill>
                      </w14:textFill>
                    </w:rPr>
                  </w:pPr>
                  <w:r>
                    <w:rPr>
                      <w:bCs/>
                      <w:color w:val="000000" w:themeColor="text1"/>
                      <w:sz w:val="21"/>
                      <w:szCs w:val="21"/>
                      <w:highlight w:val="none"/>
                      <w:lang w:bidi="zh-CN"/>
                      <w14:textFill>
                        <w14:solidFill>
                          <w14:schemeClr w14:val="tx1"/>
                        </w14:solidFill>
                      </w14:textFill>
                    </w:rPr>
                    <w:t>生活污水</w:t>
                  </w:r>
                </w:p>
              </w:tc>
              <w:tc>
                <w:tcPr>
                  <w:tcW w:w="3965" w:type="dxa"/>
                  <w:tcBorders>
                    <w:tl2br w:val="nil"/>
                    <w:tr2bl w:val="nil"/>
                  </w:tcBorders>
                  <w:vAlign w:val="center"/>
                </w:tcPr>
                <w:p w14:paraId="15D81839">
                  <w:pPr>
                    <w:pStyle w:val="15"/>
                    <w:autoSpaceDE w:val="0"/>
                    <w:autoSpaceDN w:val="0"/>
                    <w:spacing w:after="0"/>
                    <w:ind w:left="0" w:leftChars="0"/>
                    <w:jc w:val="center"/>
                    <w:rPr>
                      <w:bCs/>
                      <w:color w:val="000000" w:themeColor="text1"/>
                      <w:sz w:val="21"/>
                      <w:szCs w:val="21"/>
                      <w:highlight w:val="none"/>
                      <w:lang w:bidi="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食堂废水</w:t>
                  </w: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设置</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隔油池</w:t>
                  </w:r>
                  <w:r>
                    <w:rPr>
                      <w:rFonts w:hint="eastAsia"/>
                      <w:bCs/>
                      <w:color w:val="000000" w:themeColor="text1"/>
                      <w:sz w:val="21"/>
                      <w:szCs w:val="21"/>
                      <w:highlight w:val="none"/>
                      <w:lang w:bidi="zh-CN"/>
                      <w14:textFill>
                        <w14:solidFill>
                          <w14:schemeClr w14:val="tx1"/>
                        </w14:solidFill>
                      </w14:textFill>
                    </w:rPr>
                    <w:t>预处理</w:t>
                  </w:r>
                </w:p>
              </w:tc>
              <w:tc>
                <w:tcPr>
                  <w:tcW w:w="1707" w:type="dxa"/>
                  <w:tcBorders>
                    <w:tl2br w:val="nil"/>
                    <w:tr2bl w:val="nil"/>
                  </w:tcBorders>
                  <w:vAlign w:val="center"/>
                </w:tcPr>
                <w:p w14:paraId="1352DF2F">
                  <w:pPr>
                    <w:pStyle w:val="15"/>
                    <w:autoSpaceDE w:val="0"/>
                    <w:autoSpaceDN w:val="0"/>
                    <w:spacing w:after="0"/>
                    <w:ind w:left="0" w:leftChars="0"/>
                    <w:jc w:val="center"/>
                    <w:rPr>
                      <w:bCs/>
                      <w:color w:val="000000" w:themeColor="text1"/>
                      <w:sz w:val="21"/>
                      <w:szCs w:val="21"/>
                      <w:highlight w:val="none"/>
                      <w:lang w:bidi="zh-CN"/>
                      <w14:textFill>
                        <w14:solidFill>
                          <w14:schemeClr w14:val="tx1"/>
                        </w14:solidFill>
                      </w14:textFill>
                    </w:rPr>
                  </w:pPr>
                  <w:r>
                    <w:rPr>
                      <w:rFonts w:hint="eastAsia"/>
                      <w:bCs/>
                      <w:color w:val="000000" w:themeColor="text1"/>
                      <w:sz w:val="21"/>
                      <w:szCs w:val="21"/>
                      <w:highlight w:val="none"/>
                      <w:lang w:bidi="zh-CN"/>
                      <w14:textFill>
                        <w14:solidFill>
                          <w14:schemeClr w14:val="tx1"/>
                        </w14:solidFill>
                      </w14:textFill>
                    </w:rPr>
                    <w:t>1</w:t>
                  </w:r>
                </w:p>
              </w:tc>
            </w:tr>
            <w:tr w14:paraId="13A847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909" w:type="dxa"/>
                  <w:vMerge w:val="continue"/>
                  <w:tcBorders>
                    <w:tl2br w:val="nil"/>
                    <w:tr2bl w:val="nil"/>
                  </w:tcBorders>
                  <w:vAlign w:val="center"/>
                </w:tcPr>
                <w:p w14:paraId="3A1B4C4A">
                  <w:pPr>
                    <w:pStyle w:val="15"/>
                    <w:autoSpaceDE w:val="0"/>
                    <w:autoSpaceDN w:val="0"/>
                    <w:spacing w:after="0"/>
                    <w:ind w:left="0" w:leftChars="0"/>
                    <w:jc w:val="center"/>
                    <w:rPr>
                      <w:bCs/>
                      <w:color w:val="000000" w:themeColor="text1"/>
                      <w:sz w:val="21"/>
                      <w:szCs w:val="21"/>
                      <w:highlight w:val="none"/>
                      <w14:textFill>
                        <w14:solidFill>
                          <w14:schemeClr w14:val="tx1"/>
                        </w14:solidFill>
                      </w14:textFill>
                    </w:rPr>
                  </w:pPr>
                </w:p>
              </w:tc>
              <w:tc>
                <w:tcPr>
                  <w:tcW w:w="1808" w:type="dxa"/>
                  <w:tcBorders>
                    <w:tl2br w:val="nil"/>
                    <w:tr2bl w:val="nil"/>
                  </w:tcBorders>
                  <w:vAlign w:val="center"/>
                </w:tcPr>
                <w:p w14:paraId="2A0B22D2">
                  <w:pPr>
                    <w:widowControl/>
                    <w:autoSpaceDE w:val="0"/>
                    <w:autoSpaceDN w:val="0"/>
                    <w:jc w:val="center"/>
                    <w:rPr>
                      <w:bCs/>
                      <w:color w:val="000000" w:themeColor="text1"/>
                      <w:szCs w:val="21"/>
                      <w:highlight w:val="none"/>
                      <w:lang w:bidi="zh-CN"/>
                      <w14:textFill>
                        <w14:solidFill>
                          <w14:schemeClr w14:val="tx1"/>
                        </w14:solidFill>
                      </w14:textFill>
                    </w:rPr>
                  </w:pPr>
                  <w:r>
                    <w:rPr>
                      <w:bCs/>
                      <w:color w:val="000000" w:themeColor="text1"/>
                      <w:szCs w:val="21"/>
                      <w:highlight w:val="none"/>
                      <w:lang w:bidi="zh-CN"/>
                      <w14:textFill>
                        <w14:solidFill>
                          <w14:schemeClr w14:val="tx1"/>
                        </w14:solidFill>
                      </w14:textFill>
                    </w:rPr>
                    <w:t>雨水</w:t>
                  </w:r>
                </w:p>
              </w:tc>
              <w:tc>
                <w:tcPr>
                  <w:tcW w:w="3965" w:type="dxa"/>
                  <w:tcBorders>
                    <w:tl2br w:val="nil"/>
                    <w:tr2bl w:val="nil"/>
                  </w:tcBorders>
                  <w:vAlign w:val="center"/>
                </w:tcPr>
                <w:p w14:paraId="52C374D9">
                  <w:pPr>
                    <w:widowControl/>
                    <w:autoSpaceDE w:val="0"/>
                    <w:autoSpaceDN w:val="0"/>
                    <w:jc w:val="center"/>
                    <w:rPr>
                      <w:rFonts w:hint="eastAsia" w:eastAsia="宋体"/>
                      <w:color w:val="000000" w:themeColor="text1"/>
                      <w:szCs w:val="21"/>
                      <w:highlight w:val="none"/>
                      <w:lang w:eastAsia="zh-CN"/>
                      <w14:textFill>
                        <w14:solidFill>
                          <w14:schemeClr w14:val="tx1"/>
                        </w14:solidFill>
                      </w14:textFill>
                    </w:rPr>
                  </w:pPr>
                  <w:r>
                    <w:rPr>
                      <w:color w:val="000000" w:themeColor="text1"/>
                      <w:highlight w:val="none"/>
                      <w14:textFill>
                        <w14:solidFill>
                          <w14:schemeClr w14:val="tx1"/>
                        </w14:solidFill>
                      </w14:textFill>
                    </w:rPr>
                    <w:t>建设雨水收集池，</w:t>
                  </w:r>
                  <w:r>
                    <w:rPr>
                      <w:rFonts w:hint="eastAsia"/>
                      <w:color w:val="000000" w:themeColor="text1"/>
                      <w:highlight w:val="none"/>
                      <w:lang w:eastAsia="zh-CN"/>
                      <w14:textFill>
                        <w14:solidFill>
                          <w14:schemeClr w14:val="tx1"/>
                        </w14:solidFill>
                      </w14:textFill>
                    </w:rPr>
                    <w:t>采取防渗措施</w:t>
                  </w:r>
                </w:p>
              </w:tc>
              <w:tc>
                <w:tcPr>
                  <w:tcW w:w="1707" w:type="dxa"/>
                  <w:tcBorders>
                    <w:tl2br w:val="nil"/>
                    <w:tr2bl w:val="nil"/>
                  </w:tcBorders>
                  <w:vAlign w:val="center"/>
                </w:tcPr>
                <w:p w14:paraId="6D3FE053">
                  <w:pPr>
                    <w:widowControl/>
                    <w:autoSpaceDE w:val="0"/>
                    <w:autoSpaceDN w:val="0"/>
                    <w:jc w:val="center"/>
                    <w:rPr>
                      <w:rFonts w:hint="default"/>
                      <w:bCs/>
                      <w:color w:val="000000" w:themeColor="text1"/>
                      <w:szCs w:val="21"/>
                      <w:highlight w:val="none"/>
                      <w:lang w:val="en-US" w:bidi="zh-CN"/>
                      <w14:textFill>
                        <w14:solidFill>
                          <w14:schemeClr w14:val="tx1"/>
                        </w14:solidFill>
                      </w14:textFill>
                    </w:rPr>
                  </w:pPr>
                  <w:r>
                    <w:rPr>
                      <w:rFonts w:hint="eastAsia"/>
                      <w:bCs/>
                      <w:color w:val="000000" w:themeColor="text1"/>
                      <w:szCs w:val="21"/>
                      <w:highlight w:val="none"/>
                      <w:lang w:val="en-US" w:bidi="zh-CN"/>
                      <w14:textFill>
                        <w14:solidFill>
                          <w14:schemeClr w14:val="tx1"/>
                        </w14:solidFill>
                      </w14:textFill>
                    </w:rPr>
                    <w:t>15</w:t>
                  </w:r>
                </w:p>
              </w:tc>
            </w:tr>
            <w:tr w14:paraId="455FC9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909" w:type="dxa"/>
                  <w:vMerge w:val="continue"/>
                  <w:tcBorders>
                    <w:tl2br w:val="nil"/>
                    <w:tr2bl w:val="nil"/>
                  </w:tcBorders>
                  <w:vAlign w:val="center"/>
                </w:tcPr>
                <w:p w14:paraId="5D8E5779">
                  <w:pPr>
                    <w:pStyle w:val="15"/>
                    <w:autoSpaceDE w:val="0"/>
                    <w:autoSpaceDN w:val="0"/>
                    <w:spacing w:after="0"/>
                    <w:ind w:left="0" w:leftChars="0"/>
                    <w:jc w:val="center"/>
                    <w:rPr>
                      <w:bCs/>
                      <w:color w:val="000000" w:themeColor="text1"/>
                      <w:sz w:val="21"/>
                      <w:szCs w:val="21"/>
                      <w:highlight w:val="none"/>
                      <w14:textFill>
                        <w14:solidFill>
                          <w14:schemeClr w14:val="tx1"/>
                        </w14:solidFill>
                      </w14:textFill>
                    </w:rPr>
                  </w:pPr>
                </w:p>
              </w:tc>
              <w:tc>
                <w:tcPr>
                  <w:tcW w:w="1808" w:type="dxa"/>
                  <w:tcBorders>
                    <w:tl2br w:val="nil"/>
                    <w:tr2bl w:val="nil"/>
                  </w:tcBorders>
                  <w:vAlign w:val="center"/>
                </w:tcPr>
                <w:p w14:paraId="0C386063">
                  <w:pPr>
                    <w:widowControl/>
                    <w:autoSpaceDE w:val="0"/>
                    <w:autoSpaceDN w:val="0"/>
                    <w:jc w:val="center"/>
                    <w:rPr>
                      <w:bCs/>
                      <w:color w:val="000000" w:themeColor="text1"/>
                      <w:szCs w:val="21"/>
                      <w:highlight w:val="none"/>
                      <w:lang w:bidi="zh-CN"/>
                      <w14:textFill>
                        <w14:solidFill>
                          <w14:schemeClr w14:val="tx1"/>
                        </w14:solidFill>
                      </w14:textFill>
                    </w:rPr>
                  </w:pPr>
                  <w:r>
                    <w:rPr>
                      <w:bCs/>
                      <w:color w:val="000000" w:themeColor="text1"/>
                      <w:szCs w:val="21"/>
                      <w:highlight w:val="none"/>
                      <w:lang w:bidi="zh-CN"/>
                      <w14:textFill>
                        <w14:solidFill>
                          <w14:schemeClr w14:val="tx1"/>
                        </w14:solidFill>
                      </w14:textFill>
                    </w:rPr>
                    <w:t>生产环节</w:t>
                  </w:r>
                </w:p>
              </w:tc>
              <w:tc>
                <w:tcPr>
                  <w:tcW w:w="3965" w:type="dxa"/>
                  <w:tcBorders>
                    <w:tl2br w:val="nil"/>
                    <w:tr2bl w:val="nil"/>
                  </w:tcBorders>
                  <w:vAlign w:val="center"/>
                </w:tcPr>
                <w:p w14:paraId="3206712A">
                  <w:pPr>
                    <w:widowControl/>
                    <w:autoSpaceDE w:val="0"/>
                    <w:autoSpaceDN w:val="0"/>
                    <w:jc w:val="center"/>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生产废水</w:t>
                  </w:r>
                  <w:r>
                    <w:rPr>
                      <w:rFonts w:hint="eastAsia"/>
                      <w:color w:val="000000" w:themeColor="text1"/>
                      <w:highlight w:val="none"/>
                      <w:lang w:val="en-US" w:eastAsia="zh-CN"/>
                      <w14:textFill>
                        <w14:solidFill>
                          <w14:schemeClr w14:val="tx1"/>
                        </w14:solidFill>
                      </w14:textFill>
                    </w:rPr>
                    <w:t>闭路循环，</w:t>
                  </w:r>
                  <w:r>
                    <w:rPr>
                      <w:color w:val="000000" w:themeColor="text1"/>
                      <w:highlight w:val="none"/>
                      <w14:textFill>
                        <w14:solidFill>
                          <w14:schemeClr w14:val="tx1"/>
                        </w14:solidFill>
                      </w14:textFill>
                    </w:rPr>
                    <w:t>不外排</w:t>
                  </w:r>
                </w:p>
              </w:tc>
              <w:tc>
                <w:tcPr>
                  <w:tcW w:w="1707" w:type="dxa"/>
                  <w:tcBorders>
                    <w:tl2br w:val="nil"/>
                    <w:tr2bl w:val="nil"/>
                  </w:tcBorders>
                  <w:vAlign w:val="center"/>
                </w:tcPr>
                <w:p w14:paraId="28323EBA">
                  <w:pPr>
                    <w:widowControl/>
                    <w:autoSpaceDE w:val="0"/>
                    <w:autoSpaceDN w:val="0"/>
                    <w:jc w:val="center"/>
                    <w:rPr>
                      <w:rFonts w:hint="default"/>
                      <w:bCs/>
                      <w:color w:val="000000" w:themeColor="text1"/>
                      <w:szCs w:val="21"/>
                      <w:highlight w:val="none"/>
                      <w:lang w:val="en-US" w:bidi="zh-CN"/>
                      <w14:textFill>
                        <w14:solidFill>
                          <w14:schemeClr w14:val="tx1"/>
                        </w14:solidFill>
                      </w14:textFill>
                    </w:rPr>
                  </w:pPr>
                  <w:r>
                    <w:rPr>
                      <w:rFonts w:hint="eastAsia"/>
                      <w:bCs/>
                      <w:color w:val="000000" w:themeColor="text1"/>
                      <w:szCs w:val="21"/>
                      <w:highlight w:val="none"/>
                      <w:lang w:val="en-US" w:bidi="zh-CN"/>
                      <w14:textFill>
                        <w14:solidFill>
                          <w14:schemeClr w14:val="tx1"/>
                        </w14:solidFill>
                      </w14:textFill>
                    </w:rPr>
                    <w:t>依托现有</w:t>
                  </w:r>
                </w:p>
              </w:tc>
            </w:tr>
            <w:tr w14:paraId="1F863C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09" w:type="dxa"/>
                  <w:tcBorders>
                    <w:tl2br w:val="nil"/>
                    <w:tr2bl w:val="nil"/>
                  </w:tcBorders>
                  <w:vAlign w:val="center"/>
                </w:tcPr>
                <w:p w14:paraId="2C4EFB97">
                  <w:pPr>
                    <w:pStyle w:val="15"/>
                    <w:autoSpaceDE w:val="0"/>
                    <w:autoSpaceDN w:val="0"/>
                    <w:spacing w:after="0"/>
                    <w:ind w:left="0" w:left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噪声</w:t>
                  </w:r>
                </w:p>
              </w:tc>
              <w:tc>
                <w:tcPr>
                  <w:tcW w:w="1808" w:type="dxa"/>
                  <w:tcBorders>
                    <w:tl2br w:val="nil"/>
                    <w:tr2bl w:val="nil"/>
                  </w:tcBorders>
                  <w:vAlign w:val="center"/>
                </w:tcPr>
                <w:p w14:paraId="0BB5F31C">
                  <w:pPr>
                    <w:widowControl/>
                    <w:autoSpaceDE w:val="0"/>
                    <w:autoSpaceDN w:val="0"/>
                    <w:jc w:val="center"/>
                    <w:rPr>
                      <w:bCs/>
                      <w:color w:val="000000" w:themeColor="text1"/>
                      <w:szCs w:val="21"/>
                      <w:highlight w:val="none"/>
                      <w:lang w:bidi="zh-CN"/>
                      <w14:textFill>
                        <w14:solidFill>
                          <w14:schemeClr w14:val="tx1"/>
                        </w14:solidFill>
                      </w14:textFill>
                    </w:rPr>
                  </w:pPr>
                  <w:r>
                    <w:rPr>
                      <w:bCs/>
                      <w:color w:val="000000" w:themeColor="text1"/>
                      <w:szCs w:val="21"/>
                      <w:highlight w:val="none"/>
                      <w:lang w:bidi="zh-CN"/>
                      <w14:textFill>
                        <w14:solidFill>
                          <w14:schemeClr w14:val="tx1"/>
                        </w14:solidFill>
                      </w14:textFill>
                    </w:rPr>
                    <w:t>生产设备</w:t>
                  </w:r>
                </w:p>
              </w:tc>
              <w:tc>
                <w:tcPr>
                  <w:tcW w:w="3965" w:type="dxa"/>
                  <w:tcBorders>
                    <w:tl2br w:val="nil"/>
                    <w:tr2bl w:val="nil"/>
                  </w:tcBorders>
                  <w:vAlign w:val="center"/>
                </w:tcPr>
                <w:p w14:paraId="7CDD45DF">
                  <w:pPr>
                    <w:widowControl/>
                    <w:autoSpaceDE w:val="0"/>
                    <w:autoSpaceDN w:val="0"/>
                    <w:jc w:val="center"/>
                    <w:rPr>
                      <w:bCs/>
                      <w:color w:val="000000" w:themeColor="text1"/>
                      <w:szCs w:val="21"/>
                      <w:highlight w:val="none"/>
                      <w:lang w:bidi="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选用低噪声设备、</w:t>
                  </w:r>
                  <w:r>
                    <w:rPr>
                      <w:color w:val="000000" w:themeColor="text1"/>
                      <w:szCs w:val="21"/>
                      <w:highlight w:val="none"/>
                      <w14:textFill>
                        <w14:solidFill>
                          <w14:schemeClr w14:val="tx1"/>
                        </w14:solidFill>
                      </w14:textFill>
                    </w:rPr>
                    <w:t>减振、隔声</w:t>
                  </w:r>
                </w:p>
              </w:tc>
              <w:tc>
                <w:tcPr>
                  <w:tcW w:w="1707" w:type="dxa"/>
                  <w:tcBorders>
                    <w:tl2br w:val="nil"/>
                    <w:tr2bl w:val="nil"/>
                  </w:tcBorders>
                  <w:vAlign w:val="center"/>
                </w:tcPr>
                <w:p w14:paraId="640B9805">
                  <w:pPr>
                    <w:widowControl/>
                    <w:autoSpaceDE w:val="0"/>
                    <w:autoSpaceDN w:val="0"/>
                    <w:jc w:val="center"/>
                    <w:rPr>
                      <w:rFonts w:hint="default"/>
                      <w:bCs/>
                      <w:color w:val="000000" w:themeColor="text1"/>
                      <w:szCs w:val="21"/>
                      <w:highlight w:val="none"/>
                      <w:lang w:val="en-US" w:bidi="zh-CN"/>
                      <w14:textFill>
                        <w14:solidFill>
                          <w14:schemeClr w14:val="tx1"/>
                        </w14:solidFill>
                      </w14:textFill>
                    </w:rPr>
                  </w:pPr>
                  <w:r>
                    <w:rPr>
                      <w:rFonts w:hint="eastAsia"/>
                      <w:bCs/>
                      <w:color w:val="000000" w:themeColor="text1"/>
                      <w:szCs w:val="21"/>
                      <w:highlight w:val="none"/>
                      <w:lang w:val="en-US" w:bidi="zh-CN"/>
                      <w14:textFill>
                        <w14:solidFill>
                          <w14:schemeClr w14:val="tx1"/>
                        </w14:solidFill>
                      </w14:textFill>
                    </w:rPr>
                    <w:t>10</w:t>
                  </w:r>
                </w:p>
              </w:tc>
            </w:tr>
            <w:tr w14:paraId="3B2F83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909" w:type="dxa"/>
                  <w:vMerge w:val="restart"/>
                  <w:tcBorders>
                    <w:tl2br w:val="nil"/>
                    <w:tr2bl w:val="nil"/>
                  </w:tcBorders>
                  <w:vAlign w:val="center"/>
                </w:tcPr>
                <w:p w14:paraId="78515195">
                  <w:pPr>
                    <w:pStyle w:val="15"/>
                    <w:autoSpaceDE w:val="0"/>
                    <w:autoSpaceDN w:val="0"/>
                    <w:spacing w:after="0"/>
                    <w:ind w:left="0" w:left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固废</w:t>
                  </w:r>
                </w:p>
              </w:tc>
              <w:tc>
                <w:tcPr>
                  <w:tcW w:w="1808" w:type="dxa"/>
                  <w:tcBorders>
                    <w:tl2br w:val="nil"/>
                    <w:tr2bl w:val="nil"/>
                  </w:tcBorders>
                  <w:vAlign w:val="center"/>
                </w:tcPr>
                <w:p w14:paraId="64A14DC0">
                  <w:pPr>
                    <w:widowControl/>
                    <w:autoSpaceDE w:val="0"/>
                    <w:autoSpaceDN w:val="0"/>
                    <w:jc w:val="center"/>
                    <w:rPr>
                      <w:bCs/>
                      <w:color w:val="000000" w:themeColor="text1"/>
                      <w:szCs w:val="21"/>
                      <w:highlight w:val="none"/>
                      <w:lang w:bidi="zh-CN"/>
                      <w14:textFill>
                        <w14:solidFill>
                          <w14:schemeClr w14:val="tx1"/>
                        </w14:solidFill>
                      </w14:textFill>
                    </w:rPr>
                  </w:pPr>
                  <w:r>
                    <w:rPr>
                      <w:bCs/>
                      <w:color w:val="000000" w:themeColor="text1"/>
                      <w:szCs w:val="21"/>
                      <w:highlight w:val="none"/>
                      <w:lang w:bidi="zh-CN"/>
                      <w14:textFill>
                        <w14:solidFill>
                          <w14:schemeClr w14:val="tx1"/>
                        </w14:solidFill>
                      </w14:textFill>
                    </w:rPr>
                    <w:t>危险废物暂存</w:t>
                  </w:r>
                </w:p>
              </w:tc>
              <w:tc>
                <w:tcPr>
                  <w:tcW w:w="3965" w:type="dxa"/>
                  <w:tcBorders>
                    <w:tl2br w:val="nil"/>
                    <w:tr2bl w:val="nil"/>
                  </w:tcBorders>
                  <w:vAlign w:val="center"/>
                </w:tcPr>
                <w:p w14:paraId="354C469C">
                  <w:pPr>
                    <w:widowControl/>
                    <w:autoSpaceDE w:val="0"/>
                    <w:autoSpaceDN w:val="0"/>
                    <w:jc w:val="center"/>
                    <w:rPr>
                      <w:bCs/>
                      <w:color w:val="000000" w:themeColor="text1"/>
                      <w:szCs w:val="21"/>
                      <w:highlight w:val="none"/>
                      <w:lang w:bidi="zh-CN"/>
                      <w14:textFill>
                        <w14:solidFill>
                          <w14:schemeClr w14:val="tx1"/>
                        </w14:solidFill>
                      </w14:textFill>
                    </w:rPr>
                  </w:pPr>
                  <w:r>
                    <w:rPr>
                      <w:bCs/>
                      <w:color w:val="000000" w:themeColor="text1"/>
                      <w:szCs w:val="21"/>
                      <w:highlight w:val="none"/>
                      <w:lang w:bidi="zh-CN"/>
                      <w14:textFill>
                        <w14:solidFill>
                          <w14:schemeClr w14:val="tx1"/>
                        </w14:solidFill>
                      </w14:textFill>
                    </w:rPr>
                    <w:t>危险废物暂存间</w:t>
                  </w:r>
                </w:p>
              </w:tc>
              <w:tc>
                <w:tcPr>
                  <w:tcW w:w="1707" w:type="dxa"/>
                  <w:tcBorders>
                    <w:tl2br w:val="nil"/>
                    <w:tr2bl w:val="nil"/>
                  </w:tcBorders>
                  <w:vAlign w:val="center"/>
                </w:tcPr>
                <w:p w14:paraId="4EBCE545">
                  <w:pPr>
                    <w:widowControl/>
                    <w:autoSpaceDE w:val="0"/>
                    <w:autoSpaceDN w:val="0"/>
                    <w:jc w:val="center"/>
                    <w:rPr>
                      <w:rFonts w:hint="default"/>
                      <w:bCs/>
                      <w:color w:val="000000" w:themeColor="text1"/>
                      <w:szCs w:val="21"/>
                      <w:highlight w:val="none"/>
                      <w:lang w:val="en-US" w:bidi="zh-CN"/>
                      <w14:textFill>
                        <w14:solidFill>
                          <w14:schemeClr w14:val="tx1"/>
                        </w14:solidFill>
                      </w14:textFill>
                    </w:rPr>
                  </w:pPr>
                  <w:r>
                    <w:rPr>
                      <w:rFonts w:hint="eastAsia"/>
                      <w:bCs/>
                      <w:color w:val="000000" w:themeColor="text1"/>
                      <w:szCs w:val="21"/>
                      <w:highlight w:val="none"/>
                      <w:lang w:val="en-US" w:bidi="zh-CN"/>
                      <w14:textFill>
                        <w14:solidFill>
                          <w14:schemeClr w14:val="tx1"/>
                        </w14:solidFill>
                      </w14:textFill>
                    </w:rPr>
                    <w:t>依托现有</w:t>
                  </w:r>
                </w:p>
              </w:tc>
            </w:tr>
            <w:tr w14:paraId="6A61D7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909" w:type="dxa"/>
                  <w:vMerge w:val="continue"/>
                  <w:tcBorders>
                    <w:tl2br w:val="nil"/>
                    <w:tr2bl w:val="nil"/>
                  </w:tcBorders>
                  <w:vAlign w:val="center"/>
                </w:tcPr>
                <w:p w14:paraId="5A12F449">
                  <w:pPr>
                    <w:pStyle w:val="15"/>
                    <w:autoSpaceDE w:val="0"/>
                    <w:autoSpaceDN w:val="0"/>
                    <w:spacing w:after="0"/>
                    <w:ind w:left="0" w:leftChars="0"/>
                    <w:jc w:val="center"/>
                    <w:rPr>
                      <w:bCs/>
                      <w:color w:val="000000" w:themeColor="text1"/>
                      <w:sz w:val="21"/>
                      <w:szCs w:val="21"/>
                      <w:highlight w:val="none"/>
                      <w14:textFill>
                        <w14:solidFill>
                          <w14:schemeClr w14:val="tx1"/>
                        </w14:solidFill>
                      </w14:textFill>
                    </w:rPr>
                  </w:pPr>
                </w:p>
              </w:tc>
              <w:tc>
                <w:tcPr>
                  <w:tcW w:w="1808" w:type="dxa"/>
                  <w:tcBorders>
                    <w:tl2br w:val="nil"/>
                    <w:tr2bl w:val="nil"/>
                  </w:tcBorders>
                  <w:vAlign w:val="center"/>
                </w:tcPr>
                <w:p w14:paraId="2DDA74F8">
                  <w:pPr>
                    <w:widowControl/>
                    <w:autoSpaceDE w:val="0"/>
                    <w:autoSpaceDN w:val="0"/>
                    <w:jc w:val="center"/>
                    <w:rPr>
                      <w:bCs/>
                      <w:color w:val="000000" w:themeColor="text1"/>
                      <w:szCs w:val="21"/>
                      <w:highlight w:val="none"/>
                      <w:lang w:bidi="zh-CN"/>
                      <w14:textFill>
                        <w14:solidFill>
                          <w14:schemeClr w14:val="tx1"/>
                        </w14:solidFill>
                      </w14:textFill>
                    </w:rPr>
                  </w:pPr>
                  <w:r>
                    <w:rPr>
                      <w:bCs/>
                      <w:color w:val="000000" w:themeColor="text1"/>
                      <w:szCs w:val="21"/>
                      <w:highlight w:val="none"/>
                      <w:lang w:bidi="zh-CN"/>
                      <w14:textFill>
                        <w14:solidFill>
                          <w14:schemeClr w14:val="tx1"/>
                        </w14:solidFill>
                      </w14:textFill>
                    </w:rPr>
                    <w:t>生活垃圾</w:t>
                  </w:r>
                </w:p>
              </w:tc>
              <w:tc>
                <w:tcPr>
                  <w:tcW w:w="3965" w:type="dxa"/>
                  <w:tcBorders>
                    <w:tl2br w:val="nil"/>
                    <w:tr2bl w:val="nil"/>
                  </w:tcBorders>
                  <w:vAlign w:val="center"/>
                </w:tcPr>
                <w:p w14:paraId="3087A034">
                  <w:pPr>
                    <w:widowControl/>
                    <w:autoSpaceDE w:val="0"/>
                    <w:autoSpaceDN w:val="0"/>
                    <w:jc w:val="center"/>
                    <w:rPr>
                      <w:bCs/>
                      <w:color w:val="000000" w:themeColor="text1"/>
                      <w:szCs w:val="21"/>
                      <w:highlight w:val="none"/>
                      <w:lang w:bidi="zh-CN"/>
                      <w14:textFill>
                        <w14:solidFill>
                          <w14:schemeClr w14:val="tx1"/>
                        </w14:solidFill>
                      </w14:textFill>
                    </w:rPr>
                  </w:pPr>
                  <w:r>
                    <w:rPr>
                      <w:bCs/>
                      <w:color w:val="000000" w:themeColor="text1"/>
                      <w:szCs w:val="21"/>
                      <w:highlight w:val="none"/>
                      <w:lang w:bidi="zh-CN"/>
                      <w14:textFill>
                        <w14:solidFill>
                          <w14:schemeClr w14:val="tx1"/>
                        </w14:solidFill>
                      </w14:textFill>
                    </w:rPr>
                    <w:t>垃圾箱</w:t>
                  </w:r>
                </w:p>
              </w:tc>
              <w:tc>
                <w:tcPr>
                  <w:tcW w:w="1707" w:type="dxa"/>
                  <w:tcBorders>
                    <w:tl2br w:val="nil"/>
                    <w:tr2bl w:val="nil"/>
                  </w:tcBorders>
                  <w:vAlign w:val="center"/>
                </w:tcPr>
                <w:p w14:paraId="21AAFC78">
                  <w:pPr>
                    <w:widowControl/>
                    <w:autoSpaceDE w:val="0"/>
                    <w:autoSpaceDN w:val="0"/>
                    <w:jc w:val="center"/>
                    <w:rPr>
                      <w:rFonts w:hint="default"/>
                      <w:bCs/>
                      <w:color w:val="000000" w:themeColor="text1"/>
                      <w:szCs w:val="21"/>
                      <w:highlight w:val="none"/>
                      <w:lang w:val="en-US" w:bidi="zh-CN"/>
                      <w14:textFill>
                        <w14:solidFill>
                          <w14:schemeClr w14:val="tx1"/>
                        </w14:solidFill>
                      </w14:textFill>
                    </w:rPr>
                  </w:pPr>
                  <w:r>
                    <w:rPr>
                      <w:rFonts w:hint="eastAsia"/>
                      <w:bCs/>
                      <w:color w:val="000000" w:themeColor="text1"/>
                      <w:szCs w:val="21"/>
                      <w:highlight w:val="none"/>
                      <w:lang w:val="en-US" w:bidi="zh-CN"/>
                      <w14:textFill>
                        <w14:solidFill>
                          <w14:schemeClr w14:val="tx1"/>
                        </w14:solidFill>
                      </w14:textFill>
                    </w:rPr>
                    <w:t>依托现有</w:t>
                  </w:r>
                </w:p>
              </w:tc>
            </w:tr>
            <w:tr w14:paraId="419B35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2717" w:type="dxa"/>
                  <w:gridSpan w:val="2"/>
                  <w:tcBorders>
                    <w:tl2br w:val="nil"/>
                    <w:tr2bl w:val="nil"/>
                  </w:tcBorders>
                  <w:vAlign w:val="center"/>
                </w:tcPr>
                <w:p w14:paraId="1FF179F6">
                  <w:pPr>
                    <w:widowControl/>
                    <w:autoSpaceDE w:val="0"/>
                    <w:autoSpaceDN w:val="0"/>
                    <w:jc w:val="center"/>
                    <w:rPr>
                      <w:bCs/>
                      <w:color w:val="000000" w:themeColor="text1"/>
                      <w:szCs w:val="21"/>
                      <w:highlight w:val="none"/>
                      <w:lang w:bidi="zh-CN"/>
                      <w14:textFill>
                        <w14:solidFill>
                          <w14:schemeClr w14:val="tx1"/>
                        </w14:solidFill>
                      </w14:textFill>
                    </w:rPr>
                  </w:pPr>
                  <w:r>
                    <w:rPr>
                      <w:bCs/>
                      <w:color w:val="000000" w:themeColor="text1"/>
                      <w:szCs w:val="21"/>
                      <w:highlight w:val="none"/>
                      <w:lang w:bidi="zh-CN"/>
                      <w14:textFill>
                        <w14:solidFill>
                          <w14:schemeClr w14:val="tx1"/>
                        </w14:solidFill>
                      </w14:textFill>
                    </w:rPr>
                    <w:t>合计</w:t>
                  </w:r>
                </w:p>
              </w:tc>
              <w:tc>
                <w:tcPr>
                  <w:tcW w:w="3965" w:type="dxa"/>
                  <w:tcBorders>
                    <w:tl2br w:val="nil"/>
                    <w:tr2bl w:val="nil"/>
                  </w:tcBorders>
                  <w:vAlign w:val="center"/>
                </w:tcPr>
                <w:p w14:paraId="33A4CA73">
                  <w:pPr>
                    <w:widowControl/>
                    <w:autoSpaceDE w:val="0"/>
                    <w:autoSpaceDN w:val="0"/>
                    <w:jc w:val="center"/>
                    <w:rPr>
                      <w:bCs/>
                      <w:color w:val="000000" w:themeColor="text1"/>
                      <w:szCs w:val="21"/>
                      <w:highlight w:val="none"/>
                      <w:lang w:bidi="zh-CN"/>
                      <w14:textFill>
                        <w14:solidFill>
                          <w14:schemeClr w14:val="tx1"/>
                        </w14:solidFill>
                      </w14:textFill>
                    </w:rPr>
                  </w:pPr>
                  <w:r>
                    <w:rPr>
                      <w:bCs/>
                      <w:color w:val="000000" w:themeColor="text1"/>
                      <w:szCs w:val="21"/>
                      <w:highlight w:val="none"/>
                      <w:lang w:bidi="zh-CN"/>
                      <w14:textFill>
                        <w14:solidFill>
                          <w14:schemeClr w14:val="tx1"/>
                        </w14:solidFill>
                      </w14:textFill>
                    </w:rPr>
                    <w:t>/</w:t>
                  </w:r>
                </w:p>
              </w:tc>
              <w:tc>
                <w:tcPr>
                  <w:tcW w:w="1707" w:type="dxa"/>
                  <w:tcBorders>
                    <w:tl2br w:val="nil"/>
                    <w:tr2bl w:val="nil"/>
                  </w:tcBorders>
                  <w:vAlign w:val="center"/>
                </w:tcPr>
                <w:p w14:paraId="78904449">
                  <w:pPr>
                    <w:widowControl/>
                    <w:autoSpaceDE w:val="0"/>
                    <w:autoSpaceDN w:val="0"/>
                    <w:jc w:val="center"/>
                    <w:rPr>
                      <w:rFonts w:hint="default"/>
                      <w:bCs/>
                      <w:color w:val="000000" w:themeColor="text1"/>
                      <w:szCs w:val="21"/>
                      <w:highlight w:val="none"/>
                      <w:lang w:val="en-US" w:bidi="zh-CN"/>
                      <w14:textFill>
                        <w14:solidFill>
                          <w14:schemeClr w14:val="tx1"/>
                        </w14:solidFill>
                      </w14:textFill>
                    </w:rPr>
                  </w:pPr>
                  <w:r>
                    <w:rPr>
                      <w:rFonts w:hint="eastAsia"/>
                      <w:bCs/>
                      <w:color w:val="000000" w:themeColor="text1"/>
                      <w:szCs w:val="21"/>
                      <w:highlight w:val="none"/>
                      <w:lang w:val="en-US" w:bidi="zh-CN"/>
                      <w14:textFill>
                        <w14:solidFill>
                          <w14:schemeClr w14:val="tx1"/>
                        </w14:solidFill>
                      </w14:textFill>
                    </w:rPr>
                    <w:t>26.5</w:t>
                  </w:r>
                </w:p>
              </w:tc>
            </w:tr>
          </w:tbl>
          <w:p w14:paraId="5DD26256">
            <w:pPr>
              <w:spacing w:line="360" w:lineRule="auto"/>
              <w:ind w:firstLine="482" w:firstLineChars="200"/>
              <w:jc w:val="both"/>
              <w:rPr>
                <w:rFonts w:hint="default" w:eastAsia="宋体"/>
                <w:b/>
                <w:color w:val="FF0000"/>
                <w:sz w:val="24"/>
                <w:highlight w:val="none"/>
                <w:lang w:val="en-US" w:eastAsia="zh-CN"/>
              </w:rPr>
            </w:pPr>
            <w:r>
              <w:rPr>
                <w:rFonts w:hint="eastAsia"/>
                <w:b/>
                <w:color w:val="FF0000"/>
                <w:sz w:val="24"/>
                <w:highlight w:val="none"/>
                <w:lang w:val="en-US" w:eastAsia="zh-CN"/>
              </w:rPr>
              <w:t>10、</w:t>
            </w:r>
            <w:bookmarkStart w:id="7" w:name="_Toc19291"/>
            <w:r>
              <w:rPr>
                <w:rFonts w:hint="eastAsia"/>
                <w:b/>
                <w:color w:val="FF0000"/>
                <w:sz w:val="24"/>
                <w:highlight w:val="none"/>
                <w:lang w:val="en-US" w:eastAsia="zh-CN"/>
              </w:rPr>
              <w:t>经济效益和环境效益分析</w:t>
            </w:r>
            <w:bookmarkEnd w:id="7"/>
          </w:p>
          <w:p w14:paraId="0412E8E7">
            <w:pPr>
              <w:spacing w:line="360" w:lineRule="auto"/>
              <w:ind w:firstLine="480" w:firstLineChars="200"/>
              <w:rPr>
                <w:rFonts w:hint="default" w:ascii="Times New Roman" w:hAnsi="Times New Roman" w:eastAsia="宋体" w:cs="Times New Roman"/>
                <w:color w:val="FF0000"/>
                <w:sz w:val="24"/>
                <w:highlight w:val="yellow"/>
                <w:lang w:val="zh-CN" w:eastAsia="zh-CN"/>
              </w:rPr>
            </w:pPr>
            <w:r>
              <w:rPr>
                <w:rFonts w:hint="default" w:ascii="Times New Roman" w:hAnsi="Times New Roman" w:eastAsia="宋体" w:cs="Times New Roman"/>
                <w:color w:val="FF0000"/>
                <w:sz w:val="24"/>
                <w:highlight w:val="none"/>
              </w:rPr>
              <w:t>项目年</w:t>
            </w:r>
            <w:r>
              <w:rPr>
                <w:rFonts w:hint="eastAsia" w:ascii="Times New Roman" w:hAnsi="Times New Roman" w:eastAsia="宋体" w:cs="Times New Roman"/>
                <w:color w:val="FF0000"/>
                <w:sz w:val="24"/>
                <w:highlight w:val="none"/>
                <w:lang w:val="en-US" w:eastAsia="zh-CN"/>
              </w:rPr>
              <w:t>洗选原煤</w:t>
            </w:r>
            <w:r>
              <w:rPr>
                <w:rFonts w:hint="default" w:ascii="Times New Roman" w:hAnsi="Times New Roman" w:eastAsia="宋体" w:cs="Times New Roman"/>
                <w:color w:val="FF0000"/>
                <w:sz w:val="24"/>
                <w:highlight w:val="none"/>
              </w:rPr>
              <w:t>30</w:t>
            </w:r>
            <w:r>
              <w:rPr>
                <w:rFonts w:hint="default" w:ascii="Times New Roman" w:hAnsi="Times New Roman" w:eastAsia="宋体" w:cs="Times New Roman"/>
                <w:color w:val="FF0000"/>
                <w:sz w:val="24"/>
                <w:highlight w:val="none"/>
                <w:lang w:val="en-US" w:eastAsia="zh-CN"/>
              </w:rPr>
              <w:t>0</w:t>
            </w:r>
            <w:r>
              <w:rPr>
                <w:rFonts w:hint="default" w:ascii="Times New Roman" w:hAnsi="Times New Roman" w:eastAsia="宋体" w:cs="Times New Roman"/>
                <w:color w:val="FF0000"/>
                <w:sz w:val="24"/>
                <w:highlight w:val="none"/>
              </w:rPr>
              <w:t>万吨。本工程项目通过</w:t>
            </w:r>
            <w:r>
              <w:rPr>
                <w:rFonts w:hint="eastAsia" w:ascii="Times New Roman" w:hAnsi="Times New Roman" w:eastAsia="宋体" w:cs="Times New Roman"/>
                <w:color w:val="FF0000"/>
                <w:sz w:val="24"/>
                <w:highlight w:val="none"/>
                <w:lang w:val="en-US" w:eastAsia="zh-CN"/>
              </w:rPr>
              <w:t>改造煤炭洗选工艺</w:t>
            </w:r>
            <w:r>
              <w:rPr>
                <w:rFonts w:hint="default" w:ascii="Times New Roman" w:hAnsi="Times New Roman" w:eastAsia="宋体" w:cs="Times New Roman"/>
                <w:color w:val="FF0000"/>
                <w:sz w:val="24"/>
                <w:highlight w:val="none"/>
              </w:rPr>
              <w:t>，充分利用已有资产，减少项目投资，项目建成投产后，经济效益较好。</w:t>
            </w:r>
          </w:p>
          <w:p w14:paraId="52FB1F2B">
            <w:pPr>
              <w:spacing w:line="360" w:lineRule="auto"/>
              <w:ind w:firstLine="480" w:firstLineChars="200"/>
              <w:rPr>
                <w:rFonts w:ascii="Times New Roman" w:hAnsi="Times New Roman" w:eastAsia="宋体" w:cs="Times New Roman"/>
                <w:color w:val="FF0000"/>
                <w:sz w:val="24"/>
                <w:highlight w:val="yellow"/>
              </w:rPr>
            </w:pPr>
            <w:r>
              <w:rPr>
                <w:rFonts w:hint="default" w:ascii="Times New Roman" w:hAnsi="Times New Roman" w:eastAsia="宋体" w:cs="Times New Roman"/>
                <w:color w:val="FF0000"/>
                <w:sz w:val="24"/>
                <w:highlight w:val="none"/>
                <w:lang w:val="zh-CN" w:eastAsia="zh-CN"/>
              </w:rPr>
              <w:t>项目环保措施主要是体现国家环保政策，贯彻“达标排放”、“总量控制”的污染控制原则，达到保护环境的目的。本项目的环保措施主要体现在废气、废水、固废处理系统和风险防范措施上。</w:t>
            </w:r>
          </w:p>
          <w:p w14:paraId="4F131334">
            <w:pPr>
              <w:spacing w:line="360" w:lineRule="auto"/>
              <w:ind w:firstLine="480" w:firstLineChars="200"/>
              <w:rPr>
                <w:bCs/>
                <w:color w:val="000000" w:themeColor="text1"/>
                <w:szCs w:val="21"/>
                <w14:textFill>
                  <w14:solidFill>
                    <w14:schemeClr w14:val="tx1"/>
                  </w14:solidFill>
                </w14:textFill>
              </w:rPr>
            </w:pPr>
            <w:r>
              <w:rPr>
                <w:rFonts w:hint="eastAsia" w:ascii="Times New Roman" w:hAnsi="Times New Roman" w:eastAsia="宋体" w:cs="Times New Roman"/>
                <w:color w:val="FF0000"/>
                <w:sz w:val="24"/>
                <w:highlight w:val="none"/>
                <w:lang w:val="en-US" w:eastAsia="zh-CN"/>
              </w:rPr>
              <w:t>本项目实施后产生的废气、噪声经处理后</w:t>
            </w:r>
            <w:r>
              <w:rPr>
                <w:rFonts w:hint="default" w:ascii="Times New Roman" w:hAnsi="Times New Roman" w:eastAsia="宋体" w:cs="Times New Roman"/>
                <w:color w:val="FF0000"/>
                <w:sz w:val="24"/>
                <w:highlight w:val="none"/>
                <w:lang w:val="zh-CN" w:eastAsia="zh-CN"/>
              </w:rPr>
              <w:t>达标排放</w:t>
            </w:r>
            <w:r>
              <w:rPr>
                <w:rFonts w:hint="eastAsia" w:ascii="Times New Roman" w:hAnsi="Times New Roman" w:eastAsia="宋体" w:cs="Times New Roman"/>
                <w:color w:val="FF0000"/>
                <w:sz w:val="24"/>
                <w:highlight w:val="none"/>
                <w:lang w:val="zh-CN" w:eastAsia="zh-CN"/>
              </w:rPr>
              <w:t>，</w:t>
            </w:r>
            <w:r>
              <w:rPr>
                <w:rFonts w:hint="eastAsia" w:ascii="Times New Roman" w:hAnsi="Times New Roman" w:eastAsia="宋体" w:cs="Times New Roman"/>
                <w:color w:val="FF0000"/>
                <w:sz w:val="24"/>
                <w:highlight w:val="none"/>
                <w:lang w:val="en-US" w:eastAsia="zh-CN"/>
              </w:rPr>
              <w:t>生产废水闭路循环不外排，固体废物全部得到综合利用</w:t>
            </w:r>
            <w:r>
              <w:rPr>
                <w:rFonts w:hint="default" w:ascii="Times New Roman" w:hAnsi="Times New Roman" w:eastAsia="宋体" w:cs="Times New Roman"/>
                <w:color w:val="FF0000"/>
                <w:sz w:val="24"/>
                <w:highlight w:val="none"/>
                <w:lang w:val="zh-CN" w:eastAsia="zh-CN"/>
              </w:rPr>
              <w:t>。因此，本项目经采取各项环保措施后，可取得较为显著的环境效益。</w:t>
            </w:r>
          </w:p>
        </w:tc>
      </w:tr>
      <w:tr w14:paraId="37D49D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823" w:type="dxa"/>
            <w:vAlign w:val="center"/>
          </w:tcPr>
          <w:p w14:paraId="10D76F78">
            <w:pPr>
              <w:pStyle w:val="24"/>
              <w:adjustRightInd w:val="0"/>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Cs w:val="24"/>
                <w14:textFill>
                  <w14:solidFill>
                    <w14:schemeClr w14:val="tx1"/>
                  </w14:solidFill>
                </w14:textFill>
              </w:rPr>
              <w:t>工艺流程和产排污环节</w:t>
            </w:r>
          </w:p>
        </w:tc>
        <w:tc>
          <w:tcPr>
            <w:tcW w:w="8161" w:type="dxa"/>
          </w:tcPr>
          <w:p w14:paraId="7A123D82">
            <w:pPr>
              <w:spacing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工艺流程简述</w:t>
            </w:r>
          </w:p>
          <w:p w14:paraId="1A879397">
            <w:pPr>
              <w:pStyle w:val="74"/>
              <w:numPr>
                <w:ilvl w:val="0"/>
                <w:numId w:val="0"/>
              </w:numPr>
              <w:ind w:firstLine="482" w:firstLineChars="200"/>
              <w:rPr>
                <w:rFonts w:eastAsia="宋体"/>
                <w:b/>
                <w:color w:val="000000" w:themeColor="text1"/>
                <w:kern w:val="2"/>
                <w:sz w:val="24"/>
                <w:szCs w:val="24"/>
                <w:highlight w:val="yellow"/>
                <w:lang w:val="zh-CN"/>
                <w14:textFill>
                  <w14:solidFill>
                    <w14:schemeClr w14:val="tx1"/>
                  </w14:solidFill>
                </w14:textFill>
              </w:rPr>
            </w:pPr>
            <w:r>
              <w:rPr>
                <w:rFonts w:eastAsia="宋体"/>
                <w:b/>
                <w:color w:val="000000" w:themeColor="text1"/>
                <w:kern w:val="2"/>
                <w:sz w:val="24"/>
                <w:szCs w:val="24"/>
                <w:highlight w:val="none"/>
                <w:lang w:val="zh-CN"/>
                <w14:textFill>
                  <w14:solidFill>
                    <w14:schemeClr w14:val="tx1"/>
                  </w14:solidFill>
                </w14:textFill>
              </w:rPr>
              <w:t>一、施工期</w:t>
            </w:r>
          </w:p>
          <w:p w14:paraId="1A4409E2">
            <w:pPr>
              <w:pStyle w:val="3"/>
              <w:spacing w:before="0" w:after="0" w:line="360" w:lineRule="auto"/>
              <w:ind w:right="0" w:firstLine="480" w:firstLineChars="200"/>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本项目为选煤工艺的改建，施工期仅为设备更换及初期雨水池、油烟净化器等环保工程建设，因此本次环评不再分析施工期环境影响。</w:t>
            </w:r>
          </w:p>
          <w:p w14:paraId="1DFA8603">
            <w:pPr>
              <w:pStyle w:val="74"/>
              <w:numPr>
                <w:ilvl w:val="0"/>
                <w:numId w:val="5"/>
              </w:numPr>
              <w:ind w:firstLine="482"/>
              <w:rPr>
                <w:color w:val="000000" w:themeColor="text1"/>
                <w:sz w:val="24"/>
                <w:szCs w:val="24"/>
                <w:highlight w:val="none"/>
                <w14:textFill>
                  <w14:solidFill>
                    <w14:schemeClr w14:val="tx1"/>
                  </w14:solidFill>
                </w14:textFill>
              </w:rPr>
            </w:pPr>
            <w:r>
              <w:rPr>
                <w:rFonts w:hint="eastAsia"/>
                <w:b/>
                <w:color w:val="000000" w:themeColor="text1"/>
                <w:kern w:val="2"/>
                <w:sz w:val="24"/>
                <w:szCs w:val="24"/>
                <w:highlight w:val="none"/>
                <w:lang w:val="zh-CN"/>
                <w14:textFill>
                  <w14:solidFill>
                    <w14:schemeClr w14:val="tx1"/>
                  </w14:solidFill>
                </w14:textFill>
              </w:rPr>
              <w:t>运营</w:t>
            </w:r>
            <w:r>
              <w:rPr>
                <w:b/>
                <w:color w:val="000000" w:themeColor="text1"/>
                <w:kern w:val="2"/>
                <w:sz w:val="24"/>
                <w:szCs w:val="24"/>
                <w:highlight w:val="none"/>
                <w:lang w:val="zh-CN"/>
                <w14:textFill>
                  <w14:solidFill>
                    <w14:schemeClr w14:val="tx1"/>
                  </w14:solidFill>
                </w14:textFill>
              </w:rPr>
              <w:t>期</w:t>
            </w:r>
          </w:p>
          <w:p w14:paraId="66930D70">
            <w:pPr>
              <w:pStyle w:val="22"/>
              <w:spacing w:line="360" w:lineRule="auto"/>
              <w:ind w:left="0" w:leftChars="0" w:firstLine="480" w:firstLineChars="200"/>
              <w:rPr>
                <w:rFonts w:hint="default" w:ascii="Times New Roman" w:hAnsi="Times New Roman" w:eastAsia="宋体"/>
                <w:bCs/>
                <w:color w:val="FF0000"/>
                <w:szCs w:val="24"/>
                <w:highlight w:val="none"/>
                <w:lang w:val="en-US" w:eastAsia="zh-CN"/>
              </w:rPr>
            </w:pPr>
            <w:r>
              <w:rPr>
                <w:rFonts w:hint="eastAsia" w:ascii="Times New Roman" w:hAnsi="Times New Roman"/>
                <w:bCs/>
                <w:color w:val="FF0000"/>
                <w:szCs w:val="24"/>
                <w:highlight w:val="none"/>
                <w:lang w:val="en-US" w:eastAsia="zh-CN"/>
              </w:rPr>
              <w:t>企业原采用跳汰洗选工艺，工艺流程简述如下：</w:t>
            </w:r>
          </w:p>
          <w:p w14:paraId="01C0D3FD">
            <w:pPr>
              <w:pStyle w:val="22"/>
              <w:spacing w:line="360" w:lineRule="auto"/>
              <w:ind w:left="0" w:leftChars="0" w:firstLine="480" w:firstLineChars="200"/>
              <w:rPr>
                <w:rFonts w:hint="default" w:ascii="Times New Roman" w:hAnsi="Times New Roman"/>
                <w:bCs/>
                <w:color w:val="FF0000"/>
                <w:szCs w:val="24"/>
                <w:highlight w:val="none"/>
                <w:lang w:val="en-US" w:eastAsia="zh-CN"/>
              </w:rPr>
            </w:pPr>
            <w:r>
              <w:rPr>
                <w:rFonts w:hint="default" w:ascii="Times New Roman" w:hAnsi="Times New Roman"/>
                <w:bCs/>
                <w:color w:val="FF0000"/>
                <w:szCs w:val="24"/>
                <w:highlight w:val="none"/>
                <w:lang w:val="en-US" w:eastAsia="zh-CN"/>
              </w:rPr>
              <w:t>原煤经预先筛选将可见的矸石等杂物拣出，大块煤经破碎与筛下物混合进入原煤分级筛。根据筛分结果得到矸石、精煤、粗煤。粗煤经过旋流筛筛分进入跳汰机，跳汰机矸石段排出最终矸石，跳汰机中煤和精煤混合后进入脱水筛，筛上物为块精煤。跳汰机中的精煤进入捞坑后由离心机脱水成为末精煤。</w:t>
            </w:r>
          </w:p>
          <w:p w14:paraId="569D4FED">
            <w:pPr>
              <w:pStyle w:val="22"/>
              <w:spacing w:line="360" w:lineRule="auto"/>
              <w:ind w:left="0" w:leftChars="0" w:firstLine="480" w:firstLineChars="200"/>
              <w:rPr>
                <w:rFonts w:ascii="Times New Roman" w:hAnsi="Times New Roman"/>
                <w:bCs/>
                <w:color w:val="000000" w:themeColor="text1"/>
                <w:szCs w:val="24"/>
                <w:highlight w:val="none"/>
                <w14:textFill>
                  <w14:solidFill>
                    <w14:schemeClr w14:val="tx1"/>
                  </w14:solidFill>
                </w14:textFill>
              </w:rPr>
            </w:pPr>
            <w:r>
              <w:rPr>
                <w:rFonts w:hint="default" w:ascii="Times New Roman" w:hAnsi="Times New Roman"/>
                <w:bCs/>
                <w:color w:val="FF0000"/>
                <w:szCs w:val="24"/>
                <w:highlight w:val="none"/>
                <w:lang w:val="en-US" w:eastAsia="zh-CN"/>
              </w:rPr>
              <w:t>煤泥水系统采用全闭路循环的工艺流程，洗选过程产生的煤泥水进入浮选机，进行浮选，浮选精煤由精煤压滤机脱水与主选精煤混合，尾水进入浓缩机浓缩，溢流水进入清水池，底泥采用压滤机脱水，底流经压滤机压滤出的煤泥</w:t>
            </w:r>
            <w:r>
              <w:rPr>
                <w:rFonts w:hint="eastAsia" w:ascii="Times New Roman" w:hAnsi="Times New Roman"/>
                <w:bCs/>
                <w:color w:val="FF0000"/>
                <w:szCs w:val="24"/>
                <w:highlight w:val="none"/>
                <w:lang w:val="en-US" w:eastAsia="zh-CN"/>
              </w:rPr>
              <w:t>日产日清，</w:t>
            </w:r>
            <w:r>
              <w:rPr>
                <w:rFonts w:hint="default" w:ascii="Times New Roman" w:hAnsi="Times New Roman"/>
                <w:bCs/>
                <w:color w:val="FF0000"/>
                <w:szCs w:val="24"/>
                <w:highlight w:val="none"/>
                <w:lang w:val="en-US" w:eastAsia="zh-CN"/>
              </w:rPr>
              <w:t>压滤后的滤液进入清水池回用。</w:t>
            </w:r>
          </w:p>
          <w:p w14:paraId="754E09DF">
            <w:pPr>
              <w:pStyle w:val="22"/>
              <w:spacing w:line="360" w:lineRule="auto"/>
              <w:ind w:left="0" w:leftChars="0" w:right="0" w:rightChars="0" w:firstLine="0" w:firstLineChars="0"/>
              <w:jc w:val="center"/>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drawing>
                <wp:inline distT="0" distB="0" distL="114300" distR="114300">
                  <wp:extent cx="4979035" cy="5591810"/>
                  <wp:effectExtent l="0" t="0" r="12065" b="889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pic:cNvPicPr>
                        </pic:nvPicPr>
                        <pic:blipFill>
                          <a:blip r:embed="rId16"/>
                          <a:stretch>
                            <a:fillRect/>
                          </a:stretch>
                        </pic:blipFill>
                        <pic:spPr>
                          <a:xfrm>
                            <a:off x="0" y="0"/>
                            <a:ext cx="4979035" cy="5591810"/>
                          </a:xfrm>
                          <a:prstGeom prst="rect">
                            <a:avLst/>
                          </a:prstGeom>
                          <a:noFill/>
                          <a:ln>
                            <a:noFill/>
                          </a:ln>
                        </pic:spPr>
                      </pic:pic>
                    </a:graphicData>
                  </a:graphic>
                </wp:inline>
              </w:drawing>
            </w:r>
          </w:p>
          <w:p w14:paraId="6784A966">
            <w:pPr>
              <w:pStyle w:val="22"/>
              <w:spacing w:line="360" w:lineRule="auto"/>
              <w:ind w:left="0" w:leftChars="0" w:right="0" w:rightChars="0" w:firstLine="0" w:firstLineChars="0"/>
              <w:jc w:val="center"/>
              <w:rPr>
                <w:rFonts w:ascii="Times New Roman" w:hAnsi="Times New Roman"/>
                <w:b/>
                <w:bCs w:val="0"/>
                <w:color w:val="FF0000"/>
                <w:szCs w:val="24"/>
                <w:highlight w:val="none"/>
              </w:rPr>
            </w:pPr>
            <w:r>
              <w:rPr>
                <w:rFonts w:ascii="Times New Roman" w:hAnsi="Times New Roman"/>
                <w:b/>
                <w:bCs w:val="0"/>
                <w:color w:val="FF0000"/>
                <w:szCs w:val="24"/>
                <w:highlight w:val="none"/>
              </w:rPr>
              <w:t>图2-</w:t>
            </w:r>
            <w:r>
              <w:rPr>
                <w:rFonts w:hint="eastAsia" w:ascii="Times New Roman" w:hAnsi="Times New Roman"/>
                <w:b/>
                <w:bCs w:val="0"/>
                <w:color w:val="FF0000"/>
                <w:szCs w:val="24"/>
                <w:highlight w:val="none"/>
                <w:lang w:val="en-US" w:eastAsia="zh-CN"/>
              </w:rPr>
              <w:t>3</w:t>
            </w:r>
            <w:r>
              <w:rPr>
                <w:rFonts w:ascii="Times New Roman" w:hAnsi="Times New Roman"/>
                <w:b/>
                <w:bCs w:val="0"/>
                <w:color w:val="FF0000"/>
                <w:szCs w:val="24"/>
                <w:highlight w:val="none"/>
              </w:rPr>
              <w:t xml:space="preserve"> </w:t>
            </w:r>
            <w:r>
              <w:rPr>
                <w:rFonts w:hint="eastAsia" w:ascii="Times New Roman" w:hAnsi="Times New Roman"/>
                <w:b/>
                <w:bCs w:val="0"/>
                <w:color w:val="FF0000"/>
                <w:szCs w:val="24"/>
                <w:highlight w:val="none"/>
                <w:lang w:val="en-US" w:eastAsia="zh-CN"/>
              </w:rPr>
              <w:t>跳汰</w:t>
            </w:r>
            <w:r>
              <w:rPr>
                <w:rFonts w:ascii="Times New Roman" w:hAnsi="Times New Roman"/>
                <w:b/>
                <w:bCs w:val="0"/>
                <w:color w:val="FF0000"/>
                <w:szCs w:val="24"/>
                <w:highlight w:val="none"/>
              </w:rPr>
              <w:t>选煤工艺流程及产污环节示意图</w:t>
            </w:r>
          </w:p>
          <w:p w14:paraId="490E506D">
            <w:pPr>
              <w:pStyle w:val="22"/>
              <w:spacing w:line="360" w:lineRule="auto"/>
              <w:ind w:left="0" w:leftChars="0" w:firstLine="480" w:firstLineChars="200"/>
              <w:rPr>
                <w:rFonts w:hint="default"/>
                <w:color w:val="000000" w:themeColor="text1"/>
                <w:sz w:val="24"/>
                <w:highlight w:val="none"/>
                <w14:textFill>
                  <w14:solidFill>
                    <w14:schemeClr w14:val="tx1"/>
                  </w14:solidFill>
                </w14:textFill>
              </w:rPr>
            </w:pPr>
            <w:r>
              <w:rPr>
                <w:rFonts w:hint="eastAsia" w:ascii="Times New Roman" w:hAnsi="Times New Roman"/>
                <w:color w:val="000000" w:themeColor="text1"/>
                <w:szCs w:val="24"/>
                <w:highlight w:val="none"/>
                <w:lang w:val="en-US" w:eastAsia="zh-CN"/>
                <w14:textFill>
                  <w14:solidFill>
                    <w14:schemeClr w14:val="tx1"/>
                  </w14:solidFill>
                </w14:textFill>
              </w:rPr>
              <w:t>本次改扩建</w:t>
            </w:r>
            <w:r>
              <w:rPr>
                <w:rFonts w:ascii="Times New Roman" w:hAnsi="Times New Roman"/>
                <w:color w:val="000000" w:themeColor="text1"/>
                <w:szCs w:val="24"/>
                <w:highlight w:val="none"/>
                <w14:textFill>
                  <w14:solidFill>
                    <w14:schemeClr w14:val="tx1"/>
                  </w14:solidFill>
                </w14:textFill>
              </w:rPr>
              <w:t>采用重介质选煤工艺</w:t>
            </w:r>
            <w:r>
              <w:rPr>
                <w:rFonts w:hint="eastAsia" w:ascii="Times New Roman" w:hAnsi="Times New Roman"/>
                <w:color w:val="000000" w:themeColor="text1"/>
                <w:szCs w:val="24"/>
                <w:highlight w:val="none"/>
                <w:lang w:eastAsia="zh-CN"/>
                <w14:textFill>
                  <w14:solidFill>
                    <w14:schemeClr w14:val="tx1"/>
                  </w14:solidFill>
                </w14:textFill>
              </w:rPr>
              <w:t>，</w:t>
            </w:r>
            <w:r>
              <w:rPr>
                <w:rFonts w:hint="default"/>
                <w:color w:val="000000" w:themeColor="text1"/>
                <w:sz w:val="24"/>
                <w:highlight w:val="none"/>
                <w14:textFill>
                  <w14:solidFill>
                    <w14:schemeClr w14:val="tx1"/>
                  </w14:solidFill>
                </w14:textFill>
              </w:rPr>
              <w:t>工艺流程简述如下：</w:t>
            </w:r>
          </w:p>
          <w:p w14:paraId="210279B5">
            <w:pPr>
              <w:spacing w:line="360" w:lineRule="auto"/>
              <w:ind w:firstLine="480" w:firstLineChars="200"/>
              <w:rPr>
                <w:rFonts w:hint="default"/>
                <w:color w:val="000000" w:themeColor="text1"/>
                <w:sz w:val="24"/>
                <w:highlight w:val="none"/>
                <w14:textFill>
                  <w14:solidFill>
                    <w14:schemeClr w14:val="tx1"/>
                  </w14:solidFill>
                </w14:textFill>
              </w:rPr>
            </w:pPr>
            <w:r>
              <w:rPr>
                <w:rFonts w:hint="default"/>
                <w:color w:val="000000" w:themeColor="text1"/>
                <w:sz w:val="24"/>
                <w:highlight w:val="none"/>
                <w14:textFill>
                  <w14:solidFill>
                    <w14:schemeClr w14:val="tx1"/>
                  </w14:solidFill>
                </w14:textFill>
              </w:rPr>
              <w:t>(1)原煤准备</w:t>
            </w:r>
          </w:p>
          <w:p w14:paraId="0A9382BA">
            <w:pPr>
              <w:spacing w:line="360" w:lineRule="auto"/>
              <w:ind w:firstLine="480" w:firstLineChars="200"/>
              <w:rPr>
                <w:rFonts w:hint="default"/>
                <w:color w:val="000000" w:themeColor="text1"/>
                <w:sz w:val="24"/>
                <w:highlight w:val="none"/>
                <w14:textFill>
                  <w14:solidFill>
                    <w14:schemeClr w14:val="tx1"/>
                  </w14:solidFill>
                </w14:textFill>
              </w:rPr>
            </w:pPr>
            <w:r>
              <w:rPr>
                <w:rFonts w:hint="default"/>
                <w:color w:val="000000" w:themeColor="text1"/>
                <w:sz w:val="24"/>
                <w:highlight w:val="none"/>
                <w14:textFill>
                  <w14:solidFill>
                    <w14:schemeClr w14:val="tx1"/>
                  </w14:solidFill>
                </w14:textFill>
              </w:rPr>
              <w:t>0-200毫米原煤由受煤坑下给煤机、原煤皮带输送机输送至</w:t>
            </w:r>
            <w:r>
              <w:rPr>
                <w:rFonts w:hint="eastAsia"/>
                <w:color w:val="000000" w:themeColor="text1"/>
                <w:sz w:val="24"/>
                <w:highlight w:val="none"/>
                <w:lang w:val="en-US" w:eastAsia="zh-CN"/>
                <w14:textFill>
                  <w14:solidFill>
                    <w14:schemeClr w14:val="tx1"/>
                  </w14:solidFill>
                </w14:textFill>
              </w:rPr>
              <w:t>筛分工段</w:t>
            </w:r>
            <w:r>
              <w:rPr>
                <w:rFonts w:hint="default"/>
                <w:color w:val="000000" w:themeColor="text1"/>
                <w:sz w:val="24"/>
                <w:highlight w:val="none"/>
                <w14:textFill>
                  <w14:solidFill>
                    <w14:schemeClr w14:val="tx1"/>
                  </w14:solidFill>
                </w14:textFill>
              </w:rPr>
              <w:t>先经过原煤分级筛进行分级，</w:t>
            </w:r>
            <w:r>
              <w:rPr>
                <w:rFonts w:hint="default"/>
                <w:color w:val="FF0000"/>
                <w:sz w:val="24"/>
                <w:highlight w:val="none"/>
              </w:rPr>
              <w:t>分级筛上的50-200毫米原煤再进破碎机进行破碎，</w:t>
            </w:r>
            <w:r>
              <w:rPr>
                <w:rFonts w:hint="default"/>
                <w:color w:val="000000" w:themeColor="text1"/>
                <w:sz w:val="24"/>
                <w:highlight w:val="none"/>
                <w14:textFill>
                  <w14:solidFill>
                    <w14:schemeClr w14:val="tx1"/>
                  </w14:solidFill>
                </w14:textFill>
              </w:rPr>
              <w:t>然后原煤分级筛筛下物（0-50毫米）由原煤入厂皮带输送至主厂房内</w:t>
            </w:r>
            <w:r>
              <w:rPr>
                <w:rFonts w:hint="eastAsia"/>
                <w:color w:val="000000" w:themeColor="text1"/>
                <w:sz w:val="24"/>
                <w:highlight w:val="none"/>
                <w:lang w:eastAsia="zh-CN"/>
                <w14:textFill>
                  <w14:solidFill>
                    <w14:schemeClr w14:val="tx1"/>
                  </w14:solidFill>
                </w14:textFill>
              </w:rPr>
              <w:t>，</w:t>
            </w:r>
            <w:r>
              <w:rPr>
                <w:rFonts w:hint="eastAsia"/>
                <w:color w:val="FF0000"/>
                <w:sz w:val="24"/>
                <w:highlight w:val="none"/>
                <w:lang w:val="en-US" w:eastAsia="zh-CN"/>
              </w:rPr>
              <w:t>破碎、筛分过程产生粉尘，采用喷淋降尘措施，此部分利旧</w:t>
            </w:r>
            <w:r>
              <w:rPr>
                <w:rFonts w:hint="default"/>
                <w:color w:val="FF0000"/>
                <w:sz w:val="24"/>
                <w:highlight w:val="none"/>
              </w:rPr>
              <w:t>。</w:t>
            </w:r>
          </w:p>
          <w:p w14:paraId="783B0840">
            <w:pPr>
              <w:spacing w:line="360" w:lineRule="auto"/>
              <w:ind w:firstLine="480" w:firstLineChars="200"/>
              <w:rPr>
                <w:rFonts w:hint="default"/>
                <w:color w:val="FF0000"/>
                <w:sz w:val="24"/>
                <w:highlight w:val="none"/>
              </w:rPr>
            </w:pPr>
            <w:r>
              <w:rPr>
                <w:rFonts w:hint="default"/>
                <w:color w:val="FF0000"/>
                <w:sz w:val="24"/>
                <w:highlight w:val="none"/>
              </w:rPr>
              <w:t>(2)重介分选作业</w:t>
            </w:r>
          </w:p>
          <w:p w14:paraId="47E17E13">
            <w:pPr>
              <w:spacing w:line="360" w:lineRule="auto"/>
              <w:ind w:firstLine="480" w:firstLineChars="200"/>
              <w:rPr>
                <w:rFonts w:hint="default"/>
                <w:color w:val="FF0000"/>
                <w:sz w:val="24"/>
                <w:highlight w:val="none"/>
              </w:rPr>
            </w:pPr>
            <w:r>
              <w:rPr>
                <w:rFonts w:hint="default"/>
                <w:color w:val="FF0000"/>
                <w:sz w:val="24"/>
                <w:highlight w:val="none"/>
              </w:rPr>
              <w:t>入料阶段：待分选物料与重介质悬浮液混合后，以一定压力从一段旋流器的切线方向进入。</w:t>
            </w:r>
          </w:p>
          <w:p w14:paraId="4CF41383">
            <w:pPr>
              <w:spacing w:line="360" w:lineRule="auto"/>
              <w:ind w:firstLine="480" w:firstLineChars="200"/>
              <w:rPr>
                <w:rFonts w:hint="default"/>
                <w:color w:val="FF0000"/>
                <w:sz w:val="24"/>
                <w:highlight w:val="none"/>
              </w:rPr>
            </w:pPr>
            <w:r>
              <w:rPr>
                <w:rFonts w:hint="default"/>
                <w:color w:val="FF0000"/>
                <w:sz w:val="24"/>
                <w:highlight w:val="none"/>
              </w:rPr>
              <w:t>一段分选：混合液在旋流器内高速旋转，形成离心力场。密度较小的精煤向旋流器中心移动，从一段溢流口排出</w:t>
            </w:r>
            <w:r>
              <w:rPr>
                <w:rFonts w:hint="default"/>
                <w:color w:val="FF0000"/>
                <w:sz w:val="24"/>
                <w:highlight w:val="none"/>
                <w:lang w:eastAsia="zh-CN"/>
              </w:rPr>
              <w:t>。</w:t>
            </w:r>
            <w:r>
              <w:rPr>
                <w:rFonts w:hint="default"/>
                <w:color w:val="FF0000"/>
                <w:sz w:val="24"/>
                <w:highlight w:val="none"/>
              </w:rPr>
              <w:t>密度较大的中煤和矸石向外侧移动，进入二段旋流器。</w:t>
            </w:r>
          </w:p>
          <w:p w14:paraId="264C70C5">
            <w:pPr>
              <w:spacing w:line="360" w:lineRule="auto"/>
              <w:ind w:firstLine="480" w:firstLineChars="200"/>
              <w:rPr>
                <w:rFonts w:hint="default"/>
                <w:color w:val="FF0000"/>
                <w:sz w:val="24"/>
                <w:highlight w:val="none"/>
              </w:rPr>
            </w:pPr>
            <w:r>
              <w:rPr>
                <w:rFonts w:hint="default"/>
                <w:color w:val="FF0000"/>
                <w:sz w:val="24"/>
                <w:highlight w:val="none"/>
              </w:rPr>
              <w:t>二段分选：在二段旋流器中继续旋转分选。中煤密度相对较小，向中心移动，从二段溢流口排出。密度最大的矸石则从二段底流口排出。</w:t>
            </w:r>
          </w:p>
          <w:p w14:paraId="1DCCEC1C">
            <w:pPr>
              <w:spacing w:line="360" w:lineRule="auto"/>
              <w:ind w:firstLine="480" w:firstLineChars="200"/>
              <w:rPr>
                <w:rFonts w:hint="default"/>
                <w:color w:val="FF0000"/>
                <w:sz w:val="24"/>
                <w:highlight w:val="none"/>
              </w:rPr>
            </w:pPr>
            <w:r>
              <w:rPr>
                <w:rFonts w:hint="eastAsia"/>
                <w:color w:val="FF0000"/>
                <w:sz w:val="24"/>
                <w:highlight w:val="none"/>
                <w:lang w:val="en-US" w:eastAsia="zh-CN"/>
              </w:rPr>
              <w:t>此过程捕收剂柴油挥发产生非甲烷总烃，</w:t>
            </w:r>
            <w:r>
              <w:rPr>
                <w:rFonts w:hint="default"/>
                <w:color w:val="FF0000"/>
                <w:sz w:val="24"/>
                <w:highlight w:val="none"/>
                <w:lang w:val="en-US" w:eastAsia="zh-CN"/>
              </w:rPr>
              <w:t>此部分</w:t>
            </w:r>
            <w:r>
              <w:rPr>
                <w:rFonts w:hint="eastAsia"/>
                <w:color w:val="FF0000"/>
                <w:sz w:val="24"/>
                <w:highlight w:val="none"/>
                <w:lang w:val="en-US" w:eastAsia="zh-CN"/>
              </w:rPr>
              <w:t>为改造部分</w:t>
            </w:r>
            <w:r>
              <w:rPr>
                <w:rFonts w:hint="default"/>
                <w:color w:val="FF0000"/>
                <w:sz w:val="24"/>
                <w:highlight w:val="none"/>
              </w:rPr>
              <w:t>。</w:t>
            </w:r>
          </w:p>
          <w:p w14:paraId="2DF7B321">
            <w:pPr>
              <w:spacing w:line="360" w:lineRule="auto"/>
              <w:ind w:firstLine="480" w:firstLineChars="200"/>
              <w:rPr>
                <w:rFonts w:hint="default"/>
                <w:color w:val="000000" w:themeColor="text1"/>
                <w:sz w:val="24"/>
                <w:highlight w:val="none"/>
                <w14:textFill>
                  <w14:solidFill>
                    <w14:schemeClr w14:val="tx1"/>
                  </w14:solidFill>
                </w14:textFill>
              </w:rPr>
            </w:pPr>
            <w:r>
              <w:rPr>
                <w:rFonts w:hint="default"/>
                <w:color w:val="000000" w:themeColor="text1"/>
                <w:sz w:val="24"/>
                <w:highlight w:val="none"/>
                <w14:textFill>
                  <w14:solidFill>
                    <w14:schemeClr w14:val="tx1"/>
                  </w14:solidFill>
                </w14:textFill>
              </w:rPr>
              <w:t>(3)磁铁粉回收作业</w:t>
            </w:r>
          </w:p>
          <w:p w14:paraId="03D53DCE">
            <w:pPr>
              <w:spacing w:line="360" w:lineRule="auto"/>
              <w:ind w:firstLine="480" w:firstLineChars="200"/>
              <w:rPr>
                <w:rFonts w:hint="default"/>
                <w:color w:val="000000" w:themeColor="text1"/>
                <w:sz w:val="24"/>
                <w:highlight w:val="none"/>
                <w14:textFill>
                  <w14:solidFill>
                    <w14:schemeClr w14:val="tx1"/>
                  </w14:solidFill>
                </w14:textFill>
              </w:rPr>
            </w:pPr>
            <w:r>
              <w:rPr>
                <w:rFonts w:hint="default"/>
                <w:color w:val="000000" w:themeColor="text1"/>
                <w:sz w:val="24"/>
                <w:highlight w:val="none"/>
                <w14:textFill>
                  <w14:solidFill>
                    <w14:schemeClr w14:val="tx1"/>
                  </w14:solidFill>
                </w14:textFill>
              </w:rPr>
              <w:t>精煤脱介筛下水、中煤脱介筛下水、矸石脱介筛下水分别进入对应磁选机进行脱介，磁选机精矿流入合介桶再次利用。</w:t>
            </w:r>
            <w:r>
              <w:rPr>
                <w:rFonts w:hint="default"/>
                <w:color w:val="FF0000"/>
                <w:sz w:val="24"/>
                <w:highlight w:val="none"/>
                <w:lang w:val="en-US" w:eastAsia="zh-CN"/>
              </w:rPr>
              <w:t>此部分为改造部分</w:t>
            </w:r>
            <w:r>
              <w:rPr>
                <w:rFonts w:hint="default"/>
                <w:color w:val="FF0000"/>
                <w:sz w:val="24"/>
                <w:highlight w:val="none"/>
              </w:rPr>
              <w:t>。</w:t>
            </w:r>
          </w:p>
          <w:p w14:paraId="2B882773">
            <w:pPr>
              <w:spacing w:line="360" w:lineRule="auto"/>
              <w:ind w:firstLine="480" w:firstLineChars="200"/>
              <w:rPr>
                <w:rFonts w:hint="default"/>
                <w:color w:val="000000" w:themeColor="text1"/>
                <w:sz w:val="24"/>
                <w:highlight w:val="none"/>
                <w14:textFill>
                  <w14:solidFill>
                    <w14:schemeClr w14:val="tx1"/>
                  </w14:solidFill>
                </w14:textFill>
              </w:rPr>
            </w:pPr>
            <w:r>
              <w:rPr>
                <w:rFonts w:hint="default"/>
                <w:color w:val="000000" w:themeColor="text1"/>
                <w:sz w:val="24"/>
                <w:highlight w:val="none"/>
                <w14:textFill>
                  <w14:solidFill>
                    <w14:schemeClr w14:val="tx1"/>
                  </w14:solidFill>
                </w14:textFill>
              </w:rPr>
              <w:t>(4)粗煤泥回收作业</w:t>
            </w:r>
          </w:p>
          <w:p w14:paraId="5666976C">
            <w:pPr>
              <w:spacing w:line="360" w:lineRule="auto"/>
              <w:ind w:firstLine="480" w:firstLineChars="200"/>
              <w:rPr>
                <w:rFonts w:hint="eastAsia" w:eastAsia="宋体"/>
                <w:color w:val="000000" w:themeColor="text1"/>
                <w:sz w:val="24"/>
                <w:highlight w:val="none"/>
                <w:lang w:eastAsia="zh-CN"/>
                <w14:textFill>
                  <w14:solidFill>
                    <w14:schemeClr w14:val="tx1"/>
                  </w14:solidFill>
                </w14:textFill>
              </w:rPr>
            </w:pPr>
            <w:r>
              <w:rPr>
                <w:rFonts w:hint="default"/>
                <w:color w:val="000000" w:themeColor="text1"/>
                <w:sz w:val="24"/>
                <w:highlight w:val="none"/>
                <w14:textFill>
                  <w14:solidFill>
                    <w14:schemeClr w14:val="tx1"/>
                  </w14:solidFill>
                </w14:textFill>
              </w:rPr>
              <w:t>精煤磁选机尾矿由水泵打入进入击打弧形筛、弧形筛筛前进精煤高频筛，高频筛筛上一部分脱水后的精煤泥直接落到精煤皮带成为产品，另一部分精煤泥进入卧脱脱水后落到精煤皮带。精煤弧形筛筛下水与精煤高频筛筛下水进入浮选机进行分选。中煤磁选机尾矿由水泵打入弧形筛，弧形筛筛前进入中煤高频筛进行二次脱水，脱水后的中煤</w:t>
            </w:r>
            <w:r>
              <w:rPr>
                <w:rFonts w:hint="eastAsia"/>
                <w:color w:val="000000" w:themeColor="text1"/>
                <w:sz w:val="24"/>
                <w:highlight w:val="none"/>
                <w:lang w:val="en-US" w:eastAsia="zh-CN"/>
                <w14:textFill>
                  <w14:solidFill>
                    <w14:schemeClr w14:val="tx1"/>
                  </w14:solidFill>
                </w14:textFill>
              </w:rPr>
              <w:t>进入煤泥堆场</w:t>
            </w:r>
            <w:r>
              <w:rPr>
                <w:rFonts w:hint="default"/>
                <w:color w:val="000000" w:themeColor="text1"/>
                <w:sz w:val="24"/>
                <w:highlight w:val="none"/>
                <w14:textFill>
                  <w14:solidFill>
                    <w14:schemeClr w14:val="tx1"/>
                  </w14:solidFill>
                </w14:textFill>
              </w:rPr>
              <w:t>。中煤弧形筛及高频筛筛下水也进入浮选。矸石磁选机尾矿由水泵打入弧形筛，弧形筛筛前进入矸石高频筛进行二次脱水</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脱水后矸石进入矸石仓</w:t>
            </w:r>
            <w:r>
              <w:rPr>
                <w:rFonts w:hint="eastAsia"/>
                <w:color w:val="000000" w:themeColor="text1"/>
                <w:sz w:val="24"/>
                <w:highlight w:val="none"/>
                <w:lang w:eastAsia="zh-CN"/>
                <w14:textFill>
                  <w14:solidFill>
                    <w14:schemeClr w14:val="tx1"/>
                  </w14:solidFill>
                </w14:textFill>
              </w:rPr>
              <w:t>。</w:t>
            </w:r>
          </w:p>
          <w:p w14:paraId="25364EEB">
            <w:pPr>
              <w:spacing w:line="360" w:lineRule="auto"/>
              <w:ind w:firstLine="480" w:firstLineChars="200"/>
              <w:rPr>
                <w:rFonts w:hint="default"/>
                <w:color w:val="000000" w:themeColor="text1"/>
                <w:sz w:val="24"/>
                <w:highlight w:val="none"/>
                <w14:textFill>
                  <w14:solidFill>
                    <w14:schemeClr w14:val="tx1"/>
                  </w14:solidFill>
                </w14:textFill>
              </w:rPr>
            </w:pPr>
            <w:r>
              <w:rPr>
                <w:rFonts w:hint="default"/>
                <w:color w:val="000000" w:themeColor="text1"/>
                <w:sz w:val="24"/>
                <w:highlight w:val="none"/>
                <w14:textFill>
                  <w14:solidFill>
                    <w14:schemeClr w14:val="tx1"/>
                  </w14:solidFill>
                </w14:textFill>
              </w:rPr>
              <w:t>(5)浮选作业</w:t>
            </w:r>
          </w:p>
          <w:p w14:paraId="19E84CA7">
            <w:pPr>
              <w:spacing w:line="360" w:lineRule="auto"/>
              <w:ind w:firstLine="480" w:firstLineChars="200"/>
              <w:rPr>
                <w:rFonts w:hint="default"/>
                <w:color w:val="000000" w:themeColor="text1"/>
                <w:sz w:val="24"/>
                <w:highlight w:val="none"/>
                <w14:textFill>
                  <w14:solidFill>
                    <w14:schemeClr w14:val="tx1"/>
                  </w14:solidFill>
                </w14:textFill>
              </w:rPr>
            </w:pPr>
            <w:r>
              <w:rPr>
                <w:rFonts w:hint="default"/>
                <w:color w:val="FF0000"/>
                <w:sz w:val="24"/>
                <w:highlight w:val="green"/>
              </w:rPr>
              <w:t>精煤、中煤弧形筛筛下水与高频筛筛下水</w:t>
            </w:r>
            <w:r>
              <w:rPr>
                <w:rFonts w:hint="default"/>
                <w:color w:val="FF0000"/>
                <w:sz w:val="24"/>
                <w:highlight w:val="green"/>
                <w:lang w:val="en-US" w:eastAsia="zh-CN"/>
              </w:rPr>
              <w:t>加入浮选药剂</w:t>
            </w:r>
            <w:r>
              <w:rPr>
                <w:rFonts w:hint="eastAsia"/>
                <w:color w:val="FF0000"/>
                <w:sz w:val="24"/>
                <w:highlight w:val="green"/>
                <w:lang w:val="en-US" w:eastAsia="zh-CN"/>
              </w:rPr>
              <w:t>黄油和柴油</w:t>
            </w:r>
            <w:r>
              <w:rPr>
                <w:rFonts w:hint="default"/>
                <w:color w:val="FF0000"/>
                <w:sz w:val="24"/>
                <w:highlight w:val="green"/>
                <w:lang w:val="en-US" w:eastAsia="zh-CN"/>
              </w:rPr>
              <w:t>并搅拌后</w:t>
            </w:r>
            <w:r>
              <w:rPr>
                <w:rFonts w:hint="default"/>
                <w:color w:val="FF0000"/>
                <w:sz w:val="24"/>
                <w:highlight w:val="green"/>
              </w:rPr>
              <w:t>进入浮选机进行分选，浮选机精矿由泵打入卧脱进行脱水，浮选机尾矿进入浓缩。卧脱产生的离心液由泵打入压滤机进行脱水，脱水后的精煤成为产品。</w:t>
            </w:r>
            <w:r>
              <w:rPr>
                <w:rFonts w:hint="eastAsia"/>
                <w:color w:val="FF0000"/>
                <w:sz w:val="24"/>
                <w:highlight w:val="green"/>
                <w:lang w:val="en-US" w:eastAsia="zh-CN"/>
              </w:rPr>
              <w:t>加入浮选药剂黄油和柴油以及浮选过程中浮选药剂黄油和柴油会产生有机废气（以非甲烷总烃计），</w:t>
            </w:r>
            <w:r>
              <w:rPr>
                <w:rFonts w:hint="default"/>
                <w:color w:val="FF0000"/>
                <w:sz w:val="24"/>
                <w:highlight w:val="green"/>
                <w:lang w:val="en-US" w:eastAsia="zh-CN"/>
              </w:rPr>
              <w:t>此部分</w:t>
            </w:r>
            <w:r>
              <w:rPr>
                <w:rFonts w:hint="eastAsia"/>
                <w:color w:val="FF0000"/>
                <w:sz w:val="24"/>
                <w:highlight w:val="green"/>
                <w:lang w:val="en-US" w:eastAsia="zh-CN"/>
              </w:rPr>
              <w:t>工艺利旧</w:t>
            </w:r>
            <w:r>
              <w:rPr>
                <w:rFonts w:hint="default"/>
                <w:color w:val="FF0000"/>
                <w:sz w:val="24"/>
                <w:highlight w:val="green"/>
              </w:rPr>
              <w:t>。</w:t>
            </w:r>
          </w:p>
          <w:p w14:paraId="1BC77626">
            <w:pPr>
              <w:spacing w:line="360" w:lineRule="auto"/>
              <w:ind w:firstLine="480" w:firstLineChars="200"/>
              <w:rPr>
                <w:rFonts w:hint="default"/>
                <w:color w:val="000000" w:themeColor="text1"/>
                <w:sz w:val="24"/>
                <w:highlight w:val="none"/>
                <w14:textFill>
                  <w14:solidFill>
                    <w14:schemeClr w14:val="tx1"/>
                  </w14:solidFill>
                </w14:textFill>
              </w:rPr>
            </w:pPr>
            <w:r>
              <w:rPr>
                <w:rFonts w:hint="default"/>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6</w:t>
            </w:r>
            <w:r>
              <w:rPr>
                <w:rFonts w:hint="default"/>
                <w:color w:val="000000" w:themeColor="text1"/>
                <w:sz w:val="24"/>
                <w:highlight w:val="none"/>
                <w14:textFill>
                  <w14:solidFill>
                    <w14:schemeClr w14:val="tx1"/>
                  </w14:solidFill>
                </w14:textFill>
              </w:rPr>
              <w:t>)煤泥水浓缩作业</w:t>
            </w:r>
          </w:p>
          <w:p w14:paraId="1EBBED7B">
            <w:pPr>
              <w:spacing w:line="360" w:lineRule="auto"/>
              <w:ind w:firstLine="480" w:firstLineChars="200"/>
              <w:rPr>
                <w:rFonts w:ascii="Times New Roman" w:hAnsi="Times New Roman"/>
                <w:color w:val="000000" w:themeColor="text1"/>
                <w:szCs w:val="24"/>
                <w:highlight w:val="none"/>
                <w14:textFill>
                  <w14:solidFill>
                    <w14:schemeClr w14:val="tx1"/>
                  </w14:solidFill>
                </w14:textFill>
              </w:rPr>
            </w:pPr>
            <w:r>
              <w:rPr>
                <w:rFonts w:hint="default"/>
                <w:color w:val="000000" w:themeColor="text1"/>
                <w:sz w:val="24"/>
                <w:highlight w:val="none"/>
                <w14:textFill>
                  <w14:solidFill>
                    <w14:schemeClr w14:val="tx1"/>
                  </w14:solidFill>
                </w14:textFill>
              </w:rPr>
              <w:t>浮选机尾矿自流入耙式浓缩机进行煤水分离，耙式浓缩机底流由水泵打入尾煤压滤机，压滤机滤饼直接落地成为产品，压滤机滤液水与耙式浓缩机溢流自流入</w:t>
            </w:r>
            <w:r>
              <w:rPr>
                <w:rFonts w:hint="eastAsia"/>
                <w:color w:val="000000" w:themeColor="text1"/>
                <w:sz w:val="24"/>
                <w:highlight w:val="none"/>
                <w:lang w:val="en-US" w:eastAsia="zh-CN"/>
                <w14:textFill>
                  <w14:solidFill>
                    <w14:schemeClr w14:val="tx1"/>
                  </w14:solidFill>
                </w14:textFill>
              </w:rPr>
              <w:t>浓缩</w:t>
            </w:r>
            <w:r>
              <w:rPr>
                <w:rFonts w:hint="default"/>
                <w:color w:val="000000" w:themeColor="text1"/>
                <w:sz w:val="24"/>
                <w:highlight w:val="none"/>
                <w14:textFill>
                  <w14:solidFill>
                    <w14:schemeClr w14:val="tx1"/>
                  </w14:solidFill>
                </w14:textFill>
              </w:rPr>
              <w:t>池循环利用</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此部分利旧</w:t>
            </w:r>
            <w:r>
              <w:rPr>
                <w:rFonts w:hint="default" w:ascii="Times New Roman" w:hAnsi="Times New Roman" w:eastAsia="宋体" w:cs="Times New Roman"/>
                <w:color w:val="000000" w:themeColor="text1"/>
                <w:sz w:val="24"/>
                <w:highlight w:val="none"/>
                <w14:textFill>
                  <w14:solidFill>
                    <w14:schemeClr w14:val="tx1"/>
                  </w14:solidFill>
                </w14:textFill>
              </w:rPr>
              <w:t>。本项目生产工艺及产污环节详见图2-</w:t>
            </w:r>
            <w:r>
              <w:rPr>
                <w:rFonts w:hint="eastAsia" w:cs="Times New Roman"/>
                <w:color w:val="000000" w:themeColor="text1"/>
                <w:sz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highlight w:val="none"/>
                <w14:textFill>
                  <w14:solidFill>
                    <w14:schemeClr w14:val="tx1"/>
                  </w14:solidFill>
                </w14:textFill>
              </w:rPr>
              <w:t>。</w:t>
            </w:r>
          </w:p>
          <w:p w14:paraId="0B12B3B0">
            <w:pPr>
              <w:pStyle w:val="24"/>
              <w:spacing w:before="120" w:beforeLines="50" w:beforeAutospacing="0" w:after="0" w:afterAutospacing="0" w:line="360" w:lineRule="auto"/>
              <w:ind w:left="0" w:leftChars="0" w:right="0" w:rightChars="0" w:firstLine="0" w:firstLineChars="0"/>
              <w:jc w:val="center"/>
              <w:rPr>
                <w:rFonts w:ascii="Times New Roman" w:hAnsi="Times New Roman"/>
                <w:b/>
                <w:bCs/>
                <w:color w:val="000000" w:themeColor="text1"/>
                <w:sz w:val="21"/>
                <w:szCs w:val="21"/>
                <w:highlight w:val="none"/>
                <w14:textFill>
                  <w14:solidFill>
                    <w14:schemeClr w14:val="tx1"/>
                  </w14:solidFill>
                </w14:textFill>
              </w:rPr>
            </w:pPr>
            <w:r>
              <w:rPr>
                <w:rFonts w:ascii="Times New Roman" w:hAnsi="Times New Roman"/>
                <w:b/>
                <w:bCs/>
                <w:color w:val="000000" w:themeColor="text1"/>
                <w:sz w:val="21"/>
                <w:szCs w:val="21"/>
                <w:highlight w:val="none"/>
                <w14:textFill>
                  <w14:solidFill>
                    <w14:schemeClr w14:val="tx1"/>
                  </w14:solidFill>
                </w14:textFill>
              </w:rPr>
              <w:drawing>
                <wp:inline distT="0" distB="0" distL="114300" distR="114300">
                  <wp:extent cx="5320665" cy="3498215"/>
                  <wp:effectExtent l="0" t="0" r="13335" b="6985"/>
                  <wp:docPr id="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
                          <pic:cNvPicPr>
                            <a:picLocks noChangeAspect="1"/>
                          </pic:cNvPicPr>
                        </pic:nvPicPr>
                        <pic:blipFill>
                          <a:blip r:embed="rId17"/>
                          <a:stretch>
                            <a:fillRect/>
                          </a:stretch>
                        </pic:blipFill>
                        <pic:spPr>
                          <a:xfrm>
                            <a:off x="0" y="0"/>
                            <a:ext cx="5320665" cy="3498215"/>
                          </a:xfrm>
                          <a:prstGeom prst="rect">
                            <a:avLst/>
                          </a:prstGeom>
                          <a:noFill/>
                          <a:ln>
                            <a:noFill/>
                          </a:ln>
                        </pic:spPr>
                      </pic:pic>
                    </a:graphicData>
                  </a:graphic>
                </wp:inline>
              </w:drawing>
            </w:r>
          </w:p>
          <w:p w14:paraId="24096FCF">
            <w:pPr>
              <w:pStyle w:val="24"/>
              <w:spacing w:before="120" w:beforeLines="50" w:beforeAutospacing="0" w:after="0" w:afterAutospacing="0" w:line="360" w:lineRule="auto"/>
              <w:jc w:val="center"/>
              <w:rPr>
                <w:rFonts w:ascii="Times New Roman" w:hAnsi="Times New Roman"/>
                <w:b/>
                <w:color w:val="FF0000"/>
                <w:szCs w:val="24"/>
                <w:highlight w:val="none"/>
              </w:rPr>
            </w:pPr>
            <w:r>
              <w:rPr>
                <w:rFonts w:ascii="Times New Roman" w:hAnsi="Times New Roman"/>
                <w:b/>
                <w:bCs/>
                <w:color w:val="FF0000"/>
                <w:szCs w:val="24"/>
                <w:highlight w:val="none"/>
              </w:rPr>
              <w:t>图2-</w:t>
            </w:r>
            <w:r>
              <w:rPr>
                <w:rFonts w:hint="eastAsia" w:ascii="Times New Roman" w:hAnsi="Times New Roman"/>
                <w:b/>
                <w:bCs/>
                <w:color w:val="FF0000"/>
                <w:szCs w:val="24"/>
                <w:highlight w:val="none"/>
                <w:lang w:val="en-US" w:eastAsia="zh-CN"/>
              </w:rPr>
              <w:t>4</w:t>
            </w:r>
            <w:r>
              <w:rPr>
                <w:rFonts w:ascii="Times New Roman" w:hAnsi="Times New Roman"/>
                <w:color w:val="FF0000"/>
                <w:szCs w:val="24"/>
                <w:highlight w:val="none"/>
              </w:rPr>
              <w:t xml:space="preserve"> </w:t>
            </w:r>
            <w:r>
              <w:rPr>
                <w:rFonts w:ascii="Times New Roman" w:hAnsi="Times New Roman"/>
                <w:b/>
                <w:color w:val="FF0000"/>
                <w:szCs w:val="24"/>
                <w:highlight w:val="none"/>
              </w:rPr>
              <w:t>重介选煤工艺流程及产污环节示意图</w:t>
            </w:r>
          </w:p>
          <w:p w14:paraId="29C4790D">
            <w:pPr>
              <w:spacing w:line="360" w:lineRule="auto"/>
              <w:ind w:firstLine="480" w:firstLineChars="200"/>
              <w:rPr>
                <w:rFonts w:hint="eastAsia" w:ascii="Times New Roman" w:hAnsi="Times New Roman" w:eastAsia="宋体" w:cs="Times New Roman"/>
                <w:color w:val="FF0000"/>
                <w:sz w:val="24"/>
                <w:highlight w:val="none"/>
                <w:lang w:val="en-US" w:eastAsia="zh-CN"/>
              </w:rPr>
            </w:pPr>
            <w:r>
              <w:rPr>
                <w:rFonts w:hint="eastAsia" w:ascii="Times New Roman" w:hAnsi="Times New Roman" w:eastAsia="宋体" w:cs="Times New Roman"/>
                <w:color w:val="FF0000"/>
                <w:sz w:val="24"/>
                <w:highlight w:val="none"/>
                <w:lang w:val="en-US" w:eastAsia="zh-CN"/>
              </w:rPr>
              <w:t>本工程污染环节和污染因子见下表。</w:t>
            </w:r>
          </w:p>
          <w:p w14:paraId="7164A84F">
            <w:pPr>
              <w:spacing w:line="360" w:lineRule="auto"/>
              <w:ind w:left="0" w:leftChars="0" w:right="0" w:rightChars="0" w:firstLine="0" w:firstLineChars="0"/>
              <w:jc w:val="center"/>
              <w:rPr>
                <w:rFonts w:hint="eastAsia" w:ascii="Times New Roman" w:hAnsi="Times New Roman" w:eastAsia="宋体" w:cs="Times New Roman"/>
                <w:color w:val="FF0000"/>
                <w:sz w:val="24"/>
                <w:highlight w:val="none"/>
                <w:lang w:val="en-US" w:eastAsia="zh-CN"/>
              </w:rPr>
            </w:pPr>
            <w:r>
              <w:rPr>
                <w:rFonts w:hint="eastAsia" w:ascii="Times New Roman" w:hAnsi="Times New Roman" w:eastAsia="宋体" w:cs="Times New Roman"/>
                <w:color w:val="FF0000"/>
                <w:sz w:val="24"/>
                <w:highlight w:val="none"/>
                <w:lang w:val="en-US" w:eastAsia="zh-CN"/>
              </w:rPr>
              <w:t>表2-6 产污节点及主要污染源</w:t>
            </w:r>
          </w:p>
          <w:tbl>
            <w:tblPr>
              <w:tblStyle w:val="28"/>
              <w:tblW w:w="842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1321"/>
              <w:gridCol w:w="2946"/>
              <w:gridCol w:w="3520"/>
            </w:tblGrid>
            <w:tr w14:paraId="2A5724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tblHeader/>
              </w:trPr>
              <w:tc>
                <w:tcPr>
                  <w:tcW w:w="377" w:type="pct"/>
                  <w:tcBorders>
                    <w:tl2br w:val="nil"/>
                    <w:tr2bl w:val="nil"/>
                  </w:tcBorders>
                  <w:noWrap/>
                  <w:vAlign w:val="center"/>
                </w:tcPr>
                <w:p w14:paraId="3D99CE91">
                  <w:pPr>
                    <w:widowControl/>
                    <w:autoSpaceDE w:val="0"/>
                    <w:autoSpaceDN w:val="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类别</w:t>
                  </w:r>
                </w:p>
              </w:tc>
              <w:tc>
                <w:tcPr>
                  <w:tcW w:w="784" w:type="pct"/>
                  <w:tcBorders>
                    <w:tl2br w:val="nil"/>
                    <w:tr2bl w:val="nil"/>
                  </w:tcBorders>
                  <w:noWrap/>
                  <w:vAlign w:val="center"/>
                </w:tcPr>
                <w:p w14:paraId="509671DB">
                  <w:pPr>
                    <w:widowControl/>
                    <w:autoSpaceDE w:val="0"/>
                    <w:autoSpaceDN w:val="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生产环节</w:t>
                  </w:r>
                </w:p>
              </w:tc>
              <w:tc>
                <w:tcPr>
                  <w:tcW w:w="1748" w:type="pct"/>
                  <w:tcBorders>
                    <w:tl2br w:val="nil"/>
                    <w:tr2bl w:val="nil"/>
                  </w:tcBorders>
                  <w:noWrap/>
                  <w:vAlign w:val="center"/>
                </w:tcPr>
                <w:p w14:paraId="369ACEF4">
                  <w:pPr>
                    <w:widowControl/>
                    <w:autoSpaceDE w:val="0"/>
                    <w:autoSpaceDN w:val="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排污节点</w:t>
                  </w:r>
                </w:p>
              </w:tc>
              <w:tc>
                <w:tcPr>
                  <w:tcW w:w="2088" w:type="pct"/>
                  <w:tcBorders>
                    <w:tl2br w:val="nil"/>
                    <w:tr2bl w:val="nil"/>
                  </w:tcBorders>
                  <w:noWrap/>
                  <w:vAlign w:val="center"/>
                </w:tcPr>
                <w:p w14:paraId="6C022BCC">
                  <w:pPr>
                    <w:widowControl/>
                    <w:autoSpaceDE w:val="0"/>
                    <w:autoSpaceDN w:val="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主要污染物</w:t>
                  </w:r>
                </w:p>
              </w:tc>
            </w:tr>
            <w:tr w14:paraId="47C59C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77" w:type="pct"/>
                  <w:vMerge w:val="restart"/>
                  <w:tcBorders>
                    <w:tl2br w:val="nil"/>
                    <w:tr2bl w:val="nil"/>
                  </w:tcBorders>
                  <w:noWrap/>
                  <w:vAlign w:val="center"/>
                </w:tcPr>
                <w:p w14:paraId="6C0ED2C6">
                  <w:pPr>
                    <w:widowControl/>
                    <w:autoSpaceDE w:val="0"/>
                    <w:autoSpaceDN w:val="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废气</w:t>
                  </w:r>
                </w:p>
              </w:tc>
              <w:tc>
                <w:tcPr>
                  <w:tcW w:w="784" w:type="pct"/>
                  <w:tcBorders>
                    <w:tl2br w:val="nil"/>
                    <w:tr2bl w:val="nil"/>
                  </w:tcBorders>
                  <w:noWrap/>
                  <w:vAlign w:val="center"/>
                </w:tcPr>
                <w:p w14:paraId="0FB8DDC9">
                  <w:pPr>
                    <w:widowControl/>
                    <w:autoSpaceDE w:val="0"/>
                    <w:autoSpaceDN w:val="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选煤生产线</w:t>
                  </w:r>
                </w:p>
              </w:tc>
              <w:tc>
                <w:tcPr>
                  <w:tcW w:w="1748" w:type="pct"/>
                  <w:tcBorders>
                    <w:tl2br w:val="nil"/>
                    <w:tr2bl w:val="nil"/>
                  </w:tcBorders>
                  <w:noWrap/>
                  <w:vAlign w:val="center"/>
                </w:tcPr>
                <w:p w14:paraId="42211234">
                  <w:pPr>
                    <w:widowControl/>
                    <w:autoSpaceDE w:val="0"/>
                    <w:autoSpaceDN w:val="0"/>
                    <w:jc w:val="center"/>
                    <w:rPr>
                      <w:rFonts w:hint="default"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破碎、筛分、浮选</w:t>
                  </w:r>
                </w:p>
              </w:tc>
              <w:tc>
                <w:tcPr>
                  <w:tcW w:w="2088" w:type="pct"/>
                  <w:tcBorders>
                    <w:tl2br w:val="nil"/>
                    <w:tr2bl w:val="nil"/>
                  </w:tcBorders>
                  <w:noWrap/>
                  <w:vAlign w:val="center"/>
                </w:tcPr>
                <w:p w14:paraId="09C438D9">
                  <w:pPr>
                    <w:widowControl/>
                    <w:autoSpaceDE w:val="0"/>
                    <w:autoSpaceDN w:val="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颗粒物、非甲烷总烃</w:t>
                  </w:r>
                </w:p>
              </w:tc>
            </w:tr>
            <w:tr w14:paraId="59E394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77" w:type="pct"/>
                  <w:vMerge w:val="continue"/>
                  <w:tcBorders>
                    <w:tl2br w:val="nil"/>
                    <w:tr2bl w:val="nil"/>
                  </w:tcBorders>
                  <w:noWrap/>
                  <w:vAlign w:val="center"/>
                </w:tcPr>
                <w:p w14:paraId="5D6A610B">
                  <w:pPr>
                    <w:widowControl/>
                    <w:autoSpaceDE w:val="0"/>
                    <w:autoSpaceDN w:val="0"/>
                    <w:jc w:val="center"/>
                    <w:rPr>
                      <w:rFonts w:hint="eastAsia" w:ascii="Times New Roman" w:hAnsi="Times New Roman" w:eastAsia="宋体" w:cs="Times New Roman"/>
                      <w:bCs/>
                      <w:color w:val="FF0000"/>
                      <w:szCs w:val="21"/>
                      <w:highlight w:val="none"/>
                      <w:lang w:val="en-US" w:eastAsia="zh-CN" w:bidi="zh-CN"/>
                    </w:rPr>
                  </w:pPr>
                </w:p>
              </w:tc>
              <w:tc>
                <w:tcPr>
                  <w:tcW w:w="784" w:type="pct"/>
                  <w:tcBorders>
                    <w:tl2br w:val="nil"/>
                    <w:tr2bl w:val="nil"/>
                  </w:tcBorders>
                  <w:noWrap/>
                  <w:vAlign w:val="center"/>
                </w:tcPr>
                <w:p w14:paraId="3038646F">
                  <w:pPr>
                    <w:widowControl/>
                    <w:autoSpaceDE w:val="0"/>
                    <w:autoSpaceDN w:val="0"/>
                    <w:jc w:val="center"/>
                    <w:rPr>
                      <w:rFonts w:hint="default" w:ascii="Times New Roman" w:hAnsi="Times New Roman" w:eastAsia="宋体" w:cs="Times New Roman"/>
                      <w:bCs/>
                      <w:color w:val="FF0000"/>
                      <w:szCs w:val="21"/>
                      <w:highlight w:val="green"/>
                      <w:lang w:val="en-US" w:eastAsia="zh-CN" w:bidi="zh-CN"/>
                    </w:rPr>
                  </w:pPr>
                  <w:r>
                    <w:rPr>
                      <w:rFonts w:hint="eastAsia" w:cs="Times New Roman"/>
                      <w:bCs/>
                      <w:color w:val="FF0000"/>
                      <w:szCs w:val="21"/>
                      <w:highlight w:val="green"/>
                      <w:lang w:val="en-US" w:eastAsia="zh-CN" w:bidi="zh-CN"/>
                    </w:rPr>
                    <w:t>油罐区</w:t>
                  </w:r>
                </w:p>
              </w:tc>
              <w:tc>
                <w:tcPr>
                  <w:tcW w:w="1748" w:type="pct"/>
                  <w:tcBorders>
                    <w:tl2br w:val="nil"/>
                    <w:tr2bl w:val="nil"/>
                  </w:tcBorders>
                  <w:noWrap/>
                  <w:vAlign w:val="center"/>
                </w:tcPr>
                <w:p w14:paraId="180E3DF4">
                  <w:pPr>
                    <w:widowControl/>
                    <w:autoSpaceDE w:val="0"/>
                    <w:autoSpaceDN w:val="0"/>
                    <w:jc w:val="center"/>
                    <w:rPr>
                      <w:rFonts w:hint="eastAsia" w:ascii="Times New Roman" w:hAnsi="Times New Roman" w:eastAsia="宋体" w:cs="Times New Roman"/>
                      <w:bCs/>
                      <w:color w:val="FF0000"/>
                      <w:szCs w:val="21"/>
                      <w:highlight w:val="green"/>
                      <w:lang w:val="en-US" w:eastAsia="zh-CN" w:bidi="zh-CN"/>
                    </w:rPr>
                  </w:pPr>
                  <w:r>
                    <w:rPr>
                      <w:rFonts w:hint="eastAsia" w:cs="Times New Roman"/>
                      <w:bCs/>
                      <w:color w:val="FF0000"/>
                      <w:szCs w:val="21"/>
                      <w:highlight w:val="green"/>
                      <w:lang w:val="en-US" w:eastAsia="zh-CN" w:bidi="zh-CN"/>
                    </w:rPr>
                    <w:t>柴油、黄油贮存</w:t>
                  </w:r>
                </w:p>
              </w:tc>
              <w:tc>
                <w:tcPr>
                  <w:tcW w:w="2088" w:type="pct"/>
                  <w:tcBorders>
                    <w:tl2br w:val="nil"/>
                    <w:tr2bl w:val="nil"/>
                  </w:tcBorders>
                  <w:noWrap/>
                  <w:vAlign w:val="center"/>
                </w:tcPr>
                <w:p w14:paraId="7C813631">
                  <w:pPr>
                    <w:widowControl/>
                    <w:autoSpaceDE w:val="0"/>
                    <w:autoSpaceDN w:val="0"/>
                    <w:jc w:val="center"/>
                    <w:rPr>
                      <w:rFonts w:hint="eastAsia" w:ascii="Times New Roman" w:hAnsi="Times New Roman" w:eastAsia="宋体" w:cs="Times New Roman"/>
                      <w:bCs/>
                      <w:color w:val="FF0000"/>
                      <w:szCs w:val="21"/>
                      <w:highlight w:val="green"/>
                      <w:lang w:val="en-US" w:eastAsia="zh-CN" w:bidi="zh-CN"/>
                    </w:rPr>
                  </w:pPr>
                  <w:r>
                    <w:rPr>
                      <w:rFonts w:hint="eastAsia" w:ascii="Times New Roman" w:hAnsi="Times New Roman" w:eastAsia="宋体" w:cs="Times New Roman"/>
                      <w:bCs/>
                      <w:color w:val="FF0000"/>
                      <w:szCs w:val="21"/>
                      <w:highlight w:val="green"/>
                      <w:lang w:val="en-US" w:eastAsia="zh-CN" w:bidi="zh-CN"/>
                    </w:rPr>
                    <w:t>非甲烷总烃</w:t>
                  </w:r>
                </w:p>
              </w:tc>
            </w:tr>
            <w:tr w14:paraId="55A8E4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377" w:type="pct"/>
                  <w:tcBorders>
                    <w:tl2br w:val="nil"/>
                    <w:tr2bl w:val="nil"/>
                  </w:tcBorders>
                  <w:noWrap/>
                  <w:vAlign w:val="center"/>
                </w:tcPr>
                <w:p w14:paraId="030423F1">
                  <w:pPr>
                    <w:widowControl/>
                    <w:autoSpaceDE w:val="0"/>
                    <w:autoSpaceDN w:val="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噪声</w:t>
                  </w:r>
                </w:p>
              </w:tc>
              <w:tc>
                <w:tcPr>
                  <w:tcW w:w="784" w:type="pct"/>
                  <w:tcBorders>
                    <w:tl2br w:val="nil"/>
                    <w:tr2bl w:val="nil"/>
                  </w:tcBorders>
                  <w:noWrap/>
                  <w:vAlign w:val="center"/>
                </w:tcPr>
                <w:p w14:paraId="50E388A0">
                  <w:pPr>
                    <w:widowControl/>
                    <w:autoSpaceDE w:val="0"/>
                    <w:autoSpaceDN w:val="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选煤生产线</w:t>
                  </w:r>
                </w:p>
              </w:tc>
              <w:tc>
                <w:tcPr>
                  <w:tcW w:w="1748" w:type="pct"/>
                  <w:tcBorders>
                    <w:tl2br w:val="nil"/>
                    <w:tr2bl w:val="nil"/>
                  </w:tcBorders>
                  <w:noWrap/>
                  <w:vAlign w:val="center"/>
                </w:tcPr>
                <w:p w14:paraId="6653EB7F">
                  <w:pPr>
                    <w:widowControl/>
                    <w:autoSpaceDE w:val="0"/>
                    <w:autoSpaceDN w:val="0"/>
                    <w:jc w:val="center"/>
                    <w:rPr>
                      <w:rFonts w:hint="default"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破碎、筛分、浮选</w:t>
                  </w:r>
                </w:p>
              </w:tc>
              <w:tc>
                <w:tcPr>
                  <w:tcW w:w="2088" w:type="pct"/>
                  <w:tcBorders>
                    <w:tl2br w:val="nil"/>
                    <w:tr2bl w:val="nil"/>
                  </w:tcBorders>
                  <w:noWrap/>
                  <w:vAlign w:val="center"/>
                </w:tcPr>
                <w:p w14:paraId="3C7E55A8">
                  <w:pPr>
                    <w:widowControl/>
                    <w:autoSpaceDE w:val="0"/>
                    <w:autoSpaceDN w:val="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噪声</w:t>
                  </w:r>
                </w:p>
              </w:tc>
            </w:tr>
            <w:tr w14:paraId="55368B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7" w:type="pct"/>
                  <w:vMerge w:val="restart"/>
                  <w:tcBorders>
                    <w:tl2br w:val="nil"/>
                    <w:tr2bl w:val="nil"/>
                  </w:tcBorders>
                  <w:noWrap/>
                  <w:vAlign w:val="center"/>
                </w:tcPr>
                <w:p w14:paraId="4B5E4CFC">
                  <w:pPr>
                    <w:widowControl/>
                    <w:autoSpaceDE w:val="0"/>
                    <w:autoSpaceDN w:val="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废水</w:t>
                  </w:r>
                </w:p>
              </w:tc>
              <w:tc>
                <w:tcPr>
                  <w:tcW w:w="784" w:type="pct"/>
                  <w:tcBorders>
                    <w:tl2br w:val="nil"/>
                    <w:tr2bl w:val="nil"/>
                  </w:tcBorders>
                  <w:noWrap/>
                  <w:vAlign w:val="center"/>
                </w:tcPr>
                <w:p w14:paraId="7BBC4871">
                  <w:pPr>
                    <w:widowControl/>
                    <w:autoSpaceDE w:val="0"/>
                    <w:autoSpaceDN w:val="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生活污水</w:t>
                  </w:r>
                </w:p>
              </w:tc>
              <w:tc>
                <w:tcPr>
                  <w:tcW w:w="1748" w:type="pct"/>
                  <w:tcBorders>
                    <w:tl2br w:val="nil"/>
                    <w:tr2bl w:val="nil"/>
                  </w:tcBorders>
                  <w:noWrap/>
                  <w:vAlign w:val="center"/>
                </w:tcPr>
                <w:p w14:paraId="013422A5">
                  <w:pPr>
                    <w:widowControl/>
                    <w:autoSpaceDE w:val="0"/>
                    <w:autoSpaceDN w:val="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职工生活</w:t>
                  </w:r>
                </w:p>
              </w:tc>
              <w:tc>
                <w:tcPr>
                  <w:tcW w:w="2088" w:type="pct"/>
                  <w:tcBorders>
                    <w:tl2br w:val="nil"/>
                    <w:tr2bl w:val="nil"/>
                  </w:tcBorders>
                  <w:noWrap/>
                  <w:vAlign w:val="center"/>
                </w:tcPr>
                <w:p w14:paraId="4821D6B4">
                  <w:pPr>
                    <w:widowControl/>
                    <w:autoSpaceDE w:val="0"/>
                    <w:autoSpaceDN w:val="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COD、BOD</w:t>
                  </w:r>
                  <w:r>
                    <w:rPr>
                      <w:rFonts w:hint="eastAsia" w:ascii="Times New Roman" w:hAnsi="Times New Roman" w:eastAsia="宋体" w:cs="Times New Roman"/>
                      <w:bCs/>
                      <w:color w:val="FF0000"/>
                      <w:szCs w:val="21"/>
                      <w:highlight w:val="none"/>
                      <w:vertAlign w:val="subscript"/>
                      <w:lang w:val="en-US" w:eastAsia="zh-CN" w:bidi="zh-CN"/>
                    </w:rPr>
                    <w:t>5</w:t>
                  </w:r>
                  <w:r>
                    <w:rPr>
                      <w:rFonts w:hint="eastAsia" w:ascii="Times New Roman" w:hAnsi="Times New Roman" w:eastAsia="宋体" w:cs="Times New Roman"/>
                      <w:bCs/>
                      <w:color w:val="FF0000"/>
                      <w:szCs w:val="21"/>
                      <w:highlight w:val="none"/>
                      <w:lang w:val="en-US" w:eastAsia="zh-CN" w:bidi="zh-CN"/>
                    </w:rPr>
                    <w:t>、氨氮、SS</w:t>
                  </w:r>
                </w:p>
              </w:tc>
            </w:tr>
            <w:tr w14:paraId="6E8758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7" w:type="pct"/>
                  <w:vMerge w:val="continue"/>
                  <w:tcBorders>
                    <w:tl2br w:val="nil"/>
                    <w:tr2bl w:val="nil"/>
                  </w:tcBorders>
                  <w:noWrap/>
                  <w:vAlign w:val="center"/>
                </w:tcPr>
                <w:p w14:paraId="0258F556">
                  <w:pPr>
                    <w:widowControl/>
                    <w:autoSpaceDE w:val="0"/>
                    <w:autoSpaceDN w:val="0"/>
                    <w:jc w:val="center"/>
                    <w:rPr>
                      <w:rFonts w:hint="eastAsia" w:ascii="Times New Roman" w:hAnsi="Times New Roman" w:eastAsia="宋体" w:cs="Times New Roman"/>
                      <w:bCs/>
                      <w:color w:val="FF0000"/>
                      <w:szCs w:val="21"/>
                      <w:highlight w:val="none"/>
                      <w:lang w:val="en-US" w:eastAsia="zh-CN" w:bidi="zh-CN"/>
                    </w:rPr>
                  </w:pPr>
                </w:p>
              </w:tc>
              <w:tc>
                <w:tcPr>
                  <w:tcW w:w="784" w:type="pct"/>
                  <w:tcBorders>
                    <w:tl2br w:val="nil"/>
                    <w:tr2bl w:val="nil"/>
                  </w:tcBorders>
                  <w:noWrap/>
                  <w:vAlign w:val="center"/>
                </w:tcPr>
                <w:p w14:paraId="1417E2D0">
                  <w:pPr>
                    <w:widowControl/>
                    <w:autoSpaceDE w:val="0"/>
                    <w:autoSpaceDN w:val="0"/>
                    <w:jc w:val="center"/>
                    <w:rPr>
                      <w:rFonts w:hint="default"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初期雨水</w:t>
                  </w:r>
                </w:p>
              </w:tc>
              <w:tc>
                <w:tcPr>
                  <w:tcW w:w="1748" w:type="pct"/>
                  <w:tcBorders>
                    <w:tl2br w:val="nil"/>
                    <w:tr2bl w:val="nil"/>
                  </w:tcBorders>
                  <w:noWrap/>
                  <w:vAlign w:val="center"/>
                </w:tcPr>
                <w:p w14:paraId="547ACF65">
                  <w:pPr>
                    <w:widowControl/>
                    <w:autoSpaceDE w:val="0"/>
                    <w:autoSpaceDN w:val="0"/>
                    <w:jc w:val="center"/>
                    <w:rPr>
                      <w:rFonts w:hint="default"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厂区内</w:t>
                  </w:r>
                </w:p>
              </w:tc>
              <w:tc>
                <w:tcPr>
                  <w:tcW w:w="2088" w:type="pct"/>
                  <w:tcBorders>
                    <w:tl2br w:val="nil"/>
                    <w:tr2bl w:val="nil"/>
                  </w:tcBorders>
                  <w:noWrap/>
                  <w:vAlign w:val="center"/>
                </w:tcPr>
                <w:p w14:paraId="7A3FB7AA">
                  <w:pPr>
                    <w:widowControl/>
                    <w:autoSpaceDE w:val="0"/>
                    <w:autoSpaceDN w:val="0"/>
                    <w:jc w:val="center"/>
                    <w:rPr>
                      <w:rFonts w:hint="default"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COD、SS</w:t>
                  </w:r>
                </w:p>
              </w:tc>
            </w:tr>
            <w:tr w14:paraId="03E057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7" w:type="pct"/>
                  <w:vMerge w:val="continue"/>
                  <w:tcBorders>
                    <w:tl2br w:val="nil"/>
                    <w:tr2bl w:val="nil"/>
                  </w:tcBorders>
                  <w:noWrap/>
                  <w:vAlign w:val="center"/>
                </w:tcPr>
                <w:p w14:paraId="27775078">
                  <w:pPr>
                    <w:widowControl/>
                    <w:autoSpaceDE w:val="0"/>
                    <w:autoSpaceDN w:val="0"/>
                    <w:jc w:val="center"/>
                    <w:rPr>
                      <w:rFonts w:hint="eastAsia" w:ascii="Times New Roman" w:hAnsi="Times New Roman" w:eastAsia="宋体" w:cs="Times New Roman"/>
                      <w:bCs/>
                      <w:color w:val="FF0000"/>
                      <w:szCs w:val="21"/>
                      <w:highlight w:val="none"/>
                      <w:lang w:val="en-US" w:eastAsia="zh-CN" w:bidi="zh-CN"/>
                    </w:rPr>
                  </w:pPr>
                </w:p>
              </w:tc>
              <w:tc>
                <w:tcPr>
                  <w:tcW w:w="784" w:type="pct"/>
                  <w:tcBorders>
                    <w:tl2br w:val="nil"/>
                    <w:tr2bl w:val="nil"/>
                  </w:tcBorders>
                  <w:noWrap/>
                  <w:vAlign w:val="center"/>
                </w:tcPr>
                <w:p w14:paraId="20F8EDFD">
                  <w:pPr>
                    <w:widowControl/>
                    <w:autoSpaceDE w:val="0"/>
                    <w:autoSpaceDN w:val="0"/>
                    <w:jc w:val="center"/>
                    <w:rPr>
                      <w:rFonts w:hint="default"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生产废水</w:t>
                  </w:r>
                </w:p>
              </w:tc>
              <w:tc>
                <w:tcPr>
                  <w:tcW w:w="1748" w:type="pct"/>
                  <w:tcBorders>
                    <w:tl2br w:val="nil"/>
                    <w:tr2bl w:val="nil"/>
                  </w:tcBorders>
                  <w:noWrap/>
                  <w:vAlign w:val="center"/>
                </w:tcPr>
                <w:p w14:paraId="67E87D37">
                  <w:pPr>
                    <w:widowControl/>
                    <w:autoSpaceDE w:val="0"/>
                    <w:autoSpaceDN w:val="0"/>
                    <w:jc w:val="center"/>
                    <w:rPr>
                      <w:rFonts w:hint="default"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煤炭洗选</w:t>
                  </w:r>
                </w:p>
              </w:tc>
              <w:tc>
                <w:tcPr>
                  <w:tcW w:w="2088" w:type="pct"/>
                  <w:tcBorders>
                    <w:tl2br w:val="nil"/>
                    <w:tr2bl w:val="nil"/>
                  </w:tcBorders>
                  <w:noWrap/>
                  <w:vAlign w:val="center"/>
                </w:tcPr>
                <w:p w14:paraId="25028C2D">
                  <w:pPr>
                    <w:widowControl/>
                    <w:autoSpaceDE w:val="0"/>
                    <w:autoSpaceDN w:val="0"/>
                    <w:jc w:val="center"/>
                    <w:rPr>
                      <w:rFonts w:hint="default"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COD、BOD</w:t>
                  </w:r>
                  <w:r>
                    <w:rPr>
                      <w:rFonts w:hint="eastAsia" w:ascii="Times New Roman" w:hAnsi="Times New Roman" w:eastAsia="宋体" w:cs="Times New Roman"/>
                      <w:bCs/>
                      <w:color w:val="FF0000"/>
                      <w:szCs w:val="21"/>
                      <w:highlight w:val="none"/>
                      <w:vertAlign w:val="subscript"/>
                      <w:lang w:val="en-US" w:eastAsia="zh-CN" w:bidi="zh-CN"/>
                    </w:rPr>
                    <w:t>5</w:t>
                  </w:r>
                  <w:r>
                    <w:rPr>
                      <w:rFonts w:hint="eastAsia" w:ascii="Times New Roman" w:hAnsi="Times New Roman" w:eastAsia="宋体" w:cs="Times New Roman"/>
                      <w:bCs/>
                      <w:color w:val="FF0000"/>
                      <w:szCs w:val="21"/>
                      <w:highlight w:val="none"/>
                      <w:lang w:val="en-US" w:eastAsia="zh-CN" w:bidi="zh-CN"/>
                    </w:rPr>
                    <w:t>、氨氮、SS、石油类</w:t>
                  </w:r>
                </w:p>
              </w:tc>
            </w:tr>
            <w:tr w14:paraId="126748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377" w:type="pct"/>
                  <w:vMerge w:val="restart"/>
                  <w:tcBorders>
                    <w:tl2br w:val="nil"/>
                    <w:tr2bl w:val="nil"/>
                  </w:tcBorders>
                  <w:noWrap/>
                  <w:vAlign w:val="center"/>
                </w:tcPr>
                <w:p w14:paraId="28858C0C">
                  <w:pPr>
                    <w:widowControl/>
                    <w:autoSpaceDE w:val="0"/>
                    <w:autoSpaceDN w:val="0"/>
                    <w:jc w:val="center"/>
                    <w:rPr>
                      <w:rFonts w:hint="eastAsia" w:ascii="Times New Roman" w:hAnsi="Times New Roman" w:eastAsia="宋体" w:cs="Times New Roman"/>
                      <w:bCs/>
                      <w:color w:val="FF0000"/>
                      <w:szCs w:val="21"/>
                      <w:highlight w:val="green"/>
                      <w:lang w:val="en-US" w:eastAsia="zh-CN" w:bidi="zh-CN"/>
                    </w:rPr>
                  </w:pPr>
                  <w:r>
                    <w:rPr>
                      <w:rFonts w:hint="eastAsia" w:ascii="Times New Roman" w:hAnsi="Times New Roman" w:eastAsia="宋体" w:cs="Times New Roman"/>
                      <w:bCs/>
                      <w:color w:val="FF0000"/>
                      <w:szCs w:val="21"/>
                      <w:highlight w:val="green"/>
                      <w:lang w:val="en-US" w:eastAsia="zh-CN" w:bidi="zh-CN"/>
                    </w:rPr>
                    <w:t>固废</w:t>
                  </w:r>
                </w:p>
              </w:tc>
              <w:tc>
                <w:tcPr>
                  <w:tcW w:w="784" w:type="pct"/>
                  <w:tcBorders>
                    <w:tl2br w:val="nil"/>
                    <w:tr2bl w:val="nil"/>
                  </w:tcBorders>
                  <w:noWrap/>
                  <w:vAlign w:val="center"/>
                </w:tcPr>
                <w:p w14:paraId="265A6E45">
                  <w:pPr>
                    <w:widowControl/>
                    <w:autoSpaceDE w:val="0"/>
                    <w:autoSpaceDN w:val="0"/>
                    <w:jc w:val="center"/>
                    <w:rPr>
                      <w:rFonts w:hint="eastAsia" w:ascii="Times New Roman" w:hAnsi="Times New Roman" w:eastAsia="宋体" w:cs="Times New Roman"/>
                      <w:bCs/>
                      <w:color w:val="FF0000"/>
                      <w:szCs w:val="21"/>
                      <w:highlight w:val="green"/>
                      <w:lang w:val="en-US" w:eastAsia="zh-CN" w:bidi="zh-CN"/>
                    </w:rPr>
                  </w:pPr>
                  <w:r>
                    <w:rPr>
                      <w:rFonts w:hint="eastAsia" w:ascii="Times New Roman" w:hAnsi="Times New Roman" w:eastAsia="宋体" w:cs="Times New Roman"/>
                      <w:bCs/>
                      <w:color w:val="FF0000"/>
                      <w:szCs w:val="21"/>
                      <w:highlight w:val="green"/>
                      <w:lang w:val="en-US" w:eastAsia="zh-CN" w:bidi="zh-CN"/>
                    </w:rPr>
                    <w:t>选煤生产线</w:t>
                  </w:r>
                </w:p>
              </w:tc>
              <w:tc>
                <w:tcPr>
                  <w:tcW w:w="1748" w:type="pct"/>
                  <w:tcBorders>
                    <w:tl2br w:val="nil"/>
                    <w:tr2bl w:val="nil"/>
                  </w:tcBorders>
                  <w:noWrap/>
                  <w:vAlign w:val="center"/>
                </w:tcPr>
                <w:p w14:paraId="76451299">
                  <w:pPr>
                    <w:widowControl/>
                    <w:autoSpaceDE w:val="0"/>
                    <w:autoSpaceDN w:val="0"/>
                    <w:jc w:val="center"/>
                    <w:rPr>
                      <w:rFonts w:hint="eastAsia" w:ascii="Times New Roman" w:hAnsi="Times New Roman" w:eastAsia="宋体" w:cs="Times New Roman"/>
                      <w:bCs/>
                      <w:color w:val="FF0000"/>
                      <w:szCs w:val="21"/>
                      <w:highlight w:val="green"/>
                      <w:lang w:val="en-US" w:eastAsia="zh-CN" w:bidi="zh-CN"/>
                    </w:rPr>
                  </w:pPr>
                  <w:r>
                    <w:rPr>
                      <w:rFonts w:hint="eastAsia" w:ascii="Times New Roman" w:hAnsi="Times New Roman" w:eastAsia="宋体" w:cs="Times New Roman"/>
                      <w:bCs/>
                      <w:color w:val="FF0000"/>
                      <w:szCs w:val="21"/>
                      <w:highlight w:val="green"/>
                      <w:lang w:val="en-US" w:eastAsia="zh-CN" w:bidi="zh-CN"/>
                    </w:rPr>
                    <w:t>煤炭洗选</w:t>
                  </w:r>
                </w:p>
              </w:tc>
              <w:tc>
                <w:tcPr>
                  <w:tcW w:w="2088" w:type="pct"/>
                  <w:tcBorders>
                    <w:tl2br w:val="nil"/>
                    <w:tr2bl w:val="nil"/>
                  </w:tcBorders>
                  <w:noWrap/>
                  <w:vAlign w:val="center"/>
                </w:tcPr>
                <w:p w14:paraId="52E76700">
                  <w:pPr>
                    <w:widowControl/>
                    <w:autoSpaceDE w:val="0"/>
                    <w:autoSpaceDN w:val="0"/>
                    <w:jc w:val="center"/>
                    <w:rPr>
                      <w:rFonts w:hint="eastAsia" w:ascii="Times New Roman" w:hAnsi="Times New Roman" w:eastAsia="宋体" w:cs="Times New Roman"/>
                      <w:bCs/>
                      <w:color w:val="FF0000"/>
                      <w:szCs w:val="21"/>
                      <w:highlight w:val="green"/>
                      <w:lang w:val="en-US" w:eastAsia="zh-CN" w:bidi="zh-CN"/>
                    </w:rPr>
                  </w:pPr>
                  <w:r>
                    <w:rPr>
                      <w:rFonts w:hint="eastAsia" w:ascii="Times New Roman" w:hAnsi="Times New Roman" w:eastAsia="宋体" w:cs="Times New Roman"/>
                      <w:bCs/>
                      <w:color w:val="FF0000"/>
                      <w:szCs w:val="21"/>
                      <w:highlight w:val="green"/>
                      <w:lang w:val="en-US" w:eastAsia="zh-CN" w:bidi="zh-CN"/>
                    </w:rPr>
                    <w:t>煤泥、矸石</w:t>
                  </w:r>
                </w:p>
              </w:tc>
            </w:tr>
            <w:tr w14:paraId="2CE5AF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377" w:type="pct"/>
                  <w:vMerge w:val="continue"/>
                  <w:tcBorders>
                    <w:tl2br w:val="nil"/>
                    <w:tr2bl w:val="nil"/>
                  </w:tcBorders>
                  <w:noWrap/>
                  <w:vAlign w:val="center"/>
                </w:tcPr>
                <w:p w14:paraId="4390A0DD">
                  <w:pPr>
                    <w:widowControl/>
                    <w:autoSpaceDE w:val="0"/>
                    <w:autoSpaceDN w:val="0"/>
                    <w:jc w:val="center"/>
                    <w:rPr>
                      <w:rFonts w:hint="eastAsia" w:ascii="Times New Roman" w:hAnsi="Times New Roman" w:eastAsia="宋体" w:cs="Times New Roman"/>
                      <w:bCs/>
                      <w:color w:val="FF0000"/>
                      <w:szCs w:val="21"/>
                      <w:highlight w:val="green"/>
                      <w:lang w:val="en-US" w:eastAsia="zh-CN" w:bidi="zh-CN"/>
                    </w:rPr>
                  </w:pPr>
                </w:p>
              </w:tc>
              <w:tc>
                <w:tcPr>
                  <w:tcW w:w="784" w:type="pct"/>
                  <w:tcBorders>
                    <w:tl2br w:val="nil"/>
                    <w:tr2bl w:val="nil"/>
                  </w:tcBorders>
                  <w:noWrap/>
                  <w:vAlign w:val="center"/>
                </w:tcPr>
                <w:p w14:paraId="5C90B8E2">
                  <w:pPr>
                    <w:widowControl/>
                    <w:autoSpaceDE w:val="0"/>
                    <w:autoSpaceDN w:val="0"/>
                    <w:jc w:val="center"/>
                    <w:rPr>
                      <w:rFonts w:hint="default" w:ascii="Times New Roman" w:hAnsi="Times New Roman" w:eastAsia="宋体" w:cs="Times New Roman"/>
                      <w:bCs/>
                      <w:color w:val="FF0000"/>
                      <w:szCs w:val="21"/>
                      <w:highlight w:val="green"/>
                      <w:lang w:val="en-US" w:eastAsia="zh-CN" w:bidi="zh-CN"/>
                    </w:rPr>
                  </w:pPr>
                  <w:r>
                    <w:rPr>
                      <w:rFonts w:hint="eastAsia" w:cs="Times New Roman"/>
                      <w:bCs/>
                      <w:color w:val="FF0000"/>
                      <w:szCs w:val="21"/>
                      <w:highlight w:val="green"/>
                      <w:lang w:val="en-US" w:eastAsia="zh-CN" w:bidi="zh-CN"/>
                    </w:rPr>
                    <w:t>化验室</w:t>
                  </w:r>
                </w:p>
              </w:tc>
              <w:tc>
                <w:tcPr>
                  <w:tcW w:w="1748" w:type="pct"/>
                  <w:tcBorders>
                    <w:tl2br w:val="nil"/>
                    <w:tr2bl w:val="nil"/>
                  </w:tcBorders>
                  <w:noWrap/>
                  <w:vAlign w:val="center"/>
                </w:tcPr>
                <w:p w14:paraId="5F68938C">
                  <w:pPr>
                    <w:widowControl/>
                    <w:autoSpaceDE w:val="0"/>
                    <w:autoSpaceDN w:val="0"/>
                    <w:jc w:val="center"/>
                    <w:rPr>
                      <w:rFonts w:hint="default" w:ascii="Times New Roman" w:hAnsi="Times New Roman" w:eastAsia="宋体" w:cs="Times New Roman"/>
                      <w:bCs/>
                      <w:color w:val="FF0000"/>
                      <w:szCs w:val="21"/>
                      <w:highlight w:val="green"/>
                      <w:lang w:val="en-US" w:eastAsia="zh-CN" w:bidi="zh-CN"/>
                    </w:rPr>
                  </w:pPr>
                  <w:r>
                    <w:rPr>
                      <w:rFonts w:hint="eastAsia" w:cs="Times New Roman"/>
                      <w:bCs/>
                      <w:color w:val="FF0000"/>
                      <w:szCs w:val="21"/>
                      <w:highlight w:val="green"/>
                      <w:lang w:val="en-US" w:eastAsia="zh-CN" w:bidi="zh-CN"/>
                    </w:rPr>
                    <w:t>试验</w:t>
                  </w:r>
                </w:p>
              </w:tc>
              <w:tc>
                <w:tcPr>
                  <w:tcW w:w="2088" w:type="pct"/>
                  <w:tcBorders>
                    <w:tl2br w:val="nil"/>
                    <w:tr2bl w:val="nil"/>
                  </w:tcBorders>
                  <w:noWrap/>
                  <w:vAlign w:val="center"/>
                </w:tcPr>
                <w:p w14:paraId="0E08D2D5">
                  <w:pPr>
                    <w:widowControl/>
                    <w:autoSpaceDE w:val="0"/>
                    <w:autoSpaceDN w:val="0"/>
                    <w:jc w:val="center"/>
                    <w:rPr>
                      <w:rFonts w:hint="eastAsia" w:ascii="Times New Roman" w:hAnsi="Times New Roman" w:eastAsia="宋体" w:cs="Times New Roman"/>
                      <w:bCs/>
                      <w:color w:val="FF0000"/>
                      <w:szCs w:val="21"/>
                      <w:highlight w:val="green"/>
                      <w:lang w:val="en-US" w:eastAsia="zh-CN" w:bidi="zh-CN"/>
                    </w:rPr>
                  </w:pPr>
                  <w:r>
                    <w:rPr>
                      <w:rFonts w:hint="eastAsia" w:ascii="Times New Roman" w:hAnsi="Times New Roman" w:eastAsia="宋体" w:cs="Times New Roman"/>
                      <w:bCs/>
                      <w:color w:val="FF0000"/>
                      <w:szCs w:val="21"/>
                      <w:highlight w:val="green"/>
                      <w:lang w:val="en-US" w:eastAsia="zh-CN" w:bidi="zh-CN"/>
                    </w:rPr>
                    <w:t>试验灰渣</w:t>
                  </w:r>
                </w:p>
              </w:tc>
            </w:tr>
            <w:tr w14:paraId="52B64D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377" w:type="pct"/>
                  <w:vMerge w:val="continue"/>
                  <w:tcBorders>
                    <w:tl2br w:val="nil"/>
                    <w:tr2bl w:val="nil"/>
                  </w:tcBorders>
                  <w:noWrap/>
                  <w:vAlign w:val="center"/>
                </w:tcPr>
                <w:p w14:paraId="4C902D83">
                  <w:pPr>
                    <w:widowControl/>
                    <w:autoSpaceDE w:val="0"/>
                    <w:autoSpaceDN w:val="0"/>
                    <w:jc w:val="center"/>
                    <w:rPr>
                      <w:rFonts w:hint="eastAsia" w:ascii="Times New Roman" w:hAnsi="Times New Roman" w:eastAsia="宋体" w:cs="Times New Roman"/>
                      <w:bCs/>
                      <w:color w:val="FF0000"/>
                      <w:szCs w:val="21"/>
                      <w:highlight w:val="green"/>
                      <w:lang w:val="en-US" w:eastAsia="zh-CN" w:bidi="zh-CN"/>
                    </w:rPr>
                  </w:pPr>
                </w:p>
              </w:tc>
              <w:tc>
                <w:tcPr>
                  <w:tcW w:w="784" w:type="pct"/>
                  <w:tcBorders>
                    <w:tl2br w:val="nil"/>
                    <w:tr2bl w:val="nil"/>
                  </w:tcBorders>
                  <w:noWrap/>
                  <w:vAlign w:val="center"/>
                </w:tcPr>
                <w:p w14:paraId="6450F059">
                  <w:pPr>
                    <w:widowControl/>
                    <w:autoSpaceDE w:val="0"/>
                    <w:autoSpaceDN w:val="0"/>
                    <w:jc w:val="center"/>
                    <w:rPr>
                      <w:rFonts w:hint="default" w:cs="Times New Roman"/>
                      <w:bCs/>
                      <w:color w:val="FF0000"/>
                      <w:szCs w:val="21"/>
                      <w:highlight w:val="green"/>
                      <w:lang w:val="en-US" w:eastAsia="zh-CN" w:bidi="zh-CN"/>
                    </w:rPr>
                  </w:pPr>
                  <w:r>
                    <w:rPr>
                      <w:rFonts w:hint="eastAsia" w:cs="Times New Roman"/>
                      <w:bCs/>
                      <w:color w:val="FF0000"/>
                      <w:szCs w:val="21"/>
                      <w:highlight w:val="green"/>
                      <w:lang w:val="en-US" w:eastAsia="zh-CN" w:bidi="zh-CN"/>
                    </w:rPr>
                    <w:t>机修</w:t>
                  </w:r>
                </w:p>
              </w:tc>
              <w:tc>
                <w:tcPr>
                  <w:tcW w:w="1748" w:type="pct"/>
                  <w:tcBorders>
                    <w:tl2br w:val="nil"/>
                    <w:tr2bl w:val="nil"/>
                  </w:tcBorders>
                  <w:noWrap/>
                  <w:vAlign w:val="center"/>
                </w:tcPr>
                <w:p w14:paraId="32F27462">
                  <w:pPr>
                    <w:widowControl/>
                    <w:autoSpaceDE w:val="0"/>
                    <w:autoSpaceDN w:val="0"/>
                    <w:jc w:val="center"/>
                    <w:rPr>
                      <w:rFonts w:hint="default" w:cs="Times New Roman"/>
                      <w:bCs/>
                      <w:color w:val="FF0000"/>
                      <w:szCs w:val="21"/>
                      <w:highlight w:val="green"/>
                      <w:lang w:val="en-US" w:eastAsia="zh-CN" w:bidi="zh-CN"/>
                    </w:rPr>
                  </w:pPr>
                  <w:r>
                    <w:rPr>
                      <w:rFonts w:hint="eastAsia" w:cs="Times New Roman"/>
                      <w:bCs/>
                      <w:color w:val="FF0000"/>
                      <w:szCs w:val="21"/>
                      <w:highlight w:val="green"/>
                      <w:lang w:val="en-US" w:eastAsia="zh-CN" w:bidi="zh-CN"/>
                    </w:rPr>
                    <w:t>机修</w:t>
                  </w:r>
                </w:p>
              </w:tc>
              <w:tc>
                <w:tcPr>
                  <w:tcW w:w="2088" w:type="pct"/>
                  <w:tcBorders>
                    <w:tl2br w:val="nil"/>
                    <w:tr2bl w:val="nil"/>
                  </w:tcBorders>
                  <w:noWrap/>
                  <w:vAlign w:val="center"/>
                </w:tcPr>
                <w:p w14:paraId="69740F72">
                  <w:pPr>
                    <w:widowControl/>
                    <w:autoSpaceDE w:val="0"/>
                    <w:autoSpaceDN w:val="0"/>
                    <w:jc w:val="center"/>
                    <w:rPr>
                      <w:rFonts w:hint="eastAsia" w:ascii="Times New Roman" w:hAnsi="Times New Roman" w:eastAsia="宋体" w:cs="Times New Roman"/>
                      <w:bCs/>
                      <w:color w:val="FF0000"/>
                      <w:szCs w:val="21"/>
                      <w:highlight w:val="green"/>
                      <w:lang w:val="en-US" w:eastAsia="zh-CN" w:bidi="zh-CN"/>
                    </w:rPr>
                  </w:pPr>
                  <w:r>
                    <w:rPr>
                      <w:rFonts w:hint="eastAsia" w:ascii="Times New Roman" w:hAnsi="Times New Roman" w:eastAsia="宋体" w:cs="Times New Roman"/>
                      <w:bCs/>
                      <w:color w:val="FF0000"/>
                      <w:szCs w:val="21"/>
                      <w:highlight w:val="green"/>
                      <w:lang w:val="en-US" w:eastAsia="zh-CN" w:bidi="zh-CN"/>
                    </w:rPr>
                    <w:t>废机油、废油桶</w:t>
                  </w:r>
                </w:p>
              </w:tc>
            </w:tr>
            <w:tr w14:paraId="536C2B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trPr>
              <w:tc>
                <w:tcPr>
                  <w:tcW w:w="377" w:type="pct"/>
                  <w:vMerge w:val="continue"/>
                  <w:tcBorders>
                    <w:tl2br w:val="nil"/>
                    <w:tr2bl w:val="nil"/>
                  </w:tcBorders>
                  <w:noWrap/>
                  <w:vAlign w:val="center"/>
                </w:tcPr>
                <w:p w14:paraId="4D717EF9">
                  <w:pPr>
                    <w:widowControl/>
                    <w:autoSpaceDE w:val="0"/>
                    <w:autoSpaceDN w:val="0"/>
                    <w:jc w:val="center"/>
                    <w:rPr>
                      <w:rFonts w:hint="eastAsia" w:ascii="Times New Roman" w:hAnsi="Times New Roman" w:eastAsia="宋体" w:cs="Times New Roman"/>
                      <w:bCs/>
                      <w:color w:val="FF0000"/>
                      <w:szCs w:val="21"/>
                      <w:highlight w:val="green"/>
                      <w:lang w:val="en-US" w:eastAsia="zh-CN" w:bidi="zh-CN"/>
                    </w:rPr>
                  </w:pPr>
                </w:p>
              </w:tc>
              <w:tc>
                <w:tcPr>
                  <w:tcW w:w="784" w:type="pct"/>
                  <w:tcBorders>
                    <w:tl2br w:val="nil"/>
                    <w:tr2bl w:val="nil"/>
                  </w:tcBorders>
                  <w:noWrap/>
                  <w:vAlign w:val="center"/>
                </w:tcPr>
                <w:p w14:paraId="7C72D6FE">
                  <w:pPr>
                    <w:widowControl/>
                    <w:autoSpaceDE w:val="0"/>
                    <w:autoSpaceDN w:val="0"/>
                    <w:jc w:val="center"/>
                    <w:rPr>
                      <w:rFonts w:hint="eastAsia" w:ascii="Times New Roman" w:hAnsi="Times New Roman" w:eastAsia="宋体" w:cs="Times New Roman"/>
                      <w:bCs/>
                      <w:color w:val="FF0000"/>
                      <w:szCs w:val="21"/>
                      <w:highlight w:val="green"/>
                      <w:lang w:val="en-US" w:eastAsia="zh-CN" w:bidi="zh-CN"/>
                    </w:rPr>
                  </w:pPr>
                  <w:r>
                    <w:rPr>
                      <w:rFonts w:hint="eastAsia" w:cs="Times New Roman"/>
                      <w:bCs/>
                      <w:color w:val="FF0000"/>
                      <w:szCs w:val="21"/>
                      <w:highlight w:val="green"/>
                      <w:lang w:val="en-US" w:eastAsia="zh-CN" w:bidi="zh-CN"/>
                    </w:rPr>
                    <w:t>职工生活</w:t>
                  </w:r>
                </w:p>
              </w:tc>
              <w:tc>
                <w:tcPr>
                  <w:tcW w:w="1748" w:type="pct"/>
                  <w:tcBorders>
                    <w:tl2br w:val="nil"/>
                    <w:tr2bl w:val="nil"/>
                  </w:tcBorders>
                  <w:noWrap/>
                  <w:vAlign w:val="center"/>
                </w:tcPr>
                <w:p w14:paraId="5CAED657">
                  <w:pPr>
                    <w:widowControl/>
                    <w:autoSpaceDE w:val="0"/>
                    <w:autoSpaceDN w:val="0"/>
                    <w:jc w:val="center"/>
                    <w:rPr>
                      <w:rFonts w:hint="eastAsia" w:ascii="Times New Roman" w:hAnsi="Times New Roman" w:eastAsia="宋体" w:cs="Times New Roman"/>
                      <w:bCs/>
                      <w:color w:val="FF0000"/>
                      <w:szCs w:val="21"/>
                      <w:highlight w:val="green"/>
                      <w:lang w:val="en-US" w:eastAsia="zh-CN" w:bidi="zh-CN"/>
                    </w:rPr>
                  </w:pPr>
                  <w:r>
                    <w:rPr>
                      <w:rFonts w:hint="eastAsia" w:ascii="Times New Roman" w:hAnsi="Times New Roman" w:eastAsia="宋体" w:cs="Times New Roman"/>
                      <w:bCs/>
                      <w:color w:val="FF0000"/>
                      <w:szCs w:val="21"/>
                      <w:highlight w:val="green"/>
                      <w:lang w:val="en-US" w:eastAsia="zh-CN" w:bidi="zh-CN"/>
                    </w:rPr>
                    <w:t>职工生活</w:t>
                  </w:r>
                </w:p>
              </w:tc>
              <w:tc>
                <w:tcPr>
                  <w:tcW w:w="2088" w:type="pct"/>
                  <w:tcBorders>
                    <w:tl2br w:val="nil"/>
                    <w:tr2bl w:val="nil"/>
                  </w:tcBorders>
                  <w:noWrap/>
                  <w:vAlign w:val="center"/>
                </w:tcPr>
                <w:p w14:paraId="3A61C26A">
                  <w:pPr>
                    <w:widowControl/>
                    <w:autoSpaceDE w:val="0"/>
                    <w:autoSpaceDN w:val="0"/>
                    <w:jc w:val="center"/>
                    <w:rPr>
                      <w:rFonts w:hint="eastAsia" w:ascii="Times New Roman" w:hAnsi="Times New Roman" w:eastAsia="宋体" w:cs="Times New Roman"/>
                      <w:bCs/>
                      <w:color w:val="FF0000"/>
                      <w:szCs w:val="21"/>
                      <w:highlight w:val="green"/>
                      <w:lang w:val="en-US" w:eastAsia="zh-CN" w:bidi="zh-CN"/>
                    </w:rPr>
                  </w:pPr>
                  <w:r>
                    <w:rPr>
                      <w:rFonts w:hint="eastAsia" w:ascii="Times New Roman" w:hAnsi="Times New Roman" w:eastAsia="宋体" w:cs="Times New Roman"/>
                      <w:bCs/>
                      <w:color w:val="FF0000"/>
                      <w:szCs w:val="21"/>
                      <w:highlight w:val="green"/>
                      <w:lang w:val="en-US" w:eastAsia="zh-CN" w:bidi="zh-CN"/>
                    </w:rPr>
                    <w:t>生活垃圾、废油脂</w:t>
                  </w:r>
                </w:p>
              </w:tc>
            </w:tr>
          </w:tbl>
          <w:p w14:paraId="54063856">
            <w:pPr>
              <w:pStyle w:val="24"/>
              <w:spacing w:before="120" w:beforeLines="50" w:beforeAutospacing="0" w:after="0" w:afterAutospacing="0" w:line="360" w:lineRule="auto"/>
              <w:jc w:val="both"/>
              <w:rPr>
                <w:rFonts w:ascii="Times New Roman" w:hAnsi="Times New Roman"/>
                <w:b/>
                <w:color w:val="FF0000"/>
                <w:szCs w:val="24"/>
                <w:highlight w:val="none"/>
              </w:rPr>
            </w:pPr>
          </w:p>
          <w:p w14:paraId="591FA1C7">
            <w:pPr>
              <w:pStyle w:val="24"/>
              <w:spacing w:before="120" w:beforeLines="50" w:beforeAutospacing="0" w:after="0" w:afterAutospacing="0" w:line="360" w:lineRule="auto"/>
              <w:jc w:val="both"/>
              <w:rPr>
                <w:rFonts w:hint="eastAsia" w:eastAsia="宋体"/>
                <w:bCs/>
                <w:color w:val="000000" w:themeColor="text1"/>
                <w:szCs w:val="21"/>
                <w:lang w:eastAsia="zh-CN"/>
                <w14:textFill>
                  <w14:solidFill>
                    <w14:schemeClr w14:val="tx1"/>
                  </w14:solidFill>
                </w14:textFill>
              </w:rPr>
            </w:pPr>
          </w:p>
        </w:tc>
      </w:tr>
      <w:tr w14:paraId="44CFC5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19" w:hRule="atLeast"/>
          <w:jc w:val="center"/>
        </w:trPr>
        <w:tc>
          <w:tcPr>
            <w:tcW w:w="823" w:type="dxa"/>
            <w:vAlign w:val="center"/>
          </w:tcPr>
          <w:p w14:paraId="3DC69B0E">
            <w:pPr>
              <w:pStyle w:val="24"/>
              <w:adjustRightInd w:val="0"/>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ascii="Times New Roman" w:hAnsi="Times New Roman"/>
                <w:bCs/>
                <w:color w:val="000000" w:themeColor="text1"/>
                <w:kern w:val="2"/>
                <w:szCs w:val="24"/>
                <w14:textFill>
                  <w14:solidFill>
                    <w14:schemeClr w14:val="tx1"/>
                  </w14:solidFill>
                </w14:textFill>
              </w:rPr>
              <w:t>与项目有关的原有环境污染问题</w:t>
            </w:r>
          </w:p>
        </w:tc>
        <w:tc>
          <w:tcPr>
            <w:tcW w:w="8161" w:type="dxa"/>
            <w:vAlign w:val="center"/>
          </w:tcPr>
          <w:p w14:paraId="2D5F8FC4">
            <w:pPr>
              <w:spacing w:line="360" w:lineRule="auto"/>
              <w:ind w:firstLine="482" w:firstLineChars="200"/>
              <w:rPr>
                <w:rFonts w:hint="default"/>
                <w:b/>
                <w:bCs w:val="0"/>
                <w:color w:val="000000" w:themeColor="text1"/>
                <w:sz w:val="24"/>
                <w:highlight w:val="none"/>
                <w:lang w:val="en-US" w:eastAsia="zh-CN"/>
                <w14:textFill>
                  <w14:solidFill>
                    <w14:schemeClr w14:val="tx1"/>
                  </w14:solidFill>
                </w14:textFill>
              </w:rPr>
            </w:pPr>
            <w:r>
              <w:rPr>
                <w:rFonts w:hint="default"/>
                <w:b/>
                <w:bCs w:val="0"/>
                <w:color w:val="000000" w:themeColor="text1"/>
                <w:sz w:val="24"/>
                <w:highlight w:val="none"/>
                <w:lang w:val="en-US" w:eastAsia="zh-CN"/>
                <w14:textFill>
                  <w14:solidFill>
                    <w14:schemeClr w14:val="tx1"/>
                  </w14:solidFill>
                </w14:textFill>
              </w:rPr>
              <w:t>1、环保手续履行情况</w:t>
            </w:r>
          </w:p>
          <w:p w14:paraId="12988102">
            <w:pPr>
              <w:spacing w:line="360" w:lineRule="auto"/>
              <w:ind w:firstLine="480" w:firstLineChars="200"/>
              <w:rPr>
                <w:rFonts w:hint="default"/>
                <w:bCs/>
                <w:color w:val="000000" w:themeColor="text1"/>
                <w:sz w:val="24"/>
                <w:highlight w:val="red"/>
                <w14:textFill>
                  <w14:solidFill>
                    <w14:schemeClr w14:val="tx1"/>
                  </w14:solidFill>
                </w14:textFill>
              </w:rPr>
            </w:pPr>
            <w:r>
              <w:rPr>
                <w:rFonts w:hint="default"/>
                <w:bCs/>
                <w:color w:val="000000" w:themeColor="text1"/>
                <w:sz w:val="24"/>
                <w:highlight w:val="none"/>
                <w:lang w:val="en-US" w:eastAsia="zh-CN"/>
                <w14:textFill>
                  <w14:solidFill>
                    <w14:schemeClr w14:val="tx1"/>
                  </w14:solidFill>
                </w14:textFill>
              </w:rPr>
              <w:t>20</w:t>
            </w:r>
            <w:r>
              <w:rPr>
                <w:rFonts w:hint="eastAsia"/>
                <w:bCs/>
                <w:color w:val="000000" w:themeColor="text1"/>
                <w:sz w:val="24"/>
                <w:highlight w:val="none"/>
                <w:lang w:val="en-US" w:eastAsia="zh-CN"/>
                <w14:textFill>
                  <w14:solidFill>
                    <w14:schemeClr w14:val="tx1"/>
                  </w14:solidFill>
                </w14:textFill>
              </w:rPr>
              <w:t>08</w:t>
            </w:r>
            <w:r>
              <w:rPr>
                <w:rFonts w:hint="default"/>
                <w:bCs/>
                <w:color w:val="000000" w:themeColor="text1"/>
                <w:sz w:val="24"/>
                <w:highlight w:val="none"/>
                <w:lang w:val="en-US" w:eastAsia="zh-CN"/>
                <w14:textFill>
                  <w14:solidFill>
                    <w14:schemeClr w14:val="tx1"/>
                  </w14:solidFill>
                </w14:textFill>
              </w:rPr>
              <w:t>年</w:t>
            </w:r>
            <w:r>
              <w:rPr>
                <w:rFonts w:hint="eastAsia"/>
                <w:bCs/>
                <w:color w:val="000000" w:themeColor="text1"/>
                <w:sz w:val="24"/>
                <w:highlight w:val="none"/>
                <w:lang w:val="en-US" w:eastAsia="zh-CN"/>
                <w14:textFill>
                  <w14:solidFill>
                    <w14:schemeClr w14:val="tx1"/>
                  </w14:solidFill>
                </w14:textFill>
              </w:rPr>
              <w:t>8</w:t>
            </w:r>
            <w:r>
              <w:rPr>
                <w:rFonts w:hint="default"/>
                <w:bCs/>
                <w:color w:val="000000" w:themeColor="text1"/>
                <w:sz w:val="24"/>
                <w:highlight w:val="none"/>
                <w:lang w:val="en-US" w:eastAsia="zh-CN"/>
                <w14:textFill>
                  <w14:solidFill>
                    <w14:schemeClr w14:val="tx1"/>
                  </w14:solidFill>
                </w14:textFill>
              </w:rPr>
              <w:t>月黑龙江龙煤矿业集团有限责任公司双鸭山分公司委托鸡西市环境保护科学研究所编制完成了《黑龙江龙煤矿业集团有限责任公司双鸭山分公司中央选煤厂产业升级改造工程环境影响报告书》，2008年11月12日原黑龙江省环境保护厅以《关于中央选煤厂产业升级改造工程环境影响报告书的批复》（黑环函[2008]328号）予以批复。</w:t>
            </w:r>
          </w:p>
          <w:p w14:paraId="09EEBD55">
            <w:pPr>
              <w:spacing w:line="360" w:lineRule="auto"/>
              <w:ind w:firstLine="480" w:firstLineChars="200"/>
              <w:rPr>
                <w:rFonts w:hint="default"/>
                <w:bCs/>
                <w:color w:val="000000" w:themeColor="text1"/>
                <w:sz w:val="24"/>
                <w:highlight w:val="none"/>
                <w:lang w:val="en-US" w:eastAsia="zh-CN"/>
                <w14:textFill>
                  <w14:solidFill>
                    <w14:schemeClr w14:val="tx1"/>
                  </w14:solidFill>
                </w14:textFill>
              </w:rPr>
            </w:pPr>
            <w:r>
              <w:rPr>
                <w:rFonts w:hint="default"/>
                <w:bCs/>
                <w:color w:val="000000" w:themeColor="text1"/>
                <w:sz w:val="24"/>
                <w:highlight w:val="none"/>
                <w:lang w:val="en-US" w:eastAsia="zh-CN"/>
                <w14:textFill>
                  <w14:solidFill>
                    <w14:schemeClr w14:val="tx1"/>
                  </w14:solidFill>
                </w14:textFill>
              </w:rPr>
              <w:t>项目于2008年9月开工建设，2009年3月竣工</w:t>
            </w:r>
            <w:r>
              <w:rPr>
                <w:rFonts w:hint="eastAsia"/>
                <w:bCs/>
                <w:color w:val="000000" w:themeColor="text1"/>
                <w:sz w:val="24"/>
                <w:highlight w:val="none"/>
                <w:lang w:val="en-US" w:eastAsia="zh-CN"/>
                <w14:textFill>
                  <w14:solidFill>
                    <w14:schemeClr w14:val="tx1"/>
                  </w14:solidFill>
                </w14:textFill>
              </w:rPr>
              <w:t>，2023年9月进行自主验收。</w:t>
            </w:r>
            <w:r>
              <w:rPr>
                <w:rFonts w:hint="default"/>
                <w:bCs/>
                <w:color w:val="000000" w:themeColor="text1"/>
                <w:sz w:val="24"/>
                <w:highlight w:val="none"/>
                <w:lang w:val="en-US" w:eastAsia="zh-CN"/>
                <w14:textFill>
                  <w14:solidFill>
                    <w14:schemeClr w14:val="tx1"/>
                  </w14:solidFill>
                </w14:textFill>
              </w:rPr>
              <w:t>2022年11月制定黑龙江龙煤双鸭山矿业有限责任公司选煤公司中央选煤厂突发环境事件应急预案并于2022年11月17日报双鸭山市尖山生态环境局备案（备案编号230502-2022-006-L）</w:t>
            </w:r>
            <w:r>
              <w:rPr>
                <w:rFonts w:hint="eastAsia"/>
                <w:bCs/>
                <w:color w:val="000000" w:themeColor="text1"/>
                <w:sz w:val="24"/>
                <w:highlight w:val="none"/>
                <w:lang w:val="en-US" w:eastAsia="zh-CN"/>
                <w14:textFill>
                  <w14:solidFill>
                    <w14:schemeClr w14:val="tx1"/>
                  </w14:solidFill>
                </w14:textFill>
              </w:rPr>
              <w:t>。</w:t>
            </w:r>
          </w:p>
          <w:p w14:paraId="575BFF5B">
            <w:pPr>
              <w:spacing w:line="360" w:lineRule="auto"/>
              <w:ind w:firstLine="482" w:firstLineChars="200"/>
              <w:rPr>
                <w:rFonts w:hint="default"/>
                <w:bCs/>
                <w:color w:val="FF0000"/>
                <w:sz w:val="24"/>
                <w:highlight w:val="none"/>
                <w:lang w:val="en-US" w:eastAsia="zh-CN"/>
              </w:rPr>
            </w:pPr>
            <w:r>
              <w:rPr>
                <w:rFonts w:hint="default"/>
                <w:b/>
                <w:bCs w:val="0"/>
                <w:color w:val="FF0000"/>
                <w:sz w:val="24"/>
                <w:highlight w:val="none"/>
                <w:lang w:val="en-US" w:eastAsia="zh-CN"/>
              </w:rPr>
              <w:t>2、现有工程</w:t>
            </w:r>
            <w:r>
              <w:rPr>
                <w:rFonts w:hint="eastAsia"/>
                <w:b/>
                <w:bCs w:val="0"/>
                <w:color w:val="FF0000"/>
                <w:sz w:val="24"/>
                <w:highlight w:val="none"/>
                <w:lang w:val="en-US" w:eastAsia="zh-CN"/>
              </w:rPr>
              <w:t>工艺流程简述及</w:t>
            </w:r>
            <w:r>
              <w:rPr>
                <w:rFonts w:hint="default"/>
                <w:b/>
                <w:bCs w:val="0"/>
                <w:color w:val="FF0000"/>
                <w:sz w:val="24"/>
                <w:highlight w:val="none"/>
                <w:lang w:val="en-US" w:eastAsia="zh-CN"/>
              </w:rPr>
              <w:t>采取的措施达标情况</w:t>
            </w:r>
          </w:p>
          <w:p w14:paraId="5D148B32">
            <w:pPr>
              <w:spacing w:line="360" w:lineRule="auto"/>
              <w:ind w:firstLine="480" w:firstLineChars="200"/>
              <w:rPr>
                <w:rFonts w:hint="default"/>
                <w:bCs/>
                <w:color w:val="FF0000"/>
                <w:sz w:val="24"/>
                <w:highlight w:val="none"/>
                <w:lang w:val="en-US" w:eastAsia="zh-CN"/>
              </w:rPr>
            </w:pPr>
            <w:r>
              <w:rPr>
                <w:rFonts w:hint="eastAsia"/>
                <w:bCs/>
                <w:color w:val="FF0000"/>
                <w:sz w:val="24"/>
                <w:highlight w:val="none"/>
                <w:lang w:val="en-US" w:eastAsia="zh-CN"/>
              </w:rPr>
              <w:t>（1）原工艺流程</w:t>
            </w:r>
          </w:p>
          <w:p w14:paraId="57B9EF1C">
            <w:pPr>
              <w:spacing w:line="360" w:lineRule="auto"/>
              <w:ind w:firstLine="480" w:firstLineChars="200"/>
              <w:rPr>
                <w:rFonts w:hint="default"/>
                <w:bCs/>
                <w:color w:val="FF0000"/>
                <w:sz w:val="24"/>
                <w:highlight w:val="none"/>
                <w:lang w:val="en-US" w:eastAsia="zh-CN"/>
              </w:rPr>
            </w:pPr>
            <w:r>
              <w:rPr>
                <w:rFonts w:hint="default"/>
                <w:bCs/>
                <w:color w:val="FF0000"/>
                <w:sz w:val="24"/>
                <w:highlight w:val="none"/>
                <w:lang w:val="en-US" w:eastAsia="zh-CN"/>
              </w:rPr>
              <w:t>企业原采用跳汰洗选工艺，工艺流程简述如下：</w:t>
            </w:r>
          </w:p>
          <w:p w14:paraId="026BD80F">
            <w:pPr>
              <w:spacing w:line="360" w:lineRule="auto"/>
              <w:ind w:firstLine="480" w:firstLineChars="200"/>
              <w:rPr>
                <w:rFonts w:hint="default"/>
                <w:bCs/>
                <w:color w:val="FF0000"/>
                <w:sz w:val="24"/>
                <w:highlight w:val="none"/>
                <w:lang w:val="en-US" w:eastAsia="zh-CN"/>
              </w:rPr>
            </w:pPr>
            <w:r>
              <w:rPr>
                <w:rFonts w:hint="default"/>
                <w:bCs/>
                <w:color w:val="FF0000"/>
                <w:sz w:val="24"/>
                <w:highlight w:val="none"/>
                <w:lang w:val="en-US" w:eastAsia="zh-CN"/>
              </w:rPr>
              <w:t>原煤经预先筛选将可见的矸石等杂物拣出，大块煤经破碎与筛下物混合进入原煤分级筛。根据筛分结果得到矸石、精煤、粗煤。粗煤经过旋流筛筛分进入跳汰机，跳汰机矸石段排出最终矸石，跳汰机中煤和精煤混合后进入脱水筛，筛上物为块精煤。跳汰机中的精煤进入捞坑后由离心机脱水成为末精煤。</w:t>
            </w:r>
          </w:p>
          <w:p w14:paraId="0F743369">
            <w:pPr>
              <w:spacing w:line="360" w:lineRule="auto"/>
              <w:ind w:firstLine="480" w:firstLineChars="200"/>
              <w:rPr>
                <w:rFonts w:hint="default"/>
                <w:bCs/>
                <w:color w:val="000000" w:themeColor="text1"/>
                <w:sz w:val="24"/>
                <w:highlight w:val="none"/>
                <w:lang w:val="en-US" w:eastAsia="zh-CN"/>
                <w14:textFill>
                  <w14:solidFill>
                    <w14:schemeClr w14:val="tx1"/>
                  </w14:solidFill>
                </w14:textFill>
              </w:rPr>
            </w:pPr>
            <w:r>
              <w:rPr>
                <w:rFonts w:hint="default"/>
                <w:bCs/>
                <w:color w:val="FF0000"/>
                <w:sz w:val="24"/>
                <w:highlight w:val="none"/>
                <w:lang w:val="en-US" w:eastAsia="zh-CN"/>
              </w:rPr>
              <w:t>煤泥水系统采用全闭路循环的工艺流程，洗选过程产生的煤泥水进入浮选机，进行浮选，浮选精煤由精煤压滤机脱水与主选精煤混合，尾水进入浓缩机浓缩，溢流水进入清水池，底泥采用压滤机脱水，底流经压滤机压滤出的煤泥日产日清，压滤后的滤液进入清水池回用。</w:t>
            </w:r>
          </w:p>
          <w:p w14:paraId="3D97E963">
            <w:pPr>
              <w:spacing w:line="360" w:lineRule="auto"/>
              <w:ind w:firstLine="480" w:firstLineChars="200"/>
              <w:rPr>
                <w:rFonts w:hint="default"/>
                <w:bCs/>
                <w:color w:val="000000" w:themeColor="text1"/>
                <w:sz w:val="24"/>
                <w:highlight w:val="none"/>
                <w:lang w:val="en-US" w:eastAsia="zh-CN"/>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（2）采取的措施达标情况</w:t>
            </w:r>
          </w:p>
          <w:p w14:paraId="2BA9CEE6">
            <w:pPr>
              <w:spacing w:line="360" w:lineRule="auto"/>
              <w:ind w:firstLine="480" w:firstLineChars="200"/>
              <w:rPr>
                <w:rFonts w:hint="default"/>
                <w:bCs/>
                <w:color w:val="000000" w:themeColor="text1"/>
                <w:sz w:val="24"/>
                <w:highlight w:val="none"/>
                <w:lang w:val="en-US" w:eastAsia="zh-CN"/>
                <w14:textFill>
                  <w14:solidFill>
                    <w14:schemeClr w14:val="tx1"/>
                  </w14:solidFill>
                </w14:textFill>
              </w:rPr>
            </w:pPr>
            <w:r>
              <w:rPr>
                <w:rFonts w:hint="default"/>
                <w:bCs/>
                <w:color w:val="000000" w:themeColor="text1"/>
                <w:sz w:val="24"/>
                <w:highlight w:val="none"/>
                <w:lang w:val="en-US" w:eastAsia="zh-CN"/>
                <w14:textFill>
                  <w14:solidFill>
                    <w14:schemeClr w14:val="tx1"/>
                  </w14:solidFill>
                </w14:textFill>
              </w:rPr>
              <w:t>本项目现有工程的污染物排放情况根据《</w:t>
            </w:r>
            <w:bookmarkStart w:id="8" w:name="_Toc5374"/>
            <w:r>
              <w:rPr>
                <w:rFonts w:hint="default"/>
                <w:bCs/>
                <w:color w:val="000000" w:themeColor="text1"/>
                <w:sz w:val="24"/>
                <w:highlight w:val="none"/>
                <w:lang w:val="en-US" w:eastAsia="zh-CN"/>
                <w14:textFill>
                  <w14:solidFill>
                    <w14:schemeClr w14:val="tx1"/>
                  </w14:solidFill>
                </w14:textFill>
              </w:rPr>
              <w:t>黑龙江</w:t>
            </w:r>
            <w:bookmarkEnd w:id="8"/>
            <w:r>
              <w:rPr>
                <w:rFonts w:hint="default"/>
                <w:bCs/>
                <w:color w:val="000000" w:themeColor="text1"/>
                <w:sz w:val="24"/>
                <w:highlight w:val="none"/>
                <w:lang w:val="en-US" w:eastAsia="zh-CN"/>
                <w14:textFill>
                  <w14:solidFill>
                    <w14:schemeClr w14:val="tx1"/>
                  </w14:solidFill>
                </w14:textFill>
              </w:rPr>
              <w:t>龙煤矿业集团有限责任公司双鸭山分公司中央选煤厂产业升级改造工程</w:t>
            </w:r>
            <w:bookmarkStart w:id="9" w:name="_Toc2870"/>
            <w:bookmarkStart w:id="10" w:name="_Toc24875"/>
            <w:bookmarkStart w:id="11" w:name="_Toc30020"/>
            <w:bookmarkStart w:id="12" w:name="_Toc644"/>
            <w:bookmarkStart w:id="13" w:name="_Toc10946"/>
            <w:bookmarkStart w:id="14" w:name="_Toc27628"/>
            <w:r>
              <w:rPr>
                <w:rFonts w:hint="default"/>
                <w:bCs/>
                <w:color w:val="000000" w:themeColor="text1"/>
                <w:sz w:val="24"/>
                <w:highlight w:val="none"/>
                <w:lang w:val="en-US" w:eastAsia="zh-CN"/>
                <w14:textFill>
                  <w14:solidFill>
                    <w14:schemeClr w14:val="tx1"/>
                  </w14:solidFill>
                </w14:textFill>
              </w:rPr>
              <w:t>竣工环境保护验收监测报告</w:t>
            </w:r>
            <w:bookmarkEnd w:id="9"/>
            <w:bookmarkEnd w:id="10"/>
            <w:bookmarkEnd w:id="11"/>
            <w:bookmarkEnd w:id="12"/>
            <w:bookmarkEnd w:id="13"/>
            <w:bookmarkEnd w:id="14"/>
            <w:r>
              <w:rPr>
                <w:rFonts w:hint="default"/>
                <w:bCs/>
                <w:color w:val="000000" w:themeColor="text1"/>
                <w:sz w:val="24"/>
                <w:highlight w:val="none"/>
                <w:lang w:val="en-US" w:eastAsia="zh-CN"/>
                <w14:textFill>
                  <w14:solidFill>
                    <w14:schemeClr w14:val="tx1"/>
                  </w14:solidFill>
                </w14:textFill>
              </w:rPr>
              <w:t>》（202</w:t>
            </w:r>
            <w:r>
              <w:rPr>
                <w:rFonts w:hint="eastAsia"/>
                <w:bCs/>
                <w:color w:val="000000" w:themeColor="text1"/>
                <w:sz w:val="24"/>
                <w:highlight w:val="none"/>
                <w:lang w:val="en-US" w:eastAsia="zh-CN"/>
                <w14:textFill>
                  <w14:solidFill>
                    <w14:schemeClr w14:val="tx1"/>
                  </w14:solidFill>
                </w14:textFill>
              </w:rPr>
              <w:t>3</w:t>
            </w:r>
            <w:r>
              <w:rPr>
                <w:rFonts w:hint="default"/>
                <w:bCs/>
                <w:color w:val="000000" w:themeColor="text1"/>
                <w:sz w:val="24"/>
                <w:highlight w:val="none"/>
                <w:lang w:val="en-US" w:eastAsia="zh-CN"/>
                <w14:textFill>
                  <w14:solidFill>
                    <w14:schemeClr w14:val="tx1"/>
                  </w14:solidFill>
                </w14:textFill>
              </w:rPr>
              <w:t>年</w:t>
            </w:r>
            <w:r>
              <w:rPr>
                <w:rFonts w:hint="eastAsia"/>
                <w:bCs/>
                <w:color w:val="000000" w:themeColor="text1"/>
                <w:sz w:val="24"/>
                <w:highlight w:val="none"/>
                <w:lang w:val="en-US" w:eastAsia="zh-CN"/>
                <w14:textFill>
                  <w14:solidFill>
                    <w14:schemeClr w14:val="tx1"/>
                  </w14:solidFill>
                </w14:textFill>
              </w:rPr>
              <w:t>9</w:t>
            </w:r>
            <w:r>
              <w:rPr>
                <w:rFonts w:hint="default"/>
                <w:bCs/>
                <w:color w:val="000000" w:themeColor="text1"/>
                <w:sz w:val="24"/>
                <w:highlight w:val="none"/>
                <w:lang w:val="en-US" w:eastAsia="zh-CN"/>
                <w14:textFill>
                  <w14:solidFill>
                    <w14:schemeClr w14:val="tx1"/>
                  </w14:solidFill>
                </w14:textFill>
              </w:rPr>
              <w:t>月）相关内容及其验收意见相关内容，进行简要论述：</w:t>
            </w:r>
          </w:p>
          <w:p w14:paraId="7CD07F1A">
            <w:pPr>
              <w:spacing w:line="360" w:lineRule="auto"/>
              <w:ind w:firstLine="480" w:firstLineChars="200"/>
              <w:rPr>
                <w:rFonts w:hint="default"/>
                <w:bCs/>
                <w:color w:val="000000" w:themeColor="text1"/>
                <w:sz w:val="24"/>
                <w:highlight w:val="none"/>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①</w:t>
            </w:r>
            <w:r>
              <w:rPr>
                <w:rFonts w:hint="default"/>
                <w:bCs/>
                <w:color w:val="000000" w:themeColor="text1"/>
                <w:sz w:val="24"/>
                <w:highlight w:val="none"/>
                <w14:textFill>
                  <w14:solidFill>
                    <w14:schemeClr w14:val="tx1"/>
                  </w14:solidFill>
                </w14:textFill>
              </w:rPr>
              <w:t>废气</w:t>
            </w:r>
          </w:p>
          <w:p w14:paraId="61668174">
            <w:pPr>
              <w:spacing w:line="360" w:lineRule="auto"/>
              <w:ind w:firstLine="480" w:firstLineChars="200"/>
              <w:rPr>
                <w:rFonts w:hint="default"/>
                <w:bCs/>
                <w:color w:val="000000" w:themeColor="text1"/>
                <w:sz w:val="24"/>
                <w:highlight w:val="red"/>
                <w:lang w:val="en-US" w:eastAsia="zh-CN"/>
                <w14:textFill>
                  <w14:solidFill>
                    <w14:schemeClr w14:val="tx1"/>
                  </w14:solidFill>
                </w14:textFill>
              </w:rPr>
            </w:pPr>
            <w:r>
              <w:rPr>
                <w:rFonts w:hint="default"/>
                <w:bCs/>
                <w:color w:val="000000" w:themeColor="text1"/>
                <w:sz w:val="24"/>
                <w:highlight w:val="none"/>
                <w14:textFill>
                  <w14:solidFill>
                    <w14:schemeClr w14:val="tx1"/>
                  </w14:solidFill>
                </w14:textFill>
              </w:rPr>
              <w:t>根据</w:t>
            </w:r>
            <w:r>
              <w:rPr>
                <w:rFonts w:hint="default"/>
                <w:bCs/>
                <w:color w:val="000000" w:themeColor="text1"/>
                <w:sz w:val="24"/>
                <w:highlight w:val="none"/>
                <w:lang w:val="en-US" w:eastAsia="zh-CN"/>
                <w14:textFill>
                  <w14:solidFill>
                    <w14:schemeClr w14:val="tx1"/>
                  </w14:solidFill>
                </w14:textFill>
              </w:rPr>
              <w:t>《黑龙江龙煤矿业集团有限责任公司双鸭山分公司中央选煤厂产业升级改造工程竣工环境保护验收监测报告》（2023年9月）</w:t>
            </w:r>
            <w:r>
              <w:rPr>
                <w:rFonts w:hint="default"/>
                <w:bCs/>
                <w:color w:val="000000" w:themeColor="text1"/>
                <w:sz w:val="24"/>
                <w:highlight w:val="none"/>
                <w14:textFill>
                  <w14:solidFill>
                    <w14:schemeClr w14:val="tx1"/>
                  </w14:solidFill>
                </w14:textFill>
              </w:rPr>
              <w:t>，</w:t>
            </w:r>
            <w:r>
              <w:rPr>
                <w:rFonts w:hint="default"/>
                <w:bCs/>
                <w:color w:val="000000" w:themeColor="text1"/>
                <w:sz w:val="24"/>
                <w:highlight w:val="none"/>
                <w:lang w:val="en-US" w:eastAsia="zh-CN"/>
                <w14:textFill>
                  <w14:solidFill>
                    <w14:schemeClr w14:val="tx1"/>
                  </w14:solidFill>
                </w14:textFill>
              </w:rPr>
              <w:t>验收监测期间，厂界无组织颗粒物监测浓度为0.088mg/m</w:t>
            </w:r>
            <w:r>
              <w:rPr>
                <w:rFonts w:hint="default"/>
                <w:bCs/>
                <w:color w:val="000000" w:themeColor="text1"/>
                <w:sz w:val="24"/>
                <w:highlight w:val="none"/>
                <w:vertAlign w:val="superscript"/>
                <w:lang w:val="en-US" w:eastAsia="zh-CN"/>
                <w14:textFill>
                  <w14:solidFill>
                    <w14:schemeClr w14:val="tx1"/>
                  </w14:solidFill>
                </w14:textFill>
              </w:rPr>
              <w:t>3</w:t>
            </w:r>
            <w:r>
              <w:rPr>
                <w:rFonts w:hint="default"/>
                <w:bCs/>
                <w:color w:val="000000" w:themeColor="text1"/>
                <w:sz w:val="24"/>
                <w:highlight w:val="none"/>
                <w:lang w:val="en-US" w:eastAsia="zh-CN"/>
                <w14:textFill>
                  <w14:solidFill>
                    <w14:schemeClr w14:val="tx1"/>
                  </w14:solidFill>
                </w14:textFill>
              </w:rPr>
              <w:t>~0.183mg/m</w:t>
            </w:r>
            <w:r>
              <w:rPr>
                <w:rFonts w:hint="default"/>
                <w:bCs/>
                <w:color w:val="000000" w:themeColor="text1"/>
                <w:sz w:val="24"/>
                <w:highlight w:val="none"/>
                <w:vertAlign w:val="superscript"/>
                <w:lang w:val="en-US" w:eastAsia="zh-CN"/>
                <w14:textFill>
                  <w14:solidFill>
                    <w14:schemeClr w14:val="tx1"/>
                  </w14:solidFill>
                </w14:textFill>
              </w:rPr>
              <w:t>3</w:t>
            </w:r>
            <w:r>
              <w:rPr>
                <w:rFonts w:hint="default"/>
                <w:bCs/>
                <w:color w:val="000000" w:themeColor="text1"/>
                <w:sz w:val="24"/>
                <w:highlight w:val="none"/>
                <w:lang w:val="en-US" w:eastAsia="zh-CN"/>
                <w14:textFill>
                  <w14:solidFill>
                    <w14:schemeClr w14:val="tx1"/>
                  </w14:solidFill>
                </w14:textFill>
              </w:rPr>
              <w:t>，监测结果满足《煤炭工业污染物排放标准》（GB20246-2006）无组织废气排放标准限值要求。</w:t>
            </w:r>
          </w:p>
          <w:p w14:paraId="44F2F779">
            <w:pPr>
              <w:spacing w:line="360" w:lineRule="auto"/>
              <w:ind w:firstLine="480" w:firstLineChars="200"/>
              <w:rPr>
                <w:rFonts w:hint="default"/>
                <w:bCs/>
                <w:color w:val="000000" w:themeColor="text1"/>
                <w:sz w:val="24"/>
                <w:highlight w:val="none"/>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②</w:t>
            </w:r>
            <w:r>
              <w:rPr>
                <w:rFonts w:hint="default"/>
                <w:bCs/>
                <w:color w:val="000000" w:themeColor="text1"/>
                <w:sz w:val="24"/>
                <w:highlight w:val="none"/>
                <w14:textFill>
                  <w14:solidFill>
                    <w14:schemeClr w14:val="tx1"/>
                  </w14:solidFill>
                </w14:textFill>
              </w:rPr>
              <w:t>废水</w:t>
            </w:r>
          </w:p>
          <w:p w14:paraId="0F7F8F06">
            <w:pPr>
              <w:spacing w:line="360" w:lineRule="auto"/>
              <w:ind w:firstLine="480" w:firstLineChars="200"/>
              <w:rPr>
                <w:rFonts w:hint="default"/>
                <w:bCs/>
                <w:color w:val="000000" w:themeColor="text1"/>
                <w:sz w:val="24"/>
                <w:highlight w:val="none"/>
                <w14:textFill>
                  <w14:solidFill>
                    <w14:schemeClr w14:val="tx1"/>
                  </w14:solidFill>
                </w14:textFill>
              </w:rPr>
            </w:pPr>
            <w:r>
              <w:rPr>
                <w:rFonts w:hint="default"/>
                <w:bCs/>
                <w:color w:val="000000" w:themeColor="text1"/>
                <w:sz w:val="24"/>
                <w:highlight w:val="none"/>
                <w14:textFill>
                  <w14:solidFill>
                    <w14:schemeClr w14:val="tx1"/>
                  </w14:solidFill>
                </w14:textFill>
              </w:rPr>
              <w:t>根据</w:t>
            </w:r>
            <w:r>
              <w:rPr>
                <w:rFonts w:hint="default"/>
                <w:bCs/>
                <w:color w:val="000000" w:themeColor="text1"/>
                <w:sz w:val="24"/>
                <w:highlight w:val="none"/>
                <w:lang w:val="en-US" w:eastAsia="zh-CN"/>
                <w14:textFill>
                  <w14:solidFill>
                    <w14:schemeClr w14:val="tx1"/>
                  </w14:solidFill>
                </w14:textFill>
              </w:rPr>
              <w:t>《黑龙江龙煤矿业集团有限责任公司双鸭山分公司中央选煤厂产业升级改造工程竣工环境保护验收监测报告》（2023年9月）</w:t>
            </w:r>
            <w:r>
              <w:rPr>
                <w:rFonts w:hint="default"/>
                <w:bCs/>
                <w:color w:val="000000" w:themeColor="text1"/>
                <w:sz w:val="24"/>
                <w:highlight w:val="none"/>
                <w14:textFill>
                  <w14:solidFill>
                    <w14:schemeClr w14:val="tx1"/>
                  </w14:solidFill>
                </w14:textFill>
              </w:rPr>
              <w:t>，</w:t>
            </w:r>
            <w:r>
              <w:rPr>
                <w:rFonts w:hint="default"/>
                <w:bCs/>
                <w:color w:val="000000" w:themeColor="text1"/>
                <w:sz w:val="24"/>
                <w:highlight w:val="none"/>
                <w:lang w:val="en-US" w:eastAsia="zh-CN"/>
                <w14:textFill>
                  <w14:solidFill>
                    <w14:schemeClr w14:val="tx1"/>
                  </w14:solidFill>
                </w14:textFill>
              </w:rPr>
              <w:t>验收监测期间，生产废水采用一级闭路循环，全部回用，不外排；生活污水排入市政排水管网，进入城市污水处理厂处理达标后排放。</w:t>
            </w:r>
          </w:p>
          <w:p w14:paraId="0B01E070">
            <w:pPr>
              <w:spacing w:line="360" w:lineRule="auto"/>
              <w:ind w:firstLine="480" w:firstLineChars="200"/>
              <w:rPr>
                <w:rFonts w:hint="default"/>
                <w:bCs/>
                <w:color w:val="000000" w:themeColor="text1"/>
                <w:sz w:val="24"/>
                <w:highlight w:val="none"/>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③</w:t>
            </w:r>
            <w:r>
              <w:rPr>
                <w:rFonts w:hint="default"/>
                <w:bCs/>
                <w:color w:val="000000" w:themeColor="text1"/>
                <w:sz w:val="24"/>
                <w:highlight w:val="none"/>
                <w14:textFill>
                  <w14:solidFill>
                    <w14:schemeClr w14:val="tx1"/>
                  </w14:solidFill>
                </w14:textFill>
              </w:rPr>
              <w:t>噪声</w:t>
            </w:r>
          </w:p>
          <w:p w14:paraId="47DBD7EE">
            <w:pPr>
              <w:spacing w:line="360" w:lineRule="auto"/>
              <w:ind w:firstLine="480" w:firstLineChars="200"/>
              <w:rPr>
                <w:rFonts w:hint="default"/>
                <w:bCs/>
                <w:color w:val="000000" w:themeColor="text1"/>
                <w:sz w:val="24"/>
                <w:highlight w:val="red"/>
                <w:lang w:val="en-US" w:eastAsia="zh-CN"/>
                <w14:textFill>
                  <w14:solidFill>
                    <w14:schemeClr w14:val="tx1"/>
                  </w14:solidFill>
                </w14:textFill>
              </w:rPr>
            </w:pPr>
            <w:r>
              <w:rPr>
                <w:rFonts w:hint="default"/>
                <w:bCs/>
                <w:color w:val="000000" w:themeColor="text1"/>
                <w:sz w:val="24"/>
                <w:highlight w:val="none"/>
                <w14:textFill>
                  <w14:solidFill>
                    <w14:schemeClr w14:val="tx1"/>
                  </w14:solidFill>
                </w14:textFill>
              </w:rPr>
              <w:t>根据</w:t>
            </w:r>
            <w:r>
              <w:rPr>
                <w:rFonts w:hint="default"/>
                <w:bCs/>
                <w:color w:val="000000" w:themeColor="text1"/>
                <w:sz w:val="24"/>
                <w:highlight w:val="none"/>
                <w:lang w:val="en-US" w:eastAsia="zh-CN"/>
                <w14:textFill>
                  <w14:solidFill>
                    <w14:schemeClr w14:val="tx1"/>
                  </w14:solidFill>
                </w14:textFill>
              </w:rPr>
              <w:t>《黑龙江龙煤矿业集团有限责任公司双鸭山分公司中央选煤厂产业升级改造工程竣工环境保护验收监测报告》（2023年9月）</w:t>
            </w:r>
            <w:r>
              <w:rPr>
                <w:rFonts w:hint="default"/>
                <w:bCs/>
                <w:color w:val="000000" w:themeColor="text1"/>
                <w:sz w:val="24"/>
                <w:highlight w:val="none"/>
                <w14:textFill>
                  <w14:solidFill>
                    <w14:schemeClr w14:val="tx1"/>
                  </w14:solidFill>
                </w14:textFill>
              </w:rPr>
              <w:t>，</w:t>
            </w:r>
            <w:r>
              <w:rPr>
                <w:rFonts w:hint="default"/>
                <w:bCs/>
                <w:color w:val="000000" w:themeColor="text1"/>
                <w:sz w:val="24"/>
                <w:highlight w:val="none"/>
                <w:lang w:val="en-US" w:eastAsia="zh-CN"/>
                <w14:textFill>
                  <w14:solidFill>
                    <w14:schemeClr w14:val="tx1"/>
                  </w14:solidFill>
                </w14:textFill>
              </w:rPr>
              <w:t>验收监测期间</w:t>
            </w:r>
            <w:r>
              <w:rPr>
                <w:rFonts w:hint="default"/>
                <w:bCs/>
                <w:color w:val="000000" w:themeColor="text1"/>
                <w:sz w:val="24"/>
                <w:highlight w:val="none"/>
                <w14:textFill>
                  <w14:solidFill>
                    <w14:schemeClr w14:val="tx1"/>
                  </w14:solidFill>
                </w14:textFill>
              </w:rPr>
              <w:t>，</w:t>
            </w:r>
            <w:r>
              <w:rPr>
                <w:rFonts w:hint="default"/>
                <w:bCs/>
                <w:color w:val="000000" w:themeColor="text1"/>
                <w:sz w:val="24"/>
                <w:highlight w:val="none"/>
                <w:lang w:val="zh-CN" w:eastAsia="zh-CN"/>
                <w14:textFill>
                  <w14:solidFill>
                    <w14:schemeClr w14:val="tx1"/>
                  </w14:solidFill>
                </w14:textFill>
              </w:rPr>
              <w:t>厂界噪声昼间监测结果为50.4~54.6dB(A)，夜间监测结果为46.9~48.2dB(A)，监测结果满足《工业企业厂界环境噪声排放标准》（GB12348-2008）2类标准限值要求。</w:t>
            </w:r>
          </w:p>
          <w:p w14:paraId="1BA3C977">
            <w:pPr>
              <w:spacing w:line="360" w:lineRule="auto"/>
              <w:ind w:firstLine="480" w:firstLineChars="200"/>
              <w:rPr>
                <w:rFonts w:hint="default"/>
                <w:bCs/>
                <w:color w:val="000000" w:themeColor="text1"/>
                <w:sz w:val="24"/>
                <w:highlight w:val="none"/>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④</w:t>
            </w:r>
            <w:r>
              <w:rPr>
                <w:rFonts w:hint="default"/>
                <w:bCs/>
                <w:color w:val="000000" w:themeColor="text1"/>
                <w:sz w:val="24"/>
                <w:highlight w:val="none"/>
                <w14:textFill>
                  <w14:solidFill>
                    <w14:schemeClr w14:val="tx1"/>
                  </w14:solidFill>
                </w14:textFill>
              </w:rPr>
              <w:t>固废</w:t>
            </w:r>
          </w:p>
          <w:p w14:paraId="173CE015">
            <w:pPr>
              <w:spacing w:line="360" w:lineRule="auto"/>
              <w:ind w:firstLine="480" w:firstLineChars="200"/>
              <w:rPr>
                <w:rFonts w:hint="default"/>
                <w:bCs/>
                <w:color w:val="000000" w:themeColor="text1"/>
                <w:sz w:val="24"/>
                <w:highlight w:val="none"/>
                <w14:textFill>
                  <w14:solidFill>
                    <w14:schemeClr w14:val="tx1"/>
                  </w14:solidFill>
                </w14:textFill>
              </w:rPr>
            </w:pPr>
            <w:r>
              <w:rPr>
                <w:rFonts w:hint="default"/>
                <w:bCs/>
                <w:color w:val="000000" w:themeColor="text1"/>
                <w:sz w:val="24"/>
                <w:highlight w:val="none"/>
                <w14:textFill>
                  <w14:solidFill>
                    <w14:schemeClr w14:val="tx1"/>
                  </w14:solidFill>
                </w14:textFill>
              </w:rPr>
              <w:t>根据</w:t>
            </w:r>
            <w:r>
              <w:rPr>
                <w:rFonts w:hint="default"/>
                <w:bCs/>
                <w:color w:val="000000" w:themeColor="text1"/>
                <w:sz w:val="24"/>
                <w:highlight w:val="none"/>
                <w:lang w:val="en-US" w:eastAsia="zh-CN"/>
                <w14:textFill>
                  <w14:solidFill>
                    <w14:schemeClr w14:val="tx1"/>
                  </w14:solidFill>
                </w14:textFill>
              </w:rPr>
              <w:t>《黑龙江龙煤矿业集团有限责任公司双鸭山分公司中央选煤厂产业升级改造工程竣工环境保护验收监测报告》（2023年9月）</w:t>
            </w:r>
            <w:r>
              <w:rPr>
                <w:rFonts w:hint="default"/>
                <w:bCs/>
                <w:color w:val="000000" w:themeColor="text1"/>
                <w:sz w:val="24"/>
                <w:highlight w:val="none"/>
                <w14:textFill>
                  <w14:solidFill>
                    <w14:schemeClr w14:val="tx1"/>
                  </w14:solidFill>
                </w14:textFill>
              </w:rPr>
              <w:t>，</w:t>
            </w:r>
            <w:r>
              <w:rPr>
                <w:rFonts w:hint="default"/>
                <w:bCs/>
                <w:color w:val="000000" w:themeColor="text1"/>
                <w:sz w:val="24"/>
                <w:highlight w:val="none"/>
                <w:lang w:val="en-US" w:eastAsia="zh-CN"/>
                <w14:textFill>
                  <w14:solidFill>
                    <w14:schemeClr w14:val="tx1"/>
                  </w14:solidFill>
                </w14:textFill>
              </w:rPr>
              <w:t>验收监测期间，项目固体废物主要为矸石、煤泥、生活垃圾及废矿物油。矸石用于集贤矿的井下回填以及填充东荣二矿和东荣三矿的沉陷区；生活垃圾运至垃圾处理厂进行卫生填埋；煤泥外售；废矿物油委托佳木斯大江环境治理有限公司进行收集处理。</w:t>
            </w:r>
          </w:p>
          <w:p w14:paraId="076ACB5D">
            <w:pPr>
              <w:spacing w:line="360" w:lineRule="auto"/>
              <w:ind w:firstLine="480" w:firstLineChars="200"/>
              <w:rPr>
                <w:rFonts w:hint="default"/>
                <w:bCs/>
                <w:color w:val="FF0000"/>
                <w:sz w:val="24"/>
                <w:highlight w:val="green"/>
                <w:lang w:val="en-US" w:eastAsia="zh-CN"/>
              </w:rPr>
            </w:pPr>
            <w:r>
              <w:rPr>
                <w:rFonts w:hint="eastAsia"/>
                <w:bCs/>
                <w:color w:val="FF0000"/>
                <w:sz w:val="24"/>
                <w:highlight w:val="green"/>
                <w:lang w:val="en-US" w:eastAsia="zh-CN"/>
              </w:rPr>
              <w:t>危险废物贮存点</w:t>
            </w:r>
            <w:r>
              <w:rPr>
                <w:rFonts w:hint="default"/>
                <w:bCs/>
                <w:color w:val="FF0000"/>
                <w:sz w:val="24"/>
                <w:highlight w:val="green"/>
                <w:lang w:val="en-US" w:eastAsia="zh-CN"/>
              </w:rPr>
              <w:t>采用</w:t>
            </w:r>
            <w:r>
              <w:rPr>
                <w:rFonts w:hint="eastAsia"/>
                <w:bCs/>
                <w:color w:val="FF0000"/>
                <w:sz w:val="24"/>
                <w:highlight w:val="green"/>
                <w:lang w:val="en-US" w:eastAsia="zh-CN"/>
              </w:rPr>
              <w:t>封闭形式，满足防风、防晒、防雨要求，危险废物贮存点内地面采用防渗水泥硬化</w:t>
            </w:r>
            <w:r>
              <w:rPr>
                <w:rFonts w:hint="default"/>
                <w:bCs/>
                <w:color w:val="FF0000"/>
                <w:sz w:val="24"/>
                <w:highlight w:val="green"/>
                <w:lang w:val="en-US" w:eastAsia="zh-CN"/>
              </w:rPr>
              <w:t>进行防渗，</w:t>
            </w:r>
            <w:r>
              <w:rPr>
                <w:rFonts w:hint="eastAsia"/>
                <w:bCs/>
                <w:color w:val="FF0000"/>
                <w:sz w:val="24"/>
                <w:highlight w:val="green"/>
                <w:lang w:val="en-US" w:eastAsia="zh-CN"/>
              </w:rPr>
              <w:t>并设置围堰</w:t>
            </w:r>
            <w:r>
              <w:rPr>
                <w:rFonts w:hint="default"/>
                <w:bCs/>
                <w:color w:val="FF0000"/>
                <w:sz w:val="24"/>
                <w:highlight w:val="green"/>
                <w:lang w:val="en-US" w:eastAsia="zh-CN"/>
              </w:rPr>
              <w:t>。</w:t>
            </w:r>
            <w:r>
              <w:rPr>
                <w:rFonts w:hint="eastAsia"/>
                <w:bCs/>
                <w:color w:val="FF0000"/>
                <w:sz w:val="24"/>
                <w:highlight w:val="green"/>
                <w:lang w:val="en-US" w:eastAsia="zh-CN"/>
              </w:rPr>
              <w:t>满足《危险废物贮存污染控制标准》（GB18597-2023）要求。</w:t>
            </w:r>
          </w:p>
          <w:p w14:paraId="421F98A5">
            <w:pPr>
              <w:spacing w:line="360" w:lineRule="auto"/>
              <w:ind w:firstLine="480" w:firstLineChars="200"/>
              <w:rPr>
                <w:rFonts w:hint="default"/>
                <w:bCs/>
                <w:color w:val="FF0000"/>
                <w:sz w:val="24"/>
                <w:highlight w:val="none"/>
                <w:lang w:val="en-US" w:eastAsia="zh-CN"/>
              </w:rPr>
            </w:pPr>
            <w:r>
              <w:rPr>
                <w:rFonts w:hint="eastAsia"/>
                <w:bCs/>
                <w:color w:val="FF0000"/>
                <w:sz w:val="24"/>
                <w:highlight w:val="none"/>
                <w:lang w:val="en-US" w:eastAsia="zh-CN"/>
              </w:rPr>
              <w:t>⑤环境风险</w:t>
            </w:r>
          </w:p>
          <w:p w14:paraId="271E1946">
            <w:pPr>
              <w:spacing w:line="360" w:lineRule="auto"/>
              <w:ind w:firstLine="480" w:firstLineChars="200"/>
              <w:rPr>
                <w:rFonts w:hint="default"/>
                <w:bCs/>
                <w:color w:val="FF0000"/>
                <w:sz w:val="24"/>
                <w:highlight w:val="none"/>
                <w:lang w:val="en-US" w:eastAsia="zh-CN"/>
              </w:rPr>
            </w:pPr>
            <w:r>
              <w:rPr>
                <w:rFonts w:hint="eastAsia"/>
                <w:bCs/>
                <w:color w:val="FF0000"/>
                <w:sz w:val="24"/>
                <w:highlight w:val="none"/>
                <w:lang w:val="en-US" w:eastAsia="zh-CN"/>
              </w:rPr>
              <w:t>危险废物贮存点、油罐区均</w:t>
            </w:r>
            <w:r>
              <w:rPr>
                <w:rFonts w:hint="default"/>
                <w:bCs/>
                <w:color w:val="FF0000"/>
                <w:sz w:val="24"/>
                <w:highlight w:val="none"/>
                <w:lang w:val="en-US" w:eastAsia="zh-CN"/>
              </w:rPr>
              <w:t>采用防渗水泥硬化地面进行防渗，并设置围堰。集中水池兼做事故池，能够满足洗煤系统事故排水要求；企业已按规定编制突发环境事件风险应急预案</w:t>
            </w:r>
            <w:r>
              <w:rPr>
                <w:rFonts w:hint="eastAsia"/>
                <w:bCs/>
                <w:color w:val="FF0000"/>
                <w:sz w:val="24"/>
                <w:highlight w:val="none"/>
                <w:lang w:val="en-US" w:eastAsia="zh-CN"/>
              </w:rPr>
              <w:t>。</w:t>
            </w:r>
          </w:p>
          <w:p w14:paraId="173C01C9">
            <w:pPr>
              <w:spacing w:line="360" w:lineRule="auto"/>
              <w:ind w:firstLine="480" w:firstLineChars="200"/>
              <w:rPr>
                <w:rFonts w:hint="default"/>
                <w:bCs/>
                <w:color w:val="000000" w:themeColor="text1"/>
                <w:sz w:val="24"/>
                <w:highlight w:val="none"/>
                <w14:textFill>
                  <w14:solidFill>
                    <w14:schemeClr w14:val="tx1"/>
                  </w14:solidFill>
                </w14:textFill>
              </w:rPr>
            </w:pPr>
            <w:r>
              <w:rPr>
                <w:rFonts w:hint="default"/>
                <w:bCs/>
                <w:color w:val="000000" w:themeColor="text1"/>
                <w:sz w:val="24"/>
                <w:highlight w:val="none"/>
                <w:lang w:val="en-US" w:eastAsia="zh-CN"/>
                <w14:textFill>
                  <w14:solidFill>
                    <w14:schemeClr w14:val="tx1"/>
                  </w14:solidFill>
                </w14:textFill>
              </w:rPr>
              <w:t>综上，现有工程各污染物均达标排放。</w:t>
            </w:r>
          </w:p>
          <w:p w14:paraId="0EA3F543">
            <w:pPr>
              <w:spacing w:line="360" w:lineRule="auto"/>
              <w:ind w:firstLine="482" w:firstLineChars="200"/>
              <w:rPr>
                <w:rFonts w:hint="default" w:eastAsia="宋体"/>
                <w:b/>
                <w:bCs w:val="0"/>
                <w:color w:val="000000" w:themeColor="text1"/>
                <w:sz w:val="24"/>
                <w:highlight w:val="none"/>
                <w:lang w:val="en-US" w:eastAsia="zh-CN"/>
                <w14:textFill>
                  <w14:solidFill>
                    <w14:schemeClr w14:val="tx1"/>
                  </w14:solidFill>
                </w14:textFill>
              </w:rPr>
            </w:pPr>
            <w:r>
              <w:rPr>
                <w:rFonts w:hint="default"/>
                <w:b/>
                <w:bCs w:val="0"/>
                <w:color w:val="000000" w:themeColor="text1"/>
                <w:sz w:val="24"/>
                <w:highlight w:val="none"/>
                <w14:textFill>
                  <w14:solidFill>
                    <w14:schemeClr w14:val="tx1"/>
                  </w14:solidFill>
                </w14:textFill>
              </w:rPr>
              <w:t>3、存在问题</w:t>
            </w:r>
            <w:r>
              <w:rPr>
                <w:rFonts w:hint="eastAsia"/>
                <w:b/>
                <w:bCs w:val="0"/>
                <w:color w:val="000000" w:themeColor="text1"/>
                <w:sz w:val="24"/>
                <w:highlight w:val="none"/>
                <w:lang w:val="en-US" w:eastAsia="zh-CN"/>
                <w14:textFill>
                  <w14:solidFill>
                    <w14:schemeClr w14:val="tx1"/>
                  </w14:solidFill>
                </w14:textFill>
              </w:rPr>
              <w:t>及整改措施</w:t>
            </w:r>
          </w:p>
          <w:p w14:paraId="165ACB34">
            <w:pPr>
              <w:spacing w:line="360" w:lineRule="auto"/>
              <w:ind w:firstLine="480" w:firstLineChars="200"/>
              <w:rPr>
                <w:rFonts w:hint="default"/>
                <w:bCs/>
                <w:color w:val="000000" w:themeColor="text1"/>
                <w:sz w:val="24"/>
                <w:highlight w:val="none"/>
                <w:lang w:val="en-US" w:eastAsia="zh-CN"/>
                <w14:textFill>
                  <w14:solidFill>
                    <w14:schemeClr w14:val="tx1"/>
                  </w14:solidFill>
                </w14:textFill>
              </w:rPr>
            </w:pPr>
            <w:r>
              <w:rPr>
                <w:rFonts w:hint="default"/>
                <w:bCs/>
                <w:color w:val="000000" w:themeColor="text1"/>
                <w:sz w:val="24"/>
                <w:highlight w:val="none"/>
                <w:lang w:val="en-US" w:eastAsia="zh-CN"/>
                <w14:textFill>
                  <w14:solidFill>
                    <w14:schemeClr w14:val="tx1"/>
                  </w14:solidFill>
                </w14:textFill>
              </w:rPr>
              <w:t>通过对现有工程进行梳理，评价认为现有工程存在的问题主要包括</w:t>
            </w:r>
            <w:r>
              <w:rPr>
                <w:rFonts w:hint="eastAsia"/>
                <w:bCs/>
                <w:color w:val="000000" w:themeColor="text1"/>
                <w:sz w:val="24"/>
                <w:highlight w:val="none"/>
                <w:lang w:val="en-US" w:eastAsia="zh-CN"/>
                <w14:textFill>
                  <w14:solidFill>
                    <w14:schemeClr w14:val="tx1"/>
                  </w14:solidFill>
                </w14:textFill>
              </w:rPr>
              <w:t>：项目未依照《排污许可管理条例》规定申请取得排污许可；</w:t>
            </w:r>
            <w:r>
              <w:rPr>
                <w:rFonts w:hint="default"/>
                <w:bCs/>
                <w:color w:val="000000" w:themeColor="text1"/>
                <w:sz w:val="24"/>
                <w:highlight w:val="none"/>
                <w:lang w:val="en-US" w:eastAsia="zh-CN"/>
                <w14:textFill>
                  <w14:solidFill>
                    <w14:schemeClr w14:val="tx1"/>
                  </w14:solidFill>
                </w14:textFill>
              </w:rPr>
              <w:t>食堂未安装油烟净化设施</w:t>
            </w:r>
            <w:r>
              <w:rPr>
                <w:rFonts w:hint="eastAsia"/>
                <w:bCs/>
                <w:color w:val="000000" w:themeColor="text1"/>
                <w:sz w:val="24"/>
                <w:highlight w:val="none"/>
                <w:lang w:val="en-US" w:eastAsia="zh-CN"/>
                <w14:textFill>
                  <w14:solidFill>
                    <w14:schemeClr w14:val="tx1"/>
                  </w14:solidFill>
                </w14:textFill>
              </w:rPr>
              <w:t>；中煤、煤泥堆场处</w:t>
            </w:r>
            <w:r>
              <w:rPr>
                <w:rFonts w:hint="default"/>
                <w:bCs/>
                <w:color w:val="000000" w:themeColor="text1"/>
                <w:sz w:val="24"/>
                <w:highlight w:val="none"/>
                <w:lang w:val="en-US" w:eastAsia="zh-CN"/>
                <w14:textFill>
                  <w14:solidFill>
                    <w14:schemeClr w14:val="tx1"/>
                  </w14:solidFill>
                </w14:textFill>
              </w:rPr>
              <w:t>初期雨水收集不规范</w:t>
            </w:r>
            <w:r>
              <w:rPr>
                <w:rFonts w:hint="eastAsia"/>
                <w:bCs/>
                <w:color w:val="000000" w:themeColor="text1"/>
                <w:sz w:val="24"/>
                <w:highlight w:val="none"/>
                <w:lang w:val="en-US" w:eastAsia="zh-CN"/>
                <w14:textFill>
                  <w14:solidFill>
                    <w14:schemeClr w14:val="tx1"/>
                  </w14:solidFill>
                </w14:textFill>
              </w:rPr>
              <w:t>；厂区</w:t>
            </w:r>
            <w:r>
              <w:rPr>
                <w:rFonts w:hint="default"/>
                <w:bCs/>
                <w:color w:val="000000" w:themeColor="text1"/>
                <w:sz w:val="24"/>
                <w:highlight w:val="none"/>
                <w:lang w:val="en-US" w:eastAsia="zh-CN"/>
                <w14:textFill>
                  <w14:solidFill>
                    <w14:schemeClr w14:val="tx1"/>
                  </w14:solidFill>
                </w14:textFill>
              </w:rPr>
              <w:t>内煤尘较多。</w:t>
            </w:r>
          </w:p>
          <w:p w14:paraId="7848420B">
            <w:pPr>
              <w:spacing w:line="360" w:lineRule="auto"/>
              <w:ind w:firstLine="480" w:firstLineChars="200"/>
              <w:rPr>
                <w:rFonts w:hint="default"/>
                <w:bCs/>
                <w:color w:val="000000" w:themeColor="text1"/>
                <w:sz w:val="24"/>
                <w:highlight w:val="none"/>
                <w:lang w:val="en-US" w:eastAsia="zh-CN"/>
                <w14:textFill>
                  <w14:solidFill>
                    <w14:schemeClr w14:val="tx1"/>
                  </w14:solidFill>
                </w14:textFill>
              </w:rPr>
            </w:pPr>
            <w:r>
              <w:rPr>
                <w:rFonts w:hint="default"/>
                <w:bCs/>
                <w:color w:val="000000" w:themeColor="text1"/>
                <w:sz w:val="24"/>
                <w:highlight w:val="none"/>
                <w:lang w:val="en-US" w:eastAsia="zh-CN"/>
                <w14:textFill>
                  <w14:solidFill>
                    <w14:schemeClr w14:val="tx1"/>
                  </w14:solidFill>
                </w14:textFill>
              </w:rPr>
              <w:t>针对以上问题，评价提出以下整改措施，见</w:t>
            </w:r>
            <w:r>
              <w:rPr>
                <w:rFonts w:hint="eastAsia"/>
                <w:bCs/>
                <w:color w:val="000000" w:themeColor="text1"/>
                <w:sz w:val="24"/>
                <w:highlight w:val="none"/>
                <w:lang w:val="en-US" w:eastAsia="zh-CN"/>
                <w14:textFill>
                  <w14:solidFill>
                    <w14:schemeClr w14:val="tx1"/>
                  </w14:solidFill>
                </w14:textFill>
              </w:rPr>
              <w:t>下</w:t>
            </w:r>
            <w:r>
              <w:rPr>
                <w:rFonts w:hint="default"/>
                <w:bCs/>
                <w:color w:val="000000" w:themeColor="text1"/>
                <w:sz w:val="24"/>
                <w:highlight w:val="none"/>
                <w:lang w:val="en-US" w:eastAsia="zh-CN"/>
                <w14:textFill>
                  <w14:solidFill>
                    <w14:schemeClr w14:val="tx1"/>
                  </w14:solidFill>
                </w14:textFill>
              </w:rPr>
              <w:t>表。</w:t>
            </w:r>
          </w:p>
          <w:p w14:paraId="28FDC92B">
            <w:pPr>
              <w:spacing w:line="360" w:lineRule="auto"/>
              <w:ind w:left="0" w:leftChars="0" w:right="0" w:rightChars="0" w:firstLine="0" w:firstLineChars="0"/>
              <w:jc w:val="center"/>
              <w:rPr>
                <w:rFonts w:hint="default" w:cs="Times New Roman"/>
                <w:b/>
                <w:bCs w:val="0"/>
                <w:color w:val="FF0000"/>
                <w:sz w:val="24"/>
                <w:highlight w:val="none"/>
                <w:lang w:val="en-US" w:eastAsia="zh-CN"/>
              </w:rPr>
            </w:pPr>
            <w:r>
              <w:rPr>
                <w:rFonts w:hint="eastAsia" w:cs="Times New Roman"/>
                <w:b/>
                <w:bCs w:val="0"/>
                <w:color w:val="FF0000"/>
                <w:sz w:val="24"/>
                <w:highlight w:val="none"/>
                <w:lang w:val="en-US" w:eastAsia="zh-CN"/>
              </w:rPr>
              <w:t>表2-7现有工程存在的问题及整改措施</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0"/>
              <w:gridCol w:w="3437"/>
              <w:gridCol w:w="2296"/>
              <w:gridCol w:w="1883"/>
            </w:tblGrid>
            <w:tr w14:paraId="25CE4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tcBorders>
                    <w:top w:val="single" w:color="auto" w:sz="12" w:space="0"/>
                  </w:tcBorders>
                  <w:vAlign w:val="center"/>
                </w:tcPr>
                <w:p w14:paraId="2B418EA3">
                  <w:pPr>
                    <w:widowControl/>
                    <w:autoSpaceDE w:val="0"/>
                    <w:autoSpaceDN w:val="0"/>
                    <w:ind w:left="0" w:leftChars="0" w:right="0" w:rightChars="0" w:firstLine="0" w:firstLineChars="0"/>
                    <w:jc w:val="center"/>
                    <w:rPr>
                      <w:rFonts w:hint="default"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序号</w:t>
                  </w:r>
                </w:p>
              </w:tc>
              <w:tc>
                <w:tcPr>
                  <w:tcW w:w="3437" w:type="dxa"/>
                  <w:tcBorders>
                    <w:top w:val="single" w:color="auto" w:sz="12" w:space="0"/>
                  </w:tcBorders>
                  <w:vAlign w:val="center"/>
                </w:tcPr>
                <w:p w14:paraId="3AD2DE7E">
                  <w:pPr>
                    <w:widowControl/>
                    <w:autoSpaceDE w:val="0"/>
                    <w:autoSpaceDN w:val="0"/>
                    <w:ind w:left="0" w:leftChars="0" w:right="0" w:rightChars="0" w:firstLine="0" w:firstLineChars="0"/>
                    <w:jc w:val="center"/>
                    <w:rPr>
                      <w:rFonts w:hint="default"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存在的问题</w:t>
                  </w:r>
                </w:p>
              </w:tc>
              <w:tc>
                <w:tcPr>
                  <w:tcW w:w="2296" w:type="dxa"/>
                  <w:tcBorders>
                    <w:top w:val="single" w:color="auto" w:sz="12" w:space="0"/>
                  </w:tcBorders>
                  <w:vAlign w:val="center"/>
                </w:tcPr>
                <w:p w14:paraId="14ABECAB">
                  <w:pPr>
                    <w:widowControl/>
                    <w:autoSpaceDE w:val="0"/>
                    <w:autoSpaceDN w:val="0"/>
                    <w:ind w:left="0" w:leftChars="0" w:right="0" w:rightChars="0" w:firstLine="0" w:firstLineChars="0"/>
                    <w:jc w:val="center"/>
                    <w:rPr>
                      <w:rFonts w:hint="default"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整改措施</w:t>
                  </w:r>
                </w:p>
              </w:tc>
              <w:tc>
                <w:tcPr>
                  <w:tcW w:w="1883" w:type="dxa"/>
                  <w:tcBorders>
                    <w:top w:val="single" w:color="auto" w:sz="12" w:space="0"/>
                    <w:right w:val="nil"/>
                  </w:tcBorders>
                  <w:vAlign w:val="center"/>
                </w:tcPr>
                <w:p w14:paraId="54C185D3">
                  <w:pPr>
                    <w:widowControl/>
                    <w:autoSpaceDE w:val="0"/>
                    <w:autoSpaceDN w:val="0"/>
                    <w:ind w:left="0" w:leftChars="0" w:right="0" w:rightChars="0" w:firstLine="0" w:firstLineChars="0"/>
                    <w:jc w:val="center"/>
                    <w:rPr>
                      <w:rFonts w:hint="default"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时限</w:t>
                  </w:r>
                </w:p>
              </w:tc>
            </w:tr>
            <w:tr w14:paraId="7C88B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tcBorders>
                    <w:left w:val="nil"/>
                  </w:tcBorders>
                  <w:vAlign w:val="center"/>
                </w:tcPr>
                <w:p w14:paraId="438ADED3">
                  <w:pPr>
                    <w:widowControl/>
                    <w:autoSpaceDE w:val="0"/>
                    <w:autoSpaceDN w:val="0"/>
                    <w:ind w:left="0" w:leftChars="0" w:right="0" w:rightChars="0" w:firstLine="0" w:firstLineChars="0"/>
                    <w:jc w:val="center"/>
                    <w:rPr>
                      <w:rFonts w:hint="default"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1</w:t>
                  </w:r>
                </w:p>
              </w:tc>
              <w:tc>
                <w:tcPr>
                  <w:tcW w:w="3437" w:type="dxa"/>
                  <w:vAlign w:val="center"/>
                </w:tcPr>
                <w:p w14:paraId="6AE2CEDD">
                  <w:pPr>
                    <w:widowControl/>
                    <w:autoSpaceDE w:val="0"/>
                    <w:autoSpaceDN w:val="0"/>
                    <w:ind w:left="0" w:leftChars="0" w:right="0" w:rightChars="0" w:firstLine="0" w:firstLineChars="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green"/>
                      <w:lang w:val="en-US" w:eastAsia="zh-CN" w:bidi="zh-CN"/>
                    </w:rPr>
                    <w:t>未依照《排污许可管理条例》规定办理排污许可登记管理手续</w:t>
                  </w:r>
                </w:p>
              </w:tc>
              <w:tc>
                <w:tcPr>
                  <w:tcW w:w="2296" w:type="dxa"/>
                  <w:vAlign w:val="center"/>
                </w:tcPr>
                <w:p w14:paraId="600FC327">
                  <w:pPr>
                    <w:widowControl/>
                    <w:autoSpaceDE w:val="0"/>
                    <w:autoSpaceDN w:val="0"/>
                    <w:ind w:left="0" w:leftChars="0" w:right="0" w:rightChars="0" w:firstLine="0" w:firstLineChars="0"/>
                    <w:jc w:val="center"/>
                    <w:rPr>
                      <w:rFonts w:hint="default"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green"/>
                      <w:lang w:val="en-US" w:eastAsia="zh-CN" w:bidi="zh-CN"/>
                    </w:rPr>
                    <w:t>依法</w:t>
                  </w:r>
                  <w:r>
                    <w:rPr>
                      <w:rFonts w:hint="eastAsia" w:cs="Times New Roman"/>
                      <w:bCs/>
                      <w:color w:val="FF0000"/>
                      <w:szCs w:val="21"/>
                      <w:highlight w:val="green"/>
                      <w:lang w:val="en-US" w:eastAsia="zh-CN" w:bidi="zh-CN"/>
                    </w:rPr>
                    <w:t>办理排污许可登记管理手续</w:t>
                  </w:r>
                </w:p>
              </w:tc>
              <w:tc>
                <w:tcPr>
                  <w:tcW w:w="1883" w:type="dxa"/>
                  <w:tcBorders>
                    <w:right w:val="nil"/>
                  </w:tcBorders>
                  <w:vAlign w:val="center"/>
                </w:tcPr>
                <w:p w14:paraId="10158708">
                  <w:pPr>
                    <w:widowControl/>
                    <w:autoSpaceDE w:val="0"/>
                    <w:autoSpaceDN w:val="0"/>
                    <w:ind w:left="0" w:leftChars="0" w:right="0" w:rightChars="0" w:firstLine="0" w:firstLineChars="0"/>
                    <w:jc w:val="center"/>
                    <w:rPr>
                      <w:rFonts w:hint="default"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green"/>
                      <w:lang w:val="en-US" w:eastAsia="zh-CN" w:bidi="zh-CN"/>
                    </w:rPr>
                    <w:t>完成排污许可后开展本次建设</w:t>
                  </w:r>
                </w:p>
              </w:tc>
            </w:tr>
            <w:tr w14:paraId="466CC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tcBorders>
                    <w:left w:val="nil"/>
                  </w:tcBorders>
                  <w:vAlign w:val="center"/>
                </w:tcPr>
                <w:p w14:paraId="238E26A5">
                  <w:pPr>
                    <w:widowControl/>
                    <w:autoSpaceDE w:val="0"/>
                    <w:autoSpaceDN w:val="0"/>
                    <w:ind w:left="0" w:leftChars="0" w:right="0" w:rightChars="0" w:firstLine="0" w:firstLineChars="0"/>
                    <w:jc w:val="center"/>
                    <w:rPr>
                      <w:rFonts w:hint="default"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2</w:t>
                  </w:r>
                </w:p>
              </w:tc>
              <w:tc>
                <w:tcPr>
                  <w:tcW w:w="3437" w:type="dxa"/>
                  <w:vAlign w:val="center"/>
                </w:tcPr>
                <w:p w14:paraId="084BFD5A">
                  <w:pPr>
                    <w:widowControl/>
                    <w:autoSpaceDE w:val="0"/>
                    <w:autoSpaceDN w:val="0"/>
                    <w:ind w:left="0" w:leftChars="0" w:right="0" w:rightChars="0" w:firstLine="0" w:firstLineChars="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食堂未安装油烟净化设施</w:t>
                  </w:r>
                </w:p>
              </w:tc>
              <w:tc>
                <w:tcPr>
                  <w:tcW w:w="2296" w:type="dxa"/>
                  <w:vAlign w:val="center"/>
                </w:tcPr>
                <w:p w14:paraId="5405F483">
                  <w:pPr>
                    <w:widowControl/>
                    <w:autoSpaceDE w:val="0"/>
                    <w:autoSpaceDN w:val="0"/>
                    <w:ind w:left="0" w:leftChars="0" w:right="0" w:rightChars="0" w:firstLine="0" w:firstLineChars="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食堂安装油烟净化设施</w:t>
                  </w:r>
                </w:p>
              </w:tc>
              <w:tc>
                <w:tcPr>
                  <w:tcW w:w="1883" w:type="dxa"/>
                  <w:tcBorders>
                    <w:right w:val="nil"/>
                  </w:tcBorders>
                  <w:vAlign w:val="center"/>
                </w:tcPr>
                <w:p w14:paraId="2F5FE17B">
                  <w:pPr>
                    <w:widowControl/>
                    <w:autoSpaceDE w:val="0"/>
                    <w:autoSpaceDN w:val="0"/>
                    <w:ind w:left="0" w:leftChars="0" w:right="0" w:rightChars="0" w:firstLine="0" w:firstLineChars="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2个月</w:t>
                  </w:r>
                </w:p>
              </w:tc>
            </w:tr>
            <w:tr w14:paraId="6D635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tcBorders>
                    <w:left w:val="nil"/>
                  </w:tcBorders>
                  <w:vAlign w:val="center"/>
                </w:tcPr>
                <w:p w14:paraId="0F77422D">
                  <w:pPr>
                    <w:widowControl/>
                    <w:autoSpaceDE w:val="0"/>
                    <w:autoSpaceDN w:val="0"/>
                    <w:ind w:left="0" w:leftChars="0" w:right="0" w:rightChars="0" w:firstLine="0" w:firstLineChars="0"/>
                    <w:jc w:val="center"/>
                    <w:rPr>
                      <w:rFonts w:hint="default"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3</w:t>
                  </w:r>
                </w:p>
              </w:tc>
              <w:tc>
                <w:tcPr>
                  <w:tcW w:w="3437" w:type="dxa"/>
                  <w:vAlign w:val="center"/>
                </w:tcPr>
                <w:p w14:paraId="43543FEA">
                  <w:pPr>
                    <w:widowControl/>
                    <w:autoSpaceDE w:val="0"/>
                    <w:autoSpaceDN w:val="0"/>
                    <w:ind w:left="0" w:leftChars="0" w:right="0" w:rightChars="0" w:firstLine="0" w:firstLineChars="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中煤、煤泥堆场处初期雨水收集不规范</w:t>
                  </w:r>
                </w:p>
              </w:tc>
              <w:tc>
                <w:tcPr>
                  <w:tcW w:w="2296" w:type="dxa"/>
                  <w:vAlign w:val="center"/>
                </w:tcPr>
                <w:p w14:paraId="0AF40F99">
                  <w:pPr>
                    <w:widowControl/>
                    <w:autoSpaceDE w:val="0"/>
                    <w:autoSpaceDN w:val="0"/>
                    <w:ind w:left="0" w:leftChars="0" w:right="0" w:rightChars="0" w:firstLine="0" w:firstLineChars="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规范建设初期雨水收集</w:t>
                  </w:r>
                </w:p>
              </w:tc>
              <w:tc>
                <w:tcPr>
                  <w:tcW w:w="1883" w:type="dxa"/>
                  <w:tcBorders>
                    <w:right w:val="nil"/>
                  </w:tcBorders>
                  <w:vAlign w:val="center"/>
                </w:tcPr>
                <w:p w14:paraId="3D7AD53C">
                  <w:pPr>
                    <w:widowControl/>
                    <w:autoSpaceDE w:val="0"/>
                    <w:autoSpaceDN w:val="0"/>
                    <w:ind w:left="0" w:leftChars="0" w:right="0" w:rightChars="0" w:firstLine="0" w:firstLineChars="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2个月</w:t>
                  </w:r>
                </w:p>
              </w:tc>
            </w:tr>
            <w:tr w14:paraId="5D3C2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tcBorders>
                    <w:left w:val="nil"/>
                    <w:bottom w:val="single" w:color="auto" w:sz="12" w:space="0"/>
                  </w:tcBorders>
                  <w:vAlign w:val="center"/>
                </w:tcPr>
                <w:p w14:paraId="6E98EDD3">
                  <w:pPr>
                    <w:widowControl/>
                    <w:autoSpaceDE w:val="0"/>
                    <w:autoSpaceDN w:val="0"/>
                    <w:ind w:left="0" w:leftChars="0" w:right="0" w:rightChars="0" w:firstLine="0" w:firstLineChars="0"/>
                    <w:jc w:val="center"/>
                    <w:rPr>
                      <w:rFonts w:hint="default" w:ascii="Times New Roman" w:hAnsi="Times New Roman" w:eastAsia="宋体" w:cs="Times New Roman"/>
                      <w:bCs/>
                      <w:color w:val="FF0000"/>
                      <w:szCs w:val="21"/>
                      <w:highlight w:val="none"/>
                      <w:lang w:val="en-US" w:eastAsia="zh-CN" w:bidi="zh-CN"/>
                    </w:rPr>
                  </w:pPr>
                  <w:r>
                    <w:rPr>
                      <w:rFonts w:hint="eastAsia" w:cs="Times New Roman"/>
                      <w:bCs/>
                      <w:color w:val="FF0000"/>
                      <w:szCs w:val="21"/>
                      <w:highlight w:val="none"/>
                      <w:lang w:val="en-US" w:eastAsia="zh-CN" w:bidi="zh-CN"/>
                    </w:rPr>
                    <w:t>4</w:t>
                  </w:r>
                </w:p>
              </w:tc>
              <w:tc>
                <w:tcPr>
                  <w:tcW w:w="3437" w:type="dxa"/>
                  <w:tcBorders>
                    <w:bottom w:val="single" w:color="auto" w:sz="12" w:space="0"/>
                  </w:tcBorders>
                  <w:vAlign w:val="center"/>
                </w:tcPr>
                <w:p w14:paraId="4BB7893F">
                  <w:pPr>
                    <w:widowControl/>
                    <w:autoSpaceDE w:val="0"/>
                    <w:autoSpaceDN w:val="0"/>
                    <w:ind w:left="0" w:leftChars="0" w:right="0" w:rightChars="0" w:firstLine="0" w:firstLineChars="0"/>
                    <w:jc w:val="center"/>
                    <w:rPr>
                      <w:rFonts w:hint="eastAsia" w:ascii="Times New Roman" w:hAnsi="Times New Roman" w:eastAsia="宋体" w:cs="Times New Roman"/>
                      <w:bCs/>
                      <w:color w:val="FF0000"/>
                      <w:szCs w:val="21"/>
                      <w:highlight w:val="none"/>
                      <w:lang w:val="en-US" w:eastAsia="zh-CN" w:bidi="zh-CN"/>
                    </w:rPr>
                  </w:pPr>
                  <w:r>
                    <w:rPr>
                      <w:rFonts w:hint="eastAsia" w:ascii="Times New Roman" w:hAnsi="Times New Roman" w:eastAsia="宋体" w:cs="Times New Roman"/>
                      <w:bCs/>
                      <w:color w:val="FF0000"/>
                      <w:szCs w:val="21"/>
                      <w:highlight w:val="none"/>
                      <w:lang w:val="en-US" w:eastAsia="zh-CN" w:bidi="zh-CN"/>
                    </w:rPr>
                    <w:t>厂区内煤尘较多</w:t>
                  </w:r>
                </w:p>
              </w:tc>
              <w:tc>
                <w:tcPr>
                  <w:tcW w:w="2296" w:type="dxa"/>
                  <w:tcBorders>
                    <w:bottom w:val="single" w:color="auto" w:sz="12" w:space="0"/>
                  </w:tcBorders>
                  <w:vAlign w:val="center"/>
                </w:tcPr>
                <w:p w14:paraId="0B5D5E57">
                  <w:pPr>
                    <w:widowControl/>
                    <w:autoSpaceDE w:val="0"/>
                    <w:autoSpaceDN w:val="0"/>
                    <w:ind w:left="0" w:leftChars="0" w:right="0" w:rightChars="0" w:firstLine="0" w:firstLineChars="0"/>
                    <w:jc w:val="center"/>
                    <w:rPr>
                      <w:rFonts w:hint="default" w:ascii="Times New Roman" w:hAnsi="Times New Roman" w:eastAsia="宋体" w:cs="Times New Roman"/>
                      <w:bCs/>
                      <w:color w:val="FF0000"/>
                      <w:szCs w:val="21"/>
                      <w:highlight w:val="none"/>
                      <w:lang w:val="en-US" w:eastAsia="zh-CN" w:bidi="zh-CN"/>
                    </w:rPr>
                  </w:pPr>
                  <w:r>
                    <w:rPr>
                      <w:rFonts w:hint="eastAsia" w:cs="Times New Roman"/>
                      <w:bCs/>
                      <w:color w:val="FF0000"/>
                      <w:szCs w:val="21"/>
                      <w:highlight w:val="none"/>
                      <w:lang w:val="en-US" w:eastAsia="zh-CN" w:bidi="zh-CN"/>
                    </w:rPr>
                    <w:t>加大厂区内洒水降尘频次</w:t>
                  </w:r>
                </w:p>
              </w:tc>
              <w:tc>
                <w:tcPr>
                  <w:tcW w:w="1883" w:type="dxa"/>
                  <w:tcBorders>
                    <w:bottom w:val="single" w:color="auto" w:sz="12" w:space="0"/>
                    <w:right w:val="nil"/>
                  </w:tcBorders>
                  <w:vAlign w:val="center"/>
                </w:tcPr>
                <w:p w14:paraId="6A729E14">
                  <w:pPr>
                    <w:widowControl/>
                    <w:autoSpaceDE w:val="0"/>
                    <w:autoSpaceDN w:val="0"/>
                    <w:ind w:left="0" w:leftChars="0" w:right="0" w:rightChars="0" w:firstLine="0" w:firstLineChars="0"/>
                    <w:jc w:val="center"/>
                    <w:rPr>
                      <w:rFonts w:hint="default" w:ascii="Times New Roman" w:hAnsi="Times New Roman" w:eastAsia="宋体" w:cs="Times New Roman"/>
                      <w:bCs/>
                      <w:color w:val="FF0000"/>
                      <w:szCs w:val="21"/>
                      <w:highlight w:val="none"/>
                      <w:lang w:val="en-US" w:eastAsia="zh-CN" w:bidi="zh-CN"/>
                    </w:rPr>
                  </w:pPr>
                  <w:r>
                    <w:rPr>
                      <w:rFonts w:hint="eastAsia" w:cs="Times New Roman"/>
                      <w:bCs/>
                      <w:color w:val="FF0000"/>
                      <w:szCs w:val="21"/>
                      <w:highlight w:val="none"/>
                      <w:lang w:val="en-US" w:eastAsia="zh-CN" w:bidi="zh-CN"/>
                    </w:rPr>
                    <w:t>2个月</w:t>
                  </w:r>
                </w:p>
              </w:tc>
            </w:tr>
          </w:tbl>
          <w:p w14:paraId="7A4DF33F">
            <w:pPr>
              <w:spacing w:line="360" w:lineRule="auto"/>
              <w:ind w:firstLine="482" w:firstLineChars="200"/>
              <w:rPr>
                <w:rFonts w:hint="default" w:ascii="Times New Roman" w:hAnsi="Times New Roman" w:eastAsia="宋体" w:cs="Times New Roman"/>
                <w:b/>
                <w:bCs w:val="0"/>
                <w:color w:val="FF0000"/>
                <w:sz w:val="24"/>
                <w:highlight w:val="none"/>
                <w:lang w:val="en-US" w:eastAsia="zh-CN"/>
              </w:rPr>
            </w:pPr>
            <w:r>
              <w:rPr>
                <w:rFonts w:hint="eastAsia" w:cs="Times New Roman"/>
                <w:b/>
                <w:bCs w:val="0"/>
                <w:color w:val="FF0000"/>
                <w:sz w:val="24"/>
                <w:highlight w:val="none"/>
                <w:lang w:val="en-US" w:eastAsia="zh-CN"/>
              </w:rPr>
              <w:t>4</w:t>
            </w:r>
            <w:r>
              <w:rPr>
                <w:rFonts w:hint="eastAsia" w:ascii="Times New Roman" w:hAnsi="Times New Roman" w:eastAsia="宋体" w:cs="Times New Roman"/>
                <w:b/>
                <w:bCs w:val="0"/>
                <w:color w:val="FF0000"/>
                <w:sz w:val="24"/>
                <w:highlight w:val="none"/>
                <w:lang w:val="en-US" w:eastAsia="zh-CN"/>
              </w:rPr>
              <w:t>、其他</w:t>
            </w:r>
          </w:p>
          <w:p w14:paraId="3A151192">
            <w:pPr>
              <w:spacing w:line="360" w:lineRule="auto"/>
              <w:ind w:firstLine="480" w:firstLineChars="200"/>
              <w:rPr>
                <w:rFonts w:hint="eastAsia" w:eastAsia="宋体"/>
                <w:bCs/>
                <w:color w:val="FF0000"/>
                <w:sz w:val="24"/>
                <w:highlight w:val="red"/>
                <w:lang w:val="en-US" w:eastAsia="zh-CN"/>
              </w:rPr>
            </w:pPr>
            <w:r>
              <w:rPr>
                <w:rFonts w:hint="eastAsia"/>
                <w:bCs/>
                <w:color w:val="FF0000"/>
                <w:sz w:val="24"/>
                <w:highlight w:val="none"/>
                <w:lang w:val="en-US" w:eastAsia="zh-CN"/>
              </w:rPr>
              <w:t>原环评阶段要求厂界外的噪声达到《工业企业厂界噪声标准》（GB12348-90）中的Ⅱ类标准，《工业企业厂界噪声标准》（GB12348-90）被《工业企业厂界环境噪声排放标准》（GB12348-2008）替代，验收监测期间，厂界噪声满足《工业企业厂界环境噪声排放标准》（GB12348-2008）2类标准限值要求。</w:t>
            </w:r>
          </w:p>
          <w:p w14:paraId="40C9F350">
            <w:pPr>
              <w:spacing w:line="360" w:lineRule="auto"/>
              <w:rPr>
                <w:rFonts w:hint="eastAsia"/>
                <w:bCs/>
                <w:color w:val="000000" w:themeColor="text1"/>
                <w:szCs w:val="21"/>
                <w:lang w:eastAsia="zh-CN"/>
                <w14:textFill>
                  <w14:solidFill>
                    <w14:schemeClr w14:val="tx1"/>
                  </w14:solidFill>
                </w14:textFill>
              </w:rPr>
            </w:pPr>
          </w:p>
          <w:p w14:paraId="75C7D0DC">
            <w:pPr>
              <w:spacing w:line="360" w:lineRule="auto"/>
              <w:rPr>
                <w:rFonts w:hint="eastAsia"/>
                <w:bCs/>
                <w:color w:val="000000" w:themeColor="text1"/>
                <w:szCs w:val="21"/>
                <w:lang w:eastAsia="zh-CN"/>
                <w14:textFill>
                  <w14:solidFill>
                    <w14:schemeClr w14:val="tx1"/>
                  </w14:solidFill>
                </w14:textFill>
              </w:rPr>
            </w:pPr>
          </w:p>
          <w:p w14:paraId="15FF0739">
            <w:pPr>
              <w:spacing w:line="360" w:lineRule="auto"/>
              <w:rPr>
                <w:rFonts w:hint="eastAsia"/>
                <w:bCs/>
                <w:color w:val="000000" w:themeColor="text1"/>
                <w:szCs w:val="21"/>
                <w:lang w:eastAsia="zh-CN"/>
                <w14:textFill>
                  <w14:solidFill>
                    <w14:schemeClr w14:val="tx1"/>
                  </w14:solidFill>
                </w14:textFill>
              </w:rPr>
            </w:pPr>
          </w:p>
          <w:p w14:paraId="72C99145">
            <w:pPr>
              <w:spacing w:line="360" w:lineRule="auto"/>
              <w:rPr>
                <w:rFonts w:hint="eastAsia"/>
                <w:bCs/>
                <w:color w:val="000000" w:themeColor="text1"/>
                <w:szCs w:val="21"/>
                <w:lang w:eastAsia="zh-CN"/>
                <w14:textFill>
                  <w14:solidFill>
                    <w14:schemeClr w14:val="tx1"/>
                  </w14:solidFill>
                </w14:textFill>
              </w:rPr>
            </w:pPr>
          </w:p>
          <w:p w14:paraId="634B1BCD">
            <w:pPr>
              <w:spacing w:line="360" w:lineRule="auto"/>
              <w:rPr>
                <w:rFonts w:hint="eastAsia"/>
                <w:bCs/>
                <w:color w:val="000000" w:themeColor="text1"/>
                <w:szCs w:val="21"/>
                <w:lang w:eastAsia="zh-CN"/>
                <w14:textFill>
                  <w14:solidFill>
                    <w14:schemeClr w14:val="tx1"/>
                  </w14:solidFill>
                </w14:textFill>
              </w:rPr>
            </w:pPr>
          </w:p>
          <w:p w14:paraId="404860C7">
            <w:pPr>
              <w:spacing w:line="360" w:lineRule="auto"/>
              <w:rPr>
                <w:rFonts w:hint="eastAsia"/>
                <w:bCs/>
                <w:color w:val="000000" w:themeColor="text1"/>
                <w:szCs w:val="21"/>
                <w:lang w:eastAsia="zh-CN"/>
                <w14:textFill>
                  <w14:solidFill>
                    <w14:schemeClr w14:val="tx1"/>
                  </w14:solidFill>
                </w14:textFill>
              </w:rPr>
            </w:pPr>
          </w:p>
          <w:p w14:paraId="5546F96F">
            <w:pPr>
              <w:spacing w:line="360" w:lineRule="auto"/>
              <w:rPr>
                <w:rFonts w:hint="eastAsia"/>
                <w:bCs/>
                <w:color w:val="000000" w:themeColor="text1"/>
                <w:szCs w:val="21"/>
                <w:lang w:eastAsia="zh-CN"/>
                <w14:textFill>
                  <w14:solidFill>
                    <w14:schemeClr w14:val="tx1"/>
                  </w14:solidFill>
                </w14:textFill>
              </w:rPr>
            </w:pPr>
          </w:p>
          <w:p w14:paraId="7A661371">
            <w:pPr>
              <w:spacing w:line="360" w:lineRule="auto"/>
              <w:rPr>
                <w:rFonts w:hint="eastAsia"/>
                <w:bCs/>
                <w:color w:val="000000" w:themeColor="text1"/>
                <w:szCs w:val="21"/>
                <w:lang w:eastAsia="zh-CN"/>
                <w14:textFill>
                  <w14:solidFill>
                    <w14:schemeClr w14:val="tx1"/>
                  </w14:solidFill>
                </w14:textFill>
              </w:rPr>
            </w:pPr>
          </w:p>
          <w:p w14:paraId="7395FEDD">
            <w:pPr>
              <w:spacing w:line="360" w:lineRule="auto"/>
              <w:rPr>
                <w:rFonts w:hint="eastAsia"/>
                <w:bCs/>
                <w:color w:val="000000" w:themeColor="text1"/>
                <w:szCs w:val="21"/>
                <w:lang w:eastAsia="zh-CN"/>
                <w14:textFill>
                  <w14:solidFill>
                    <w14:schemeClr w14:val="tx1"/>
                  </w14:solidFill>
                </w14:textFill>
              </w:rPr>
            </w:pPr>
          </w:p>
          <w:p w14:paraId="597FFC3E">
            <w:pPr>
              <w:spacing w:line="360" w:lineRule="auto"/>
              <w:rPr>
                <w:rFonts w:hint="eastAsia"/>
                <w:bCs/>
                <w:color w:val="000000" w:themeColor="text1"/>
                <w:szCs w:val="21"/>
                <w:lang w:eastAsia="zh-CN"/>
                <w14:textFill>
                  <w14:solidFill>
                    <w14:schemeClr w14:val="tx1"/>
                  </w14:solidFill>
                </w14:textFill>
              </w:rPr>
            </w:pPr>
          </w:p>
          <w:p w14:paraId="13BA800B">
            <w:pPr>
              <w:spacing w:line="360" w:lineRule="auto"/>
              <w:rPr>
                <w:rFonts w:hint="eastAsia"/>
                <w:bCs/>
                <w:color w:val="000000" w:themeColor="text1"/>
                <w:szCs w:val="21"/>
                <w:lang w:eastAsia="zh-CN"/>
                <w14:textFill>
                  <w14:solidFill>
                    <w14:schemeClr w14:val="tx1"/>
                  </w14:solidFill>
                </w14:textFill>
              </w:rPr>
            </w:pPr>
          </w:p>
          <w:p w14:paraId="48175A61">
            <w:pPr>
              <w:spacing w:line="360" w:lineRule="auto"/>
              <w:rPr>
                <w:rFonts w:hint="eastAsia"/>
                <w:bCs/>
                <w:color w:val="000000" w:themeColor="text1"/>
                <w:szCs w:val="21"/>
                <w:lang w:eastAsia="zh-CN"/>
                <w14:textFill>
                  <w14:solidFill>
                    <w14:schemeClr w14:val="tx1"/>
                  </w14:solidFill>
                </w14:textFill>
              </w:rPr>
            </w:pPr>
          </w:p>
          <w:p w14:paraId="68A6E27B">
            <w:pPr>
              <w:spacing w:line="360" w:lineRule="auto"/>
              <w:rPr>
                <w:rFonts w:hint="eastAsia"/>
                <w:bCs/>
                <w:color w:val="000000" w:themeColor="text1"/>
                <w:szCs w:val="21"/>
                <w:lang w:eastAsia="zh-CN"/>
                <w14:textFill>
                  <w14:solidFill>
                    <w14:schemeClr w14:val="tx1"/>
                  </w14:solidFill>
                </w14:textFill>
              </w:rPr>
            </w:pPr>
          </w:p>
          <w:p w14:paraId="7F62C630">
            <w:pPr>
              <w:spacing w:line="360" w:lineRule="auto"/>
              <w:rPr>
                <w:rFonts w:hint="eastAsia"/>
                <w:bCs/>
                <w:color w:val="000000" w:themeColor="text1"/>
                <w:szCs w:val="21"/>
                <w:lang w:eastAsia="zh-CN"/>
                <w14:textFill>
                  <w14:solidFill>
                    <w14:schemeClr w14:val="tx1"/>
                  </w14:solidFill>
                </w14:textFill>
              </w:rPr>
            </w:pPr>
          </w:p>
          <w:p w14:paraId="25415628">
            <w:pPr>
              <w:spacing w:line="360" w:lineRule="auto"/>
              <w:rPr>
                <w:rFonts w:hint="eastAsia"/>
                <w:bCs/>
                <w:color w:val="000000" w:themeColor="text1"/>
                <w:szCs w:val="21"/>
                <w:lang w:eastAsia="zh-CN"/>
                <w14:textFill>
                  <w14:solidFill>
                    <w14:schemeClr w14:val="tx1"/>
                  </w14:solidFill>
                </w14:textFill>
              </w:rPr>
            </w:pPr>
          </w:p>
          <w:p w14:paraId="0FA29505">
            <w:pPr>
              <w:spacing w:line="360" w:lineRule="auto"/>
              <w:rPr>
                <w:rFonts w:hint="eastAsia"/>
                <w:bCs/>
                <w:color w:val="000000" w:themeColor="text1"/>
                <w:szCs w:val="21"/>
                <w:lang w:eastAsia="zh-CN"/>
                <w14:textFill>
                  <w14:solidFill>
                    <w14:schemeClr w14:val="tx1"/>
                  </w14:solidFill>
                </w14:textFill>
              </w:rPr>
            </w:pPr>
          </w:p>
          <w:p w14:paraId="04ED6467">
            <w:pPr>
              <w:spacing w:line="360" w:lineRule="auto"/>
              <w:rPr>
                <w:rFonts w:hint="eastAsia"/>
                <w:bCs/>
                <w:color w:val="000000" w:themeColor="text1"/>
                <w:szCs w:val="21"/>
                <w:lang w:eastAsia="zh-CN"/>
                <w14:textFill>
                  <w14:solidFill>
                    <w14:schemeClr w14:val="tx1"/>
                  </w14:solidFill>
                </w14:textFill>
              </w:rPr>
            </w:pPr>
          </w:p>
          <w:p w14:paraId="7F77DF3A">
            <w:pPr>
              <w:spacing w:line="360" w:lineRule="auto"/>
              <w:rPr>
                <w:rFonts w:hint="eastAsia" w:eastAsia="宋体"/>
                <w:bCs/>
                <w:color w:val="000000" w:themeColor="text1"/>
                <w:szCs w:val="21"/>
                <w:lang w:eastAsia="zh-CN"/>
                <w14:textFill>
                  <w14:solidFill>
                    <w14:schemeClr w14:val="tx1"/>
                  </w14:solidFill>
                </w14:textFill>
              </w:rPr>
            </w:pPr>
          </w:p>
        </w:tc>
      </w:tr>
    </w:tbl>
    <w:p w14:paraId="5FAA2B79">
      <w:pPr>
        <w:pStyle w:val="24"/>
        <w:jc w:val="center"/>
        <w:rPr>
          <w:rFonts w:ascii="Times New Roman" w:hAnsi="Times New Roman" w:eastAsia="黑体"/>
          <w:snapToGrid w:val="0"/>
          <w:color w:val="000000" w:themeColor="text1"/>
          <w:sz w:val="36"/>
          <w:szCs w:val="36"/>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37014252">
      <w:pPr>
        <w:pStyle w:val="24"/>
        <w:adjustRightInd w:val="0"/>
        <w:snapToGrid w:val="0"/>
        <w:spacing w:before="0" w:beforeAutospacing="0" w:after="0" w:afterAutospacing="0" w:line="14" w:lineRule="auto"/>
        <w:jc w:val="center"/>
        <w:rPr>
          <w:rFonts w:ascii="Times New Roman" w:hAnsi="Times New Roman" w:eastAsia="黑体"/>
          <w:snapToGrid w:val="0"/>
          <w:color w:val="000000" w:themeColor="text1"/>
          <w:sz w:val="30"/>
          <w:szCs w:val="30"/>
          <w14:textFill>
            <w14:solidFill>
              <w14:schemeClr w14:val="tx1"/>
            </w14:solidFill>
          </w14:textFill>
        </w:rPr>
      </w:pPr>
    </w:p>
    <w:p w14:paraId="63C173B9">
      <w:pPr>
        <w:pStyle w:val="24"/>
        <w:spacing w:before="0" w:beforeAutospacing="0" w:after="0" w:afterAutospacing="0" w:line="360" w:lineRule="auto"/>
        <w:jc w:val="center"/>
        <w:outlineLvl w:val="0"/>
        <w:rPr>
          <w:rFonts w:ascii="Times New Roman" w:hAnsi="Times New Roman" w:eastAsia="黑体"/>
          <w:snapToGrid w:val="0"/>
          <w:color w:val="000000" w:themeColor="text1"/>
          <w:sz w:val="30"/>
          <w:szCs w:val="30"/>
          <w14:textFill>
            <w14:solidFill>
              <w14:schemeClr w14:val="tx1"/>
            </w14:solidFill>
          </w14:textFill>
        </w:rPr>
      </w:pPr>
      <w:bookmarkStart w:id="15" w:name="_Toc19158"/>
      <w:r>
        <w:rPr>
          <w:rFonts w:ascii="Times New Roman" w:hAnsi="Times New Roman" w:eastAsia="黑体"/>
          <w:snapToGrid w:val="0"/>
          <w:color w:val="000000" w:themeColor="text1"/>
          <w:sz w:val="30"/>
          <w:szCs w:val="30"/>
          <w14:textFill>
            <w14:solidFill>
              <w14:schemeClr w14:val="tx1"/>
            </w14:solidFill>
          </w14:textFill>
        </w:rPr>
        <w:t>三、区域环境质量现状、环境保护目标及评价标准</w:t>
      </w:r>
      <w:bookmarkEnd w:id="15"/>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44"/>
        <w:gridCol w:w="8217"/>
      </w:tblGrid>
      <w:tr w14:paraId="619215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19" w:hRule="atLeast"/>
          <w:jc w:val="center"/>
        </w:trPr>
        <w:tc>
          <w:tcPr>
            <w:tcW w:w="844" w:type="dxa"/>
            <w:vAlign w:val="center"/>
          </w:tcPr>
          <w:p w14:paraId="5F6C530F">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区域</w:t>
            </w:r>
          </w:p>
          <w:p w14:paraId="2E991561">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环境</w:t>
            </w:r>
          </w:p>
          <w:p w14:paraId="292E4E74">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质量</w:t>
            </w:r>
          </w:p>
          <w:p w14:paraId="29F968D2">
            <w:pPr>
              <w:adjustRightInd w:val="0"/>
              <w:snapToGrid w:val="0"/>
              <w:jc w:val="center"/>
              <w:rPr>
                <w:color w:val="000000" w:themeColor="text1"/>
                <w:kern w:val="0"/>
                <w:szCs w:val="21"/>
                <w14:textFill>
                  <w14:solidFill>
                    <w14:schemeClr w14:val="tx1"/>
                  </w14:solidFill>
                </w14:textFill>
              </w:rPr>
            </w:pPr>
            <w:r>
              <w:rPr>
                <w:color w:val="000000" w:themeColor="text1"/>
                <w:kern w:val="0"/>
                <w:sz w:val="24"/>
                <w14:textFill>
                  <w14:solidFill>
                    <w14:schemeClr w14:val="tx1"/>
                  </w14:solidFill>
                </w14:textFill>
              </w:rPr>
              <w:t>现状</w:t>
            </w:r>
          </w:p>
        </w:tc>
        <w:tc>
          <w:tcPr>
            <w:tcW w:w="8217" w:type="dxa"/>
            <w:vAlign w:val="center"/>
          </w:tcPr>
          <w:p w14:paraId="6C9F5AF9">
            <w:pPr>
              <w:pStyle w:val="8"/>
              <w:keepNext w:val="0"/>
              <w:overflowPunct/>
              <w:snapToGrid/>
              <w:spacing w:before="0" w:after="0" w:line="360" w:lineRule="auto"/>
              <w:ind w:left="0" w:right="0" w:firstLine="482" w:firstLineChars="200"/>
              <w:jc w:val="both"/>
              <w:rPr>
                <w:rFonts w:ascii="Times New Roman" w:hAnsi="Times New Roman" w:eastAsia="宋体" w:cs="Times New Roman"/>
                <w:color w:val="000000" w:themeColor="text1"/>
                <w:kern w:val="21"/>
                <w:sz w:val="24"/>
                <w:szCs w:val="24"/>
                <w:highlight w:val="none"/>
                <w14:textFill>
                  <w14:solidFill>
                    <w14:schemeClr w14:val="tx1"/>
                  </w14:solidFill>
                </w14:textFill>
              </w:rPr>
            </w:pPr>
            <w:r>
              <w:rPr>
                <w:rFonts w:ascii="Times New Roman" w:hAnsi="Times New Roman" w:eastAsia="宋体" w:cs="Times New Roman"/>
                <w:color w:val="000000" w:themeColor="text1"/>
                <w:kern w:val="21"/>
                <w:sz w:val="24"/>
                <w:szCs w:val="24"/>
                <w:highlight w:val="none"/>
                <w:lang w:val="en-US"/>
                <w14:textFill>
                  <w14:solidFill>
                    <w14:schemeClr w14:val="tx1"/>
                  </w14:solidFill>
                </w14:textFill>
              </w:rPr>
              <w:t>1、环境空气质量现状</w:t>
            </w:r>
            <w:bookmarkStart w:id="16" w:name="_Toc6872"/>
            <w:bookmarkStart w:id="17" w:name="_Toc27816"/>
            <w:bookmarkStart w:id="18" w:name="_Toc37662860"/>
            <w:bookmarkStart w:id="19" w:name="_Toc26053"/>
          </w:p>
          <w:p w14:paraId="552E30C5">
            <w:pPr>
              <w:spacing w:line="360" w:lineRule="auto"/>
              <w:ind w:firstLine="480" w:firstLineChars="200"/>
              <w:outlineLvl w:val="2"/>
              <w:rPr>
                <w:color w:val="000000" w:themeColor="text1"/>
                <w:kern w:val="21"/>
                <w:sz w:val="24"/>
                <w:highlight w:val="none"/>
                <w14:textFill>
                  <w14:solidFill>
                    <w14:schemeClr w14:val="tx1"/>
                  </w14:solidFill>
                </w14:textFill>
              </w:rPr>
            </w:pPr>
            <w:r>
              <w:rPr>
                <w:color w:val="000000" w:themeColor="text1"/>
                <w:kern w:val="21"/>
                <w:sz w:val="24"/>
                <w:highlight w:val="none"/>
                <w14:textFill>
                  <w14:solidFill>
                    <w14:schemeClr w14:val="tx1"/>
                  </w14:solidFill>
                </w14:textFill>
              </w:rPr>
              <w:t>（1）基本污染物</w:t>
            </w:r>
            <w:bookmarkEnd w:id="16"/>
            <w:bookmarkEnd w:id="17"/>
            <w:bookmarkEnd w:id="18"/>
            <w:bookmarkEnd w:id="19"/>
            <w:r>
              <w:rPr>
                <w:color w:val="000000" w:themeColor="text1"/>
                <w:kern w:val="21"/>
                <w:sz w:val="24"/>
                <w:highlight w:val="none"/>
                <w14:textFill>
                  <w14:solidFill>
                    <w14:schemeClr w14:val="tx1"/>
                  </w14:solidFill>
                </w14:textFill>
              </w:rPr>
              <w:t>环境质量现状</w:t>
            </w:r>
          </w:p>
          <w:p w14:paraId="2274F785">
            <w:pPr>
              <w:spacing w:line="360" w:lineRule="auto"/>
              <w:ind w:firstLine="480" w:firstLineChars="200"/>
              <w:rPr>
                <w:color w:val="000000" w:themeColor="text1"/>
                <w:kern w:val="21"/>
                <w:sz w:val="24"/>
                <w:highlight w:val="none"/>
                <w14:textFill>
                  <w14:solidFill>
                    <w14:schemeClr w14:val="tx1"/>
                  </w14:solidFill>
                </w14:textFill>
              </w:rPr>
            </w:pPr>
            <w:bookmarkStart w:id="20" w:name="_Toc4555"/>
            <w:bookmarkStart w:id="21" w:name="_Toc16538"/>
            <w:bookmarkStart w:id="22" w:name="_Toc27394"/>
            <w:bookmarkStart w:id="23" w:name="_Toc37662861"/>
            <w:r>
              <w:rPr>
                <w:rFonts w:hint="eastAsia"/>
                <w:color w:val="000000" w:themeColor="text1"/>
                <w:kern w:val="21"/>
                <w:sz w:val="24"/>
                <w:highlight w:val="none"/>
                <w14:textFill>
                  <w14:solidFill>
                    <w14:schemeClr w14:val="tx1"/>
                  </w14:solidFill>
                </w14:textFill>
              </w:rPr>
              <w:t>根据黑龙江省生态环境厅公开发布的《202</w:t>
            </w:r>
            <w:r>
              <w:rPr>
                <w:rFonts w:hint="eastAsia"/>
                <w:color w:val="000000" w:themeColor="text1"/>
                <w:kern w:val="21"/>
                <w:sz w:val="24"/>
                <w:highlight w:val="none"/>
                <w:lang w:val="en-US" w:eastAsia="zh-CN"/>
                <w14:textFill>
                  <w14:solidFill>
                    <w14:schemeClr w14:val="tx1"/>
                  </w14:solidFill>
                </w14:textFill>
              </w:rPr>
              <w:t>4</w:t>
            </w:r>
            <w:r>
              <w:rPr>
                <w:rFonts w:hint="eastAsia"/>
                <w:color w:val="000000" w:themeColor="text1"/>
                <w:kern w:val="21"/>
                <w:sz w:val="24"/>
                <w:highlight w:val="none"/>
                <w14:textFill>
                  <w14:solidFill>
                    <w14:schemeClr w14:val="tx1"/>
                  </w14:solidFill>
                </w14:textFill>
              </w:rPr>
              <w:t>年黑龙江省生态环境质量状况》，202</w:t>
            </w:r>
            <w:r>
              <w:rPr>
                <w:rFonts w:hint="eastAsia"/>
                <w:color w:val="000000" w:themeColor="text1"/>
                <w:kern w:val="21"/>
                <w:sz w:val="24"/>
                <w:highlight w:val="none"/>
                <w:lang w:val="en-US" w:eastAsia="zh-CN"/>
                <w14:textFill>
                  <w14:solidFill>
                    <w14:schemeClr w14:val="tx1"/>
                  </w14:solidFill>
                </w14:textFill>
              </w:rPr>
              <w:t>4</w:t>
            </w:r>
            <w:r>
              <w:rPr>
                <w:rFonts w:hint="eastAsia"/>
                <w:color w:val="000000" w:themeColor="text1"/>
                <w:kern w:val="21"/>
                <w:sz w:val="24"/>
                <w:highlight w:val="none"/>
                <w14:textFill>
                  <w14:solidFill>
                    <w14:schemeClr w14:val="tx1"/>
                  </w14:solidFill>
                </w14:textFill>
              </w:rPr>
              <w:t>年</w:t>
            </w:r>
            <w:r>
              <w:rPr>
                <w:rFonts w:hint="eastAsia"/>
                <w:color w:val="000000" w:themeColor="text1"/>
                <w:kern w:val="21"/>
                <w:sz w:val="24"/>
                <w:highlight w:val="none"/>
                <w:lang w:val="en-US" w:eastAsia="zh-CN"/>
                <w14:textFill>
                  <w14:solidFill>
                    <w14:schemeClr w14:val="tx1"/>
                  </w14:solidFill>
                </w14:textFill>
              </w:rPr>
              <w:t>双鸭山</w:t>
            </w:r>
            <w:r>
              <w:rPr>
                <w:rFonts w:hint="eastAsia"/>
                <w:color w:val="000000" w:themeColor="text1"/>
                <w:kern w:val="21"/>
                <w:sz w:val="24"/>
                <w:highlight w:val="none"/>
                <w14:textFill>
                  <w14:solidFill>
                    <w14:schemeClr w14:val="tx1"/>
                  </w14:solidFill>
                </w14:textFill>
              </w:rPr>
              <w:t>市空气质量级别达二级标准，达标天数为3</w:t>
            </w:r>
            <w:r>
              <w:rPr>
                <w:rFonts w:hint="eastAsia"/>
                <w:color w:val="000000" w:themeColor="text1"/>
                <w:kern w:val="21"/>
                <w:sz w:val="24"/>
                <w:highlight w:val="none"/>
                <w:lang w:val="en-US" w:eastAsia="zh-CN"/>
                <w14:textFill>
                  <w14:solidFill>
                    <w14:schemeClr w14:val="tx1"/>
                  </w14:solidFill>
                </w14:textFill>
              </w:rPr>
              <w:t>52</w:t>
            </w:r>
            <w:r>
              <w:rPr>
                <w:rFonts w:hint="eastAsia"/>
                <w:color w:val="000000" w:themeColor="text1"/>
                <w:kern w:val="21"/>
                <w:sz w:val="24"/>
                <w:highlight w:val="none"/>
                <w14:textFill>
                  <w14:solidFill>
                    <w14:schemeClr w14:val="tx1"/>
                  </w14:solidFill>
                </w14:textFill>
              </w:rPr>
              <w:t>天(9</w:t>
            </w:r>
            <w:r>
              <w:rPr>
                <w:rFonts w:hint="eastAsia"/>
                <w:color w:val="000000" w:themeColor="text1"/>
                <w:kern w:val="21"/>
                <w:sz w:val="24"/>
                <w:highlight w:val="none"/>
                <w:lang w:val="en-US" w:eastAsia="zh-CN"/>
                <w14:textFill>
                  <w14:solidFill>
                    <w14:schemeClr w14:val="tx1"/>
                  </w14:solidFill>
                </w14:textFill>
              </w:rPr>
              <w:t>6.2</w:t>
            </w:r>
            <w:r>
              <w:rPr>
                <w:rFonts w:hint="eastAsia"/>
                <w:color w:val="000000" w:themeColor="text1"/>
                <w:kern w:val="21"/>
                <w:sz w:val="24"/>
                <w:highlight w:val="none"/>
                <w14:textFill>
                  <w14:solidFill>
                    <w14:schemeClr w14:val="tx1"/>
                  </w14:solidFill>
                </w14:textFill>
              </w:rPr>
              <w:t>%)。PM</w:t>
            </w:r>
            <w:r>
              <w:rPr>
                <w:rFonts w:hint="eastAsia"/>
                <w:color w:val="000000" w:themeColor="text1"/>
                <w:kern w:val="21"/>
                <w:sz w:val="24"/>
                <w:highlight w:val="none"/>
                <w:vertAlign w:val="subscript"/>
                <w14:textFill>
                  <w14:solidFill>
                    <w14:schemeClr w14:val="tx1"/>
                  </w14:solidFill>
                </w14:textFill>
              </w:rPr>
              <w:t>2.5</w:t>
            </w:r>
            <w:r>
              <w:rPr>
                <w:rFonts w:hint="eastAsia"/>
                <w:color w:val="000000" w:themeColor="text1"/>
                <w:kern w:val="21"/>
                <w:sz w:val="24"/>
                <w:highlight w:val="none"/>
                <w14:textFill>
                  <w14:solidFill>
                    <w14:schemeClr w14:val="tx1"/>
                  </w14:solidFill>
                </w14:textFill>
              </w:rPr>
              <w:t>、PM</w:t>
            </w:r>
            <w:r>
              <w:rPr>
                <w:rFonts w:hint="eastAsia"/>
                <w:color w:val="000000" w:themeColor="text1"/>
                <w:kern w:val="21"/>
                <w:sz w:val="24"/>
                <w:highlight w:val="none"/>
                <w:vertAlign w:val="subscript"/>
                <w14:textFill>
                  <w14:solidFill>
                    <w14:schemeClr w14:val="tx1"/>
                  </w14:solidFill>
                </w14:textFill>
              </w:rPr>
              <w:t>10</w:t>
            </w:r>
            <w:r>
              <w:rPr>
                <w:rFonts w:hint="eastAsia"/>
                <w:color w:val="000000" w:themeColor="text1"/>
                <w:kern w:val="21"/>
                <w:sz w:val="24"/>
                <w:highlight w:val="none"/>
                <w14:textFill>
                  <w14:solidFill>
                    <w14:schemeClr w14:val="tx1"/>
                  </w14:solidFill>
                </w14:textFill>
              </w:rPr>
              <w:t>、SO</w:t>
            </w:r>
            <w:r>
              <w:rPr>
                <w:rFonts w:hint="eastAsia"/>
                <w:color w:val="000000" w:themeColor="text1"/>
                <w:kern w:val="21"/>
                <w:sz w:val="24"/>
                <w:highlight w:val="none"/>
                <w:vertAlign w:val="subscript"/>
                <w14:textFill>
                  <w14:solidFill>
                    <w14:schemeClr w14:val="tx1"/>
                  </w14:solidFill>
                </w14:textFill>
              </w:rPr>
              <w:t>2</w:t>
            </w:r>
            <w:r>
              <w:rPr>
                <w:rFonts w:hint="eastAsia"/>
                <w:color w:val="000000" w:themeColor="text1"/>
                <w:kern w:val="21"/>
                <w:sz w:val="24"/>
                <w:highlight w:val="none"/>
                <w14:textFill>
                  <w14:solidFill>
                    <w14:schemeClr w14:val="tx1"/>
                  </w14:solidFill>
                </w14:textFill>
              </w:rPr>
              <w:t>、NO</w:t>
            </w:r>
            <w:r>
              <w:rPr>
                <w:rFonts w:hint="eastAsia"/>
                <w:color w:val="000000" w:themeColor="text1"/>
                <w:kern w:val="21"/>
                <w:sz w:val="24"/>
                <w:highlight w:val="none"/>
                <w:vertAlign w:val="subscript"/>
                <w14:textFill>
                  <w14:solidFill>
                    <w14:schemeClr w14:val="tx1"/>
                  </w14:solidFill>
                </w14:textFill>
              </w:rPr>
              <w:t>2</w:t>
            </w:r>
            <w:r>
              <w:rPr>
                <w:rFonts w:hint="eastAsia"/>
                <w:color w:val="000000" w:themeColor="text1"/>
                <w:kern w:val="21"/>
                <w:sz w:val="24"/>
                <w:highlight w:val="none"/>
                <w14:textFill>
                  <w14:solidFill>
                    <w14:schemeClr w14:val="tx1"/>
                  </w14:solidFill>
                </w14:textFill>
              </w:rPr>
              <w:t>、CO-95per和O</w:t>
            </w:r>
            <w:r>
              <w:rPr>
                <w:rFonts w:hint="eastAsia"/>
                <w:color w:val="000000" w:themeColor="text1"/>
                <w:kern w:val="21"/>
                <w:sz w:val="24"/>
                <w:highlight w:val="none"/>
                <w:vertAlign w:val="subscript"/>
                <w14:textFill>
                  <w14:solidFill>
                    <w14:schemeClr w14:val="tx1"/>
                  </w14:solidFill>
                </w14:textFill>
              </w:rPr>
              <w:t>3</w:t>
            </w:r>
            <w:r>
              <w:rPr>
                <w:rFonts w:hint="eastAsia"/>
                <w:color w:val="000000" w:themeColor="text1"/>
                <w:kern w:val="21"/>
                <w:sz w:val="24"/>
                <w:highlight w:val="none"/>
                <w14:textFill>
                  <w14:solidFill>
                    <w14:schemeClr w14:val="tx1"/>
                  </w14:solidFill>
                </w14:textFill>
              </w:rPr>
              <w:t>-8h-90per年均浓度分别为2</w:t>
            </w:r>
            <w:r>
              <w:rPr>
                <w:rFonts w:hint="eastAsia"/>
                <w:color w:val="000000" w:themeColor="text1"/>
                <w:kern w:val="21"/>
                <w:sz w:val="24"/>
                <w:highlight w:val="none"/>
                <w:lang w:val="en-US" w:eastAsia="zh-CN"/>
                <w14:textFill>
                  <w14:solidFill>
                    <w14:schemeClr w14:val="tx1"/>
                  </w14:solidFill>
                </w14:textFill>
              </w:rPr>
              <w:t>7</w:t>
            </w:r>
            <w:r>
              <w:rPr>
                <w:rFonts w:hint="eastAsia"/>
                <w:color w:val="000000" w:themeColor="text1"/>
                <w:kern w:val="21"/>
                <w:sz w:val="24"/>
                <w:highlight w:val="none"/>
                <w14:textFill>
                  <w14:solidFill>
                    <w14:schemeClr w14:val="tx1"/>
                  </w14:solidFill>
                </w14:textFill>
              </w:rPr>
              <w:t>μg/m</w:t>
            </w:r>
            <w:r>
              <w:rPr>
                <w:rFonts w:hint="eastAsia"/>
                <w:color w:val="000000" w:themeColor="text1"/>
                <w:kern w:val="21"/>
                <w:sz w:val="24"/>
                <w:highlight w:val="none"/>
                <w:vertAlign w:val="superscript"/>
                <w:lang w:val="en-US" w:eastAsia="zh-CN"/>
                <w14:textFill>
                  <w14:solidFill>
                    <w14:schemeClr w14:val="tx1"/>
                  </w14:solidFill>
                </w14:textFill>
              </w:rPr>
              <w:t>3</w:t>
            </w:r>
            <w:r>
              <w:rPr>
                <w:rFonts w:hint="eastAsia"/>
                <w:color w:val="000000" w:themeColor="text1"/>
                <w:kern w:val="21"/>
                <w:sz w:val="24"/>
                <w:highlight w:val="none"/>
                <w14:textFill>
                  <w14:solidFill>
                    <w14:schemeClr w14:val="tx1"/>
                  </w14:solidFill>
                </w14:textFill>
              </w:rPr>
              <w:t>、4</w:t>
            </w:r>
            <w:r>
              <w:rPr>
                <w:rFonts w:hint="eastAsia"/>
                <w:color w:val="000000" w:themeColor="text1"/>
                <w:kern w:val="21"/>
                <w:sz w:val="24"/>
                <w:highlight w:val="none"/>
                <w:lang w:val="en-US" w:eastAsia="zh-CN"/>
                <w14:textFill>
                  <w14:solidFill>
                    <w14:schemeClr w14:val="tx1"/>
                  </w14:solidFill>
                </w14:textFill>
              </w:rPr>
              <w:t>3</w:t>
            </w:r>
            <w:r>
              <w:rPr>
                <w:rFonts w:hint="eastAsia"/>
                <w:color w:val="000000" w:themeColor="text1"/>
                <w:kern w:val="21"/>
                <w:sz w:val="24"/>
                <w:highlight w:val="none"/>
                <w14:textFill>
                  <w14:solidFill>
                    <w14:schemeClr w14:val="tx1"/>
                  </w14:solidFill>
                </w14:textFill>
              </w:rPr>
              <w:t>μg/m</w:t>
            </w:r>
            <w:r>
              <w:rPr>
                <w:rFonts w:hint="eastAsia"/>
                <w:color w:val="000000" w:themeColor="text1"/>
                <w:kern w:val="21"/>
                <w:sz w:val="24"/>
                <w:highlight w:val="none"/>
                <w:vertAlign w:val="superscript"/>
                <w:lang w:val="en-US" w:eastAsia="zh-CN"/>
                <w14:textFill>
                  <w14:solidFill>
                    <w14:schemeClr w14:val="tx1"/>
                  </w14:solidFill>
                </w14:textFill>
              </w:rPr>
              <w:t>3</w:t>
            </w:r>
            <w:r>
              <w:rPr>
                <w:rFonts w:hint="eastAsia"/>
                <w:color w:val="000000" w:themeColor="text1"/>
                <w:kern w:val="21"/>
                <w:sz w:val="24"/>
                <w:highlight w:val="none"/>
                <w14:textFill>
                  <w14:solidFill>
                    <w14:schemeClr w14:val="tx1"/>
                  </w14:solidFill>
                </w14:textFill>
              </w:rPr>
              <w:t>、1</w:t>
            </w:r>
            <w:r>
              <w:rPr>
                <w:rFonts w:hint="eastAsia"/>
                <w:color w:val="000000" w:themeColor="text1"/>
                <w:kern w:val="21"/>
                <w:sz w:val="24"/>
                <w:highlight w:val="none"/>
                <w:lang w:val="en-US" w:eastAsia="zh-CN"/>
                <w14:textFill>
                  <w14:solidFill>
                    <w14:schemeClr w14:val="tx1"/>
                  </w14:solidFill>
                </w14:textFill>
              </w:rPr>
              <w:t>1</w:t>
            </w:r>
            <w:r>
              <w:rPr>
                <w:rFonts w:hint="eastAsia"/>
                <w:color w:val="000000" w:themeColor="text1"/>
                <w:kern w:val="21"/>
                <w:sz w:val="24"/>
                <w:highlight w:val="none"/>
                <w14:textFill>
                  <w14:solidFill>
                    <w14:schemeClr w14:val="tx1"/>
                  </w14:solidFill>
                </w14:textFill>
              </w:rPr>
              <w:t>μg/m</w:t>
            </w:r>
            <w:r>
              <w:rPr>
                <w:rFonts w:hint="eastAsia"/>
                <w:color w:val="000000" w:themeColor="text1"/>
                <w:kern w:val="21"/>
                <w:sz w:val="24"/>
                <w:highlight w:val="none"/>
                <w:vertAlign w:val="superscript"/>
                <w:lang w:val="en-US" w:eastAsia="zh-CN"/>
                <w14:textFill>
                  <w14:solidFill>
                    <w14:schemeClr w14:val="tx1"/>
                  </w14:solidFill>
                </w14:textFill>
              </w:rPr>
              <w:t>3</w:t>
            </w:r>
            <w:r>
              <w:rPr>
                <w:rFonts w:hint="eastAsia"/>
                <w:color w:val="000000" w:themeColor="text1"/>
                <w:kern w:val="21"/>
                <w:sz w:val="24"/>
                <w:highlight w:val="none"/>
                <w14:textFill>
                  <w14:solidFill>
                    <w14:schemeClr w14:val="tx1"/>
                  </w14:solidFill>
                </w14:textFill>
              </w:rPr>
              <w:t>、</w:t>
            </w:r>
            <w:r>
              <w:rPr>
                <w:rFonts w:hint="eastAsia"/>
                <w:color w:val="000000" w:themeColor="text1"/>
                <w:kern w:val="21"/>
                <w:sz w:val="24"/>
                <w:highlight w:val="none"/>
                <w:lang w:val="en-US" w:eastAsia="zh-CN"/>
                <w14:textFill>
                  <w14:solidFill>
                    <w14:schemeClr w14:val="tx1"/>
                  </w14:solidFill>
                </w14:textFill>
              </w:rPr>
              <w:t>15</w:t>
            </w:r>
            <w:r>
              <w:rPr>
                <w:rFonts w:hint="eastAsia"/>
                <w:color w:val="000000" w:themeColor="text1"/>
                <w:kern w:val="21"/>
                <w:sz w:val="24"/>
                <w:highlight w:val="none"/>
                <w14:textFill>
                  <w14:solidFill>
                    <w14:schemeClr w14:val="tx1"/>
                  </w14:solidFill>
                </w14:textFill>
              </w:rPr>
              <w:t>μg/m</w:t>
            </w:r>
            <w:r>
              <w:rPr>
                <w:rFonts w:hint="eastAsia"/>
                <w:color w:val="000000" w:themeColor="text1"/>
                <w:kern w:val="21"/>
                <w:sz w:val="24"/>
                <w:highlight w:val="none"/>
                <w:vertAlign w:val="superscript"/>
                <w:lang w:val="en-US" w:eastAsia="zh-CN"/>
                <w14:textFill>
                  <w14:solidFill>
                    <w14:schemeClr w14:val="tx1"/>
                  </w14:solidFill>
                </w14:textFill>
              </w:rPr>
              <w:t>3</w:t>
            </w:r>
            <w:r>
              <w:rPr>
                <w:rFonts w:hint="eastAsia"/>
                <w:color w:val="000000" w:themeColor="text1"/>
                <w:kern w:val="21"/>
                <w:sz w:val="24"/>
                <w:highlight w:val="none"/>
                <w14:textFill>
                  <w14:solidFill>
                    <w14:schemeClr w14:val="tx1"/>
                  </w14:solidFill>
                </w14:textFill>
              </w:rPr>
              <w:t>、</w:t>
            </w:r>
            <w:r>
              <w:rPr>
                <w:rFonts w:hint="eastAsia"/>
                <w:color w:val="000000" w:themeColor="text1"/>
                <w:kern w:val="21"/>
                <w:sz w:val="24"/>
                <w:highlight w:val="none"/>
                <w:lang w:val="en-US" w:eastAsia="zh-CN"/>
                <w14:textFill>
                  <w14:solidFill>
                    <w14:schemeClr w14:val="tx1"/>
                  </w14:solidFill>
                </w14:textFill>
              </w:rPr>
              <w:t>0.9</w:t>
            </w:r>
            <w:r>
              <w:rPr>
                <w:rFonts w:hint="eastAsia"/>
                <w:color w:val="000000" w:themeColor="text1"/>
                <w:kern w:val="21"/>
                <w:sz w:val="24"/>
                <w:highlight w:val="none"/>
                <w14:textFill>
                  <w14:solidFill>
                    <w14:schemeClr w14:val="tx1"/>
                  </w14:solidFill>
                </w14:textFill>
              </w:rPr>
              <w:t>mg/m</w:t>
            </w:r>
            <w:r>
              <w:rPr>
                <w:rFonts w:hint="eastAsia"/>
                <w:color w:val="000000" w:themeColor="text1"/>
                <w:kern w:val="21"/>
                <w:sz w:val="24"/>
                <w:highlight w:val="none"/>
                <w:vertAlign w:val="superscript"/>
                <w:lang w:val="en-US" w:eastAsia="zh-CN"/>
                <w14:textFill>
                  <w14:solidFill>
                    <w14:schemeClr w14:val="tx1"/>
                  </w14:solidFill>
                </w14:textFill>
              </w:rPr>
              <w:t>3</w:t>
            </w:r>
            <w:r>
              <w:rPr>
                <w:rFonts w:hint="eastAsia"/>
                <w:color w:val="000000" w:themeColor="text1"/>
                <w:kern w:val="21"/>
                <w:sz w:val="24"/>
                <w:highlight w:val="none"/>
                <w14:textFill>
                  <w14:solidFill>
                    <w14:schemeClr w14:val="tx1"/>
                  </w14:solidFill>
                </w14:textFill>
              </w:rPr>
              <w:t>和10</w:t>
            </w:r>
            <w:r>
              <w:rPr>
                <w:rFonts w:hint="eastAsia"/>
                <w:color w:val="000000" w:themeColor="text1"/>
                <w:kern w:val="21"/>
                <w:sz w:val="24"/>
                <w:highlight w:val="none"/>
                <w:lang w:val="en-US" w:eastAsia="zh-CN"/>
                <w14:textFill>
                  <w14:solidFill>
                    <w14:schemeClr w14:val="tx1"/>
                  </w14:solidFill>
                </w14:textFill>
              </w:rPr>
              <w:t>5</w:t>
            </w:r>
            <w:r>
              <w:rPr>
                <w:rFonts w:hint="eastAsia"/>
                <w:color w:val="000000" w:themeColor="text1"/>
                <w:kern w:val="21"/>
                <w:sz w:val="24"/>
                <w:highlight w:val="none"/>
                <w14:textFill>
                  <w14:solidFill>
                    <w14:schemeClr w14:val="tx1"/>
                  </w14:solidFill>
                </w14:textFill>
              </w:rPr>
              <w:t>μg/m</w:t>
            </w:r>
            <w:r>
              <w:rPr>
                <w:rFonts w:hint="eastAsia"/>
                <w:color w:val="000000" w:themeColor="text1"/>
                <w:kern w:val="21"/>
                <w:sz w:val="24"/>
                <w:highlight w:val="none"/>
                <w:vertAlign w:val="superscript"/>
                <w:lang w:val="en-US" w:eastAsia="zh-CN"/>
                <w14:textFill>
                  <w14:solidFill>
                    <w14:schemeClr w14:val="tx1"/>
                  </w14:solidFill>
                </w14:textFill>
              </w:rPr>
              <w:t>3</w:t>
            </w:r>
            <w:r>
              <w:rPr>
                <w:rFonts w:hint="eastAsia"/>
                <w:color w:val="000000" w:themeColor="text1"/>
                <w:kern w:val="21"/>
                <w:sz w:val="24"/>
                <w:highlight w:val="none"/>
                <w14:textFill>
                  <w14:solidFill>
                    <w14:schemeClr w14:val="tx1"/>
                  </w14:solidFill>
                </w14:textFill>
              </w:rPr>
              <w:t>。各污染物平均浓度均优于《环境空气质量标准》（GB3095-2012）中二级标准限值。根据《环境影响评价技术导则 大气环境》（HJ2.2-2018）规定，本项目所在区域属于达标区</w:t>
            </w:r>
            <w:r>
              <w:rPr>
                <w:rFonts w:hint="eastAsia"/>
                <w:color w:val="000000" w:themeColor="text1"/>
                <w:kern w:val="21"/>
                <w:sz w:val="24"/>
                <w:highlight w:val="none"/>
                <w:lang w:val="en-US" w:eastAsia="zh-CN"/>
                <w14:textFill>
                  <w14:solidFill>
                    <w14:schemeClr w14:val="tx1"/>
                  </w14:solidFill>
                </w14:textFill>
              </w:rPr>
              <w:t>。</w:t>
            </w:r>
            <w:r>
              <w:rPr>
                <w:color w:val="000000" w:themeColor="text1"/>
                <w:kern w:val="21"/>
                <w:sz w:val="24"/>
                <w:highlight w:val="none"/>
                <w14:textFill>
                  <w14:solidFill>
                    <w14:schemeClr w14:val="tx1"/>
                  </w14:solidFill>
                </w14:textFill>
              </w:rPr>
              <w:t>区域空气质量现状评价见下表。</w:t>
            </w:r>
          </w:p>
          <w:p w14:paraId="09055B77">
            <w:pPr>
              <w:tabs>
                <w:tab w:val="left" w:pos="1725"/>
              </w:tabs>
              <w:spacing w:line="360" w:lineRule="auto"/>
              <w:jc w:val="center"/>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表3-1 双鸭山市环境空气污染物年平均值及达标情况</w:t>
            </w:r>
          </w:p>
          <w:tbl>
            <w:tblPr>
              <w:tblStyle w:val="85"/>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Layout w:type="fixed"/>
              <w:tblCellMar>
                <w:top w:w="0" w:type="dxa"/>
                <w:left w:w="0" w:type="dxa"/>
                <w:bottom w:w="0" w:type="dxa"/>
                <w:right w:w="0" w:type="dxa"/>
              </w:tblCellMar>
            </w:tblPr>
            <w:tblGrid>
              <w:gridCol w:w="950"/>
              <w:gridCol w:w="2415"/>
              <w:gridCol w:w="1451"/>
              <w:gridCol w:w="1051"/>
              <w:gridCol w:w="1099"/>
              <w:gridCol w:w="1032"/>
            </w:tblGrid>
            <w:tr w14:paraId="66A15D7D">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40" w:hRule="atLeast"/>
                <w:jc w:val="center"/>
              </w:trPr>
              <w:tc>
                <w:tcPr>
                  <w:tcW w:w="950" w:type="dxa"/>
                  <w:tcBorders>
                    <w:tl2br w:val="nil"/>
                    <w:tr2bl w:val="nil"/>
                  </w:tcBorders>
                  <w:vAlign w:val="center"/>
                </w:tcPr>
                <w:p w14:paraId="5591AA07">
                  <w:pPr>
                    <w:autoSpaceDE w:val="0"/>
                    <w:autoSpaceDN w:val="0"/>
                    <w:jc w:val="center"/>
                    <w:rPr>
                      <w:b/>
                      <w:bCs/>
                      <w:color w:val="000000" w:themeColor="text1"/>
                      <w:szCs w:val="21"/>
                      <w:highlight w:val="none"/>
                      <w14:textFill>
                        <w14:solidFill>
                          <w14:schemeClr w14:val="tx1"/>
                        </w14:solidFill>
                      </w14:textFill>
                    </w:rPr>
                  </w:pPr>
                  <w:r>
                    <w:rPr>
                      <w:b/>
                      <w:bCs/>
                      <w:color w:val="000000" w:themeColor="text1"/>
                      <w:spacing w:val="-4"/>
                      <w:szCs w:val="21"/>
                      <w:highlight w:val="none"/>
                      <w14:textFill>
                        <w14:solidFill>
                          <w14:schemeClr w14:val="tx1"/>
                        </w14:solidFill>
                      </w14:textFill>
                    </w:rPr>
                    <w:t>污染物</w:t>
                  </w:r>
                </w:p>
              </w:tc>
              <w:tc>
                <w:tcPr>
                  <w:tcW w:w="2415" w:type="dxa"/>
                  <w:tcBorders>
                    <w:tl2br w:val="nil"/>
                    <w:tr2bl w:val="nil"/>
                  </w:tcBorders>
                  <w:vAlign w:val="center"/>
                </w:tcPr>
                <w:p w14:paraId="2336ADED">
                  <w:pPr>
                    <w:autoSpaceDE w:val="0"/>
                    <w:autoSpaceDN w:val="0"/>
                    <w:jc w:val="center"/>
                    <w:rPr>
                      <w:b/>
                      <w:bCs/>
                      <w:color w:val="000000" w:themeColor="text1"/>
                      <w:szCs w:val="21"/>
                      <w:highlight w:val="none"/>
                      <w14:textFill>
                        <w14:solidFill>
                          <w14:schemeClr w14:val="tx1"/>
                        </w14:solidFill>
                      </w14:textFill>
                    </w:rPr>
                  </w:pPr>
                  <w:r>
                    <w:rPr>
                      <w:b/>
                      <w:bCs/>
                      <w:color w:val="000000" w:themeColor="text1"/>
                      <w:spacing w:val="-3"/>
                      <w:szCs w:val="21"/>
                      <w:highlight w:val="none"/>
                      <w14:textFill>
                        <w14:solidFill>
                          <w14:schemeClr w14:val="tx1"/>
                        </w14:solidFill>
                      </w14:textFill>
                    </w:rPr>
                    <w:t>年评价指标</w:t>
                  </w:r>
                </w:p>
              </w:tc>
              <w:tc>
                <w:tcPr>
                  <w:tcW w:w="1451" w:type="dxa"/>
                  <w:tcBorders>
                    <w:tl2br w:val="nil"/>
                    <w:tr2bl w:val="nil"/>
                  </w:tcBorders>
                  <w:vAlign w:val="center"/>
                </w:tcPr>
                <w:p w14:paraId="15319269">
                  <w:pPr>
                    <w:autoSpaceDE w:val="0"/>
                    <w:autoSpaceDN w:val="0"/>
                    <w:jc w:val="center"/>
                    <w:rPr>
                      <w:b/>
                      <w:bCs/>
                      <w:color w:val="000000" w:themeColor="text1"/>
                      <w:szCs w:val="21"/>
                      <w:highlight w:val="none"/>
                      <w14:textFill>
                        <w14:solidFill>
                          <w14:schemeClr w14:val="tx1"/>
                        </w14:solidFill>
                      </w14:textFill>
                    </w:rPr>
                  </w:pPr>
                  <w:r>
                    <w:rPr>
                      <w:b/>
                      <w:bCs/>
                      <w:color w:val="000000" w:themeColor="text1"/>
                      <w:spacing w:val="-4"/>
                      <w:szCs w:val="21"/>
                      <w:highlight w:val="none"/>
                      <w14:textFill>
                        <w14:solidFill>
                          <w14:schemeClr w14:val="tx1"/>
                        </w14:solidFill>
                      </w14:textFill>
                    </w:rPr>
                    <w:t>现状浓度</w:t>
                  </w:r>
                  <w:r>
                    <w:rPr>
                      <w:b/>
                      <w:bCs/>
                      <w:color w:val="000000" w:themeColor="text1"/>
                      <w:spacing w:val="-5"/>
                      <w:szCs w:val="21"/>
                      <w:highlight w:val="none"/>
                      <w14:textFill>
                        <w14:solidFill>
                          <w14:schemeClr w14:val="tx1"/>
                        </w14:solidFill>
                      </w14:textFill>
                    </w:rPr>
                    <w:t>（</w:t>
                  </w:r>
                  <w:r>
                    <w:rPr>
                      <w:rFonts w:eastAsia="Times New Roman"/>
                      <w:b/>
                      <w:bCs/>
                      <w:color w:val="000000" w:themeColor="text1"/>
                      <w:spacing w:val="-5"/>
                      <w:szCs w:val="21"/>
                      <w:highlight w:val="none"/>
                      <w14:textFill>
                        <w14:solidFill>
                          <w14:schemeClr w14:val="tx1"/>
                        </w14:solidFill>
                      </w14:textFill>
                    </w:rPr>
                    <w:t>μg/m</w:t>
                  </w:r>
                  <w:r>
                    <w:rPr>
                      <w:b/>
                      <w:bCs/>
                      <w:color w:val="000000" w:themeColor="text1"/>
                      <w:spacing w:val="-5"/>
                      <w:szCs w:val="21"/>
                      <w:highlight w:val="none"/>
                      <w:vertAlign w:val="superscript"/>
                      <w14:textFill>
                        <w14:solidFill>
                          <w14:schemeClr w14:val="tx1"/>
                        </w14:solidFill>
                      </w14:textFill>
                    </w:rPr>
                    <w:t>3</w:t>
                  </w:r>
                  <w:r>
                    <w:rPr>
                      <w:b/>
                      <w:bCs/>
                      <w:color w:val="000000" w:themeColor="text1"/>
                      <w:spacing w:val="-5"/>
                      <w:szCs w:val="21"/>
                      <w:highlight w:val="none"/>
                      <w14:textFill>
                        <w14:solidFill>
                          <w14:schemeClr w14:val="tx1"/>
                        </w14:solidFill>
                      </w14:textFill>
                    </w:rPr>
                    <w:t>）</w:t>
                  </w:r>
                </w:p>
              </w:tc>
              <w:tc>
                <w:tcPr>
                  <w:tcW w:w="1051" w:type="dxa"/>
                  <w:tcBorders>
                    <w:tl2br w:val="nil"/>
                    <w:tr2bl w:val="nil"/>
                  </w:tcBorders>
                  <w:vAlign w:val="center"/>
                </w:tcPr>
                <w:p w14:paraId="24049926">
                  <w:pPr>
                    <w:autoSpaceDE w:val="0"/>
                    <w:autoSpaceDN w:val="0"/>
                    <w:jc w:val="center"/>
                    <w:rPr>
                      <w:b/>
                      <w:bCs/>
                      <w:color w:val="000000" w:themeColor="text1"/>
                      <w:szCs w:val="21"/>
                      <w:highlight w:val="none"/>
                      <w14:textFill>
                        <w14:solidFill>
                          <w14:schemeClr w14:val="tx1"/>
                        </w14:solidFill>
                      </w14:textFill>
                    </w:rPr>
                  </w:pPr>
                  <w:r>
                    <w:rPr>
                      <w:b/>
                      <w:bCs/>
                      <w:color w:val="000000" w:themeColor="text1"/>
                      <w:spacing w:val="-4"/>
                      <w:szCs w:val="21"/>
                      <w:highlight w:val="none"/>
                      <w14:textFill>
                        <w14:solidFill>
                          <w14:schemeClr w14:val="tx1"/>
                        </w14:solidFill>
                      </w14:textFill>
                    </w:rPr>
                    <w:t>标准值</w:t>
                  </w:r>
                  <w:r>
                    <w:rPr>
                      <w:b/>
                      <w:bCs/>
                      <w:color w:val="000000" w:themeColor="text1"/>
                      <w:spacing w:val="-5"/>
                      <w:szCs w:val="21"/>
                      <w:highlight w:val="none"/>
                      <w14:textFill>
                        <w14:solidFill>
                          <w14:schemeClr w14:val="tx1"/>
                        </w14:solidFill>
                      </w14:textFill>
                    </w:rPr>
                    <w:t>（</w:t>
                  </w:r>
                  <w:r>
                    <w:rPr>
                      <w:rFonts w:eastAsia="Times New Roman"/>
                      <w:b/>
                      <w:bCs/>
                      <w:color w:val="000000" w:themeColor="text1"/>
                      <w:spacing w:val="-5"/>
                      <w:szCs w:val="21"/>
                      <w:highlight w:val="none"/>
                      <w14:textFill>
                        <w14:solidFill>
                          <w14:schemeClr w14:val="tx1"/>
                        </w14:solidFill>
                      </w14:textFill>
                    </w:rPr>
                    <w:t>μg/m</w:t>
                  </w:r>
                  <w:r>
                    <w:rPr>
                      <w:b/>
                      <w:bCs/>
                      <w:color w:val="000000" w:themeColor="text1"/>
                      <w:spacing w:val="-5"/>
                      <w:szCs w:val="21"/>
                      <w:highlight w:val="none"/>
                      <w:vertAlign w:val="superscript"/>
                      <w14:textFill>
                        <w14:solidFill>
                          <w14:schemeClr w14:val="tx1"/>
                        </w14:solidFill>
                      </w14:textFill>
                    </w:rPr>
                    <w:t>3</w:t>
                  </w:r>
                  <w:r>
                    <w:rPr>
                      <w:b/>
                      <w:bCs/>
                      <w:color w:val="000000" w:themeColor="text1"/>
                      <w:spacing w:val="-5"/>
                      <w:szCs w:val="21"/>
                      <w:highlight w:val="none"/>
                      <w14:textFill>
                        <w14:solidFill>
                          <w14:schemeClr w14:val="tx1"/>
                        </w14:solidFill>
                      </w14:textFill>
                    </w:rPr>
                    <w:t>）</w:t>
                  </w:r>
                </w:p>
              </w:tc>
              <w:tc>
                <w:tcPr>
                  <w:tcW w:w="1099" w:type="dxa"/>
                  <w:tcBorders>
                    <w:tl2br w:val="nil"/>
                    <w:tr2bl w:val="nil"/>
                  </w:tcBorders>
                  <w:vAlign w:val="center"/>
                </w:tcPr>
                <w:p w14:paraId="69122F6C">
                  <w:pPr>
                    <w:autoSpaceDE w:val="0"/>
                    <w:autoSpaceDN w:val="0"/>
                    <w:jc w:val="center"/>
                    <w:rPr>
                      <w:rFonts w:eastAsia="Times New Roman"/>
                      <w:b/>
                      <w:bCs/>
                      <w:color w:val="000000" w:themeColor="text1"/>
                      <w:szCs w:val="21"/>
                      <w:highlight w:val="none"/>
                      <w14:textFill>
                        <w14:solidFill>
                          <w14:schemeClr w14:val="tx1"/>
                        </w14:solidFill>
                      </w14:textFill>
                    </w:rPr>
                  </w:pPr>
                  <w:r>
                    <w:rPr>
                      <w:b/>
                      <w:bCs/>
                      <w:color w:val="000000" w:themeColor="text1"/>
                      <w:spacing w:val="-11"/>
                      <w:szCs w:val="21"/>
                      <w:highlight w:val="none"/>
                      <w14:textFill>
                        <w14:solidFill>
                          <w14:schemeClr w14:val="tx1"/>
                        </w14:solidFill>
                      </w14:textFill>
                    </w:rPr>
                    <w:t>占标率</w:t>
                  </w:r>
                  <w:r>
                    <w:rPr>
                      <w:rFonts w:eastAsia="Times New Roman"/>
                      <w:b/>
                      <w:bCs/>
                      <w:color w:val="000000" w:themeColor="text1"/>
                      <w:spacing w:val="-11"/>
                      <w:szCs w:val="21"/>
                      <w:highlight w:val="none"/>
                      <w14:textFill>
                        <w14:solidFill>
                          <w14:schemeClr w14:val="tx1"/>
                        </w14:solidFill>
                      </w14:textFill>
                    </w:rPr>
                    <w:t>%</w:t>
                  </w:r>
                </w:p>
              </w:tc>
              <w:tc>
                <w:tcPr>
                  <w:tcW w:w="1032" w:type="dxa"/>
                  <w:tcBorders>
                    <w:tl2br w:val="nil"/>
                    <w:tr2bl w:val="nil"/>
                  </w:tcBorders>
                  <w:vAlign w:val="center"/>
                </w:tcPr>
                <w:p w14:paraId="4DBF3038">
                  <w:pPr>
                    <w:autoSpaceDE w:val="0"/>
                    <w:autoSpaceDN w:val="0"/>
                    <w:jc w:val="center"/>
                    <w:rPr>
                      <w:b/>
                      <w:bCs/>
                      <w:color w:val="000000" w:themeColor="text1"/>
                      <w:szCs w:val="21"/>
                      <w:highlight w:val="none"/>
                      <w14:textFill>
                        <w14:solidFill>
                          <w14:schemeClr w14:val="tx1"/>
                        </w14:solidFill>
                      </w14:textFill>
                    </w:rPr>
                  </w:pPr>
                  <w:r>
                    <w:rPr>
                      <w:b/>
                      <w:bCs/>
                      <w:color w:val="000000" w:themeColor="text1"/>
                      <w:spacing w:val="-3"/>
                      <w:szCs w:val="21"/>
                      <w:highlight w:val="none"/>
                      <w14:textFill>
                        <w14:solidFill>
                          <w14:schemeClr w14:val="tx1"/>
                        </w14:solidFill>
                      </w14:textFill>
                    </w:rPr>
                    <w:t>达标情况</w:t>
                  </w:r>
                </w:p>
              </w:tc>
            </w:tr>
            <w:tr w14:paraId="584CF450">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40" w:hRule="atLeast"/>
                <w:jc w:val="center"/>
              </w:trPr>
              <w:tc>
                <w:tcPr>
                  <w:tcW w:w="950" w:type="dxa"/>
                  <w:tcBorders>
                    <w:tl2br w:val="nil"/>
                    <w:tr2bl w:val="nil"/>
                  </w:tcBorders>
                  <w:vAlign w:val="center"/>
                </w:tcPr>
                <w:p w14:paraId="5C89EE6A">
                  <w:pPr>
                    <w:autoSpaceDE w:val="0"/>
                    <w:autoSpaceDN w:val="0"/>
                    <w:jc w:val="center"/>
                    <w:rPr>
                      <w:color w:val="000000" w:themeColor="text1"/>
                      <w:szCs w:val="21"/>
                      <w:highlight w:val="none"/>
                      <w14:textFill>
                        <w14:solidFill>
                          <w14:schemeClr w14:val="tx1"/>
                        </w14:solidFill>
                      </w14:textFill>
                    </w:rPr>
                  </w:pPr>
                  <w:r>
                    <w:rPr>
                      <w:rFonts w:eastAsia="Times New Roman"/>
                      <w:color w:val="000000" w:themeColor="text1"/>
                      <w:spacing w:val="-6"/>
                      <w:szCs w:val="21"/>
                      <w:highlight w:val="none"/>
                      <w14:textFill>
                        <w14:solidFill>
                          <w14:schemeClr w14:val="tx1"/>
                        </w14:solidFill>
                      </w14:textFill>
                    </w:rPr>
                    <w:t>SO</w:t>
                  </w:r>
                  <w:r>
                    <w:rPr>
                      <w:color w:val="000000" w:themeColor="text1"/>
                      <w:spacing w:val="-6"/>
                      <w:szCs w:val="21"/>
                      <w:highlight w:val="none"/>
                      <w:vertAlign w:val="subscript"/>
                      <w14:textFill>
                        <w14:solidFill>
                          <w14:schemeClr w14:val="tx1"/>
                        </w14:solidFill>
                      </w14:textFill>
                    </w:rPr>
                    <w:t>2</w:t>
                  </w:r>
                </w:p>
              </w:tc>
              <w:tc>
                <w:tcPr>
                  <w:tcW w:w="2415" w:type="dxa"/>
                  <w:tcBorders>
                    <w:tl2br w:val="nil"/>
                    <w:tr2bl w:val="nil"/>
                  </w:tcBorders>
                  <w:vAlign w:val="center"/>
                </w:tcPr>
                <w:p w14:paraId="2473D44F">
                  <w:pPr>
                    <w:autoSpaceDE w:val="0"/>
                    <w:autoSpaceDN w:val="0"/>
                    <w:jc w:val="center"/>
                    <w:rPr>
                      <w:color w:val="000000" w:themeColor="text1"/>
                      <w:szCs w:val="21"/>
                      <w:highlight w:val="none"/>
                      <w14:textFill>
                        <w14:solidFill>
                          <w14:schemeClr w14:val="tx1"/>
                        </w14:solidFill>
                      </w14:textFill>
                    </w:rPr>
                  </w:pPr>
                  <w:r>
                    <w:rPr>
                      <w:color w:val="000000" w:themeColor="text1"/>
                      <w:spacing w:val="-2"/>
                      <w:szCs w:val="21"/>
                      <w:highlight w:val="none"/>
                      <w14:textFill>
                        <w14:solidFill>
                          <w14:schemeClr w14:val="tx1"/>
                        </w14:solidFill>
                      </w14:textFill>
                    </w:rPr>
                    <w:t>年平均质量浓度</w:t>
                  </w:r>
                </w:p>
              </w:tc>
              <w:tc>
                <w:tcPr>
                  <w:tcW w:w="1451" w:type="dxa"/>
                  <w:tcBorders>
                    <w:tl2br w:val="nil"/>
                    <w:tr2bl w:val="nil"/>
                  </w:tcBorders>
                  <w:vAlign w:val="center"/>
                </w:tcPr>
                <w:p w14:paraId="4770FBBA">
                  <w:pPr>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14:textFill>
                        <w14:solidFill>
                          <w14:schemeClr w14:val="tx1"/>
                        </w14:solidFill>
                      </w14:textFill>
                    </w:rPr>
                    <w:t>1</w:t>
                  </w:r>
                  <w:r>
                    <w:rPr>
                      <w:rFonts w:hint="eastAsia"/>
                      <w:color w:val="000000" w:themeColor="text1"/>
                      <w:szCs w:val="21"/>
                      <w:highlight w:val="none"/>
                      <w:lang w:val="en-US" w:eastAsia="zh-CN"/>
                      <w14:textFill>
                        <w14:solidFill>
                          <w14:schemeClr w14:val="tx1"/>
                        </w14:solidFill>
                      </w14:textFill>
                    </w:rPr>
                    <w:t>1</w:t>
                  </w:r>
                </w:p>
              </w:tc>
              <w:tc>
                <w:tcPr>
                  <w:tcW w:w="1051" w:type="dxa"/>
                  <w:tcBorders>
                    <w:tl2br w:val="nil"/>
                    <w:tr2bl w:val="nil"/>
                  </w:tcBorders>
                  <w:vAlign w:val="center"/>
                </w:tcPr>
                <w:p w14:paraId="60642658">
                  <w:pPr>
                    <w:adjustRightInd w:val="0"/>
                    <w:snapToGrid w:val="0"/>
                    <w:jc w:val="center"/>
                    <w:rPr>
                      <w:rFonts w:eastAsia="Times New Roman"/>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60</w:t>
                  </w:r>
                </w:p>
              </w:tc>
              <w:tc>
                <w:tcPr>
                  <w:tcW w:w="1099" w:type="dxa"/>
                  <w:tcBorders>
                    <w:tl2br w:val="nil"/>
                    <w:tr2bl w:val="nil"/>
                  </w:tcBorders>
                  <w:vAlign w:val="center"/>
                </w:tcPr>
                <w:p w14:paraId="6C9D03B4">
                  <w:pPr>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eastAsiaTheme="minorEastAsia"/>
                      <w:color w:val="000000" w:themeColor="text1"/>
                      <w:szCs w:val="21"/>
                      <w:highlight w:val="none"/>
                      <w:lang w:val="en-US" w:eastAsia="zh-CN"/>
                      <w14:textFill>
                        <w14:solidFill>
                          <w14:schemeClr w14:val="tx1"/>
                        </w14:solidFill>
                      </w14:textFill>
                    </w:rPr>
                    <w:t>18.3</w:t>
                  </w:r>
                </w:p>
              </w:tc>
              <w:tc>
                <w:tcPr>
                  <w:tcW w:w="1032" w:type="dxa"/>
                  <w:tcBorders>
                    <w:tl2br w:val="nil"/>
                    <w:tr2bl w:val="nil"/>
                  </w:tcBorders>
                  <w:vAlign w:val="center"/>
                </w:tcPr>
                <w:p w14:paraId="56B3ECBF">
                  <w:pPr>
                    <w:autoSpaceDE w:val="0"/>
                    <w:autoSpaceDN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r>
            <w:tr w14:paraId="230AB32A">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90" w:hRule="atLeast"/>
                <w:jc w:val="center"/>
              </w:trPr>
              <w:tc>
                <w:tcPr>
                  <w:tcW w:w="950" w:type="dxa"/>
                  <w:tcBorders>
                    <w:tl2br w:val="nil"/>
                    <w:tr2bl w:val="nil"/>
                  </w:tcBorders>
                  <w:vAlign w:val="center"/>
                </w:tcPr>
                <w:p w14:paraId="044F2214">
                  <w:pPr>
                    <w:autoSpaceDE w:val="0"/>
                    <w:autoSpaceDN w:val="0"/>
                    <w:jc w:val="center"/>
                    <w:rPr>
                      <w:color w:val="000000" w:themeColor="text1"/>
                      <w:szCs w:val="21"/>
                      <w:highlight w:val="none"/>
                      <w14:textFill>
                        <w14:solidFill>
                          <w14:schemeClr w14:val="tx1"/>
                        </w14:solidFill>
                      </w14:textFill>
                    </w:rPr>
                  </w:pPr>
                  <w:r>
                    <w:rPr>
                      <w:rFonts w:eastAsia="Times New Roman"/>
                      <w:color w:val="000000" w:themeColor="text1"/>
                      <w:szCs w:val="21"/>
                      <w:highlight w:val="none"/>
                      <w14:textFill>
                        <w14:solidFill>
                          <w14:schemeClr w14:val="tx1"/>
                        </w14:solidFill>
                      </w14:textFill>
                    </w:rPr>
                    <w:t>NO</w:t>
                  </w:r>
                  <w:r>
                    <w:rPr>
                      <w:color w:val="000000" w:themeColor="text1"/>
                      <w:szCs w:val="21"/>
                      <w:highlight w:val="none"/>
                      <w:vertAlign w:val="subscript"/>
                      <w14:textFill>
                        <w14:solidFill>
                          <w14:schemeClr w14:val="tx1"/>
                        </w14:solidFill>
                      </w14:textFill>
                    </w:rPr>
                    <w:t>2</w:t>
                  </w:r>
                </w:p>
              </w:tc>
              <w:tc>
                <w:tcPr>
                  <w:tcW w:w="2415" w:type="dxa"/>
                  <w:tcBorders>
                    <w:tl2br w:val="nil"/>
                    <w:tr2bl w:val="nil"/>
                  </w:tcBorders>
                  <w:vAlign w:val="center"/>
                </w:tcPr>
                <w:p w14:paraId="0B9C31B9">
                  <w:pPr>
                    <w:autoSpaceDE w:val="0"/>
                    <w:autoSpaceDN w:val="0"/>
                    <w:jc w:val="center"/>
                    <w:rPr>
                      <w:color w:val="000000" w:themeColor="text1"/>
                      <w:szCs w:val="21"/>
                      <w:highlight w:val="none"/>
                      <w14:textFill>
                        <w14:solidFill>
                          <w14:schemeClr w14:val="tx1"/>
                        </w14:solidFill>
                      </w14:textFill>
                    </w:rPr>
                  </w:pPr>
                  <w:r>
                    <w:rPr>
                      <w:color w:val="000000" w:themeColor="text1"/>
                      <w:spacing w:val="-2"/>
                      <w:szCs w:val="21"/>
                      <w:highlight w:val="none"/>
                      <w14:textFill>
                        <w14:solidFill>
                          <w14:schemeClr w14:val="tx1"/>
                        </w14:solidFill>
                      </w14:textFill>
                    </w:rPr>
                    <w:t>年平均质量浓度</w:t>
                  </w:r>
                </w:p>
              </w:tc>
              <w:tc>
                <w:tcPr>
                  <w:tcW w:w="1451" w:type="dxa"/>
                  <w:tcBorders>
                    <w:tl2br w:val="nil"/>
                    <w:tr2bl w:val="nil"/>
                  </w:tcBorders>
                  <w:vAlign w:val="center"/>
                </w:tcPr>
                <w:p w14:paraId="7AC0BE47">
                  <w:pPr>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eastAsiaTheme="minorEastAsia"/>
                      <w:color w:val="000000" w:themeColor="text1"/>
                      <w:szCs w:val="21"/>
                      <w:highlight w:val="none"/>
                      <w:lang w:val="en-US" w:eastAsia="zh-CN"/>
                      <w14:textFill>
                        <w14:solidFill>
                          <w14:schemeClr w14:val="tx1"/>
                        </w14:solidFill>
                      </w14:textFill>
                    </w:rPr>
                    <w:t>15</w:t>
                  </w:r>
                </w:p>
              </w:tc>
              <w:tc>
                <w:tcPr>
                  <w:tcW w:w="1051" w:type="dxa"/>
                  <w:tcBorders>
                    <w:tl2br w:val="nil"/>
                    <w:tr2bl w:val="nil"/>
                  </w:tcBorders>
                  <w:vAlign w:val="center"/>
                </w:tcPr>
                <w:p w14:paraId="02AC1DE3">
                  <w:pPr>
                    <w:adjustRightInd w:val="0"/>
                    <w:snapToGrid w:val="0"/>
                    <w:jc w:val="center"/>
                    <w:rPr>
                      <w:rFonts w:eastAsia="Times New Roman"/>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40</w:t>
                  </w:r>
                </w:p>
              </w:tc>
              <w:tc>
                <w:tcPr>
                  <w:tcW w:w="1099" w:type="dxa"/>
                  <w:tcBorders>
                    <w:tl2br w:val="nil"/>
                    <w:tr2bl w:val="nil"/>
                  </w:tcBorders>
                  <w:vAlign w:val="center"/>
                </w:tcPr>
                <w:p w14:paraId="54BB4399">
                  <w:pPr>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eastAsiaTheme="minorEastAsia"/>
                      <w:color w:val="000000" w:themeColor="text1"/>
                      <w:szCs w:val="21"/>
                      <w:highlight w:val="none"/>
                      <w:lang w:val="en-US" w:eastAsia="zh-CN"/>
                      <w14:textFill>
                        <w14:solidFill>
                          <w14:schemeClr w14:val="tx1"/>
                        </w14:solidFill>
                      </w14:textFill>
                    </w:rPr>
                    <w:t>37.5</w:t>
                  </w:r>
                </w:p>
              </w:tc>
              <w:tc>
                <w:tcPr>
                  <w:tcW w:w="1032" w:type="dxa"/>
                  <w:tcBorders>
                    <w:tl2br w:val="nil"/>
                    <w:tr2bl w:val="nil"/>
                  </w:tcBorders>
                  <w:vAlign w:val="center"/>
                </w:tcPr>
                <w:p w14:paraId="076F6EEE">
                  <w:pPr>
                    <w:autoSpaceDE w:val="0"/>
                    <w:autoSpaceDN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r>
            <w:tr w14:paraId="4785BF2E">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40" w:hRule="atLeast"/>
                <w:jc w:val="center"/>
              </w:trPr>
              <w:tc>
                <w:tcPr>
                  <w:tcW w:w="950" w:type="dxa"/>
                  <w:tcBorders>
                    <w:tl2br w:val="nil"/>
                    <w:tr2bl w:val="nil"/>
                  </w:tcBorders>
                  <w:vAlign w:val="center"/>
                </w:tcPr>
                <w:p w14:paraId="4D93B6D6">
                  <w:pPr>
                    <w:autoSpaceDE w:val="0"/>
                    <w:autoSpaceDN w:val="0"/>
                    <w:jc w:val="center"/>
                    <w:rPr>
                      <w:rFonts w:eastAsia="Times New Roman"/>
                      <w:color w:val="000000" w:themeColor="text1"/>
                      <w:szCs w:val="21"/>
                      <w:highlight w:val="none"/>
                      <w14:textFill>
                        <w14:solidFill>
                          <w14:schemeClr w14:val="tx1"/>
                        </w14:solidFill>
                      </w14:textFill>
                    </w:rPr>
                  </w:pPr>
                  <w:r>
                    <w:rPr>
                      <w:rFonts w:eastAsia="Times New Roman"/>
                      <w:color w:val="000000" w:themeColor="text1"/>
                      <w:spacing w:val="-1"/>
                      <w:szCs w:val="21"/>
                      <w:highlight w:val="none"/>
                      <w14:textFill>
                        <w14:solidFill>
                          <w14:schemeClr w14:val="tx1"/>
                        </w14:solidFill>
                      </w14:textFill>
                    </w:rPr>
                    <w:t>PM</w:t>
                  </w:r>
                  <w:r>
                    <w:rPr>
                      <w:rFonts w:eastAsia="Times New Roman"/>
                      <w:color w:val="000000" w:themeColor="text1"/>
                      <w:spacing w:val="-1"/>
                      <w:position w:val="-1"/>
                      <w:szCs w:val="21"/>
                      <w:highlight w:val="none"/>
                      <w:vertAlign w:val="subscript"/>
                      <w14:textFill>
                        <w14:solidFill>
                          <w14:schemeClr w14:val="tx1"/>
                        </w14:solidFill>
                      </w14:textFill>
                    </w:rPr>
                    <w:t>10</w:t>
                  </w:r>
                </w:p>
              </w:tc>
              <w:tc>
                <w:tcPr>
                  <w:tcW w:w="2415" w:type="dxa"/>
                  <w:tcBorders>
                    <w:tl2br w:val="nil"/>
                    <w:tr2bl w:val="nil"/>
                  </w:tcBorders>
                  <w:vAlign w:val="center"/>
                </w:tcPr>
                <w:p w14:paraId="64A08D6F">
                  <w:pPr>
                    <w:autoSpaceDE w:val="0"/>
                    <w:autoSpaceDN w:val="0"/>
                    <w:jc w:val="center"/>
                    <w:rPr>
                      <w:color w:val="000000" w:themeColor="text1"/>
                      <w:szCs w:val="21"/>
                      <w:highlight w:val="none"/>
                      <w14:textFill>
                        <w14:solidFill>
                          <w14:schemeClr w14:val="tx1"/>
                        </w14:solidFill>
                      </w14:textFill>
                    </w:rPr>
                  </w:pPr>
                  <w:r>
                    <w:rPr>
                      <w:color w:val="000000" w:themeColor="text1"/>
                      <w:spacing w:val="-2"/>
                      <w:szCs w:val="21"/>
                      <w:highlight w:val="none"/>
                      <w14:textFill>
                        <w14:solidFill>
                          <w14:schemeClr w14:val="tx1"/>
                        </w14:solidFill>
                      </w14:textFill>
                    </w:rPr>
                    <w:t>年平均质量浓度</w:t>
                  </w:r>
                </w:p>
              </w:tc>
              <w:tc>
                <w:tcPr>
                  <w:tcW w:w="1451" w:type="dxa"/>
                  <w:tcBorders>
                    <w:tl2br w:val="nil"/>
                    <w:tr2bl w:val="nil"/>
                  </w:tcBorders>
                  <w:vAlign w:val="center"/>
                </w:tcPr>
                <w:p w14:paraId="04F75E73">
                  <w:pPr>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eastAsiaTheme="minorEastAsia"/>
                      <w:color w:val="000000" w:themeColor="text1"/>
                      <w:szCs w:val="21"/>
                      <w:highlight w:val="none"/>
                      <w:lang w:val="en-US" w:eastAsia="zh-CN"/>
                      <w14:textFill>
                        <w14:solidFill>
                          <w14:schemeClr w14:val="tx1"/>
                        </w14:solidFill>
                      </w14:textFill>
                    </w:rPr>
                    <w:t>43</w:t>
                  </w:r>
                </w:p>
              </w:tc>
              <w:tc>
                <w:tcPr>
                  <w:tcW w:w="1051" w:type="dxa"/>
                  <w:tcBorders>
                    <w:tl2br w:val="nil"/>
                    <w:tr2bl w:val="nil"/>
                  </w:tcBorders>
                  <w:vAlign w:val="center"/>
                </w:tcPr>
                <w:p w14:paraId="04C8A9F4">
                  <w:pPr>
                    <w:adjustRightInd w:val="0"/>
                    <w:snapToGrid w:val="0"/>
                    <w:jc w:val="center"/>
                    <w:rPr>
                      <w:rFonts w:eastAsia="Times New Roman"/>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70</w:t>
                  </w:r>
                </w:p>
              </w:tc>
              <w:tc>
                <w:tcPr>
                  <w:tcW w:w="1099" w:type="dxa"/>
                  <w:tcBorders>
                    <w:tl2br w:val="nil"/>
                    <w:tr2bl w:val="nil"/>
                  </w:tcBorders>
                  <w:vAlign w:val="center"/>
                </w:tcPr>
                <w:p w14:paraId="7EC152AA">
                  <w:pPr>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14:textFill>
                        <w14:solidFill>
                          <w14:schemeClr w14:val="tx1"/>
                        </w14:solidFill>
                      </w14:textFill>
                    </w:rPr>
                    <w:t>6</w:t>
                  </w:r>
                  <w:r>
                    <w:rPr>
                      <w:rFonts w:hint="eastAsia"/>
                      <w:color w:val="000000" w:themeColor="text1"/>
                      <w:szCs w:val="21"/>
                      <w:highlight w:val="none"/>
                      <w:lang w:val="en-US" w:eastAsia="zh-CN"/>
                      <w14:textFill>
                        <w14:solidFill>
                          <w14:schemeClr w14:val="tx1"/>
                        </w14:solidFill>
                      </w14:textFill>
                    </w:rPr>
                    <w:t>1.4</w:t>
                  </w:r>
                </w:p>
              </w:tc>
              <w:tc>
                <w:tcPr>
                  <w:tcW w:w="1032" w:type="dxa"/>
                  <w:tcBorders>
                    <w:tl2br w:val="nil"/>
                    <w:tr2bl w:val="nil"/>
                  </w:tcBorders>
                  <w:vAlign w:val="center"/>
                </w:tcPr>
                <w:p w14:paraId="7CFE0E73">
                  <w:pPr>
                    <w:autoSpaceDE w:val="0"/>
                    <w:autoSpaceDN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r>
            <w:tr w14:paraId="12C71A04">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40" w:hRule="atLeast"/>
                <w:jc w:val="center"/>
              </w:trPr>
              <w:tc>
                <w:tcPr>
                  <w:tcW w:w="950" w:type="dxa"/>
                  <w:tcBorders>
                    <w:tl2br w:val="nil"/>
                    <w:tr2bl w:val="nil"/>
                  </w:tcBorders>
                  <w:vAlign w:val="center"/>
                </w:tcPr>
                <w:p w14:paraId="55EAF40F">
                  <w:pPr>
                    <w:autoSpaceDE w:val="0"/>
                    <w:autoSpaceDN w:val="0"/>
                    <w:jc w:val="center"/>
                    <w:rPr>
                      <w:rFonts w:eastAsia="Times New Roman"/>
                      <w:color w:val="000000" w:themeColor="text1"/>
                      <w:szCs w:val="21"/>
                      <w:highlight w:val="none"/>
                      <w14:textFill>
                        <w14:solidFill>
                          <w14:schemeClr w14:val="tx1"/>
                        </w14:solidFill>
                      </w14:textFill>
                    </w:rPr>
                  </w:pPr>
                  <w:r>
                    <w:rPr>
                      <w:rFonts w:eastAsia="Times New Roman"/>
                      <w:color w:val="000000" w:themeColor="text1"/>
                      <w:szCs w:val="21"/>
                      <w:highlight w:val="none"/>
                      <w14:textFill>
                        <w14:solidFill>
                          <w14:schemeClr w14:val="tx1"/>
                        </w14:solidFill>
                      </w14:textFill>
                    </w:rPr>
                    <w:t>PM</w:t>
                  </w:r>
                  <w:r>
                    <w:rPr>
                      <w:rFonts w:eastAsia="Times New Roman"/>
                      <w:color w:val="000000" w:themeColor="text1"/>
                      <w:position w:val="-1"/>
                      <w:szCs w:val="21"/>
                      <w:highlight w:val="none"/>
                      <w:vertAlign w:val="subscript"/>
                      <w14:textFill>
                        <w14:solidFill>
                          <w14:schemeClr w14:val="tx1"/>
                        </w14:solidFill>
                      </w14:textFill>
                    </w:rPr>
                    <w:t>2.5</w:t>
                  </w:r>
                </w:p>
              </w:tc>
              <w:tc>
                <w:tcPr>
                  <w:tcW w:w="2415" w:type="dxa"/>
                  <w:tcBorders>
                    <w:tl2br w:val="nil"/>
                    <w:tr2bl w:val="nil"/>
                  </w:tcBorders>
                  <w:vAlign w:val="center"/>
                </w:tcPr>
                <w:p w14:paraId="73FBBE25">
                  <w:pPr>
                    <w:autoSpaceDE w:val="0"/>
                    <w:autoSpaceDN w:val="0"/>
                    <w:jc w:val="center"/>
                    <w:rPr>
                      <w:color w:val="000000" w:themeColor="text1"/>
                      <w:szCs w:val="21"/>
                      <w:highlight w:val="none"/>
                      <w14:textFill>
                        <w14:solidFill>
                          <w14:schemeClr w14:val="tx1"/>
                        </w14:solidFill>
                      </w14:textFill>
                    </w:rPr>
                  </w:pPr>
                  <w:r>
                    <w:rPr>
                      <w:color w:val="000000" w:themeColor="text1"/>
                      <w:spacing w:val="-2"/>
                      <w:szCs w:val="21"/>
                      <w:highlight w:val="none"/>
                      <w14:textFill>
                        <w14:solidFill>
                          <w14:schemeClr w14:val="tx1"/>
                        </w14:solidFill>
                      </w14:textFill>
                    </w:rPr>
                    <w:t>年平均质量浓度</w:t>
                  </w:r>
                </w:p>
              </w:tc>
              <w:tc>
                <w:tcPr>
                  <w:tcW w:w="1451" w:type="dxa"/>
                  <w:tcBorders>
                    <w:tl2br w:val="nil"/>
                    <w:tr2bl w:val="nil"/>
                  </w:tcBorders>
                  <w:vAlign w:val="center"/>
                </w:tcPr>
                <w:p w14:paraId="0AE73759">
                  <w:pPr>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eastAsiaTheme="minorEastAsia"/>
                      <w:color w:val="000000" w:themeColor="text1"/>
                      <w:szCs w:val="21"/>
                      <w:highlight w:val="none"/>
                      <w:lang w:val="en-US" w:eastAsia="zh-CN"/>
                      <w14:textFill>
                        <w14:solidFill>
                          <w14:schemeClr w14:val="tx1"/>
                        </w14:solidFill>
                      </w14:textFill>
                    </w:rPr>
                    <w:t>27</w:t>
                  </w:r>
                </w:p>
              </w:tc>
              <w:tc>
                <w:tcPr>
                  <w:tcW w:w="1051" w:type="dxa"/>
                  <w:tcBorders>
                    <w:tl2br w:val="nil"/>
                    <w:tr2bl w:val="nil"/>
                  </w:tcBorders>
                  <w:vAlign w:val="center"/>
                </w:tcPr>
                <w:p w14:paraId="42172140">
                  <w:pPr>
                    <w:adjustRightInd w:val="0"/>
                    <w:snapToGrid w:val="0"/>
                    <w:jc w:val="center"/>
                    <w:rPr>
                      <w:rFonts w:eastAsia="Times New Roman"/>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35</w:t>
                  </w:r>
                </w:p>
              </w:tc>
              <w:tc>
                <w:tcPr>
                  <w:tcW w:w="1099" w:type="dxa"/>
                  <w:tcBorders>
                    <w:tl2br w:val="nil"/>
                    <w:tr2bl w:val="nil"/>
                  </w:tcBorders>
                  <w:vAlign w:val="center"/>
                </w:tcPr>
                <w:p w14:paraId="00AD9CFB">
                  <w:pPr>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eastAsiaTheme="minorEastAsia"/>
                      <w:color w:val="000000" w:themeColor="text1"/>
                      <w:szCs w:val="21"/>
                      <w:highlight w:val="none"/>
                      <w:lang w:val="en-US" w:eastAsia="zh-CN"/>
                      <w14:textFill>
                        <w14:solidFill>
                          <w14:schemeClr w14:val="tx1"/>
                        </w14:solidFill>
                      </w14:textFill>
                    </w:rPr>
                    <w:t>77.1</w:t>
                  </w:r>
                </w:p>
              </w:tc>
              <w:tc>
                <w:tcPr>
                  <w:tcW w:w="1032" w:type="dxa"/>
                  <w:tcBorders>
                    <w:tl2br w:val="nil"/>
                    <w:tr2bl w:val="nil"/>
                  </w:tcBorders>
                  <w:vAlign w:val="center"/>
                </w:tcPr>
                <w:p w14:paraId="349638EB">
                  <w:pPr>
                    <w:autoSpaceDE w:val="0"/>
                    <w:autoSpaceDN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r>
            <w:tr w14:paraId="1ACBFDE6">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40" w:hRule="atLeast"/>
                <w:jc w:val="center"/>
              </w:trPr>
              <w:tc>
                <w:tcPr>
                  <w:tcW w:w="950" w:type="dxa"/>
                  <w:tcBorders>
                    <w:tl2br w:val="nil"/>
                    <w:tr2bl w:val="nil"/>
                  </w:tcBorders>
                  <w:vAlign w:val="center"/>
                </w:tcPr>
                <w:p w14:paraId="031D5959">
                  <w:pPr>
                    <w:autoSpaceDE w:val="0"/>
                    <w:autoSpaceDN w:val="0"/>
                    <w:jc w:val="center"/>
                    <w:rPr>
                      <w:rFonts w:eastAsia="Times New Roman"/>
                      <w:color w:val="000000" w:themeColor="text1"/>
                      <w:szCs w:val="21"/>
                      <w:highlight w:val="none"/>
                      <w14:textFill>
                        <w14:solidFill>
                          <w14:schemeClr w14:val="tx1"/>
                        </w14:solidFill>
                      </w14:textFill>
                    </w:rPr>
                  </w:pPr>
                  <w:r>
                    <w:rPr>
                      <w:rFonts w:eastAsia="Times New Roman"/>
                      <w:color w:val="000000" w:themeColor="text1"/>
                      <w:spacing w:val="-5"/>
                      <w:szCs w:val="21"/>
                      <w:highlight w:val="none"/>
                      <w14:textFill>
                        <w14:solidFill>
                          <w14:schemeClr w14:val="tx1"/>
                        </w14:solidFill>
                      </w14:textFill>
                    </w:rPr>
                    <w:t>CO</w:t>
                  </w:r>
                </w:p>
              </w:tc>
              <w:tc>
                <w:tcPr>
                  <w:tcW w:w="2415" w:type="dxa"/>
                  <w:tcBorders>
                    <w:tl2br w:val="nil"/>
                    <w:tr2bl w:val="nil"/>
                  </w:tcBorders>
                  <w:shd w:val="clear" w:color="auto" w:fill="auto"/>
                  <w:vAlign w:val="center"/>
                </w:tcPr>
                <w:p w14:paraId="4FD02135">
                  <w:pPr>
                    <w:autoSpaceDE w:val="0"/>
                    <w:autoSpaceDN w:val="0"/>
                    <w:jc w:val="center"/>
                    <w:rPr>
                      <w:rFonts w:ascii="Times New Roman" w:hAnsi="Times New Roman" w:eastAsia="宋体" w:cs="Times New Roman"/>
                      <w:color w:val="000000" w:themeColor="text1"/>
                      <w:spacing w:val="-5"/>
                      <w:kern w:val="2"/>
                      <w:sz w:val="21"/>
                      <w:szCs w:val="21"/>
                      <w:highlight w:val="none"/>
                      <w:lang w:val="en-US" w:eastAsia="zh-CN" w:bidi="ar-SA"/>
                      <w14:textFill>
                        <w14:solidFill>
                          <w14:schemeClr w14:val="tx1"/>
                        </w14:solidFill>
                      </w14:textFill>
                    </w:rPr>
                  </w:pPr>
                  <w:r>
                    <w:rPr>
                      <w:color w:val="000000" w:themeColor="text1"/>
                      <w:spacing w:val="-5"/>
                      <w:szCs w:val="21"/>
                      <w:highlight w:val="none"/>
                      <w14:textFill>
                        <w14:solidFill>
                          <w14:schemeClr w14:val="tx1"/>
                        </w14:solidFill>
                      </w14:textFill>
                    </w:rPr>
                    <w:t>平均浓度第95百分位数</w:t>
                  </w:r>
                </w:p>
              </w:tc>
              <w:tc>
                <w:tcPr>
                  <w:tcW w:w="1451" w:type="dxa"/>
                  <w:tcBorders>
                    <w:tl2br w:val="nil"/>
                    <w:tr2bl w:val="nil"/>
                  </w:tcBorders>
                  <w:shd w:val="clear" w:color="auto" w:fill="auto"/>
                  <w:vAlign w:val="center"/>
                </w:tcPr>
                <w:p w14:paraId="3DD203EB">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eastAsiaTheme="minorEastAsia"/>
                      <w:color w:val="000000" w:themeColor="text1"/>
                      <w:szCs w:val="21"/>
                      <w:highlight w:val="none"/>
                      <w:lang w:val="en-US" w:eastAsia="zh-CN"/>
                      <w14:textFill>
                        <w14:solidFill>
                          <w14:schemeClr w14:val="tx1"/>
                        </w14:solidFill>
                      </w14:textFill>
                    </w:rPr>
                    <w:t>0.9</w:t>
                  </w:r>
                </w:p>
              </w:tc>
              <w:tc>
                <w:tcPr>
                  <w:tcW w:w="1051" w:type="dxa"/>
                  <w:tcBorders>
                    <w:tl2br w:val="nil"/>
                    <w:tr2bl w:val="nil"/>
                  </w:tcBorders>
                  <w:shd w:val="clear" w:color="auto" w:fill="auto"/>
                  <w:vAlign w:val="center"/>
                </w:tcPr>
                <w:p w14:paraId="40491A32">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4mg/m</w:t>
                  </w:r>
                  <w:r>
                    <w:rPr>
                      <w:rFonts w:hint="eastAsia"/>
                      <w:color w:val="000000" w:themeColor="text1"/>
                      <w:szCs w:val="21"/>
                      <w:highlight w:val="none"/>
                      <w:vertAlign w:val="superscript"/>
                      <w14:textFill>
                        <w14:solidFill>
                          <w14:schemeClr w14:val="tx1"/>
                        </w14:solidFill>
                      </w14:textFill>
                    </w:rPr>
                    <w:t>3</w:t>
                  </w:r>
                </w:p>
              </w:tc>
              <w:tc>
                <w:tcPr>
                  <w:tcW w:w="1099" w:type="dxa"/>
                  <w:tcBorders>
                    <w:tl2br w:val="nil"/>
                    <w:tr2bl w:val="nil"/>
                  </w:tcBorders>
                  <w:shd w:val="clear" w:color="auto" w:fill="auto"/>
                  <w:vAlign w:val="center"/>
                </w:tcPr>
                <w:p w14:paraId="161888DD">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eastAsiaTheme="minorEastAsia"/>
                      <w:color w:val="000000" w:themeColor="text1"/>
                      <w:szCs w:val="21"/>
                      <w:highlight w:val="none"/>
                      <w:lang w:val="en-US" w:eastAsia="zh-CN"/>
                      <w14:textFill>
                        <w14:solidFill>
                          <w14:schemeClr w14:val="tx1"/>
                        </w14:solidFill>
                      </w14:textFill>
                    </w:rPr>
                    <w:t>22.5</w:t>
                  </w:r>
                </w:p>
              </w:tc>
              <w:tc>
                <w:tcPr>
                  <w:tcW w:w="1032" w:type="dxa"/>
                  <w:tcBorders>
                    <w:tl2br w:val="nil"/>
                    <w:tr2bl w:val="nil"/>
                  </w:tcBorders>
                  <w:shd w:val="clear" w:color="auto" w:fill="auto"/>
                  <w:vAlign w:val="center"/>
                </w:tcPr>
                <w:p w14:paraId="312EC2DC">
                  <w:pPr>
                    <w:autoSpaceDE w:val="0"/>
                    <w:autoSpaceDN w:val="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达标</w:t>
                  </w:r>
                </w:p>
              </w:tc>
            </w:tr>
            <w:tr w14:paraId="09E62C05">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40" w:hRule="atLeast"/>
                <w:jc w:val="center"/>
              </w:trPr>
              <w:tc>
                <w:tcPr>
                  <w:tcW w:w="950" w:type="dxa"/>
                  <w:tcBorders>
                    <w:tl2br w:val="nil"/>
                    <w:tr2bl w:val="nil"/>
                  </w:tcBorders>
                  <w:vAlign w:val="center"/>
                </w:tcPr>
                <w:p w14:paraId="0BCFBD35">
                  <w:pPr>
                    <w:autoSpaceDE w:val="0"/>
                    <w:autoSpaceDN w:val="0"/>
                    <w:jc w:val="center"/>
                    <w:rPr>
                      <w:color w:val="000000" w:themeColor="text1"/>
                      <w:szCs w:val="21"/>
                      <w:highlight w:val="none"/>
                      <w14:textFill>
                        <w14:solidFill>
                          <w14:schemeClr w14:val="tx1"/>
                        </w14:solidFill>
                      </w14:textFill>
                    </w:rPr>
                  </w:pPr>
                  <w:r>
                    <w:rPr>
                      <w:rFonts w:eastAsia="Times New Roman"/>
                      <w:color w:val="000000" w:themeColor="text1"/>
                      <w:spacing w:val="-5"/>
                      <w:szCs w:val="21"/>
                      <w:highlight w:val="none"/>
                      <w14:textFill>
                        <w14:solidFill>
                          <w14:schemeClr w14:val="tx1"/>
                        </w14:solidFill>
                      </w14:textFill>
                    </w:rPr>
                    <w:t>O</w:t>
                  </w:r>
                  <w:r>
                    <w:rPr>
                      <w:color w:val="000000" w:themeColor="text1"/>
                      <w:spacing w:val="-5"/>
                      <w:szCs w:val="21"/>
                      <w:highlight w:val="none"/>
                      <w:vertAlign w:val="subscript"/>
                      <w14:textFill>
                        <w14:solidFill>
                          <w14:schemeClr w14:val="tx1"/>
                        </w14:solidFill>
                      </w14:textFill>
                    </w:rPr>
                    <w:t>3</w:t>
                  </w:r>
                </w:p>
              </w:tc>
              <w:tc>
                <w:tcPr>
                  <w:tcW w:w="2415" w:type="dxa"/>
                  <w:tcBorders>
                    <w:tl2br w:val="nil"/>
                    <w:tr2bl w:val="nil"/>
                  </w:tcBorders>
                  <w:shd w:val="clear" w:color="auto" w:fill="auto"/>
                  <w:vAlign w:val="center"/>
                </w:tcPr>
                <w:p w14:paraId="16B4A4A3">
                  <w:pPr>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eastAsia="宋体"/>
                      <w:color w:val="000000" w:themeColor="text1"/>
                      <w:szCs w:val="21"/>
                      <w:highlight w:val="none"/>
                      <w:lang w:val="en-US" w:eastAsia="zh-CN"/>
                      <w14:textFill>
                        <w14:solidFill>
                          <w14:schemeClr w14:val="tx1"/>
                        </w14:solidFill>
                      </w14:textFill>
                    </w:rPr>
                    <w:t>平均浓度第90百分位数</w:t>
                  </w:r>
                </w:p>
              </w:tc>
              <w:tc>
                <w:tcPr>
                  <w:tcW w:w="1451" w:type="dxa"/>
                  <w:tcBorders>
                    <w:tl2br w:val="nil"/>
                    <w:tr2bl w:val="nil"/>
                  </w:tcBorders>
                  <w:shd w:val="clear" w:color="auto" w:fill="auto"/>
                  <w:vAlign w:val="center"/>
                </w:tcPr>
                <w:p w14:paraId="1BA287BC">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10</w:t>
                  </w:r>
                  <w:r>
                    <w:rPr>
                      <w:rFonts w:hint="eastAsia"/>
                      <w:color w:val="000000" w:themeColor="text1"/>
                      <w:szCs w:val="21"/>
                      <w:highlight w:val="none"/>
                      <w:lang w:val="en-US" w:eastAsia="zh-CN"/>
                      <w14:textFill>
                        <w14:solidFill>
                          <w14:schemeClr w14:val="tx1"/>
                        </w14:solidFill>
                      </w14:textFill>
                    </w:rPr>
                    <w:t>5</w:t>
                  </w:r>
                </w:p>
              </w:tc>
              <w:tc>
                <w:tcPr>
                  <w:tcW w:w="1051" w:type="dxa"/>
                  <w:tcBorders>
                    <w:tl2br w:val="nil"/>
                    <w:tr2bl w:val="nil"/>
                  </w:tcBorders>
                  <w:shd w:val="clear" w:color="auto" w:fill="auto"/>
                  <w:vAlign w:val="center"/>
                </w:tcPr>
                <w:p w14:paraId="75F9BB6D">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160</w:t>
                  </w:r>
                </w:p>
              </w:tc>
              <w:tc>
                <w:tcPr>
                  <w:tcW w:w="1099" w:type="dxa"/>
                  <w:tcBorders>
                    <w:tl2br w:val="nil"/>
                    <w:tr2bl w:val="nil"/>
                  </w:tcBorders>
                  <w:shd w:val="clear" w:color="auto" w:fill="auto"/>
                  <w:vAlign w:val="center"/>
                </w:tcPr>
                <w:p w14:paraId="41AEFB50">
                  <w:pPr>
                    <w:adjustRightInd w:val="0"/>
                    <w:snapToGrid w:val="0"/>
                    <w:jc w:val="center"/>
                    <w:rPr>
                      <w:rFonts w:hint="default" w:ascii="Times New Roman" w:hAnsi="Times New Roman" w:eastAsia="宋体" w:cs="Times New Roman"/>
                      <w:color w:val="000000" w:themeColor="text1"/>
                      <w:kern w:val="2"/>
                      <w:sz w:val="21"/>
                      <w:szCs w:val="21"/>
                      <w:highlight w:val="yellow"/>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6</w:t>
                  </w:r>
                  <w:r>
                    <w:rPr>
                      <w:rFonts w:hint="eastAsia"/>
                      <w:color w:val="000000" w:themeColor="text1"/>
                      <w:szCs w:val="21"/>
                      <w:highlight w:val="none"/>
                      <w:lang w:val="en-US" w:eastAsia="zh-CN"/>
                      <w14:textFill>
                        <w14:solidFill>
                          <w14:schemeClr w14:val="tx1"/>
                        </w14:solidFill>
                      </w14:textFill>
                    </w:rPr>
                    <w:t>5.6</w:t>
                  </w:r>
                </w:p>
              </w:tc>
              <w:tc>
                <w:tcPr>
                  <w:tcW w:w="1032" w:type="dxa"/>
                  <w:tcBorders>
                    <w:tl2br w:val="nil"/>
                    <w:tr2bl w:val="nil"/>
                  </w:tcBorders>
                  <w:shd w:val="clear" w:color="auto" w:fill="auto"/>
                  <w:vAlign w:val="center"/>
                </w:tcPr>
                <w:p w14:paraId="1813B6B9">
                  <w:pPr>
                    <w:autoSpaceDE w:val="0"/>
                    <w:autoSpaceDN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达标</w:t>
                  </w:r>
                </w:p>
              </w:tc>
            </w:tr>
            <w:bookmarkEnd w:id="20"/>
            <w:bookmarkEnd w:id="21"/>
            <w:bookmarkEnd w:id="22"/>
            <w:bookmarkEnd w:id="23"/>
          </w:tbl>
          <w:p w14:paraId="1D859234">
            <w:pPr>
              <w:spacing w:line="360" w:lineRule="auto"/>
              <w:ind w:firstLine="480" w:firstLineChars="200"/>
              <w:rPr>
                <w:color w:val="000000" w:themeColor="text1"/>
                <w:kern w:val="21"/>
                <w:sz w:val="24"/>
                <w:highlight w:val="none"/>
                <w14:textFill>
                  <w14:solidFill>
                    <w14:schemeClr w14:val="tx1"/>
                  </w14:solidFill>
                </w14:textFill>
              </w:rPr>
            </w:pPr>
            <w:bookmarkStart w:id="24" w:name="_Toc855"/>
            <w:r>
              <w:rPr>
                <w:color w:val="000000" w:themeColor="text1"/>
                <w:kern w:val="21"/>
                <w:sz w:val="24"/>
                <w:highlight w:val="none"/>
                <w14:textFill>
                  <w14:solidFill>
                    <w14:schemeClr w14:val="tx1"/>
                  </w14:solidFill>
                </w14:textFill>
              </w:rPr>
              <w:t>综上，</w:t>
            </w:r>
            <w:r>
              <w:rPr>
                <w:rFonts w:hint="eastAsia"/>
                <w:color w:val="000000" w:themeColor="text1"/>
                <w:kern w:val="21"/>
                <w:sz w:val="24"/>
                <w:highlight w:val="none"/>
                <w:lang w:val="en-US" w:eastAsia="zh-CN"/>
                <w14:textFill>
                  <w14:solidFill>
                    <w14:schemeClr w14:val="tx1"/>
                  </w14:solidFill>
                </w14:textFill>
              </w:rPr>
              <w:t>双鸭山</w:t>
            </w:r>
            <w:r>
              <w:rPr>
                <w:rFonts w:hint="eastAsia"/>
                <w:color w:val="000000" w:themeColor="text1"/>
                <w:kern w:val="21"/>
                <w:sz w:val="24"/>
                <w:highlight w:val="none"/>
                <w14:textFill>
                  <w14:solidFill>
                    <w14:schemeClr w14:val="tx1"/>
                  </w14:solidFill>
                </w14:textFill>
              </w:rPr>
              <w:t>市</w:t>
            </w:r>
            <w:r>
              <w:rPr>
                <w:color w:val="000000" w:themeColor="text1"/>
                <w:kern w:val="21"/>
                <w:sz w:val="24"/>
                <w:highlight w:val="none"/>
                <w14:textFill>
                  <w14:solidFill>
                    <w14:schemeClr w14:val="tx1"/>
                  </w14:solidFill>
                </w14:textFill>
              </w:rPr>
              <w:t>202</w:t>
            </w:r>
            <w:r>
              <w:rPr>
                <w:rFonts w:hint="eastAsia"/>
                <w:color w:val="000000" w:themeColor="text1"/>
                <w:kern w:val="21"/>
                <w:sz w:val="24"/>
                <w:highlight w:val="none"/>
                <w:lang w:val="en-US" w:eastAsia="zh-CN"/>
                <w14:textFill>
                  <w14:solidFill>
                    <w14:schemeClr w14:val="tx1"/>
                  </w14:solidFill>
                </w14:textFill>
              </w:rPr>
              <w:t>4</w:t>
            </w:r>
            <w:r>
              <w:rPr>
                <w:color w:val="000000" w:themeColor="text1"/>
                <w:kern w:val="21"/>
                <w:sz w:val="24"/>
                <w:highlight w:val="none"/>
                <w14:textFill>
                  <w14:solidFill>
                    <w14:schemeClr w14:val="tx1"/>
                  </w14:solidFill>
                </w14:textFill>
              </w:rPr>
              <w:t>年为环境空气质量达标区。</w:t>
            </w:r>
            <w:bookmarkEnd w:id="24"/>
          </w:p>
          <w:p w14:paraId="6552606C">
            <w:pPr>
              <w:spacing w:line="360" w:lineRule="auto"/>
              <w:ind w:firstLine="480" w:firstLineChars="200"/>
              <w:rPr>
                <w:color w:val="000000" w:themeColor="text1"/>
                <w:kern w:val="21"/>
                <w:sz w:val="24"/>
                <w:highlight w:val="none"/>
                <w14:textFill>
                  <w14:solidFill>
                    <w14:schemeClr w14:val="tx1"/>
                  </w14:solidFill>
                </w14:textFill>
              </w:rPr>
            </w:pPr>
            <w:r>
              <w:rPr>
                <w:color w:val="000000" w:themeColor="text1"/>
                <w:kern w:val="21"/>
                <w:sz w:val="24"/>
                <w:highlight w:val="none"/>
                <w14:textFill>
                  <w14:solidFill>
                    <w14:schemeClr w14:val="tx1"/>
                  </w14:solidFill>
                </w14:textFill>
              </w:rPr>
              <w:t>（2）其他污染物环境质量现状</w:t>
            </w:r>
          </w:p>
          <w:p w14:paraId="092485BE">
            <w:pPr>
              <w:spacing w:line="360" w:lineRule="auto"/>
              <w:ind w:firstLine="480" w:firstLineChars="200"/>
              <w:rPr>
                <w:rFonts w:eastAsia="Times New Roman"/>
                <w:color w:val="000000" w:themeColor="text1"/>
                <w:kern w:val="21"/>
                <w:sz w:val="24"/>
                <w:highlight w:val="none"/>
                <w14:textFill>
                  <w14:solidFill>
                    <w14:schemeClr w14:val="tx1"/>
                  </w14:solidFill>
                </w14:textFill>
              </w:rPr>
            </w:pPr>
            <w:r>
              <w:rPr>
                <w:rFonts w:hint="default"/>
                <w:color w:val="000000" w:themeColor="text1"/>
                <w:kern w:val="21"/>
                <w:sz w:val="24"/>
                <w:highlight w:val="none"/>
                <w14:textFill>
                  <w14:solidFill>
                    <w14:schemeClr w14:val="tx1"/>
                  </w14:solidFill>
                </w14:textFill>
              </w:rPr>
              <w:t>本项目的其他污染物为</w:t>
            </w:r>
            <w:r>
              <w:rPr>
                <w:rFonts w:hint="default"/>
                <w:color w:val="000000" w:themeColor="text1"/>
                <w:kern w:val="21"/>
                <w:sz w:val="24"/>
                <w:highlight w:val="none"/>
                <w:lang w:val="en-US" w:eastAsia="zh-CN"/>
                <w14:textFill>
                  <w14:solidFill>
                    <w14:schemeClr w14:val="tx1"/>
                  </w14:solidFill>
                </w14:textFill>
              </w:rPr>
              <w:t>TSP</w:t>
            </w:r>
            <w:r>
              <w:rPr>
                <w:rFonts w:hint="default"/>
                <w:color w:val="000000" w:themeColor="text1"/>
                <w:kern w:val="21"/>
                <w:sz w:val="24"/>
                <w:highlight w:val="none"/>
                <w14:textFill>
                  <w14:solidFill>
                    <w14:schemeClr w14:val="tx1"/>
                  </w14:solidFill>
                </w14:textFill>
              </w:rPr>
              <w:t>，项目委托</w:t>
            </w:r>
            <w:r>
              <w:rPr>
                <w:rFonts w:hint="default"/>
                <w:color w:val="000000" w:themeColor="text1"/>
                <w:kern w:val="21"/>
                <w:sz w:val="24"/>
                <w:highlight w:val="none"/>
                <w:lang w:eastAsia="zh-CN"/>
                <w14:textFill>
                  <w14:solidFill>
                    <w14:schemeClr w14:val="tx1"/>
                  </w14:solidFill>
                </w14:textFill>
              </w:rPr>
              <w:t>黑龙江</w:t>
            </w:r>
            <w:r>
              <w:rPr>
                <w:rFonts w:hint="eastAsia"/>
                <w:color w:val="000000" w:themeColor="text1"/>
                <w:kern w:val="21"/>
                <w:sz w:val="24"/>
                <w:highlight w:val="none"/>
                <w:lang w:val="en-US" w:eastAsia="zh-CN"/>
                <w14:textFill>
                  <w14:solidFill>
                    <w14:schemeClr w14:val="tx1"/>
                  </w14:solidFill>
                </w14:textFill>
              </w:rPr>
              <w:t>康和</w:t>
            </w:r>
            <w:r>
              <w:rPr>
                <w:rFonts w:hint="default"/>
                <w:color w:val="000000" w:themeColor="text1"/>
                <w:kern w:val="21"/>
                <w:sz w:val="24"/>
                <w:highlight w:val="none"/>
                <w:lang w:eastAsia="zh-CN"/>
                <w14:textFill>
                  <w14:solidFill>
                    <w14:schemeClr w14:val="tx1"/>
                  </w14:solidFill>
                </w14:textFill>
              </w:rPr>
              <w:t>检测有限公司</w:t>
            </w:r>
            <w:r>
              <w:rPr>
                <w:rFonts w:hint="default"/>
                <w:color w:val="000000" w:themeColor="text1"/>
                <w:kern w:val="21"/>
                <w:sz w:val="24"/>
                <w:highlight w:val="none"/>
                <w14:textFill>
                  <w14:solidFill>
                    <w14:schemeClr w14:val="tx1"/>
                  </w14:solidFill>
                </w14:textFill>
              </w:rPr>
              <w:t>于20</w:t>
            </w:r>
            <w:r>
              <w:rPr>
                <w:rFonts w:hint="default"/>
                <w:color w:val="000000" w:themeColor="text1"/>
                <w:kern w:val="21"/>
                <w:sz w:val="24"/>
                <w:highlight w:val="none"/>
                <w:lang w:val="en-US" w:eastAsia="zh-CN"/>
                <w14:textFill>
                  <w14:solidFill>
                    <w14:schemeClr w14:val="tx1"/>
                  </w14:solidFill>
                </w14:textFill>
              </w:rPr>
              <w:t>2</w:t>
            </w:r>
            <w:r>
              <w:rPr>
                <w:rFonts w:hint="eastAsia"/>
                <w:color w:val="000000" w:themeColor="text1"/>
                <w:kern w:val="21"/>
                <w:sz w:val="24"/>
                <w:highlight w:val="none"/>
                <w:lang w:val="en-US" w:eastAsia="zh-CN"/>
                <w14:textFill>
                  <w14:solidFill>
                    <w14:schemeClr w14:val="tx1"/>
                  </w14:solidFill>
                </w14:textFill>
              </w:rPr>
              <w:t>5</w:t>
            </w:r>
            <w:r>
              <w:rPr>
                <w:rFonts w:hint="default"/>
                <w:color w:val="000000" w:themeColor="text1"/>
                <w:kern w:val="21"/>
                <w:sz w:val="24"/>
                <w:highlight w:val="none"/>
                <w14:textFill>
                  <w14:solidFill>
                    <w14:schemeClr w14:val="tx1"/>
                  </w14:solidFill>
                </w14:textFill>
              </w:rPr>
              <w:t>年</w:t>
            </w:r>
            <w:r>
              <w:rPr>
                <w:rFonts w:hint="eastAsia"/>
                <w:color w:val="000000" w:themeColor="text1"/>
                <w:kern w:val="21"/>
                <w:sz w:val="24"/>
                <w:highlight w:val="none"/>
                <w:lang w:val="en-US" w:eastAsia="zh-CN"/>
                <w14:textFill>
                  <w14:solidFill>
                    <w14:schemeClr w14:val="tx1"/>
                  </w14:solidFill>
                </w14:textFill>
              </w:rPr>
              <w:t>1</w:t>
            </w:r>
            <w:r>
              <w:rPr>
                <w:rFonts w:hint="default"/>
                <w:color w:val="000000" w:themeColor="text1"/>
                <w:kern w:val="21"/>
                <w:sz w:val="24"/>
                <w:highlight w:val="none"/>
                <w14:textFill>
                  <w14:solidFill>
                    <w14:schemeClr w14:val="tx1"/>
                  </w14:solidFill>
                </w14:textFill>
              </w:rPr>
              <w:t>月</w:t>
            </w:r>
            <w:r>
              <w:rPr>
                <w:rFonts w:hint="eastAsia"/>
                <w:color w:val="000000" w:themeColor="text1"/>
                <w:kern w:val="21"/>
                <w:sz w:val="24"/>
                <w:highlight w:val="none"/>
                <w:lang w:val="en-US" w:eastAsia="zh-CN"/>
                <w14:textFill>
                  <w14:solidFill>
                    <w14:schemeClr w14:val="tx1"/>
                  </w14:solidFill>
                </w14:textFill>
              </w:rPr>
              <w:t>16</w:t>
            </w:r>
            <w:r>
              <w:rPr>
                <w:rFonts w:hint="default"/>
                <w:color w:val="000000" w:themeColor="text1"/>
                <w:kern w:val="21"/>
                <w:sz w:val="24"/>
                <w:highlight w:val="none"/>
                <w14:textFill>
                  <w14:solidFill>
                    <w14:schemeClr w14:val="tx1"/>
                  </w14:solidFill>
                </w14:textFill>
              </w:rPr>
              <w:t>日~</w:t>
            </w:r>
            <w:r>
              <w:rPr>
                <w:rFonts w:hint="eastAsia"/>
                <w:color w:val="000000" w:themeColor="text1"/>
                <w:kern w:val="21"/>
                <w:sz w:val="24"/>
                <w:highlight w:val="none"/>
                <w:lang w:val="en-US" w:eastAsia="zh-CN"/>
                <w14:textFill>
                  <w14:solidFill>
                    <w14:schemeClr w14:val="tx1"/>
                  </w14:solidFill>
                </w14:textFill>
              </w:rPr>
              <w:t>1</w:t>
            </w:r>
            <w:r>
              <w:rPr>
                <w:rFonts w:hint="default"/>
                <w:color w:val="000000" w:themeColor="text1"/>
                <w:kern w:val="21"/>
                <w:sz w:val="24"/>
                <w:highlight w:val="none"/>
                <w14:textFill>
                  <w14:solidFill>
                    <w14:schemeClr w14:val="tx1"/>
                  </w14:solidFill>
                </w14:textFill>
              </w:rPr>
              <w:t>月</w:t>
            </w:r>
            <w:r>
              <w:rPr>
                <w:rFonts w:hint="eastAsia"/>
                <w:color w:val="000000" w:themeColor="text1"/>
                <w:kern w:val="21"/>
                <w:sz w:val="24"/>
                <w:highlight w:val="none"/>
                <w:lang w:val="en-US" w:eastAsia="zh-CN"/>
                <w14:textFill>
                  <w14:solidFill>
                    <w14:schemeClr w14:val="tx1"/>
                  </w14:solidFill>
                </w14:textFill>
              </w:rPr>
              <w:t>18</w:t>
            </w:r>
            <w:r>
              <w:rPr>
                <w:rFonts w:hint="default"/>
                <w:color w:val="000000" w:themeColor="text1"/>
                <w:kern w:val="21"/>
                <w:sz w:val="24"/>
                <w:highlight w:val="none"/>
                <w14:textFill>
                  <w14:solidFill>
                    <w14:schemeClr w14:val="tx1"/>
                  </w14:solidFill>
                </w14:textFill>
              </w:rPr>
              <w:t>日对项目所在区域进行监测。在本项目位置下风向布设</w:t>
            </w:r>
            <w:r>
              <w:rPr>
                <w:rFonts w:hint="default"/>
                <w:color w:val="000000" w:themeColor="text1"/>
                <w:kern w:val="21"/>
                <w:sz w:val="24"/>
                <w:highlight w:val="none"/>
                <w:lang w:val="en-US" w:eastAsia="zh-CN"/>
                <w14:textFill>
                  <w14:solidFill>
                    <w14:schemeClr w14:val="tx1"/>
                  </w14:solidFill>
                </w14:textFill>
              </w:rPr>
              <w:t>1</w:t>
            </w:r>
            <w:r>
              <w:rPr>
                <w:rFonts w:hint="default"/>
                <w:color w:val="000000" w:themeColor="text1"/>
                <w:kern w:val="21"/>
                <w:sz w:val="24"/>
                <w:highlight w:val="none"/>
                <w14:textFill>
                  <w14:solidFill>
                    <w14:schemeClr w14:val="tx1"/>
                  </w14:solidFill>
                </w14:textFill>
              </w:rPr>
              <w:t>个检测点位，监测点位见图3-1</w:t>
            </w:r>
            <w:r>
              <w:rPr>
                <w:rFonts w:hint="eastAsia"/>
                <w:color w:val="000000" w:themeColor="text1"/>
                <w:kern w:val="21"/>
                <w:sz w:val="24"/>
                <w:highlight w:val="none"/>
                <w:lang w:eastAsia="zh-CN"/>
                <w14:textFill>
                  <w14:solidFill>
                    <w14:schemeClr w14:val="tx1"/>
                  </w14:solidFill>
                </w14:textFill>
              </w:rPr>
              <w:t>，</w:t>
            </w:r>
            <w:r>
              <w:rPr>
                <w:rFonts w:hint="default"/>
                <w:color w:val="000000" w:themeColor="text1"/>
                <w:kern w:val="21"/>
                <w:sz w:val="24"/>
                <w:highlight w:val="none"/>
                <w14:textFill>
                  <w14:solidFill>
                    <w14:schemeClr w14:val="tx1"/>
                  </w14:solidFill>
                </w14:textFill>
              </w:rPr>
              <w:t>监测点基本信息见表3-2，评价结果见表3-</w:t>
            </w:r>
            <w:r>
              <w:rPr>
                <w:rFonts w:hint="default"/>
                <w:color w:val="000000" w:themeColor="text1"/>
                <w:kern w:val="21"/>
                <w:sz w:val="24"/>
                <w:highlight w:val="none"/>
                <w:lang w:val="en-US" w:eastAsia="zh-CN"/>
                <w14:textFill>
                  <w14:solidFill>
                    <w14:schemeClr w14:val="tx1"/>
                  </w14:solidFill>
                </w14:textFill>
              </w:rPr>
              <w:t>3</w:t>
            </w:r>
            <w:r>
              <w:rPr>
                <w:rFonts w:hint="default"/>
                <w:color w:val="000000" w:themeColor="text1"/>
                <w:kern w:val="21"/>
                <w:sz w:val="24"/>
                <w:highlight w:val="none"/>
                <w14:textFill>
                  <w14:solidFill>
                    <w14:schemeClr w14:val="tx1"/>
                  </w14:solidFill>
                </w14:textFill>
              </w:rPr>
              <w:t>。</w:t>
            </w:r>
          </w:p>
          <w:p w14:paraId="7FA43AE1">
            <w:pPr>
              <w:tabs>
                <w:tab w:val="left" w:pos="1725"/>
              </w:tabs>
              <w:spacing w:line="360" w:lineRule="auto"/>
              <w:jc w:val="center"/>
              <w:rPr>
                <w:rFonts w:hint="default" w:ascii="Times New Roman" w:hAnsi="Times New Roman" w:eastAsia="宋体" w:cs="Times New Roman"/>
                <w:b/>
                <w:color w:val="000000" w:themeColor="text1"/>
                <w:sz w:val="24"/>
                <w:highlight w:val="none"/>
                <w14:textFill>
                  <w14:solidFill>
                    <w14:schemeClr w14:val="tx1"/>
                  </w14:solidFill>
                </w14:textFill>
              </w:rPr>
            </w:pPr>
            <w:r>
              <w:rPr>
                <w:rFonts w:hint="default" w:ascii="Times New Roman" w:hAnsi="Times New Roman" w:eastAsia="宋体" w:cs="Times New Roman"/>
                <w:b/>
                <w:color w:val="000000" w:themeColor="text1"/>
                <w:sz w:val="24"/>
                <w:highlight w:val="none"/>
                <w14:textFill>
                  <w14:solidFill>
                    <w14:schemeClr w14:val="tx1"/>
                  </w14:solidFill>
                </w14:textFill>
              </w:rPr>
              <w:t>表3-2 监测点位基本信息</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4"/>
              <w:gridCol w:w="1773"/>
              <w:gridCol w:w="1768"/>
              <w:gridCol w:w="1383"/>
              <w:gridCol w:w="1076"/>
              <w:gridCol w:w="1207"/>
            </w:tblGrid>
            <w:tr w14:paraId="2F589E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6" w:type="pct"/>
                  <w:tcBorders>
                    <w:tl2br w:val="nil"/>
                    <w:tr2bl w:val="nil"/>
                  </w:tcBorders>
                  <w:noWrap w:val="0"/>
                  <w:vAlign w:val="center"/>
                </w:tcPr>
                <w:p w14:paraId="092E35F6">
                  <w:pPr>
                    <w:autoSpaceDE w:val="0"/>
                    <w:autoSpaceDN w:val="0"/>
                    <w:jc w:val="center"/>
                    <w:rPr>
                      <w:rFonts w:hint="default" w:ascii="Times New Roman" w:hAnsi="Times New Roman" w:eastAsia="宋体" w:cs="Times New Roman"/>
                      <w:color w:val="000000" w:themeColor="text1"/>
                      <w:spacing w:val="-5"/>
                      <w:szCs w:val="21"/>
                      <w:highlight w:val="none"/>
                      <w14:textFill>
                        <w14:solidFill>
                          <w14:schemeClr w14:val="tx1"/>
                        </w14:solidFill>
                      </w14:textFill>
                    </w:rPr>
                  </w:pPr>
                  <w:r>
                    <w:rPr>
                      <w:rFonts w:hint="default" w:ascii="Times New Roman" w:hAnsi="Times New Roman" w:eastAsia="宋体" w:cs="Times New Roman"/>
                      <w:color w:val="000000" w:themeColor="text1"/>
                      <w:spacing w:val="-5"/>
                      <w:szCs w:val="21"/>
                      <w:highlight w:val="none"/>
                      <w14:textFill>
                        <w14:solidFill>
                          <w14:schemeClr w14:val="tx1"/>
                        </w14:solidFill>
                      </w14:textFill>
                    </w:rPr>
                    <w:t>名称</w:t>
                  </w:r>
                </w:p>
              </w:tc>
              <w:tc>
                <w:tcPr>
                  <w:tcW w:w="1107" w:type="pct"/>
                  <w:tcBorders>
                    <w:tl2br w:val="nil"/>
                    <w:tr2bl w:val="nil"/>
                  </w:tcBorders>
                  <w:noWrap w:val="0"/>
                  <w:vAlign w:val="center"/>
                </w:tcPr>
                <w:p w14:paraId="20F7A63C">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Cs w:val="21"/>
                      <w:highlight w:val="none"/>
                      <w14:textFill>
                        <w14:solidFill>
                          <w14:schemeClr w14:val="tx1"/>
                        </w14:solidFill>
                      </w14:textFill>
                    </w:rPr>
                    <w:t>坐标</w:t>
                  </w:r>
                  <w:r>
                    <w:rPr>
                      <w:rFonts w:hint="eastAsia" w:cs="Times New Roman"/>
                      <w:color w:val="000000" w:themeColor="text1"/>
                      <w:spacing w:val="-5"/>
                      <w:szCs w:val="21"/>
                      <w:highlight w:val="none"/>
                      <w:lang w:val="en-US" w:eastAsia="zh-CN"/>
                      <w14:textFill>
                        <w14:solidFill>
                          <w14:schemeClr w14:val="tx1"/>
                        </w14:solidFill>
                      </w14:textFill>
                    </w:rPr>
                    <w:t>/°</w:t>
                  </w:r>
                </w:p>
              </w:tc>
              <w:tc>
                <w:tcPr>
                  <w:tcW w:w="1104" w:type="pct"/>
                  <w:tcBorders>
                    <w:tl2br w:val="nil"/>
                    <w:tr2bl w:val="nil"/>
                  </w:tcBorders>
                  <w:noWrap w:val="0"/>
                  <w:vAlign w:val="center"/>
                </w:tcPr>
                <w:p w14:paraId="1CF56820">
                  <w:pPr>
                    <w:autoSpaceDE w:val="0"/>
                    <w:autoSpaceDN w:val="0"/>
                    <w:jc w:val="center"/>
                    <w:rPr>
                      <w:rFonts w:hint="default" w:ascii="Times New Roman" w:hAnsi="Times New Roman" w:eastAsia="宋体" w:cs="Times New Roman"/>
                      <w:color w:val="000000" w:themeColor="text1"/>
                      <w:spacing w:val="-5"/>
                      <w:szCs w:val="21"/>
                      <w:highlight w:val="none"/>
                      <w14:textFill>
                        <w14:solidFill>
                          <w14:schemeClr w14:val="tx1"/>
                        </w14:solidFill>
                      </w14:textFill>
                    </w:rPr>
                  </w:pPr>
                  <w:r>
                    <w:rPr>
                      <w:rFonts w:hint="default" w:ascii="Times New Roman" w:hAnsi="Times New Roman" w:eastAsia="宋体" w:cs="Times New Roman"/>
                      <w:color w:val="000000" w:themeColor="text1"/>
                      <w:spacing w:val="-5"/>
                      <w:szCs w:val="21"/>
                      <w:highlight w:val="none"/>
                      <w14:textFill>
                        <w14:solidFill>
                          <w14:schemeClr w14:val="tx1"/>
                        </w14:solidFill>
                      </w14:textFill>
                    </w:rPr>
                    <w:t>监测因子</w:t>
                  </w:r>
                </w:p>
              </w:tc>
              <w:tc>
                <w:tcPr>
                  <w:tcW w:w="864" w:type="pct"/>
                  <w:tcBorders>
                    <w:tl2br w:val="nil"/>
                    <w:tr2bl w:val="nil"/>
                  </w:tcBorders>
                  <w:noWrap w:val="0"/>
                  <w:vAlign w:val="center"/>
                </w:tcPr>
                <w:p w14:paraId="64A7E69C">
                  <w:pPr>
                    <w:autoSpaceDE w:val="0"/>
                    <w:autoSpaceDN w:val="0"/>
                    <w:jc w:val="center"/>
                    <w:rPr>
                      <w:rFonts w:hint="default" w:ascii="Times New Roman" w:hAnsi="Times New Roman" w:eastAsia="宋体" w:cs="Times New Roman"/>
                      <w:color w:val="000000" w:themeColor="text1"/>
                      <w:spacing w:val="-5"/>
                      <w:szCs w:val="21"/>
                      <w:highlight w:val="none"/>
                      <w14:textFill>
                        <w14:solidFill>
                          <w14:schemeClr w14:val="tx1"/>
                        </w14:solidFill>
                      </w14:textFill>
                    </w:rPr>
                  </w:pPr>
                  <w:r>
                    <w:rPr>
                      <w:rFonts w:hint="default" w:ascii="Times New Roman" w:hAnsi="Times New Roman" w:eastAsia="宋体" w:cs="Times New Roman"/>
                      <w:color w:val="000000" w:themeColor="text1"/>
                      <w:spacing w:val="-5"/>
                      <w:szCs w:val="21"/>
                      <w:highlight w:val="none"/>
                      <w14:textFill>
                        <w14:solidFill>
                          <w14:schemeClr w14:val="tx1"/>
                        </w14:solidFill>
                      </w14:textFill>
                    </w:rPr>
                    <w:t>监测时段</w:t>
                  </w:r>
                </w:p>
              </w:tc>
              <w:tc>
                <w:tcPr>
                  <w:tcW w:w="672" w:type="pct"/>
                  <w:tcBorders>
                    <w:tl2br w:val="nil"/>
                    <w:tr2bl w:val="nil"/>
                  </w:tcBorders>
                  <w:noWrap w:val="0"/>
                  <w:vAlign w:val="center"/>
                </w:tcPr>
                <w:p w14:paraId="1BC069DF">
                  <w:pPr>
                    <w:autoSpaceDE w:val="0"/>
                    <w:autoSpaceDN w:val="0"/>
                    <w:jc w:val="center"/>
                    <w:rPr>
                      <w:rFonts w:hint="default" w:ascii="Times New Roman" w:hAnsi="Times New Roman" w:eastAsia="宋体" w:cs="Times New Roman"/>
                      <w:color w:val="000000" w:themeColor="text1"/>
                      <w:spacing w:val="-5"/>
                      <w:szCs w:val="21"/>
                      <w:highlight w:val="none"/>
                      <w14:textFill>
                        <w14:solidFill>
                          <w14:schemeClr w14:val="tx1"/>
                        </w14:solidFill>
                      </w14:textFill>
                    </w:rPr>
                  </w:pPr>
                  <w:r>
                    <w:rPr>
                      <w:rFonts w:hint="default" w:ascii="Times New Roman" w:hAnsi="Times New Roman" w:eastAsia="宋体" w:cs="Times New Roman"/>
                      <w:color w:val="000000" w:themeColor="text1"/>
                      <w:spacing w:val="-5"/>
                      <w:szCs w:val="21"/>
                      <w:highlight w:val="none"/>
                      <w14:textFill>
                        <w14:solidFill>
                          <w14:schemeClr w14:val="tx1"/>
                        </w14:solidFill>
                      </w14:textFill>
                    </w:rPr>
                    <w:t>相对厂址方位</w:t>
                  </w:r>
                </w:p>
              </w:tc>
              <w:tc>
                <w:tcPr>
                  <w:tcW w:w="754" w:type="pct"/>
                  <w:tcBorders>
                    <w:tl2br w:val="nil"/>
                    <w:tr2bl w:val="nil"/>
                  </w:tcBorders>
                  <w:noWrap w:val="0"/>
                  <w:vAlign w:val="center"/>
                </w:tcPr>
                <w:p w14:paraId="253C3AF2">
                  <w:pPr>
                    <w:autoSpaceDE w:val="0"/>
                    <w:autoSpaceDN w:val="0"/>
                    <w:jc w:val="center"/>
                    <w:rPr>
                      <w:rFonts w:hint="default" w:ascii="Times New Roman" w:hAnsi="Times New Roman" w:eastAsia="宋体" w:cs="Times New Roman"/>
                      <w:color w:val="000000" w:themeColor="text1"/>
                      <w:spacing w:val="-5"/>
                      <w:szCs w:val="21"/>
                      <w:highlight w:val="none"/>
                      <w14:textFill>
                        <w14:solidFill>
                          <w14:schemeClr w14:val="tx1"/>
                        </w14:solidFill>
                      </w14:textFill>
                    </w:rPr>
                  </w:pPr>
                  <w:r>
                    <w:rPr>
                      <w:rFonts w:hint="default" w:ascii="Times New Roman" w:hAnsi="Times New Roman" w:eastAsia="宋体" w:cs="Times New Roman"/>
                      <w:color w:val="000000" w:themeColor="text1"/>
                      <w:spacing w:val="-5"/>
                      <w:szCs w:val="21"/>
                      <w:highlight w:val="none"/>
                      <w14:textFill>
                        <w14:solidFill>
                          <w14:schemeClr w14:val="tx1"/>
                        </w14:solidFill>
                      </w14:textFill>
                    </w:rPr>
                    <w:t>相对厂界距离/m</w:t>
                  </w:r>
                </w:p>
              </w:tc>
            </w:tr>
            <w:tr w14:paraId="137663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6" w:type="pct"/>
                  <w:tcBorders>
                    <w:tl2br w:val="nil"/>
                    <w:tr2bl w:val="nil"/>
                  </w:tcBorders>
                  <w:noWrap w:val="0"/>
                  <w:vAlign w:val="center"/>
                </w:tcPr>
                <w:p w14:paraId="72F4A14D">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1#监测点</w:t>
                  </w:r>
                </w:p>
              </w:tc>
              <w:tc>
                <w:tcPr>
                  <w:tcW w:w="1107" w:type="pct"/>
                  <w:tcBorders>
                    <w:tl2br w:val="nil"/>
                    <w:tr2bl w:val="nil"/>
                  </w:tcBorders>
                  <w:noWrap w:val="0"/>
                  <w:vAlign w:val="center"/>
                </w:tcPr>
                <w:p w14:paraId="3B528691">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131.1416</w:t>
                  </w:r>
                </w:p>
                <w:p w14:paraId="286CB086">
                  <w:pPr>
                    <w:autoSpaceDE w:val="0"/>
                    <w:autoSpaceDN w:val="0"/>
                    <w:jc w:val="center"/>
                    <w:rPr>
                      <w:rFonts w:hint="default" w:ascii="Times New Roman" w:hAnsi="Times New Roman" w:eastAsia="宋体" w:cs="Times New Roman"/>
                      <w:color w:val="000000" w:themeColor="text1"/>
                      <w:spacing w:val="-5"/>
                      <w:szCs w:val="21"/>
                      <w:highlight w:val="none"/>
                      <w14:textFill>
                        <w14:solidFill>
                          <w14:schemeClr w14:val="tx1"/>
                        </w14:solidFill>
                      </w14:textFill>
                    </w:rPr>
                  </w:pP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46.6346</w:t>
                  </w:r>
                </w:p>
              </w:tc>
              <w:tc>
                <w:tcPr>
                  <w:tcW w:w="1104" w:type="pct"/>
                  <w:tcBorders>
                    <w:tl2br w:val="nil"/>
                    <w:tr2bl w:val="nil"/>
                  </w:tcBorders>
                  <w:noWrap w:val="0"/>
                  <w:vAlign w:val="center"/>
                </w:tcPr>
                <w:p w14:paraId="77F28995">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TSP</w:t>
                  </w:r>
                </w:p>
              </w:tc>
              <w:tc>
                <w:tcPr>
                  <w:tcW w:w="864" w:type="pct"/>
                  <w:tcBorders>
                    <w:tl2br w:val="nil"/>
                    <w:tr2bl w:val="nil"/>
                  </w:tcBorders>
                  <w:noWrap w:val="0"/>
                  <w:vAlign w:val="center"/>
                </w:tcPr>
                <w:p w14:paraId="528A39FB">
                  <w:pPr>
                    <w:autoSpaceDE w:val="0"/>
                    <w:autoSpaceDN w:val="0"/>
                    <w:jc w:val="center"/>
                    <w:rPr>
                      <w:rFonts w:hint="default" w:ascii="Times New Roman" w:hAnsi="Times New Roman" w:eastAsia="宋体" w:cs="Times New Roman"/>
                      <w:color w:val="000000" w:themeColor="text1"/>
                      <w:spacing w:val="-5"/>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日均值</w:t>
                  </w:r>
                </w:p>
              </w:tc>
              <w:tc>
                <w:tcPr>
                  <w:tcW w:w="672" w:type="pct"/>
                  <w:tcBorders>
                    <w:tl2br w:val="nil"/>
                    <w:tr2bl w:val="nil"/>
                  </w:tcBorders>
                  <w:noWrap w:val="0"/>
                  <w:vAlign w:val="center"/>
                </w:tcPr>
                <w:p w14:paraId="514A99A3">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NE</w:t>
                  </w:r>
                </w:p>
              </w:tc>
              <w:tc>
                <w:tcPr>
                  <w:tcW w:w="754" w:type="pct"/>
                  <w:tcBorders>
                    <w:tl2br w:val="nil"/>
                    <w:tr2bl w:val="nil"/>
                  </w:tcBorders>
                  <w:noWrap w:val="0"/>
                  <w:vAlign w:val="center"/>
                </w:tcPr>
                <w:p w14:paraId="4720A225">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r>
                    <w:rPr>
                      <w:rFonts w:hint="eastAsia" w:cs="Times New Roman"/>
                      <w:color w:val="000000" w:themeColor="text1"/>
                      <w:spacing w:val="-5"/>
                      <w:szCs w:val="21"/>
                      <w:highlight w:val="none"/>
                      <w:lang w:val="en-US" w:eastAsia="zh-CN"/>
                      <w14:textFill>
                        <w14:solidFill>
                          <w14:schemeClr w14:val="tx1"/>
                        </w14:solidFill>
                      </w14:textFill>
                    </w:rPr>
                    <w:t>100</w:t>
                  </w:r>
                </w:p>
              </w:tc>
            </w:tr>
          </w:tbl>
          <w:p w14:paraId="1354E8D9">
            <w:pPr>
              <w:tabs>
                <w:tab w:val="left" w:pos="1725"/>
              </w:tabs>
              <w:spacing w:line="360" w:lineRule="auto"/>
              <w:jc w:val="center"/>
              <w:rPr>
                <w:rFonts w:hint="default" w:ascii="Times New Roman" w:hAnsi="Times New Roman" w:eastAsia="宋体" w:cs="Times New Roman"/>
                <w:b/>
                <w:color w:val="000000" w:themeColor="text1"/>
                <w:sz w:val="24"/>
                <w:highlight w:val="none"/>
                <w14:textFill>
                  <w14:solidFill>
                    <w14:schemeClr w14:val="tx1"/>
                  </w14:solidFill>
                </w14:textFill>
              </w:rPr>
            </w:pPr>
            <w:r>
              <w:rPr>
                <w:rFonts w:hint="default" w:ascii="Times New Roman" w:hAnsi="Times New Roman" w:eastAsia="宋体" w:cs="Times New Roman"/>
                <w:b/>
                <w:color w:val="000000" w:themeColor="text1"/>
                <w:sz w:val="24"/>
                <w:highlight w:val="none"/>
                <w14:textFill>
                  <w14:solidFill>
                    <w14:schemeClr w14:val="tx1"/>
                  </w14:solidFill>
                </w14:textFill>
              </w:rPr>
              <w:t>表3-</w:t>
            </w:r>
            <w:r>
              <w:rPr>
                <w:rFonts w:hint="default" w:ascii="Times New Roman" w:hAnsi="Times New Roman" w:eastAsia="宋体" w:cs="Times New Roman"/>
                <w:b/>
                <w:color w:val="000000" w:themeColor="text1"/>
                <w:sz w:val="24"/>
                <w:highlight w:val="none"/>
                <w:lang w:val="en-US" w:eastAsia="zh-CN"/>
                <w14:textFill>
                  <w14:solidFill>
                    <w14:schemeClr w14:val="tx1"/>
                  </w14:solidFill>
                </w14:textFill>
              </w:rPr>
              <w:t>3</w:t>
            </w:r>
            <w:r>
              <w:rPr>
                <w:rFonts w:hint="default" w:ascii="Times New Roman" w:hAnsi="Times New Roman" w:eastAsia="宋体" w:cs="Times New Roman"/>
                <w:b/>
                <w:color w:val="000000" w:themeColor="text1"/>
                <w:sz w:val="24"/>
                <w:highlight w:val="none"/>
                <w14:textFill>
                  <w14:solidFill>
                    <w14:schemeClr w14:val="tx1"/>
                  </w14:solidFill>
                </w14:textFill>
              </w:rPr>
              <w:t xml:space="preserve"> 其他污染物监测结果</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0"/>
              <w:gridCol w:w="1105"/>
              <w:gridCol w:w="1265"/>
              <w:gridCol w:w="1634"/>
              <w:gridCol w:w="1080"/>
              <w:gridCol w:w="982"/>
              <w:gridCol w:w="855"/>
            </w:tblGrid>
            <w:tr w14:paraId="71F5B8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674" w:type="pct"/>
                  <w:vMerge w:val="restart"/>
                  <w:tcBorders>
                    <w:top w:val="single" w:color="auto" w:sz="12" w:space="0"/>
                    <w:left w:val="nil"/>
                    <w:bottom w:val="single" w:color="auto" w:sz="4" w:space="0"/>
                    <w:right w:val="single" w:color="auto" w:sz="4" w:space="0"/>
                  </w:tcBorders>
                  <w:noWrap w:val="0"/>
                  <w:vAlign w:val="center"/>
                </w:tcPr>
                <w:p w14:paraId="186EC699">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名称</w:t>
                  </w:r>
                </w:p>
              </w:tc>
              <w:tc>
                <w:tcPr>
                  <w:tcW w:w="690" w:type="pct"/>
                  <w:vMerge w:val="restart"/>
                  <w:tcBorders>
                    <w:top w:val="single" w:color="auto" w:sz="12" w:space="0"/>
                    <w:left w:val="single" w:color="auto" w:sz="4" w:space="0"/>
                    <w:bottom w:val="single" w:color="auto" w:sz="4" w:space="0"/>
                    <w:right w:val="single" w:color="auto" w:sz="4" w:space="0"/>
                  </w:tcBorders>
                  <w:noWrap w:val="0"/>
                  <w:vAlign w:val="center"/>
                </w:tcPr>
                <w:p w14:paraId="12308694">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污染物</w:t>
                  </w:r>
                </w:p>
              </w:tc>
              <w:tc>
                <w:tcPr>
                  <w:tcW w:w="790" w:type="pct"/>
                  <w:vMerge w:val="restart"/>
                  <w:tcBorders>
                    <w:top w:val="single" w:color="auto" w:sz="12" w:space="0"/>
                    <w:left w:val="single" w:color="auto" w:sz="4" w:space="0"/>
                    <w:bottom w:val="single" w:color="auto" w:sz="4" w:space="0"/>
                    <w:right w:val="single" w:color="auto" w:sz="4" w:space="0"/>
                  </w:tcBorders>
                  <w:noWrap w:val="0"/>
                  <w:vAlign w:val="center"/>
                </w:tcPr>
                <w:p w14:paraId="720D60D7">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评价标准（</w:t>
                  </w:r>
                  <w:r>
                    <w:rPr>
                      <w:rFonts w:hint="eastAsia" w:cs="Times New Roman"/>
                      <w:color w:val="000000" w:themeColor="text1"/>
                      <w:spacing w:val="-5"/>
                      <w:szCs w:val="21"/>
                      <w:highlight w:val="none"/>
                      <w:lang w:val="en-US" w:eastAsia="zh-CN"/>
                      <w14:textFill>
                        <w14:solidFill>
                          <w14:schemeClr w14:val="tx1"/>
                        </w14:solidFill>
                      </w14:textFill>
                    </w:rPr>
                    <w:t>μ</w:t>
                  </w: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g/m</w:t>
                  </w:r>
                  <w:r>
                    <w:rPr>
                      <w:rFonts w:hint="default" w:ascii="Times New Roman" w:hAnsi="Times New Roman" w:eastAsia="宋体" w:cs="Times New Roman"/>
                      <w:color w:val="000000" w:themeColor="text1"/>
                      <w:spacing w:val="-5"/>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w:t>
                  </w:r>
                </w:p>
              </w:tc>
              <w:tc>
                <w:tcPr>
                  <w:tcW w:w="1020" w:type="pct"/>
                  <w:vMerge w:val="restart"/>
                  <w:tcBorders>
                    <w:top w:val="single" w:color="auto" w:sz="12" w:space="0"/>
                    <w:left w:val="single" w:color="auto" w:sz="4" w:space="0"/>
                    <w:bottom w:val="single" w:color="auto" w:sz="4" w:space="0"/>
                    <w:right w:val="single" w:color="auto" w:sz="4" w:space="0"/>
                  </w:tcBorders>
                  <w:noWrap w:val="0"/>
                  <w:vAlign w:val="center"/>
                </w:tcPr>
                <w:p w14:paraId="2DC30FBF">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浓度范围（μg/m</w:t>
                  </w:r>
                  <w:r>
                    <w:rPr>
                      <w:rFonts w:hint="default" w:ascii="Times New Roman" w:hAnsi="Times New Roman" w:eastAsia="宋体" w:cs="Times New Roman"/>
                      <w:color w:val="000000" w:themeColor="text1"/>
                      <w:spacing w:val="-5"/>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w:t>
                  </w:r>
                </w:p>
              </w:tc>
              <w:tc>
                <w:tcPr>
                  <w:tcW w:w="674" w:type="pct"/>
                  <w:vMerge w:val="restart"/>
                  <w:tcBorders>
                    <w:top w:val="single" w:color="auto" w:sz="12" w:space="0"/>
                    <w:left w:val="single" w:color="auto" w:sz="4" w:space="0"/>
                    <w:bottom w:val="single" w:color="auto" w:sz="4" w:space="0"/>
                    <w:right w:val="single" w:color="auto" w:sz="4" w:space="0"/>
                  </w:tcBorders>
                  <w:noWrap w:val="0"/>
                  <w:vAlign w:val="center"/>
                </w:tcPr>
                <w:p w14:paraId="1F316051">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最大占标率%</w:t>
                  </w:r>
                </w:p>
              </w:tc>
              <w:tc>
                <w:tcPr>
                  <w:tcW w:w="613" w:type="pct"/>
                  <w:vMerge w:val="restart"/>
                  <w:tcBorders>
                    <w:top w:val="single" w:color="auto" w:sz="12" w:space="0"/>
                    <w:left w:val="single" w:color="auto" w:sz="4" w:space="0"/>
                    <w:bottom w:val="single" w:color="auto" w:sz="4" w:space="0"/>
                    <w:right w:val="single" w:color="auto" w:sz="4" w:space="0"/>
                  </w:tcBorders>
                  <w:noWrap w:val="0"/>
                  <w:vAlign w:val="center"/>
                </w:tcPr>
                <w:p w14:paraId="39773974">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超标率%</w:t>
                  </w:r>
                </w:p>
              </w:tc>
              <w:tc>
                <w:tcPr>
                  <w:tcW w:w="534" w:type="pct"/>
                  <w:vMerge w:val="restart"/>
                  <w:tcBorders>
                    <w:top w:val="single" w:color="auto" w:sz="12" w:space="0"/>
                    <w:left w:val="single" w:color="auto" w:sz="4" w:space="0"/>
                    <w:bottom w:val="single" w:color="auto" w:sz="4" w:space="0"/>
                    <w:right w:val="nil"/>
                  </w:tcBorders>
                  <w:noWrap w:val="0"/>
                  <w:vAlign w:val="center"/>
                </w:tcPr>
                <w:p w14:paraId="2B994F7F">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达标情况</w:t>
                  </w:r>
                </w:p>
              </w:tc>
            </w:tr>
            <w:tr w14:paraId="162F3C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674" w:type="pct"/>
                  <w:vMerge w:val="continue"/>
                  <w:tcBorders>
                    <w:top w:val="single" w:color="auto" w:sz="4" w:space="0"/>
                    <w:left w:val="nil"/>
                    <w:bottom w:val="single" w:color="auto" w:sz="4" w:space="0"/>
                    <w:right w:val="single" w:color="auto" w:sz="4" w:space="0"/>
                  </w:tcBorders>
                  <w:noWrap w:val="0"/>
                  <w:vAlign w:val="center"/>
                </w:tcPr>
                <w:p w14:paraId="16614DE9">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p>
              </w:tc>
              <w:tc>
                <w:tcPr>
                  <w:tcW w:w="690" w:type="pct"/>
                  <w:vMerge w:val="continue"/>
                  <w:tcBorders>
                    <w:top w:val="single" w:color="auto" w:sz="4" w:space="0"/>
                    <w:left w:val="single" w:color="auto" w:sz="4" w:space="0"/>
                    <w:bottom w:val="single" w:color="auto" w:sz="4" w:space="0"/>
                    <w:right w:val="single" w:color="auto" w:sz="4" w:space="0"/>
                  </w:tcBorders>
                  <w:noWrap w:val="0"/>
                  <w:vAlign w:val="center"/>
                </w:tcPr>
                <w:p w14:paraId="312DE551">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p>
              </w:tc>
              <w:tc>
                <w:tcPr>
                  <w:tcW w:w="790" w:type="pct"/>
                  <w:vMerge w:val="continue"/>
                  <w:tcBorders>
                    <w:top w:val="single" w:color="auto" w:sz="4" w:space="0"/>
                    <w:left w:val="single" w:color="auto" w:sz="4" w:space="0"/>
                    <w:bottom w:val="single" w:color="auto" w:sz="4" w:space="0"/>
                    <w:right w:val="single" w:color="auto" w:sz="4" w:space="0"/>
                  </w:tcBorders>
                  <w:noWrap w:val="0"/>
                  <w:vAlign w:val="center"/>
                </w:tcPr>
                <w:p w14:paraId="4DF397BC">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p>
              </w:tc>
              <w:tc>
                <w:tcPr>
                  <w:tcW w:w="1020" w:type="pct"/>
                  <w:vMerge w:val="continue"/>
                  <w:tcBorders>
                    <w:top w:val="single" w:color="auto" w:sz="4" w:space="0"/>
                    <w:left w:val="single" w:color="auto" w:sz="4" w:space="0"/>
                    <w:bottom w:val="single" w:color="auto" w:sz="4" w:space="0"/>
                    <w:right w:val="single" w:color="auto" w:sz="4" w:space="0"/>
                  </w:tcBorders>
                  <w:noWrap w:val="0"/>
                  <w:vAlign w:val="center"/>
                </w:tcPr>
                <w:p w14:paraId="39FD1CBB">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p>
              </w:tc>
              <w:tc>
                <w:tcPr>
                  <w:tcW w:w="674" w:type="pct"/>
                  <w:vMerge w:val="continue"/>
                  <w:tcBorders>
                    <w:top w:val="single" w:color="auto" w:sz="4" w:space="0"/>
                    <w:left w:val="single" w:color="auto" w:sz="4" w:space="0"/>
                    <w:bottom w:val="single" w:color="auto" w:sz="4" w:space="0"/>
                    <w:right w:val="single" w:color="auto" w:sz="4" w:space="0"/>
                  </w:tcBorders>
                  <w:noWrap w:val="0"/>
                  <w:vAlign w:val="center"/>
                </w:tcPr>
                <w:p w14:paraId="77B050CA">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p>
              </w:tc>
              <w:tc>
                <w:tcPr>
                  <w:tcW w:w="613" w:type="pct"/>
                  <w:vMerge w:val="continue"/>
                  <w:tcBorders>
                    <w:top w:val="single" w:color="auto" w:sz="4" w:space="0"/>
                    <w:left w:val="single" w:color="auto" w:sz="4" w:space="0"/>
                    <w:bottom w:val="single" w:color="auto" w:sz="4" w:space="0"/>
                    <w:right w:val="single" w:color="auto" w:sz="4" w:space="0"/>
                  </w:tcBorders>
                  <w:noWrap w:val="0"/>
                  <w:vAlign w:val="center"/>
                </w:tcPr>
                <w:p w14:paraId="15806CAA">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p>
              </w:tc>
              <w:tc>
                <w:tcPr>
                  <w:tcW w:w="534" w:type="pct"/>
                  <w:vMerge w:val="continue"/>
                  <w:tcBorders>
                    <w:top w:val="single" w:color="auto" w:sz="4" w:space="0"/>
                    <w:left w:val="single" w:color="auto" w:sz="4" w:space="0"/>
                    <w:bottom w:val="single" w:color="auto" w:sz="4" w:space="0"/>
                    <w:right w:val="nil"/>
                  </w:tcBorders>
                  <w:noWrap w:val="0"/>
                  <w:vAlign w:val="center"/>
                </w:tcPr>
                <w:p w14:paraId="352C0560">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p>
              </w:tc>
            </w:tr>
            <w:tr w14:paraId="772088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4" w:type="pct"/>
                  <w:tcBorders>
                    <w:top w:val="single" w:color="auto" w:sz="4" w:space="0"/>
                    <w:left w:val="nil"/>
                    <w:bottom w:val="single" w:color="auto" w:sz="12" w:space="0"/>
                    <w:right w:val="single" w:color="auto" w:sz="4" w:space="0"/>
                  </w:tcBorders>
                  <w:noWrap w:val="0"/>
                  <w:vAlign w:val="center"/>
                </w:tcPr>
                <w:p w14:paraId="1E627B29">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1#监测点</w:t>
                  </w:r>
                </w:p>
              </w:tc>
              <w:tc>
                <w:tcPr>
                  <w:tcW w:w="690" w:type="pct"/>
                  <w:tcBorders>
                    <w:top w:val="single" w:color="auto" w:sz="4" w:space="0"/>
                    <w:left w:val="single" w:color="auto" w:sz="4" w:space="0"/>
                    <w:bottom w:val="single" w:color="auto" w:sz="12" w:space="0"/>
                    <w:right w:val="single" w:color="auto" w:sz="4" w:space="0"/>
                  </w:tcBorders>
                  <w:noWrap w:val="0"/>
                  <w:vAlign w:val="center"/>
                </w:tcPr>
                <w:p w14:paraId="6A6D36B7">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TSP</w:t>
                  </w:r>
                </w:p>
              </w:tc>
              <w:tc>
                <w:tcPr>
                  <w:tcW w:w="790" w:type="pct"/>
                  <w:tcBorders>
                    <w:top w:val="single" w:color="auto" w:sz="4" w:space="0"/>
                    <w:left w:val="single" w:color="auto" w:sz="4" w:space="0"/>
                    <w:bottom w:val="single" w:color="auto" w:sz="12" w:space="0"/>
                    <w:right w:val="single" w:color="auto" w:sz="4" w:space="0"/>
                  </w:tcBorders>
                  <w:noWrap w:val="0"/>
                  <w:vAlign w:val="center"/>
                </w:tcPr>
                <w:p w14:paraId="7413D1D5">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r>
                    <w:rPr>
                      <w:rFonts w:hint="eastAsia" w:cs="Times New Roman"/>
                      <w:color w:val="000000" w:themeColor="text1"/>
                      <w:spacing w:val="-5"/>
                      <w:szCs w:val="21"/>
                      <w:highlight w:val="none"/>
                      <w:lang w:val="en-US" w:eastAsia="zh-CN"/>
                      <w14:textFill>
                        <w14:solidFill>
                          <w14:schemeClr w14:val="tx1"/>
                        </w14:solidFill>
                      </w14:textFill>
                    </w:rPr>
                    <w:t>300</w:t>
                  </w:r>
                </w:p>
              </w:tc>
              <w:tc>
                <w:tcPr>
                  <w:tcW w:w="1020" w:type="pct"/>
                  <w:tcBorders>
                    <w:top w:val="single" w:color="auto" w:sz="4" w:space="0"/>
                    <w:left w:val="single" w:color="auto" w:sz="4" w:space="0"/>
                    <w:bottom w:val="single" w:color="auto" w:sz="12" w:space="0"/>
                    <w:right w:val="single" w:color="auto" w:sz="4" w:space="0"/>
                  </w:tcBorders>
                  <w:noWrap w:val="0"/>
                  <w:vAlign w:val="center"/>
                </w:tcPr>
                <w:p w14:paraId="2E0A36D4">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r>
                    <w:rPr>
                      <w:rFonts w:hint="eastAsia" w:cs="Times New Roman"/>
                      <w:color w:val="000000" w:themeColor="text1"/>
                      <w:spacing w:val="-5"/>
                      <w:szCs w:val="21"/>
                      <w:highlight w:val="none"/>
                      <w:lang w:val="en-US" w:eastAsia="zh-CN"/>
                      <w14:textFill>
                        <w14:solidFill>
                          <w14:schemeClr w14:val="tx1"/>
                        </w14:solidFill>
                      </w14:textFill>
                    </w:rPr>
                    <w:t>75</w:t>
                  </w: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w:t>
                  </w:r>
                  <w:r>
                    <w:rPr>
                      <w:rFonts w:hint="eastAsia" w:cs="Times New Roman"/>
                      <w:color w:val="000000" w:themeColor="text1"/>
                      <w:spacing w:val="-5"/>
                      <w:szCs w:val="21"/>
                      <w:highlight w:val="none"/>
                      <w:lang w:val="en-US" w:eastAsia="zh-CN"/>
                      <w14:textFill>
                        <w14:solidFill>
                          <w14:schemeClr w14:val="tx1"/>
                        </w14:solidFill>
                      </w14:textFill>
                    </w:rPr>
                    <w:t>89</w:t>
                  </w:r>
                </w:p>
              </w:tc>
              <w:tc>
                <w:tcPr>
                  <w:tcW w:w="674" w:type="pct"/>
                  <w:tcBorders>
                    <w:top w:val="single" w:color="auto" w:sz="4" w:space="0"/>
                    <w:left w:val="single" w:color="auto" w:sz="4" w:space="0"/>
                    <w:bottom w:val="single" w:color="auto" w:sz="12" w:space="0"/>
                    <w:right w:val="single" w:color="auto" w:sz="4" w:space="0"/>
                  </w:tcBorders>
                  <w:noWrap w:val="0"/>
                  <w:vAlign w:val="center"/>
                </w:tcPr>
                <w:p w14:paraId="1F63A5D4">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r>
                    <w:rPr>
                      <w:rFonts w:hint="eastAsia" w:cs="Times New Roman"/>
                      <w:color w:val="000000" w:themeColor="text1"/>
                      <w:spacing w:val="-5"/>
                      <w:szCs w:val="21"/>
                      <w:highlight w:val="none"/>
                      <w:lang w:val="en-US" w:eastAsia="zh-CN"/>
                      <w14:textFill>
                        <w14:solidFill>
                          <w14:schemeClr w14:val="tx1"/>
                        </w14:solidFill>
                      </w14:textFill>
                    </w:rPr>
                    <w:t>29.7</w:t>
                  </w:r>
                </w:p>
              </w:tc>
              <w:tc>
                <w:tcPr>
                  <w:tcW w:w="613" w:type="pct"/>
                  <w:tcBorders>
                    <w:top w:val="single" w:color="auto" w:sz="4" w:space="0"/>
                    <w:left w:val="single" w:color="auto" w:sz="4" w:space="0"/>
                    <w:bottom w:val="single" w:color="auto" w:sz="12" w:space="0"/>
                    <w:right w:val="single" w:color="auto" w:sz="4" w:space="0"/>
                  </w:tcBorders>
                  <w:noWrap w:val="0"/>
                  <w:vAlign w:val="center"/>
                </w:tcPr>
                <w:p w14:paraId="277C679D">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0</w:t>
                  </w:r>
                </w:p>
              </w:tc>
              <w:tc>
                <w:tcPr>
                  <w:tcW w:w="534" w:type="pct"/>
                  <w:tcBorders>
                    <w:top w:val="single" w:color="auto" w:sz="4" w:space="0"/>
                    <w:left w:val="single" w:color="auto" w:sz="4" w:space="0"/>
                    <w:bottom w:val="single" w:color="auto" w:sz="12" w:space="0"/>
                    <w:right w:val="nil"/>
                  </w:tcBorders>
                  <w:noWrap w:val="0"/>
                  <w:vAlign w:val="center"/>
                </w:tcPr>
                <w:p w14:paraId="53E03C58">
                  <w:pPr>
                    <w:autoSpaceDE w:val="0"/>
                    <w:autoSpaceDN w:val="0"/>
                    <w:jc w:val="cente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Cs w:val="21"/>
                      <w:highlight w:val="none"/>
                      <w:lang w:val="en-US" w:eastAsia="zh-CN"/>
                      <w14:textFill>
                        <w14:solidFill>
                          <w14:schemeClr w14:val="tx1"/>
                        </w14:solidFill>
                      </w14:textFill>
                    </w:rPr>
                    <w:t>达标</w:t>
                  </w:r>
                </w:p>
              </w:tc>
            </w:tr>
          </w:tbl>
          <w:p w14:paraId="1A9AE140">
            <w:pPr>
              <w:spacing w:line="360" w:lineRule="auto"/>
              <w:ind w:firstLine="482" w:firstLineChars="200"/>
              <w:rPr>
                <w:rFonts w:eastAsia="Times New Roman"/>
                <w:color w:val="000000" w:themeColor="text1"/>
                <w:kern w:val="21"/>
                <w:sz w:val="24"/>
                <w:highlight w:val="yellow"/>
                <w14:textFill>
                  <w14:solidFill>
                    <w14:schemeClr w14:val="tx1"/>
                  </w14:solidFill>
                </w14:textFill>
              </w:rPr>
            </w:pPr>
            <w:r>
              <w:rPr>
                <w:b/>
                <w:color w:val="000000" w:themeColor="text1"/>
                <w:kern w:val="21"/>
                <w:sz w:val="24"/>
                <w:highlight w:val="none"/>
                <w14:textFill>
                  <w14:solidFill>
                    <w14:schemeClr w14:val="tx1"/>
                  </w14:solidFill>
                </w14:textFill>
              </w:rPr>
              <w:drawing>
                <wp:anchor distT="0" distB="0" distL="114300" distR="114300" simplePos="0" relativeHeight="251673600" behindDoc="0" locked="0" layoutInCell="1" allowOverlap="1">
                  <wp:simplePos x="0" y="0"/>
                  <wp:positionH relativeFrom="column">
                    <wp:posOffset>4499610</wp:posOffset>
                  </wp:positionH>
                  <wp:positionV relativeFrom="paragraph">
                    <wp:posOffset>887095</wp:posOffset>
                  </wp:positionV>
                  <wp:extent cx="577215" cy="573405"/>
                  <wp:effectExtent l="0" t="0" r="13335" b="17145"/>
                  <wp:wrapNone/>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8"/>
                          <a:stretch>
                            <a:fillRect/>
                          </a:stretch>
                        </pic:blipFill>
                        <pic:spPr>
                          <a:xfrm>
                            <a:off x="0" y="0"/>
                            <a:ext cx="577215" cy="573405"/>
                          </a:xfrm>
                          <a:prstGeom prst="rect">
                            <a:avLst/>
                          </a:prstGeom>
                          <a:noFill/>
                          <a:ln>
                            <a:noFill/>
                          </a:ln>
                        </pic:spPr>
                      </pic:pic>
                    </a:graphicData>
                  </a:graphic>
                </wp:anchor>
              </w:drawing>
            </w:r>
            <w:r>
              <w:rPr>
                <w:rFonts w:hint="default" w:eastAsia="Times New Roman"/>
                <w:color w:val="000000" w:themeColor="text1"/>
                <w:kern w:val="21"/>
                <w:sz w:val="24"/>
                <w:highlight w:val="none"/>
                <w14:textFill>
                  <w14:solidFill>
                    <w14:schemeClr w14:val="tx1"/>
                  </w14:solidFill>
                </w14:textFill>
              </w:rPr>
              <w:t>由上表可以看出，本项目所在区域在监测时段内</w:t>
            </w:r>
            <w:r>
              <w:rPr>
                <w:rFonts w:hint="default" w:eastAsia="Times New Roman"/>
                <w:color w:val="000000" w:themeColor="text1"/>
                <w:kern w:val="21"/>
                <w:sz w:val="24"/>
                <w:highlight w:val="none"/>
                <w:lang w:eastAsia="zh-CN"/>
                <w14:textFill>
                  <w14:solidFill>
                    <w14:schemeClr w14:val="tx1"/>
                  </w14:solidFill>
                </w14:textFill>
              </w:rPr>
              <w:t>，</w:t>
            </w:r>
            <w:r>
              <w:rPr>
                <w:rFonts w:hint="default" w:eastAsia="Times New Roman"/>
                <w:color w:val="000000" w:themeColor="text1"/>
                <w:kern w:val="21"/>
                <w:sz w:val="24"/>
                <w:highlight w:val="none"/>
                <w:lang w:val="en-US" w:eastAsia="zh-CN"/>
                <w14:textFill>
                  <w14:solidFill>
                    <w14:schemeClr w14:val="tx1"/>
                  </w14:solidFill>
                </w14:textFill>
              </w:rPr>
              <w:t>TSP监测结果无超标现象，达到了《环境空气质量标准》（GB3095-2012）</w:t>
            </w:r>
            <w:r>
              <w:rPr>
                <w:rFonts w:hint="eastAsia" w:eastAsia="Times New Roman"/>
                <w:color w:val="000000" w:themeColor="text1"/>
                <w:kern w:val="21"/>
                <w:sz w:val="24"/>
                <w:highlight w:val="none"/>
                <w:lang w:val="en-US" w:eastAsia="zh-CN"/>
                <w14:textFill>
                  <w14:solidFill>
                    <w14:schemeClr w14:val="tx1"/>
                  </w14:solidFill>
                </w14:textFill>
              </w:rPr>
              <w:t>及其修改单</w:t>
            </w:r>
            <w:r>
              <w:rPr>
                <w:rFonts w:hint="default" w:eastAsia="Times New Roman"/>
                <w:color w:val="000000" w:themeColor="text1"/>
                <w:kern w:val="21"/>
                <w:sz w:val="24"/>
                <w:highlight w:val="none"/>
                <w:lang w:val="en-US" w:eastAsia="zh-CN"/>
                <w14:textFill>
                  <w14:solidFill>
                    <w14:schemeClr w14:val="tx1"/>
                  </w14:solidFill>
                </w14:textFill>
              </w:rPr>
              <w:t>二级标准要求</w:t>
            </w:r>
            <w:r>
              <w:rPr>
                <w:rFonts w:hint="default" w:eastAsia="Times New Roman"/>
                <w:color w:val="000000" w:themeColor="text1"/>
                <w:kern w:val="21"/>
                <w:sz w:val="24"/>
                <w:highlight w:val="none"/>
                <w14:textFill>
                  <w14:solidFill>
                    <w14:schemeClr w14:val="tx1"/>
                  </w14:solidFill>
                </w14:textFill>
              </w:rPr>
              <w:t>，区域环境空气质量良好。</w:t>
            </w:r>
          </w:p>
          <w:p w14:paraId="1CBC646A">
            <w:pPr>
              <w:spacing w:line="360" w:lineRule="auto"/>
              <w:rPr>
                <w:rFonts w:hint="eastAsia" w:eastAsia="宋体"/>
                <w:b/>
                <w:color w:val="000000" w:themeColor="text1"/>
                <w:kern w:val="21"/>
                <w:sz w:val="24"/>
                <w:lang w:eastAsia="zh-CN"/>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212725</wp:posOffset>
                      </wp:positionH>
                      <wp:positionV relativeFrom="paragraph">
                        <wp:posOffset>2894965</wp:posOffset>
                      </wp:positionV>
                      <wp:extent cx="125730" cy="105410"/>
                      <wp:effectExtent l="12700" t="12700" r="13970" b="15240"/>
                      <wp:wrapNone/>
                      <wp:docPr id="15" name="五角星 15"/>
                      <wp:cNvGraphicFramePr/>
                      <a:graphic xmlns:a="http://schemas.openxmlformats.org/drawingml/2006/main">
                        <a:graphicData uri="http://schemas.microsoft.com/office/word/2010/wordprocessingShape">
                          <wps:wsp>
                            <wps:cNvSpPr/>
                            <wps:spPr>
                              <a:xfrm>
                                <a:off x="0" y="0"/>
                                <a:ext cx="125730" cy="10541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6.75pt;margin-top:227.95pt;height:8.3pt;width:9.9pt;z-index:251663360;v-text-anchor:middle;mso-width-relative:page;mso-height-relative:page;" fillcolor="#FF0000" filled="t" stroked="t" coordsize="125730,105410" o:gfxdata="UEsDBAoAAAAAAIdO4kAAAAAAAAAAAAAAAAAEAAAAZHJzL1BLAwQUAAAACACHTuJAvvBiiNkAAAAJ&#10;AQAADwAAAGRycy9kb3ducmV2LnhtbE2PwU7DMAyG70i8Q2QkbixdS0ZXmk4IiQPSDutAO3uNaSqa&#10;pDTZWnh6wmkcbX/6/f3lZjY9O9PoO2clLBcJMLKNU51tJby/vdzlwHxAq7B3liR8k4dNdX1VYqHc&#10;ZGs670PLYoj1BUrQIQwF577RZNAv3EA23j7caDDEcWy5GnGK4abnaZKsuMHOxg8aB3rW1HzuT0bC&#10;Nh2eVj/6IOZa53m9+9q94naS8vZmmTwCCzSHCwx/+lEdquh0dCerPOslZJmIpIR7IdbAIiCyDNgx&#10;Lh5SAbwq+f8G1S9QSwMEFAAAAAgAh07iQKCVc5loAgAA4gQAAA4AAABkcnMvZTJvRG9jLnhtbK1U&#10;zW4TMRC+I/EOlu90syGhEHVTRY2CkCpaqSDOjtebteQ/bCeb8hiIAzeOvAPPgxCPwWfvNv2BQw/s&#10;wTvjGX8z83nGJ6d7rchO+CCtqWh5NKJEGG5raTYVff9u9ewlJSEyUzNljajotQj0dP70yUnnZmJs&#10;W6tq4QlATJh1rqJtjG5WFIG3QrNwZJ0wMDbWaxah+k1Re9YBXatiPBq9KDrra+ctFyFgd9kb6YDo&#10;HwNom0ZysbR8q4WJPaoXikWUFFrpAp3nbJtG8HjRNEFEoiqKSmNeEQTyOq3F/ITNNp65VvIhBfaY&#10;FB7UpJk0CHqAWrLIyNbLv6C05N4G28QjbnXRF5IZQRXl6AE3Vy1zItcCqoM7kB7+Hyx/u7v0RNbo&#10;hCklhmnc+M8fX35///zr6zeCPRDUuTCD35W79IMWIKZq943X6Y86yD6Ten0gVewj4dgsx9Pj56Cb&#10;w1SOppMyk17cHnY+xNfCapKEiqL3/DRzyXbnISIifG98UrBglaxXUqms+M36THmyY7jg1WqEL6WM&#10;I/fclCFdRcfTCcyEM7Rtg3aBqB1KD2ZDCVMbzAOPPse+dzo8LkhKcslC2yeTEYZclEFKicaeuCSt&#10;bX0N5r3tWzI4vpI4f85CvGQePYhEMaXxAkujLLK3g0RJa/2nf+0nf7QGrJR06GlU9nHLvKBEvTFo&#10;mlflZALYmJXJ9HgMxd+1rO9azFafWbBa4j1wPIvJP6obsfFWf8AwL1JUmJjhiN1zOChnsZ81PAdc&#10;LBbZDY3vWDw3V44n8HSLxi620TYy3/YtOwNpaP18o8OYptm6q2ev26dp/g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8GKI2QAAAAkBAAAPAAAAAAAAAAEAIAAAACIAAABkcnMvZG93bnJldi54bWxQ&#10;SwECFAAUAAAACACHTuJAoJVzmWgCAADiBAAADgAAAAAAAAABACAAAAAoAQAAZHJzL2Uyb0RvYy54&#10;bWxQSwUGAAAAAAYABgBZAQAAAgYAAAAA&#10;" path="m0,40262l48024,40263,62865,0,77705,40263,125729,40262,86876,65146,101717,105409,62865,80525,24012,105409,38853,65146xe">
                      <v:path o:connectlocs="62865,0;0,40262;24012,105409;101717,105409;125729,40262" o:connectangles="247,164,82,82,0"/>
                      <v:fill on="t" focussize="0,0"/>
                      <v:stroke weight="2pt" color="#FF0000 [3204]" joinstyle="round"/>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154940</wp:posOffset>
                      </wp:positionH>
                      <wp:positionV relativeFrom="paragraph">
                        <wp:posOffset>2653665</wp:posOffset>
                      </wp:positionV>
                      <wp:extent cx="198120" cy="125730"/>
                      <wp:effectExtent l="12700" t="12700" r="17780" b="13970"/>
                      <wp:wrapNone/>
                      <wp:docPr id="14" name="矩形 14"/>
                      <wp:cNvGraphicFramePr/>
                      <a:graphic xmlns:a="http://schemas.openxmlformats.org/drawingml/2006/main">
                        <a:graphicData uri="http://schemas.microsoft.com/office/word/2010/wordprocessingShape">
                          <wps:wsp>
                            <wps:cNvSpPr/>
                            <wps:spPr>
                              <a:xfrm>
                                <a:off x="1581785" y="7132320"/>
                                <a:ext cx="198120" cy="125730"/>
                              </a:xfrm>
                              <a:prstGeom prst="rect">
                                <a:avLst/>
                              </a:prstGeom>
                              <a:solidFill>
                                <a:srgbClr val="002060">
                                  <a:alpha val="65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2pt;margin-top:208.95pt;height:9.9pt;width:15.6pt;z-index:251662336;v-text-anchor:middle;mso-width-relative:page;mso-height-relative:page;" fillcolor="#002060" filled="t" stroked="t" coordsize="21600,21600" o:gfxdata="UEsDBAoAAAAAAIdO4kAAAAAAAAAAAAAAAAAEAAAAZHJzL1BLAwQUAAAACACHTuJA62gA39gAAAAJ&#10;AQAADwAAAGRycy9kb3ducmV2LnhtbE2Py07DQAxF90j8w8hIbCo6SUmbNmTSRSWWCCXwAW7GTaLO&#10;I2SmD/h6zIoubR9fH5fbqzXiTFMYvFOQzhMQ5FqvB9cp+Px4fVqDCBGdRuMdKfimANvq/q7EQvuL&#10;q+ncxE5wiAsFKuhjHAspQ9uTxTD3IzmeHfxkMXI5dVJPeOFwa+QiSVbS4uD4Qo8j7Xpqj83JssZs&#10;tjukzRp/auyP9Ve7Me9vWqnHhzR5ARHpGv9h+NPnHajYae9PTgdhFCyyjEkFWZpvQDCwXK5A7Lnx&#10;nOcgq1LeflD9AlBLAwQUAAAACACHTuJAr61DlYMCAAALBQAADgAAAGRycy9lMm9Eb2MueG1srVTN&#10;btswDL4P2DsIuq+206RJgzpF0CDDgGIr0A07K7IcG9DfJCVO9zIDdttD7HGGvcY+yW6bdjv0sItN&#10;itRH8iOpi8uDkmQvnG+NLmlxklMiNDdVq7cl/fRx/WZGiQ9MV0waLUp6Jzy9XLx+ddHZuRiZxshK&#10;OAIQ7eedLWkTgp1nmeeNUMyfGCs0jLVxigWobptVjnVAVzIb5flZ1hlXWWe48B6nq95IB0T3EkBT&#10;1y0XK8N3SujQozohWUBJvmmtp4uUbV0LHj7UtReByJKi0pC+CAJ5E7/Z4oLNt47ZpuVDCuwlKTyr&#10;SbFWI+gD1IoFRnau/QtKtdwZb+pwwo3K+kISI6iiyJ9xc9swK1ItoNrbB9L9/4Pl7/c3jrQVJmFM&#10;iWYKHf/97cevn98JDsBOZ/0cTrf2xg2ahxhLPdROxT+KIAfcn8yK6WxCyV1Jp8Xp6HQ0sCsOgfDo&#10;cD4rcEY4HIrRZHqa7NkjkHU+vBVGkSiU1KF5iVO2v/YBweF67xLjeiPbat1KmRS33VxJR/YsNjof&#10;5Wd5f1fahvWnZ5M8vw/pe/eE+QRHatKVdDQZw5VwhvmuMVcQlQVHXm8pYXKLxeHBpQBPbg+wfbz1&#10;GvEeAh4nG6tYMd/0fgkhUo36pMYvUt6THKWNqe7QImf62fWWr1vcv2Y+3DCHYUWiWOfwAZ9aGmRv&#10;BomSxriv/zqP/pghWCnpMPyo7MuOOUGJfKcxXefFeAzYkJTxZBrb5o4tm2OL3qkrA9oLPByWJzH6&#10;B3kv1s6oz9j6ZYwKE9McsXsOB+Uq9EuJd4OL5TK5YUMsC9f61vIIHtuszXIXTN2mcXhkZyANO5JY&#10;HPY5LuGxnrwe37DF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OtoAN/YAAAACQEAAA8AAAAAAAAA&#10;AQAgAAAAIgAAAGRycy9kb3ducmV2LnhtbFBLAQIUABQAAAAIAIdO4kCvrUOVgwIAAAsFAAAOAAAA&#10;AAAAAAEAIAAAACcBAABkcnMvZTJvRG9jLnhtbFBLBQYAAAAABgAGAFkBAAAcBgAAAAA=&#10;">
                      <v:fill on="t" opacity="42598f" focussize="0,0"/>
                      <v:stroke weight="2pt" color="#FF0000 [3204]" joinstyle="round"/>
                      <v:imagedata o:title=""/>
                      <o:lock v:ext="edit" aspectratio="f"/>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337185</wp:posOffset>
                      </wp:positionH>
                      <wp:positionV relativeFrom="paragraph">
                        <wp:posOffset>2852420</wp:posOffset>
                      </wp:positionV>
                      <wp:extent cx="859790" cy="24511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859790" cy="2451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A2E53D">
                                  <w:pPr>
                                    <w:rPr>
                                      <w:rFonts w:hint="default" w:eastAsia="宋体"/>
                                      <w:sz w:val="18"/>
                                      <w:szCs w:val="18"/>
                                      <w:lang w:val="en-US" w:eastAsia="zh-CN"/>
                                    </w:rPr>
                                  </w:pPr>
                                  <w:r>
                                    <w:rPr>
                                      <w:rFonts w:hint="eastAsia"/>
                                      <w:sz w:val="18"/>
                                      <w:szCs w:val="18"/>
                                      <w:lang w:val="en-US" w:eastAsia="zh-CN"/>
                                    </w:rPr>
                                    <w:t>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55pt;margin-top:224.6pt;height:19.3pt;width:67.7pt;z-index:251665408;mso-width-relative:page;mso-height-relative:page;" filled="f" stroked="f" coordsize="21600,21600" o:gfxdata="UEsDBAoAAAAAAIdO4kAAAAAAAAAAAAAAAAAEAAAAZHJzL1BLAwQUAAAACACHTuJAf3oVXdsAAAAK&#10;AQAADwAAAGRycy9kb3ducmV2LnhtbE2Py07DMBBF90j8gzVI7KiT0FAT4lQoUoWEYNHSTXeT2E0i&#10;7HGI3Qd8Pe4KljNzdOfccnm2hh315AdHEtJZAkxT69RAnYTtx+pOAPMBSaFxpCV8aw/L6vqqxEK5&#10;E631cRM6FkPIFyihD2EsOPdtry36mRs1xdveTRZDHKeOqwlPMdwaniXJA7c4UPzQ46jrXrefm4OV&#10;8Fqv3nHdZFb8mPrlbf88fm13uZS3N2nyBCzoc/iD4aIf1aGKTo07kPLMSMjv00hKmM8fM2AXQIgc&#10;WBM3YiGAVyX/X6H6BVBLAwQUAAAACACHTuJAy7trpj0CAABnBAAADgAAAGRycy9lMm9Eb2MueG1s&#10;rVTNbtswDL4P2DsIuq9OsqQ/QZ0ia9FhQLEW6IadFVmuDUiiJim1uwfY3qCnXXbfc/U59klO0qLb&#10;oYddZIqkSH4fSR+f9EazW+VDS7bk470RZ8pKqlp7U/LPn87fHHIWorCV0GRVye9U4CeL16+OOzdX&#10;E2pIV8ozBLFh3rmSNzG6eVEE2Sgjwh45ZWGsyRsRcfU3ReVFh+hGF5PRaL/oyFfOk1QhQHs2GPkm&#10;on9JQKrrVqozkmujbByieqVFBKTQtC7wRa62rpWMl3UdVGS65EAa84kkkFfpLBbHYn7jhWtauSlB&#10;vKSEZ5iMaC2S7kKdiSjY2rd/hTKt9BSojnuSTDEAyYwAxXj0jJvrRjiVsYDq4Hakh/8XVn68vfKs&#10;rTAJB5xZYdDxh/sfDz9/P/z6zqADQZ0Lc/hdO3jG/h31cN7qA5QJd197k75AxGAHvXc7elUfmYTy&#10;cHZ0cASLhGkynY3Hmf7i8bHzIb5XZFgSSu7RvUyquL0IEYXAdeuSclk6b7XOHdSWdSXffzsb5Qc7&#10;C15oi4cJwlBqkmK/6je4VlTdAZanYTKCk+ctkl+IEK+ExyigXixLvMRRa0IS2kicNeS//Uuf/NEh&#10;WDnrMFolD1/XwivO9AeL3h2Np1OEjfkynR1McPFPLaunFrs2p4TpHWMtncxi8o96K9aezBfs1DJl&#10;hUlYidwlj1vxNA4Dj52UarnMTpg+J+KFvXYyhR7oXK4j1W1mOtE0cLNhD/OXG7DZlTTgT+/Z6/H/&#10;sP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3oVXdsAAAAKAQAADwAAAAAAAAABACAAAAAiAAAA&#10;ZHJzL2Rvd25yZXYueG1sUEsBAhQAFAAAAAgAh07iQMu7a6Y9AgAAZwQAAA4AAAAAAAAAAQAgAAAA&#10;KgEAAGRycy9lMm9Eb2MueG1sUEsFBgAAAAAGAAYAWQEAANkFAAAAAA==&#10;">
                      <v:fill on="f" focussize="0,0"/>
                      <v:stroke on="f" weight="0.5pt"/>
                      <v:imagedata o:title=""/>
                      <o:lock v:ext="edit" aspectratio="f"/>
                      <v:textbox>
                        <w:txbxContent>
                          <w:p w14:paraId="3FA2E53D">
                            <w:pPr>
                              <w:rPr>
                                <w:rFonts w:hint="default" w:eastAsia="宋体"/>
                                <w:sz w:val="18"/>
                                <w:szCs w:val="18"/>
                                <w:lang w:val="en-US" w:eastAsia="zh-CN"/>
                              </w:rPr>
                            </w:pPr>
                            <w:r>
                              <w:rPr>
                                <w:rFonts w:hint="eastAsia"/>
                                <w:sz w:val="18"/>
                                <w:szCs w:val="18"/>
                                <w:lang w:val="en-US" w:eastAsia="zh-CN"/>
                              </w:rPr>
                              <w:t>监测点位</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329565</wp:posOffset>
                      </wp:positionH>
                      <wp:positionV relativeFrom="paragraph">
                        <wp:posOffset>2600960</wp:posOffset>
                      </wp:positionV>
                      <wp:extent cx="859790" cy="245110"/>
                      <wp:effectExtent l="0" t="0" r="0" b="0"/>
                      <wp:wrapNone/>
                      <wp:docPr id="16" name="文本框 16"/>
                      <wp:cNvGraphicFramePr/>
                      <a:graphic xmlns:a="http://schemas.openxmlformats.org/drawingml/2006/main">
                        <a:graphicData uri="http://schemas.microsoft.com/office/word/2010/wordprocessingShape">
                          <wps:wsp>
                            <wps:cNvSpPr txBox="1"/>
                            <wps:spPr>
                              <a:xfrm>
                                <a:off x="1819910" y="7052945"/>
                                <a:ext cx="859790" cy="2451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4BCBF2">
                                  <w:pPr>
                                    <w:rPr>
                                      <w:rFonts w:hint="eastAsia" w:eastAsia="宋体"/>
                                      <w:sz w:val="18"/>
                                      <w:szCs w:val="18"/>
                                      <w:lang w:val="en-US" w:eastAsia="zh-CN"/>
                                    </w:rPr>
                                  </w:pPr>
                                  <w:r>
                                    <w:rPr>
                                      <w:rFonts w:hint="eastAsia"/>
                                      <w:sz w:val="18"/>
                                      <w:szCs w:val="18"/>
                                      <w:lang w:val="en-US" w:eastAsia="zh-CN"/>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95pt;margin-top:204.8pt;height:19.3pt;width:67.7pt;z-index:251664384;mso-width-relative:page;mso-height-relative:page;" filled="f" stroked="f" coordsize="21600,21600" o:gfxdata="UEsDBAoAAAAAAIdO4kAAAAAAAAAAAAAAAAAEAAAAZHJzL1BLAwQUAAAACACHTuJAPGbIJ9sAAAAK&#10;AQAADwAAAGRycy9kb3ducmV2LnhtbE2Py07DMBBF90j8gzVI7Kid0Eca4lQoUoWEYNHSTXeT2E0i&#10;7HGI3Qd8Pe4KljNzdOfcYnWxhp306HtHEpKJAKapcaqnVsLuY/2QAfMBSaFxpCV8aw+r8vamwFy5&#10;M230aRtaFkPI5yihC2HIOfdNpy36iRs0xdvBjRZDHMeWqxHPMdwangox5xZ7ih86HHTV6eZze7QS&#10;Xqv1O27q1GY/pnp5OzwPX7v9TMr7u0Q8AQv6Ev5guOpHdSijU+2OpDwzEmbJMpISpmI5B3YFssUj&#10;sDpuplkKvCz4/wrlL1BLAwQUAAAACACHTuJAfAwkckcCAABzBAAADgAAAGRycy9lMm9Eb2MueG1s&#10;rVTLbhMxFN0j8Q+W92QyIWmTqJMqtApCqmilgFg7Hk9mJL+wnc6UD4A/6IoNe76r38GxJ2mjwqIL&#10;Ns6178m5Pudez9l5pyS5Fc43Rhc0HwwpEZqbstHbgn7+tHozpcQHpksmjRYFvROeni9evzpr7VyM&#10;TG1kKRwBifbz1ha0DsHOs8zzWijmB8YKjWRlnGIBW7fNSsdasCuZjYbDk6w1rrTOcOE9Ti/7JN0z&#10;upcQmqpquLg0fKeEDj2rE5IFSPJ1Yz1dpNtWleDhuqq8CEQWFEpDWlEE8Sau2eKMzbeO2brh+yuw&#10;l1zhmSbFGo2ij1SXLDCyc81fVKrhznhThQE3KuuFJEegIh8+82ZdMyuSFljt7aPp/v/R8o+3N440&#10;JSbhhBLNFDr+cP/j4efvh1/fCc5gUGv9HLi1BTJ070wH8OHc4zDq7iqn4i8UkZif5rNZDpPvCno6&#10;nIxm40lvtegC4QBMJ7PTGfIcgNF4kgOLStkTkXU+vBdGkRgU1KGTyWB2e+VDDz1AYl1tVo2UqZtS&#10;k7agJ28nw/SHxwzIpUaNKKe/doxCt+n2GjemvINEZ/op8ZavGhS/Yj7cMIexwH3xcMI1lkoaFDH7&#10;iJLauG//Oo94dAtZSlqMWUH91x1zghL5QaOPs3w8Bm1Im/HkdISNO85sjjN6py4MJjnHE7U8hREf&#10;5CGsnFFf8L6WsSpSTHPULmg4hBehH368Ty6WywTCJFoWrvTa8kjd27ncBVM1yeloU+/N3j3MYurV&#10;/t3EYT/eJ9TTt2Lx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DxmyCfbAAAACgEAAA8AAAAAAAAA&#10;AQAgAAAAIgAAAGRycy9kb3ducmV2LnhtbFBLAQIUABQAAAAIAIdO4kB8DCRyRwIAAHMEAAAOAAAA&#10;AAAAAAEAIAAAACoBAABkcnMvZTJvRG9jLnhtbFBLBQYAAAAABgAGAFkBAADjBQAAAAA=&#10;">
                      <v:fill on="f" focussize="0,0"/>
                      <v:stroke on="f" weight="0.5pt"/>
                      <v:imagedata o:title=""/>
                      <o:lock v:ext="edit" aspectratio="f"/>
                      <v:textbox>
                        <w:txbxContent>
                          <w:p w14:paraId="684BCBF2">
                            <w:pPr>
                              <w:rPr>
                                <w:rFonts w:hint="eastAsia" w:eastAsia="宋体"/>
                                <w:sz w:val="18"/>
                                <w:szCs w:val="18"/>
                                <w:lang w:val="en-US" w:eastAsia="zh-CN"/>
                              </w:rPr>
                            </w:pPr>
                            <w:r>
                              <w:rPr>
                                <w:rFonts w:hint="eastAsia"/>
                                <w:sz w:val="18"/>
                                <w:szCs w:val="18"/>
                                <w:lang w:val="en-US" w:eastAsia="zh-CN"/>
                              </w:rPr>
                              <w:t>本项目</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5080</wp:posOffset>
                      </wp:positionH>
                      <wp:positionV relativeFrom="paragraph">
                        <wp:posOffset>2265045</wp:posOffset>
                      </wp:positionV>
                      <wp:extent cx="1036320" cy="827405"/>
                      <wp:effectExtent l="4445" t="4445" r="6985" b="6350"/>
                      <wp:wrapNone/>
                      <wp:docPr id="10" name="文本框 10"/>
                      <wp:cNvGraphicFramePr/>
                      <a:graphic xmlns:a="http://schemas.openxmlformats.org/drawingml/2006/main">
                        <a:graphicData uri="http://schemas.microsoft.com/office/word/2010/wordprocessingShape">
                          <wps:wsp>
                            <wps:cNvSpPr txBox="1"/>
                            <wps:spPr>
                              <a:xfrm>
                                <a:off x="1496060" y="6790690"/>
                                <a:ext cx="1036320" cy="8274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968AAC7">
                                  <w:pPr>
                                    <w:ind w:left="0" w:leftChars="0" w:right="0" w:rightChars="0" w:firstLine="0" w:firstLineChars="0"/>
                                    <w:jc w:val="center"/>
                                    <w:rPr>
                                      <w:rFonts w:hint="eastAsia" w:eastAsia="宋体"/>
                                      <w:lang w:val="en-US" w:eastAsia="zh-CN"/>
                                    </w:rPr>
                                  </w:pPr>
                                  <w:r>
                                    <w:rPr>
                                      <w:rFonts w:hint="eastAsia"/>
                                      <w:lang w:val="en-US"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4pt;margin-top:178.35pt;height:65.15pt;width:81.6pt;z-index:251660288;mso-width-relative:page;mso-height-relative:page;" fillcolor="#FFFFFF [3201]" filled="t" stroked="t" coordsize="21600,21600" o:gfxdata="UEsDBAoAAAAAAIdO4kAAAAAAAAAAAAAAAAAEAAAAZHJzL1BLAwQUAAAACACHTuJAN70q0tUAAAAI&#10;AQAADwAAAGRycy9kb3ducmV2LnhtbE2PwU7DMBBE70j8g7VI3KjdpqRVyKYSSEiIGyUXbm68TSLs&#10;dWS7Tfl73BMcRzOaeVPvLs6KM4U4ekZYLhQI4s6bkXuE9vP1YQsiJs1GW8+E8EMRds3tTa0r42f+&#10;oPM+9SKXcKw0wpDSVEkZu4Gcjgs/EWfv6IPTKcvQSxP0nMudlSulSun0yHlh0BO9DNR9708O4a18&#10;Tl/UmndTrAo/t7ILRxsR7++W6glEokv6C8MVP6NDk5kO/sQmCouQuRNC8VhuQFztcp2vHRDW240C&#10;2dTy/4HmF1BLAwQUAAAACACHTuJAQUblF2ECAADFBAAADgAAAGRycy9lMm9Eb2MueG1srVTNbhMx&#10;EL4j8Q6W73Q3P02bKJsqtApCqmilgjg7Xm/WwvYY28lueQB4A05cuPNceQ7G3k1/OfRADs7Y8+mb&#10;mW9mdn7WakV2wnkJpqCDo5wSYTiU0mwK+unj6s0pJT4wUzIFRhT0Vnh6tnj9at7YmRhCDaoUjiCJ&#10;8bPGFrQOwc6yzPNaaOaPwAqDzgqcZgGvbpOVjjXIrlU2zPNJ1oArrQMuvMfXi85Je0b3EkKoKsnF&#10;BfCtFiZ0rE4oFrAkX0vr6SJlW1WCh6uq8iIQVVCsNKQTg6C9jme2mLPZxjFbS96nwF6SwpOaNJMG&#10;g95RXbDAyNbJZ1RacgceqnDEQWddIUkRrGKQP9HmpmZWpFpQam/vRPf/j5Z/2F07IkucBJTEMI0d&#10;3//8sf/1Z//7O8E3FKixfoa4G4vI0L6FFsGHd4+Pse62cjr+Y0Uk+sfTST5BxtuCTk6m+WTaSy3a&#10;QHgE5KPJaIgAjojT4ck4P46U2T2TdT68E6BJNArqsJVJYba79KGDHiAxsAcly5VUKl3cZn2uHNkx&#10;bPsq/Xr2RzBlSIP5jY7zxPzIF7nvKNaK8S/PGTBbZTDpKFAnRLRCu2571dZQ3qJoDrq585avJPJe&#10;Mh+umcNBQwFwFcMVHpUCTAZ6i5Ia3Ld/vUc89h+9lDQ4uAX1X7fMCUrUe4OTMR2Mx0gb0mV8fBJF&#10;dg8964ces9XngCINcOktT2bEB3UwKwf6M27sMkZFFzMcYxc0HMzz0K0TbjwXy2UC4WxbFi7NjeWR&#10;OrbEwHIboJKpdVGmTptePZzu1Px+E+P6PLwn1P3XZ/E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N70q0tUAAAAIAQAADwAAAAAAAAABACAAAAAiAAAAZHJzL2Rvd25yZXYueG1sUEsBAhQAFAAAAAgA&#10;h07iQEFG5RdhAgAAxQQAAA4AAAAAAAAAAQAgAAAAJAEAAGRycy9lMm9Eb2MueG1sUEsFBgAAAAAG&#10;AAYAWQEAAPcFAAAAAA==&#10;">
                      <v:fill on="t" focussize="0,0"/>
                      <v:stroke weight="0.5pt" color="#000000 [3204]" joinstyle="round"/>
                      <v:imagedata o:title=""/>
                      <o:lock v:ext="edit" aspectratio="f"/>
                      <v:textbox>
                        <w:txbxContent>
                          <w:p w14:paraId="7968AAC7">
                            <w:pPr>
                              <w:ind w:left="0" w:leftChars="0" w:right="0" w:rightChars="0" w:firstLine="0" w:firstLineChars="0"/>
                              <w:jc w:val="center"/>
                              <w:rPr>
                                <w:rFonts w:hint="eastAsia" w:eastAsia="宋体"/>
                                <w:lang w:val="en-US" w:eastAsia="zh-CN"/>
                              </w:rPr>
                            </w:pPr>
                            <w:r>
                              <w:rPr>
                                <w:rFonts w:hint="eastAsia"/>
                                <w:lang w:val="en-US" w:eastAsia="zh-CN"/>
                              </w:rPr>
                              <w:t>图例</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3839210</wp:posOffset>
                      </wp:positionH>
                      <wp:positionV relativeFrom="paragraph">
                        <wp:posOffset>840105</wp:posOffset>
                      </wp:positionV>
                      <wp:extent cx="502920" cy="290830"/>
                      <wp:effectExtent l="0" t="0" r="0" b="0"/>
                      <wp:wrapNone/>
                      <wp:docPr id="19" name="文本框 19"/>
                      <wp:cNvGraphicFramePr/>
                      <a:graphic xmlns:a="http://schemas.openxmlformats.org/drawingml/2006/main">
                        <a:graphicData uri="http://schemas.microsoft.com/office/word/2010/wordprocessingShape">
                          <wps:wsp>
                            <wps:cNvSpPr txBox="1"/>
                            <wps:spPr>
                              <a:xfrm>
                                <a:off x="4954905" y="4672965"/>
                                <a:ext cx="502920" cy="2908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DD3580">
                                  <w:pPr>
                                    <w:rPr>
                                      <w:rFonts w:hint="default" w:eastAsia="宋体"/>
                                      <w:b/>
                                      <w:bCs/>
                                      <w:color w:val="FF0000"/>
                                      <w:lang w:val="en-US" w:eastAsia="zh-CN"/>
                                    </w:rPr>
                                  </w:pPr>
                                  <w:r>
                                    <w:rPr>
                                      <w:rFonts w:hint="eastAsia"/>
                                      <w:b/>
                                      <w:bCs/>
                                      <w:color w:val="FF0000"/>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2.3pt;margin-top:66.15pt;height:22.9pt;width:39.6pt;z-index:251666432;mso-width-relative:page;mso-height-relative:page;" filled="f" stroked="f" coordsize="21600,21600" o:gfxdata="UEsDBAoAAAAAAIdO4kAAAAAAAAAAAAAAAAAEAAAAZHJzL1BLAwQUAAAACACHTuJAyvmM/dsAAAAL&#10;AQAADwAAAGRycy9kb3ducmV2LnhtbE2PS0/DMBCE70j8B2uRuFE7CYQoxKlQpAoJlUNLL9yceJtE&#10;+BFi90F/PcsJjjvzaXamWp6tYUecw+idhGQhgKHrvB5dL2H3vrorgIWonFbGO5TwjQGW9fVVpUrt&#10;T26Dx23sGYW4UCoJQ4xTyXnoBrQqLPyEjry9n62KdM4917M6Ubg1PBUi51aNjj4MasJmwO5ze7AS&#10;XpvVm9q0qS0upnlZ75+nr93Hg5S3N4l4AhbxHP9g+K1P1aGmTq0/OB2YkZCL+5xQMrI0A0ZEXmQ0&#10;piXlsUiA1xX/v6H+AVBLAwQUAAAACACHTuJA2SVFTUkCAABzBAAADgAAAGRycy9lMm9Eb2MueG1s&#10;rVRLbtswEN0X6B0I7hvJju1EhuXATZCiQNAESIuuaYqKBPBXko6UHqC9QVfddN9z+Rx9pOzESLvI&#10;ohtqyHmcmfdmqMVZryS5F863Rpd0dJRTIjQ3VavvSvrp4+WbU0p8YLpi0mhR0gfh6dny9atFZ+di&#10;bBojK+EIgmg/72xJmxDsPMs8b4Ri/shYoeGsjVMsYOvussqxDtGVzMZ5Pss64yrrDBfe4/RicNJd&#10;RPeSgKauWy4uDN8oocMQ1QnJAij5prWeLlO1dS14uK5rLwKRJQXTkFYkgb2Oa7ZcsPmdY7Zp+a4E&#10;9pISnnFSrNVI+hjqggVGNq79K5RquTPe1OGIG5UNRJIiYDHKn2lz2zArEhdI7e2j6P7/heUf7m8c&#10;aStMQkGJZgod3/74vv35e/vrG8EZBOqsnwN3a4EM/VvTA7w/9ziMvPvaqfgFIwL/pJhOinxKyQPs&#10;2cm4mE0HqUUfCAdgmo+LMZrAARgX+elxakX2FMg6H94Jo0g0SurQySQwu7/yAUUBuofEvNpctlKm&#10;bkpNupLOjqd5uvDowQ2pcTHSGcqOVujX/Y7j2lQPoOjMMCXe8ssWya+YDzfMYSxQLx5OuMZSS4Mk&#10;ZmdR0hj39V/nEY9uwUtJhzErqf+yYU5QIt9r9LEYTSZxLtNmMj2JmrhDz/rQozfq3GCSR3iilicz&#10;4oPcm7Uz6jPe1ypmhYtpjtwlDXvzPAzDj/fJxWqVQJhEy8KVvrU8hh7kXG2CqdukdJRp0GanHmYx&#10;NWD3buKwH+4T6ulfsfw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yvmM/dsAAAALAQAADwAAAAAA&#10;AAABACAAAAAiAAAAZHJzL2Rvd25yZXYueG1sUEsBAhQAFAAAAAgAh07iQNklRU1JAgAAcwQAAA4A&#10;AAAAAAAAAQAgAAAAKgEAAGRycy9lMm9Eb2MueG1sUEsFBgAAAAAGAAYAWQEAAOUFAAAAAA==&#10;">
                      <v:fill on="f" focussize="0,0"/>
                      <v:stroke on="f" weight="0.5pt"/>
                      <v:imagedata o:title=""/>
                      <o:lock v:ext="edit" aspectratio="f"/>
                      <v:textbox>
                        <w:txbxContent>
                          <w:p w14:paraId="24DD3580">
                            <w:pPr>
                              <w:rPr>
                                <w:rFonts w:hint="default" w:eastAsia="宋体"/>
                                <w:b/>
                                <w:bCs/>
                                <w:color w:val="FF0000"/>
                                <w:lang w:val="en-US" w:eastAsia="zh-CN"/>
                              </w:rPr>
                            </w:pPr>
                            <w:r>
                              <w:rPr>
                                <w:rFonts w:hint="eastAsia"/>
                                <w:b/>
                                <w:bCs/>
                                <w:color w:val="FF0000"/>
                                <w:lang w:val="en-US" w:eastAsia="zh-CN"/>
                              </w:rPr>
                              <w:t>1#</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3709670</wp:posOffset>
                      </wp:positionH>
                      <wp:positionV relativeFrom="paragraph">
                        <wp:posOffset>974725</wp:posOffset>
                      </wp:positionV>
                      <wp:extent cx="125730" cy="105410"/>
                      <wp:effectExtent l="12700" t="12700" r="13970" b="15240"/>
                      <wp:wrapNone/>
                      <wp:docPr id="12" name="五角星 12"/>
                      <wp:cNvGraphicFramePr/>
                      <a:graphic xmlns:a="http://schemas.openxmlformats.org/drawingml/2006/main">
                        <a:graphicData uri="http://schemas.microsoft.com/office/word/2010/wordprocessingShape">
                          <wps:wsp>
                            <wps:cNvSpPr/>
                            <wps:spPr>
                              <a:xfrm>
                                <a:off x="5034280" y="4493260"/>
                                <a:ext cx="125730" cy="10541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92.1pt;margin-top:76.75pt;height:8.3pt;width:9.9pt;z-index:251661312;v-text-anchor:middle;mso-width-relative:page;mso-height-relative:page;" fillcolor="#FF0000" filled="t" stroked="t" coordsize="125730,105410" o:gfxdata="UEsDBAoAAAAAAIdO4kAAAAAAAAAAAAAAAAAEAAAAZHJzL1BLAwQUAAAACACHTuJAl08ml9oAAAAL&#10;AQAADwAAAGRycy9kb3ducmV2LnhtbE2PwU7DMBBE70j8g7VI3Kid0IQoxKkQEgekHpqCOG9jE0fE&#10;dojdJvD1bE/luDNPszPVZrEDO+kp9N5JSFYCmHatV73rJLy/vdwVwEJEp3DwTkv40QE29fVVhaXy&#10;s2v0aR87RiEulCjBxDiWnIfWaIth5UftyPv0k8VI59RxNeFM4XbgqRA5t9g7+mBw1M9Gt1/7o5Ww&#10;Tcen/Nd8ZEtjiqLZfe9ecTtLeXuTiEdgUS/xAsO5PlWHmjod/NGpwAYJWbFOCSUju8+AEZGLNa07&#10;kPIgEuB1xf9vqP8AUEsDBBQAAAAIAIdO4kC0NMZbdQIAAO4EAAAOAAAAZHJzL2Uyb0RvYy54bWyt&#10;VM2O0zAQviPxDpbvbH423Z9q01W1VRHSiq20IM6u4zSRHNvYbtPlMRAHbhx5B54HIR6Dz072Fw57&#10;oAd3JjP+ZuabGZ+d7ztJdsK6VquSZgcpJUJxXbVqU9L375avTihxnqmKSa1ESW+Eo+ezly/OejMV&#10;uW60rIQlAFFu2puSNt6baZI43oiOuQNthIKx1rZjHqrdJJVlPdA7meRpepT02lbGai6cw9fFYKQj&#10;on0OoK7rlouF5ttOKD+gWiGZR0muaY2js5htXQvur+raCU9kSVGpjyeCQF6HM5mdsenGMtO0fEyB&#10;PSeFJzV1rFUIege1YJ6RrW3/gupabrXTtT/gukuGQiIjqCJLn3Bz3TAjYi2g2pk70t3/g+VvdytL&#10;2gqTkFOiWIeO//zx5ff3z7++fiP4BoJ646bwuzYrO2oOYqh2X9su/KMOsi/pJD0s8hNQe1PSojg9&#10;zI9GgsXeEw6HLJ8cH8LO4ZClkyKL9uQeyFjnXwvdkSCUFHNoJ5FXtrt0HtHhe+sTAjst22rZShkV&#10;u1lfSEt2DM1eLlP8Qvq48shNKtKXNJ8UMBPOMMI1RgdiZ0CDUxtKmNxgN7i3Mfaj2+55QUKSC+aa&#10;IZmIMOYiFVIKlA4kBmmtqxt0wephPJ3hyxb3L5nzK2Yxj0gUG+uvcNRSI3s9SpQ02n761/fgjzGB&#10;lZIe843KPm6ZFZTINwoDdJoVBWB9VIrJcQ7FPrSsH1rUtrvQYDXD22B4FIO/l7dibXX3AYs9D1Fh&#10;Yooj9sDhqFz4Ye/wNHAxn0c3LIFh/lJdGx7AQxeVnm+9rtvY7Xt2RtKwBrGj48qGPXuoR6/7Z2r2&#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JdPJpfaAAAACwEAAA8AAAAAAAAAAQAgAAAAIgAAAGRy&#10;cy9kb3ducmV2LnhtbFBLAQIUABQAAAAIAIdO4kC0NMZbdQIAAO4EAAAOAAAAAAAAAAEAIAAAACkB&#10;AABkcnMvZTJvRG9jLnhtbFBLBQYAAAAABgAGAFkBAAAQBgAAAAA=&#10;" path="m0,40262l48024,40263,62865,0,77705,40263,125729,40262,86876,65146,101717,105409,62865,80525,24012,105409,38853,65146xe">
                      <v:path o:connectlocs="62865,0;0,40262;24012,105409;101717,105409;125729,40262" o:connectangles="247,164,82,82,0"/>
                      <v:fill on="t" focussize="0,0"/>
                      <v:stroke weight="2pt" color="#FF0000 [3204]" joinstyle="round"/>
                      <v:imagedata o:title=""/>
                      <o:lock v:ext="edit" aspectratio="f"/>
                    </v:shape>
                  </w:pict>
                </mc:Fallback>
              </mc:AlternateContent>
            </w:r>
            <w:r>
              <w:rPr>
                <w:color w:val="000000" w:themeColor="text1"/>
                <w:sz w:val="24"/>
                <w14:textFill>
                  <w14:solidFill>
                    <w14:schemeClr w14:val="tx1"/>
                  </w14:solidFill>
                </w14:textFill>
              </w:rPr>
              <w:drawing>
                <wp:inline distT="0" distB="0" distL="114300" distR="114300">
                  <wp:extent cx="5076190" cy="3094355"/>
                  <wp:effectExtent l="0" t="0" r="10160" b="1079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9"/>
                          <a:stretch>
                            <a:fillRect/>
                          </a:stretch>
                        </pic:blipFill>
                        <pic:spPr>
                          <a:xfrm>
                            <a:off x="0" y="0"/>
                            <a:ext cx="5076190" cy="3094355"/>
                          </a:xfrm>
                          <a:prstGeom prst="rect">
                            <a:avLst/>
                          </a:prstGeom>
                          <a:noFill/>
                          <a:ln>
                            <a:noFill/>
                          </a:ln>
                        </pic:spPr>
                      </pic:pic>
                    </a:graphicData>
                  </a:graphic>
                </wp:inline>
              </w:drawing>
            </w:r>
          </w:p>
          <w:p w14:paraId="2C07520B">
            <w:pPr>
              <w:spacing w:line="360" w:lineRule="auto"/>
              <w:ind w:left="0" w:leftChars="0" w:right="0" w:rightChars="0" w:firstLine="0" w:firstLineChars="0"/>
              <w:jc w:val="center"/>
              <w:rPr>
                <w:b/>
                <w:color w:val="000000" w:themeColor="text1"/>
                <w:kern w:val="21"/>
                <w:sz w:val="24"/>
                <w:highlight w:val="none"/>
                <w14:textFill>
                  <w14:solidFill>
                    <w14:schemeClr w14:val="tx1"/>
                  </w14:solidFill>
                </w14:textFill>
              </w:rPr>
            </w:pPr>
            <w:r>
              <w:rPr>
                <w:rFonts w:hint="default"/>
                <w:b/>
                <w:color w:val="000000" w:themeColor="text1"/>
                <w:kern w:val="21"/>
                <w:sz w:val="24"/>
                <w:highlight w:val="none"/>
                <w14:textFill>
                  <w14:solidFill>
                    <w14:schemeClr w14:val="tx1"/>
                  </w14:solidFill>
                </w14:textFill>
              </w:rPr>
              <w:t>图3-1</w:t>
            </w:r>
            <w:r>
              <w:rPr>
                <w:rFonts w:hint="eastAsia"/>
                <w:b/>
                <w:color w:val="000000" w:themeColor="text1"/>
                <w:kern w:val="21"/>
                <w:sz w:val="24"/>
                <w:highlight w:val="none"/>
                <w:lang w:val="en-US" w:eastAsia="zh-CN"/>
                <w14:textFill>
                  <w14:solidFill>
                    <w14:schemeClr w14:val="tx1"/>
                  </w14:solidFill>
                </w14:textFill>
              </w:rPr>
              <w:t>环境空气补充</w:t>
            </w:r>
            <w:r>
              <w:rPr>
                <w:rFonts w:hint="default"/>
                <w:b/>
                <w:color w:val="000000" w:themeColor="text1"/>
                <w:kern w:val="21"/>
                <w:sz w:val="24"/>
                <w:highlight w:val="none"/>
                <w14:textFill>
                  <w14:solidFill>
                    <w14:schemeClr w14:val="tx1"/>
                  </w14:solidFill>
                </w14:textFill>
              </w:rPr>
              <w:t>监测点位</w:t>
            </w:r>
            <w:r>
              <w:rPr>
                <w:rFonts w:hint="eastAsia"/>
                <w:b/>
                <w:color w:val="000000" w:themeColor="text1"/>
                <w:kern w:val="21"/>
                <w:sz w:val="24"/>
                <w:highlight w:val="none"/>
                <w:lang w:val="en-US" w:eastAsia="zh-CN"/>
                <w14:textFill>
                  <w14:solidFill>
                    <w14:schemeClr w14:val="tx1"/>
                  </w14:solidFill>
                </w14:textFill>
              </w:rPr>
              <w:t>示意图</w:t>
            </w:r>
          </w:p>
          <w:p w14:paraId="00C74C09">
            <w:pPr>
              <w:spacing w:line="360" w:lineRule="auto"/>
              <w:ind w:firstLine="482" w:firstLineChars="200"/>
              <w:rPr>
                <w:b/>
                <w:color w:val="000000" w:themeColor="text1"/>
                <w:kern w:val="21"/>
                <w:sz w:val="24"/>
                <w:highlight w:val="none"/>
                <w14:textFill>
                  <w14:solidFill>
                    <w14:schemeClr w14:val="tx1"/>
                  </w14:solidFill>
                </w14:textFill>
              </w:rPr>
            </w:pPr>
            <w:r>
              <w:rPr>
                <w:b/>
                <w:color w:val="000000" w:themeColor="text1"/>
                <w:kern w:val="21"/>
                <w:sz w:val="24"/>
                <w:highlight w:val="none"/>
                <w14:textFill>
                  <w14:solidFill>
                    <w14:schemeClr w14:val="tx1"/>
                  </w14:solidFill>
                </w14:textFill>
              </w:rPr>
              <w:t>2、地表水环境质量现状</w:t>
            </w:r>
          </w:p>
          <w:p w14:paraId="31EF3B12">
            <w:pPr>
              <w:spacing w:line="360" w:lineRule="auto"/>
              <w:ind w:firstLine="480" w:firstLineChars="200"/>
              <w:rPr>
                <w:rFonts w:hint="eastAsia" w:ascii="宋体" w:hAnsi="宋体" w:eastAsia="宋体" w:cs="宋体"/>
                <w:color w:val="000000" w:themeColor="text1"/>
                <w:sz w:val="24"/>
                <w:szCs w:val="24"/>
                <w:highlight w:val="yellow"/>
                <w:lang w:eastAsia="zh-CN"/>
                <w14:textFill>
                  <w14:solidFill>
                    <w14:schemeClr w14:val="tx1"/>
                  </w14:solidFill>
                </w14:textFill>
              </w:rPr>
            </w:pPr>
            <w:r>
              <w:rPr>
                <w:rFonts w:ascii="宋体" w:hAnsi="宋体" w:eastAsia="宋体" w:cs="宋体"/>
                <w:color w:val="000000" w:themeColor="text1"/>
                <w:sz w:val="24"/>
                <w:szCs w:val="24"/>
                <w:highlight w:val="none"/>
                <w14:textFill>
                  <w14:solidFill>
                    <w14:schemeClr w14:val="tx1"/>
                  </w14:solidFill>
                </w14:textFill>
              </w:rPr>
              <w:t>本项目所在地区地表水体为安邦河，根据《全国重要江河湖泊水功能区划</w:t>
            </w:r>
            <w:r>
              <w:rPr>
                <w:rFonts w:hint="default" w:ascii="Times New Roman" w:hAnsi="Times New Roman" w:eastAsia="宋体" w:cs="Times New Roman"/>
                <w:color w:val="000000" w:themeColor="text1"/>
                <w:sz w:val="24"/>
                <w:szCs w:val="24"/>
                <w:highlight w:val="none"/>
                <w14:textFill>
                  <w14:solidFill>
                    <w14:schemeClr w14:val="tx1"/>
                  </w14:solidFill>
                </w14:textFill>
              </w:rPr>
              <w:t>（2011-2030年）</w:t>
            </w:r>
            <w:r>
              <w:rPr>
                <w:rFonts w:ascii="宋体" w:hAnsi="宋体" w:eastAsia="宋体" w:cs="宋体"/>
                <w:color w:val="000000" w:themeColor="text1"/>
                <w:sz w:val="24"/>
                <w:szCs w:val="24"/>
                <w:highlight w:val="none"/>
                <w14:textFill>
                  <w14:solidFill>
                    <w14:schemeClr w14:val="tx1"/>
                  </w14:solidFill>
                </w14:textFill>
              </w:rPr>
              <w:t>》，本项目所在安邦河水功能区范围为安邦河双鸭山市排污控制区（窑地村-福富大桥），排污控制区水质标准应按其出流断面的水质状况达到相邻水功能区的水质控</w:t>
            </w:r>
            <w:r>
              <w:rPr>
                <w:rFonts w:hint="default" w:ascii="Times New Roman" w:hAnsi="Times New Roman" w:eastAsia="宋体" w:cs="Times New Roman"/>
                <w:color w:val="000000" w:themeColor="text1"/>
                <w:sz w:val="24"/>
                <w:szCs w:val="24"/>
                <w:highlight w:val="none"/>
                <w14:textFill>
                  <w14:solidFill>
                    <w14:schemeClr w14:val="tx1"/>
                  </w14:solidFill>
                </w14:textFill>
              </w:rPr>
              <w:t>制标准确定，福富大桥以下断面水质目标为IV类，因此本项目所在安邦河水功能区（窑地村-福富大桥）参考IV类水体功能区执行</w:t>
            </w:r>
            <w:r>
              <w:rPr>
                <w:rFonts w:hint="eastAsia" w:ascii="宋体" w:hAnsi="宋体" w:eastAsia="宋体" w:cs="宋体"/>
                <w:color w:val="000000" w:themeColor="text1"/>
                <w:sz w:val="24"/>
                <w:szCs w:val="24"/>
                <w:highlight w:val="none"/>
                <w:lang w:eastAsia="zh-CN"/>
                <w14:textFill>
                  <w14:solidFill>
                    <w14:schemeClr w14:val="tx1"/>
                  </w14:solidFill>
                </w14:textFill>
              </w:rPr>
              <w:t>。</w:t>
            </w:r>
          </w:p>
          <w:p w14:paraId="038F1900">
            <w:pPr>
              <w:spacing w:line="360" w:lineRule="auto"/>
              <w:ind w:firstLine="480" w:firstLineChars="200"/>
              <w:rPr>
                <w:rFonts w:hint="default" w:ascii="Times New Roman" w:hAnsi="Times New Roman" w:cs="Times New Roman"/>
                <w:color w:val="000000" w:themeColor="text1"/>
                <w:sz w:val="24"/>
                <w:szCs w:val="24"/>
                <w:highlight w:val="yellow"/>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根据黑龙江省生态环境厅发布法的《2024年黑龙江省生态环境质量状况》，2024年安邦河（窑地村至福富大桥段）水质指标满足《地表水环境质量标准》（GB3838-2002）Ⅳ类标准限值要求。</w:t>
            </w:r>
          </w:p>
          <w:p w14:paraId="09ACB5A4">
            <w:pPr>
              <w:spacing w:line="360" w:lineRule="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sz w:val="24"/>
              </w:rPr>
              <mc:AlternateContent>
                <mc:Choice Requires="wps">
                  <w:drawing>
                    <wp:anchor distT="0" distB="0" distL="114300" distR="114300" simplePos="0" relativeHeight="251671552" behindDoc="0" locked="0" layoutInCell="1" allowOverlap="1">
                      <wp:simplePos x="0" y="0"/>
                      <wp:positionH relativeFrom="column">
                        <wp:posOffset>4239260</wp:posOffset>
                      </wp:positionH>
                      <wp:positionV relativeFrom="paragraph">
                        <wp:posOffset>3155950</wp:posOffset>
                      </wp:positionV>
                      <wp:extent cx="674370" cy="34544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674370" cy="3454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02AA28">
                                  <w:pPr>
                                    <w:ind w:left="0" w:leftChars="0" w:right="0" w:rightChars="0" w:firstLine="0" w:firstLineChars="0"/>
                                    <w:jc w:val="center"/>
                                    <w:rPr>
                                      <w:rFonts w:hint="eastAsia"/>
                                      <w:sz w:val="15"/>
                                      <w:szCs w:val="15"/>
                                      <w:lang w:val="en-US" w:eastAsia="zh-CN"/>
                                    </w:rPr>
                                  </w:pPr>
                                  <w:r>
                                    <w:rPr>
                                      <w:rFonts w:hint="eastAsia"/>
                                      <w:sz w:val="15"/>
                                      <w:szCs w:val="15"/>
                                      <w:lang w:val="en-US" w:eastAsia="zh-CN"/>
                                    </w:rPr>
                                    <w:t>本项目所</w:t>
                                  </w:r>
                                </w:p>
                                <w:p w14:paraId="2CE2A40F">
                                  <w:pPr>
                                    <w:ind w:left="0" w:leftChars="0" w:right="0" w:rightChars="0" w:firstLine="0" w:firstLineChars="0"/>
                                    <w:jc w:val="center"/>
                                    <w:rPr>
                                      <w:rFonts w:hint="default" w:eastAsia="宋体"/>
                                      <w:sz w:val="15"/>
                                      <w:szCs w:val="15"/>
                                      <w:lang w:val="en-US" w:eastAsia="zh-CN"/>
                                    </w:rPr>
                                  </w:pPr>
                                  <w:r>
                                    <w:rPr>
                                      <w:rFonts w:hint="eastAsia"/>
                                      <w:sz w:val="15"/>
                                      <w:szCs w:val="15"/>
                                      <w:lang w:val="en-US" w:eastAsia="zh-CN"/>
                                    </w:rPr>
                                    <w:t>在区域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3.8pt;margin-top:248.5pt;height:27.2pt;width:53.1pt;z-index:251671552;mso-width-relative:page;mso-height-relative:page;" filled="f" stroked="f" coordsize="21600,21600" o:gfxdata="UEsDBAoAAAAAAIdO4kAAAAAAAAAAAAAAAAAEAAAAZHJzL1BLAwQUAAAACACHTuJA/o0WQdwAAAAL&#10;AQAADwAAAGRycy9kb3ducmV2LnhtbE2Py07DMBBF90j8gzVI7KiT0iQlxKlQpAoJ0UVLN+yceJpE&#10;xOMQuw/4eoYVLEdzde85xepiB3HCyfeOFMSzCARS40xPrYL92/puCcIHTUYPjlDBF3pYlddXhc6N&#10;O9MWT7vQCi4hn2sFXQhjLqVvOrTaz9yIxL+Dm6wOfE6tNJM+c7kd5DyKUml1T7zQ6RGrDpuP3dEq&#10;eKnWG72t53b5PVTPr4en8XP/nih1exNHjyACXsJfGH7xGR1KZqrdkYwXg4I0zVKOKlg8ZCzFiSy7&#10;Z5laQZLEC5BlIf87lD9QSwMEFAAAAAgAh07iQAKOe987AgAAZwQAAA4AAABkcnMvZTJvRG9jLnht&#10;bK1UwW4TMRC9I/EPlu90kzZtIeqmCq2KkCpaqSDOjtebXcn2GNvpbvkA+ANOXLjzXfkOnr1JGhUO&#10;PXDZjOeNZ+a9GefsvDea3SsfWrIlHx+MOFNWUtXaZck/fbx69ZqzEIWthCarSv6gAj+fvXxx1rmp&#10;OqSGdKU8QxIbpp0reROjmxZFkI0yIhyQUxZgTd6IiKNfFpUXHbIbXRyORidFR75ynqQKAd7LAeSb&#10;jP45CamuW6kuSa6MsnHI6pUWEZRC07rAZ7nbulYy3tR1UJHpkoNpzF8Ugb1I32J2JqZLL1zTyk0L&#10;4jktPOFkRGtRdJfqUkTBVr79K5VppadAdTyQZIqBSFYELMajJ9rcNcKpzAVSB7cTPfy/tPLD/a1n&#10;bVXyyZgzKwwmvv7xff3z9/rXNwYfBOpcmCLuziEy9m+px9ps/QHOxLuvvUm/YMSAQ96Hnbyqj0zC&#10;eXI6OToFIgEdTY4nkyx/8XjZ+RDfKTIsGSX3mF4WVdxfh4hGELoNSbUsXbVa5wlqyzoUODoe5Qs7&#10;BDe0xcVEYWg1WbFf9BteC6oeQMvTsBnByasWxa9FiLfCYxXQLx5LvMGn1oQitLE4a8h//Zc/xWNC&#10;QDnrsFolD19WwivO9HuL2b0ZJ+os5sPk+PQQB7+PLPYRuzIXhO3FeNBdNlN81Fuz9mQ+403NU1VA&#10;wkrULnncmhdxWHi8Sanm8xyE7XMiXts7J1PqQc75KlLdZqWTTIM2G/Wwf3kAm7eSFnz/nKMe/x9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jRZB3AAAAAsBAAAPAAAAAAAAAAEAIAAAACIAAABk&#10;cnMvZG93bnJldi54bWxQSwECFAAUAAAACACHTuJAAo573zsCAABnBAAADgAAAAAAAAABACAAAAAr&#10;AQAAZHJzL2Uyb0RvYy54bWxQSwUGAAAAAAYABgBZAQAA2AUAAAAA&#10;">
                      <v:fill on="f" focussize="0,0"/>
                      <v:stroke on="f" weight="0.5pt"/>
                      <v:imagedata o:title=""/>
                      <o:lock v:ext="edit" aspectratio="f"/>
                      <v:textbox>
                        <w:txbxContent>
                          <w:p w14:paraId="0A02AA28">
                            <w:pPr>
                              <w:ind w:left="0" w:leftChars="0" w:right="0" w:rightChars="0" w:firstLine="0" w:firstLineChars="0"/>
                              <w:jc w:val="center"/>
                              <w:rPr>
                                <w:rFonts w:hint="eastAsia"/>
                                <w:sz w:val="15"/>
                                <w:szCs w:val="15"/>
                                <w:lang w:val="en-US" w:eastAsia="zh-CN"/>
                              </w:rPr>
                            </w:pPr>
                            <w:r>
                              <w:rPr>
                                <w:rFonts w:hint="eastAsia"/>
                                <w:sz w:val="15"/>
                                <w:szCs w:val="15"/>
                                <w:lang w:val="en-US" w:eastAsia="zh-CN"/>
                              </w:rPr>
                              <w:t>本项目所</w:t>
                            </w:r>
                          </w:p>
                          <w:p w14:paraId="2CE2A40F">
                            <w:pPr>
                              <w:ind w:left="0" w:leftChars="0" w:right="0" w:rightChars="0" w:firstLine="0" w:firstLineChars="0"/>
                              <w:jc w:val="center"/>
                              <w:rPr>
                                <w:rFonts w:hint="default" w:eastAsia="宋体"/>
                                <w:sz w:val="15"/>
                                <w:szCs w:val="15"/>
                                <w:lang w:val="en-US" w:eastAsia="zh-CN"/>
                              </w:rPr>
                            </w:pPr>
                            <w:r>
                              <w:rPr>
                                <w:rFonts w:hint="eastAsia"/>
                                <w:sz w:val="15"/>
                                <w:szCs w:val="15"/>
                                <w:lang w:val="en-US" w:eastAsia="zh-CN"/>
                              </w:rPr>
                              <w:t>在区域</w:t>
                            </w:r>
                          </w:p>
                        </w:txbxContent>
                      </v:textbox>
                    </v:shape>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4212590</wp:posOffset>
                      </wp:positionH>
                      <wp:positionV relativeFrom="paragraph">
                        <wp:posOffset>2453640</wp:posOffset>
                      </wp:positionV>
                      <wp:extent cx="605155" cy="194945"/>
                      <wp:effectExtent l="0" t="0" r="0" b="0"/>
                      <wp:wrapNone/>
                      <wp:docPr id="38" name="文本框 38"/>
                      <wp:cNvGraphicFramePr/>
                      <a:graphic xmlns:a="http://schemas.openxmlformats.org/drawingml/2006/main">
                        <a:graphicData uri="http://schemas.microsoft.com/office/word/2010/wordprocessingShape">
                          <wps:wsp>
                            <wps:cNvSpPr txBox="1"/>
                            <wps:spPr>
                              <a:xfrm>
                                <a:off x="5795645" y="3767455"/>
                                <a:ext cx="605155" cy="1949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8212F2">
                                  <w:pPr>
                                    <w:rPr>
                                      <w:rFonts w:hint="eastAsia" w:eastAsia="宋体"/>
                                      <w:sz w:val="15"/>
                                      <w:szCs w:val="15"/>
                                      <w:lang w:val="en-US" w:eastAsia="zh-CN"/>
                                    </w:rPr>
                                  </w:pPr>
                                  <w:r>
                                    <w:rPr>
                                      <w:rFonts w:hint="eastAsia"/>
                                      <w:sz w:val="15"/>
                                      <w:szCs w:val="15"/>
                                      <w:lang w:val="en-US" w:eastAsia="zh-CN"/>
                                    </w:rPr>
                                    <w:t>安邦河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1.7pt;margin-top:193.2pt;height:15.35pt;width:47.65pt;z-index:251669504;mso-width-relative:page;mso-height-relative:page;" filled="f" stroked="f" coordsize="21600,21600" o:gfxdata="UEsDBAoAAAAAAIdO4kAAAAAAAAAAAAAAAAAEAAAAZHJzL1BLAwQUAAAACACHTuJA38G0Ut0AAAAL&#10;AQAADwAAAGRycy9kb3ducmV2LnhtbE2Py07DMBBF90j8gzVI7KiTPpIoxKlQpAoJwaKlG3aTeJpE&#10;xOMQuw/4esyq7GY0R3fOLdYXM4gTTa63rCCeRSCIG6t7bhXs3zcPGQjnkTUOlknBNzlYl7c3Beba&#10;nnlLp51vRQhhl6OCzvsxl9I1HRl0MzsSh9vBTgZ9WKdW6gnPIdwMch5FiTTYc/jQ4UhVR83n7mgU&#10;vFSbN9zWc5P9DNXz6+Fp/Np/rJS6v4ujRxCeLv4Kw59+UIcyONX2yNqJQUGSLJYBVbDIkjAEIl1l&#10;KYhawTJOY5BlIf93KH8BUEsDBBQAAAAIAIdO4kBoYm4JRwIAAHMEAAAOAAAAZHJzL2Uyb0RvYy54&#10;bWytVM1uEzEQviPxDpbvZJM2m5Comyq0KkKqaKWAODteb3cl/2E72S0PAG/QExfuPFeeg8/eJK0K&#10;hx64OOOZL994vpnZs/NOSbIVzjdGF3Q0GFIiNDdlo+8K+vnT1Zu3lPjAdMmk0aKg98LT88XrV2et&#10;nYsTUxtZCkdAov28tQWtQ7DzLPO8For5gbFCI1gZp1jA1d1lpWMt2JXMTobDSdYaV1pnuPAe3ss+&#10;SPeM7iWEpqoaLi4N3yihQ8/qhGQBJfm6sZ4u0murSvBwU1VeBCILikpDOpEE9jqe2eKMze8cs3XD&#10;909gL3nCs5oUazSSHqkuWWBk45q/qFTDnfGmCgNuVNYXkhRBFaPhM21WNbMi1QKpvT2K7v8fLf+4&#10;vXWkKQt6ir5rptDx3cOP3c/fu1/fCXwQqLV+DtzKAhm6d6bD2Bz8Hs5Yd1c5FX9REUE8n87yyTin&#10;5B7E08l0nOe91KILhAMwGeYj+AgHYDQbz4BFpuyRyDof3gujSDQK6tDJJDDbXvvQQw+QmFebq0bK&#10;1E2pSYsEp/kw/eEYAbnUyBHL6Z8drdCtu32Na1Peo0Rn+inxll81SH7NfLhlDmOBocHihBsclTRI&#10;YvYWJbVx3/7lj3h0C1FKWoxZQf3XDXOCEvlBo4+z0Xgc5zJdxvn0BBf3NLJ+GtEbdWEwySOsqOXJ&#10;jPggD2bljPqC/VrGrAgxzZG7oOFgXoR++LGfXCyXCYRJtCxc65XlkbqXc7kJpmqS0lGmXpu9epjF&#10;1Kv93sRhf3pPqMdvxeI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38G0Ut0AAAALAQAADwAAAAAA&#10;AAABACAAAAAiAAAAZHJzL2Rvd25yZXYueG1sUEsBAhQAFAAAAAgAh07iQGhibglHAgAAcwQAAA4A&#10;AAAAAAAAAQAgAAAALAEAAGRycy9lMm9Eb2MueG1sUEsFBgAAAAAGAAYAWQEAAOUFAAAAAA==&#10;">
                      <v:fill on="f" focussize="0,0"/>
                      <v:stroke on="f" weight="0.5pt"/>
                      <v:imagedata o:title=""/>
                      <o:lock v:ext="edit" aspectratio="f"/>
                      <v:textbox>
                        <w:txbxContent>
                          <w:p w14:paraId="3C8212F2">
                            <w:pPr>
                              <w:rPr>
                                <w:rFonts w:hint="eastAsia" w:eastAsia="宋体"/>
                                <w:sz w:val="15"/>
                                <w:szCs w:val="15"/>
                                <w:lang w:val="en-US" w:eastAsia="zh-CN"/>
                              </w:rPr>
                            </w:pPr>
                            <w:r>
                              <w:rPr>
                                <w:rFonts w:hint="eastAsia"/>
                                <w:sz w:val="15"/>
                                <w:szCs w:val="15"/>
                                <w:lang w:val="en-US" w:eastAsia="zh-CN"/>
                              </w:rPr>
                              <w:t>安邦河</w:t>
                            </w:r>
                          </w:p>
                        </w:txbxContent>
                      </v:textbox>
                    </v:shape>
                  </w:pict>
                </mc:Fallback>
              </mc:AlternateContent>
            </w:r>
            <w:r>
              <w:rPr>
                <w:sz w:val="24"/>
              </w:rPr>
              <mc:AlternateContent>
                <mc:Choice Requires="wps">
                  <w:drawing>
                    <wp:anchor distT="0" distB="0" distL="114300" distR="114300" simplePos="0" relativeHeight="251668480" behindDoc="0" locked="0" layoutInCell="1" allowOverlap="1">
                      <wp:simplePos x="0" y="0"/>
                      <wp:positionH relativeFrom="column">
                        <wp:posOffset>3265170</wp:posOffset>
                      </wp:positionH>
                      <wp:positionV relativeFrom="paragraph">
                        <wp:posOffset>2553970</wp:posOffset>
                      </wp:positionV>
                      <wp:extent cx="1035050" cy="277495"/>
                      <wp:effectExtent l="0" t="4445" r="12700" b="60960"/>
                      <wp:wrapNone/>
                      <wp:docPr id="37" name="肘形连接符 37"/>
                      <wp:cNvGraphicFramePr/>
                      <a:graphic xmlns:a="http://schemas.openxmlformats.org/drawingml/2006/main">
                        <a:graphicData uri="http://schemas.microsoft.com/office/word/2010/wordprocessingShape">
                          <wps:wsp>
                            <wps:cNvCnPr/>
                            <wps:spPr>
                              <a:xfrm rot="10800000" flipV="1">
                                <a:off x="4773295" y="3893185"/>
                                <a:ext cx="1035050" cy="277495"/>
                              </a:xfrm>
                              <a:prstGeom prst="bentConnector3">
                                <a:avLst>
                                  <a:gd name="adj1" fmla="val 49939"/>
                                </a:avLst>
                              </a:prstGeom>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4" type="#_x0000_t34" style="position:absolute;left:0pt;flip:y;margin-left:257.1pt;margin-top:201.1pt;height:21.85pt;width:81.5pt;rotation:11796480f;z-index:251668480;mso-width-relative:page;mso-height-relative:page;" filled="f" stroked="t" coordsize="21600,21600" o:gfxdata="UEsDBAoAAAAAAIdO4kAAAAAAAAAAAAAAAAAEAAAAZHJzL1BLAwQUAAAACACHTuJA3zEl6dgAAAAL&#10;AQAADwAAAGRycy9kb3ducmV2LnhtbE2PwU7DMBBE70j8g7VI3KidKG0gjdNDBELiRtsP2MYmSRuv&#10;Q+y0ha9nOcFtdmc0+7bcXN0gznYKvScNyUKBsNR401OrYb97eXgEESKSwcGT1fBlA2yq25sSC+Mv&#10;9G7P29gKLqFQoIYuxrGQMjSddRgWfrTE3oefHEYep1aaCS9c7gaZKrWSDnviCx2Otu5sc9rOTkNO&#10;tcmfa3r7nl539Wl/xHn+RK3v7xK1BhHtNf6F4Ref0aFipoOfyQQxaFgmWcpRDZlKWXBilecsDrzJ&#10;lk8gq1L+/6H6AVBLAwQUAAAACACHTuJAk+HdhS0CAAAWBAAADgAAAGRycy9lMm9Eb2MueG1srVO7&#10;jtQwFO2R+AfLPZNkHjsPTWaLGZYGwUo8eo/jJEZ+6do7mWn5AGoqCqSl4hcQXwPsZ3DthAWWZgtS&#10;RH7ce849516vz49akYMAL60paTHKKRGG20qapqSvXl48WlDiAzMVU9aIkp6Ep+ebhw/WnVuJsW2t&#10;qgQQBDF+1bmStiG4VZZ53grN/Mg6YfCytqBZwC00WQWsQ3StsnGen2WdhcqB5cJ7PN31l3RAhPsA&#10;2rqWXOwsv9LChB4VhGIBJflWOk83qdq6Fjw8r2svAlElRaUh/ZEE1/v4zzZrtmqAuVbyoQR2nxLu&#10;aNJMGiS9hdqxwMgVyH+gtORgva3DiFud9UKSI6iiyO9486JlTiQtaLV3t6b7/wfLnx0ugciqpJM5&#10;JYZp7PjN2/ffvny8+frh+7vrH58/EbxBmzrnVxi9NZcw7Ly7hKj5WIMmYNHbIl/k8aOkVtK9xoNk&#10;Csokx5JO5/PJeDmj5IRsi+WkWMx6/8UxEI4BRT6Z5TPM5hgxns+nGIxcWU8RqRz48ERYTeKipHts&#10;/9Yag222MElc7PDUh9SJapDDqjcFFqQVNvbAFJkul5PlgDtEI8Mv5Jhq7IVUKo2GMqQr6RnWhVUx&#10;HPcaxwyX2qFl3jSUMNXgO+IBEr23SlYxO+J4aPZbBQRZcdZ6Z3o9f4VF6h3zbR+XrnpfApPqsalI&#10;ODlsCwOw3VC3MmhL7Ejfg7ja2+qUWpPOcVySccNox3n8c5+yfz/nz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fMSXp2AAAAAsBAAAPAAAAAAAAAAEAIAAAACIAAABkcnMvZG93bnJldi54bWxQSwEC&#10;FAAUAAAACACHTuJAk+HdhS0CAAAWBAAADgAAAAAAAAABACAAAAAnAQAAZHJzL2Uyb0RvYy54bWxQ&#10;SwUGAAAAAAYABgBZAQAAxgUAAAAA&#10;" adj="10787">
                      <v:fill on="f" focussize="0,0"/>
                      <v:stroke weight="0.5pt" color="#000000 [3213]" joinstyle="round" endarrow="open"/>
                      <v:imagedata o:title=""/>
                      <o:lock v:ext="edit" aspectratio="f"/>
                    </v:shape>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3359785</wp:posOffset>
                      </wp:positionH>
                      <wp:positionV relativeFrom="paragraph">
                        <wp:posOffset>2892425</wp:posOffset>
                      </wp:positionV>
                      <wp:extent cx="1009015" cy="425450"/>
                      <wp:effectExtent l="0" t="48895" r="635" b="20955"/>
                      <wp:wrapNone/>
                      <wp:docPr id="39" name="肘形连接符 39"/>
                      <wp:cNvGraphicFramePr/>
                      <a:graphic xmlns:a="http://schemas.openxmlformats.org/drawingml/2006/main">
                        <a:graphicData uri="http://schemas.microsoft.com/office/word/2010/wordprocessingShape">
                          <wps:wsp>
                            <wps:cNvCnPr>
                              <a:endCxn id="36" idx="4"/>
                            </wps:cNvCnPr>
                            <wps:spPr>
                              <a:xfrm rot="10800000">
                                <a:off x="4867910" y="3985260"/>
                                <a:ext cx="1009015" cy="425450"/>
                              </a:xfrm>
                              <a:prstGeom prst="bentConnector3">
                                <a:avLst>
                                  <a:gd name="adj1" fmla="val 49969"/>
                                </a:avLst>
                              </a:prstGeom>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4" type="#_x0000_t34" style="position:absolute;left:0pt;margin-left:264.55pt;margin-top:227.75pt;height:33.5pt;width:79.45pt;rotation:11796480f;z-index:251670528;mso-width-relative:page;mso-height-relative:page;" filled="f" stroked="t" coordsize="21600,21600" o:gfxdata="UEsDBAoAAAAAAIdO4kAAAAAAAAAAAAAAAAAEAAAAZHJzL1BLAwQUAAAACACHTuJA4b4b/doAAAAL&#10;AQAADwAAAGRycy9kb3ducmV2LnhtbE2PTUvEMBCG74L/IYzgzU1bNkutTRcRRBdUcNWDt9km2xSb&#10;SW2yH/57Z096HN6Hd563Xh79IPZ2in0gDfksA2GpDaanTsP72/1VCSImJINDIKvhx0ZYNudnNVYm&#10;HOjV7tepE1xCsUINLqWxkjK2znqMszBa4mwbJo+Jz6mTZsIDl/tBFlm2kB574g8OR3vnbPu13nkN&#10;6aN/fPp26ZZw/pDjy+dqfN6utL68yLMbEMke0x8MJ31Wh4adNmFHJopBgyquc0Y1zJVSIJhYlCWv&#10;25yiQoFsavl/Q/MLUEsDBBQAAAAIAIdO4kA8KqbKOgIAADQEAAAOAAAAZHJzL2Uyb0RvYy54bWyt&#10;U72O1DAQ7pF4B8s9m2R/wm602St2ORoEJwEP4LWdxMh/sn2b3ZYHoKaiQOIqXgHxNMA9BmMndxxH&#10;cwUpknFm5puZ7xuvz45KogN3Xhhd42KSY8Q1NUzotsZv35w/WWLkA9GMSKN5jU/c47PN40fr3lZ8&#10;ajojGXcIQLSvelvjLgRbZZmnHVfET4zlGpyNcYoEOLo2Y470gK5kNs3zMuuNY9YZyr2Hv7vBiUdE&#10;9xBA0zSC8p2hl4rrMKA6LkmAkXwnrMeb1G3TcBpeNY3nAckaw6QhvaEI2Pv4zjZrUrWO2E7QsQXy&#10;kBbuzaSI0FD0FmpHAkGXTvwDpQR1xpsmTKhR2TBIYgSmKPJ73LzuiOVpFqDa21vS/f+DpS8PFw4J&#10;VuPZCiNNFCh+/f7jj2+fr79/+vnhy6+vVwg8QFNvfQXRW33h4qBcs+1RD5klhu+xxvMYl/0VGA/e&#10;DinHxinkDGhQ5Ms8PokyIAHF5GX5dFWALqfYy3IxLUd1+DEgCgFFnq/yYoERhYj5dDFfpICMVBE4&#10;9mSdD8+5USgaNd7DcmyN1rAExs1SLXJ44UPSiY3DEvauwKhREmQ/EInmq1WZ5gXcMRqsG+SYqs25&#10;kDItjtSor3E5g04QJXAZGlhCMJUFQr1uMSKyhVtGg0vlvZGCxeyI412730qHoCps4sBH5A88d8Ni&#10;6R3x3RCXXMPWBiLkM81QOFkQjThn+sQ/qaQeZRiYjxrsDTtduBt5YJlSoXHx47bePafsP5d98x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hvhv92gAAAAsBAAAPAAAAAAAAAAEAIAAAACIAAABkcnMv&#10;ZG93bnJldi54bWxQSwECFAAUAAAACACHTuJAPCqmyjoCAAA0BAAADgAAAAAAAAABACAAAAApAQAA&#10;ZHJzL2Uyb0RvYy54bWxQSwUGAAAAAAYABgBZAQAA1QUAAAAA&#10;" adj="10793">
                      <v:fill on="f" focussize="0,0"/>
                      <v:stroke weight="0.5pt" color="#000000 [3213]" joinstyle="round" endarrow="open"/>
                      <v:imagedata o:title=""/>
                      <o:lock v:ext="edit" aspectratio="f"/>
                    </v:shape>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3284855</wp:posOffset>
                      </wp:positionH>
                      <wp:positionV relativeFrom="paragraph">
                        <wp:posOffset>2863850</wp:posOffset>
                      </wp:positionV>
                      <wp:extent cx="75565" cy="75565"/>
                      <wp:effectExtent l="12700" t="12700" r="26035" b="26035"/>
                      <wp:wrapNone/>
                      <wp:docPr id="36" name="五角星 36"/>
                      <wp:cNvGraphicFramePr/>
                      <a:graphic xmlns:a="http://schemas.openxmlformats.org/drawingml/2006/main">
                        <a:graphicData uri="http://schemas.microsoft.com/office/word/2010/wordprocessingShape">
                          <wps:wsp>
                            <wps:cNvSpPr/>
                            <wps:spPr>
                              <a:xfrm>
                                <a:off x="4792980" y="3956685"/>
                                <a:ext cx="75565" cy="7556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58.65pt;margin-top:225.5pt;height:5.95pt;width:5.95pt;z-index:251667456;v-text-anchor:middle;mso-width-relative:page;mso-height-relative:page;" fillcolor="#FF0000" filled="t" stroked="t" coordsize="75565,75565" o:gfxdata="UEsDBAoAAAAAAIdO4kAAAAAAAAAAAAAAAAAEAAAAZHJzL1BLAwQUAAAACACHTuJA2jYdndcAAAAL&#10;AQAADwAAAGRycy9kb3ducmV2LnhtbE2PTU/DMAyG70j8h8hIXBBLW+joStMdkOidDcTVa0LbkThV&#10;kn3Ar8ec4Gj70evnbdZnZ8XRhDh5UpAvMhCGeq8nGhS8bp9vKxAxIWm0noyCLxNh3V5eNFhrf6IX&#10;c9ykQXAIxRoVjCnNtZSxH43DuPCzIb59+OAw8RgGqQOeONxZWWTZUjqciD+MOJun0fSfm4NTIBPJ&#10;fYWWQvd98/7WVR3i3il1fZVnjyCSOac/GH71WR1adtr5A+korIIyf7hjVMF9mXMpJspiVYDY8WZZ&#10;rEC2jfzfof0BUEsDBBQAAAAIAIdO4kDqE0LYcQIAAOwEAAAOAAAAZHJzL2Uyb0RvYy54bWytVM1u&#10;EzEQviPxDpbvdJOQTZuomypqFIRU0UgFcXa83uxK/sN2simPgThw65F34HkQ4jH47N3+wqEHcnBm&#10;PLPfzHwz49Ozg5JkL5xvjC7o8GhAidDclI3eFvTD+9WrE0p8YLpk0mhR0Gvh6dn85YvT1s7EyNRG&#10;lsIRgGg/a21B6xDsLMs8r4Vi/shYoWGsjFMsQHXbrHSsBbqS2WgwmGStcaV1hgvvcbvsjLRHdM8B&#10;NFXVcLE0fKeEDh2qE5IFlOTrxno6T9lWleDhsqq8CEQWFJWGdCII5E08s/kpm20ds3XD+xTYc1J4&#10;UpNijUbQO6glC4zsXPMXlGq4M95U4YgblXWFJEZQxXDwhJurmlmRagHV3t6R7v8fLH+3XzvSlAV9&#10;PaFEM4WO//zx9ff3L7++3RDcgaDW+hn8ruza9ZqHGKs9VE7Ff9RBDgUdH09H0xNQew24aT6ZnOQd&#10;weIQCIfDcZ5Pcko47J0IvOwexjof3gijSBQKiil0eWKV7S986HxvfWJYb2RTrhopk+K2m3PpyJ6h&#10;1avVAL8YHPCP3KQmbUFH+RhmwhkGuMLgQFQWJHi9pYTJLTaDB5diP/raPy9ITHLJfN0lkxD6XKRG&#10;SpHQjsIobUx5jR440w2nt3zV4PsL5sOaOUwjEsW+hksclTTI3vQSJbVxn/91H/0xJLBS0mK6Udmn&#10;HXOCEvlWY3ymw/EYsCEp4/x4BMU9tGweWvROnRuwOsTLYHkSo3+Qt2LljPqItV7EqDAxzRG747BX&#10;zkO3dXgYuFgskhtWwLJwoa8sj+Cxi9osdsFUTer2PTs9aViC1NF+YeOWPdST1/0jNf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2jYdndcAAAALAQAADwAAAAAAAAABACAAAAAiAAAAZHJzL2Rvd25y&#10;ZXYueG1sUEsBAhQAFAAAAAgAh07iQOoTQthxAgAA7AQAAA4AAAAAAAAAAQAgAAAAJgEAAGRycy9l&#10;Mm9Eb2MueG1sUEsFBgAAAAAGAAYAWQEAAAkGAAAAAA==&#10;" path="m0,28863l28863,28863,37782,0,46701,28863,75564,28863,52213,46701,61133,75564,37782,57726,14431,75564,23351,46701xe">
                      <v:path o:connectlocs="37782,0;0,28863;14431,75564;61133,75564;75564,28863" o:connectangles="247,164,82,82,0"/>
                      <v:fill on="t" focussize="0,0"/>
                      <v:stroke weight="2pt" color="#FF0000 [2404]" joinstyle="round"/>
                      <v:imagedata o:title=""/>
                      <o:lock v:ext="edit" aspectratio="f"/>
                    </v:shape>
                  </w:pict>
                </mc:Fallback>
              </mc:AlternateContent>
            </w:r>
            <w:r>
              <w:rPr>
                <w:sz w:val="24"/>
              </w:rPr>
              <w:drawing>
                <wp:inline distT="0" distB="0" distL="114300" distR="114300">
                  <wp:extent cx="5144770" cy="4269105"/>
                  <wp:effectExtent l="0" t="0" r="17780" b="17145"/>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20"/>
                          <a:stretch>
                            <a:fillRect/>
                          </a:stretch>
                        </pic:blipFill>
                        <pic:spPr>
                          <a:xfrm>
                            <a:off x="0" y="0"/>
                            <a:ext cx="5144770" cy="4269105"/>
                          </a:xfrm>
                          <a:prstGeom prst="rect">
                            <a:avLst/>
                          </a:prstGeom>
                          <a:noFill/>
                          <a:ln>
                            <a:noFill/>
                          </a:ln>
                        </pic:spPr>
                      </pic:pic>
                    </a:graphicData>
                  </a:graphic>
                </wp:inline>
              </w:drawing>
            </w:r>
          </w:p>
          <w:p w14:paraId="69B15BB5">
            <w:pPr>
              <w:spacing w:line="360" w:lineRule="auto"/>
              <w:ind w:left="0" w:leftChars="0" w:right="0" w:rightChars="0" w:firstLine="0" w:firstLineChars="0"/>
              <w:jc w:val="center"/>
              <w:rPr>
                <w:rFonts w:ascii="宋体" w:hAnsi="宋体" w:eastAsia="宋体" w:cs="宋体"/>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图3-</w:t>
            </w:r>
            <w:r>
              <w:rPr>
                <w:rFonts w:hint="eastAsia" w:cs="Times New Roman"/>
                <w:b/>
                <w:bCs/>
                <w:color w:val="000000" w:themeColor="text1"/>
                <w:sz w:val="24"/>
                <w:szCs w:val="24"/>
                <w:highlight w:val="none"/>
                <w:lang w:val="en-US" w:eastAsia="zh-CN"/>
                <w14:textFill>
                  <w14:solidFill>
                    <w14:schemeClr w14:val="tx1"/>
                  </w14:solidFill>
                </w14:textFill>
              </w:rPr>
              <w:t>2 2024年黑龙江省地表水质量状况</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示意图</w:t>
            </w:r>
          </w:p>
          <w:p w14:paraId="791303EA">
            <w:pPr>
              <w:autoSpaceDE w:val="0"/>
              <w:autoSpaceDN w:val="0"/>
              <w:spacing w:line="360" w:lineRule="auto"/>
              <w:ind w:firstLine="482" w:firstLineChars="200"/>
              <w:rPr>
                <w:b/>
                <w:color w:val="000000" w:themeColor="text1"/>
                <w:kern w:val="21"/>
                <w:sz w:val="24"/>
                <w:highlight w:val="none"/>
                <w14:textFill>
                  <w14:solidFill>
                    <w14:schemeClr w14:val="tx1"/>
                  </w14:solidFill>
                </w14:textFill>
              </w:rPr>
            </w:pPr>
            <w:r>
              <w:rPr>
                <w:b/>
                <w:color w:val="000000" w:themeColor="text1"/>
                <w:kern w:val="21"/>
                <w:sz w:val="24"/>
                <w:highlight w:val="none"/>
                <w14:textFill>
                  <w14:solidFill>
                    <w14:schemeClr w14:val="tx1"/>
                  </w14:solidFill>
                </w14:textFill>
              </w:rPr>
              <w:t>3、声环境</w:t>
            </w:r>
          </w:p>
          <w:p w14:paraId="298EE452">
            <w:pPr>
              <w:spacing w:line="360" w:lineRule="auto"/>
              <w:ind w:firstLine="480" w:firstLineChars="200"/>
              <w:rPr>
                <w:rFonts w:hint="eastAsia"/>
                <w:color w:val="000000" w:themeColor="text1"/>
                <w:kern w:val="0"/>
                <w:sz w:val="24"/>
                <w:highlight w:val="yellow"/>
                <w:lang w:val="en-US" w:eastAsia="zh-CN"/>
                <w14:textFill>
                  <w14:solidFill>
                    <w14:schemeClr w14:val="tx1"/>
                  </w14:solidFill>
                </w14:textFill>
              </w:rPr>
            </w:pPr>
            <w:r>
              <w:rPr>
                <w:rFonts w:hint="eastAsia"/>
                <w:color w:val="000000" w:themeColor="text1"/>
                <w:kern w:val="0"/>
                <w:sz w:val="24"/>
                <w:highlight w:val="none"/>
                <w:lang w:val="zh-CN" w:eastAsia="zh-CN"/>
                <w14:textFill>
                  <w14:solidFill>
                    <w14:schemeClr w14:val="tx1"/>
                  </w14:solidFill>
                </w14:textFill>
              </w:rPr>
              <w:t>根据</w:t>
            </w:r>
            <w:r>
              <w:rPr>
                <w:rFonts w:hint="eastAsia"/>
                <w:color w:val="000000" w:themeColor="text1"/>
                <w:kern w:val="0"/>
                <w:sz w:val="24"/>
                <w:highlight w:val="none"/>
                <w:lang w:val="en-US" w:eastAsia="zh-CN"/>
                <w14:textFill>
                  <w14:solidFill>
                    <w14:schemeClr w14:val="tx1"/>
                  </w14:solidFill>
                </w14:textFill>
              </w:rPr>
              <w:t>双鸭山市尖山区声环境功能区划分图，本项目位于3类声环境功能区内，厂界执行《工业企业厂界环境噪声排放标准》（GB12348-2008）3类标准。</w:t>
            </w:r>
          </w:p>
          <w:p w14:paraId="396336A6">
            <w:pPr>
              <w:spacing w:line="360" w:lineRule="auto"/>
              <w:ind w:firstLine="480" w:firstLineChars="200"/>
              <w:rPr>
                <w:rFonts w:hint="eastAsia"/>
                <w:color w:val="000000" w:themeColor="text1"/>
                <w:kern w:val="0"/>
                <w:sz w:val="24"/>
                <w:highlight w:val="yellow"/>
                <w:lang w:val="en-US" w:eastAsia="zh-CN"/>
                <w14:textFill>
                  <w14:solidFill>
                    <w14:schemeClr w14:val="tx1"/>
                  </w14:solidFill>
                </w14:textFill>
              </w:rPr>
            </w:pPr>
            <w:r>
              <w:rPr>
                <w:rFonts w:hint="eastAsia"/>
                <w:color w:val="000000" w:themeColor="text1"/>
                <w:kern w:val="0"/>
                <w:sz w:val="24"/>
                <w:highlight w:val="none"/>
                <w:lang w:val="en-US" w:eastAsia="zh-CN"/>
                <w14:textFill>
                  <w14:solidFill>
                    <w14:schemeClr w14:val="tx1"/>
                  </w14:solidFill>
                </w14:textFill>
              </w:rPr>
              <w:t>本项目厂界外50m范围内声环境保护目标为厂界东侧站南小区；厂界南侧惠民新城。根据双鸭山市尖山区声环境功能区划分图，站南小区位于2类声环境功能区内，执行《声环境质量标准》（GB3096-2008）2类标准；惠民新城位于1类声环境功能区内，执行《声环境质量标准》（GB3096-2008）1类标准。</w:t>
            </w:r>
          </w:p>
          <w:p w14:paraId="0657B830">
            <w:pPr>
              <w:spacing w:line="360" w:lineRule="auto"/>
              <w:ind w:firstLine="480" w:firstLineChars="200"/>
              <w:rPr>
                <w:rFonts w:hint="eastAsia"/>
                <w:color w:val="000000" w:themeColor="text1"/>
                <w:kern w:val="0"/>
                <w:sz w:val="24"/>
                <w:highlight w:val="none"/>
                <w:lang w:val="en-US" w:eastAsia="zh-CN"/>
                <w14:textFill>
                  <w14:solidFill>
                    <w14:schemeClr w14:val="tx1"/>
                  </w14:solidFill>
                </w14:textFill>
              </w:rPr>
            </w:pPr>
            <w:r>
              <w:rPr>
                <w:rFonts w:hint="eastAsia"/>
                <w:color w:val="FF0000"/>
                <w:kern w:val="0"/>
                <w:sz w:val="24"/>
                <w:highlight w:val="none"/>
                <w:lang w:val="en-US" w:eastAsia="zh-CN"/>
              </w:rPr>
              <w:t>本次环评对距离厂界最近的站南小区4号楼、惠民新城6号楼建筑开展</w:t>
            </w:r>
            <w:r>
              <w:rPr>
                <w:rFonts w:hint="eastAsia"/>
                <w:color w:val="FF0000"/>
                <w:kern w:val="0"/>
                <w:sz w:val="24"/>
                <w:highlight w:val="green"/>
                <w:lang w:val="en-US" w:eastAsia="zh-CN"/>
              </w:rPr>
              <w:t>室外</w:t>
            </w:r>
            <w:r>
              <w:rPr>
                <w:rFonts w:hint="eastAsia"/>
                <w:color w:val="FF0000"/>
                <w:kern w:val="0"/>
                <w:sz w:val="24"/>
                <w:highlight w:val="none"/>
                <w:lang w:val="en-US" w:eastAsia="zh-CN"/>
              </w:rPr>
              <w:t>垂直噪声监测</w:t>
            </w:r>
            <w:r>
              <w:rPr>
                <w:rFonts w:hint="eastAsia"/>
                <w:color w:val="000000" w:themeColor="text1"/>
                <w:kern w:val="0"/>
                <w:sz w:val="24"/>
                <w:highlight w:val="none"/>
                <w:lang w:val="en-US" w:eastAsia="zh-CN"/>
                <w14:textFill>
                  <w14:solidFill>
                    <w14:schemeClr w14:val="tx1"/>
                  </w14:solidFill>
                </w14:textFill>
              </w:rPr>
              <w:t>；对厂界噪声背景值进行监测，</w:t>
            </w:r>
            <w:r>
              <w:rPr>
                <w:rFonts w:hint="eastAsia"/>
                <w:color w:val="FF0000"/>
                <w:kern w:val="0"/>
                <w:sz w:val="24"/>
                <w:highlight w:val="none"/>
                <w:lang w:val="en-US" w:eastAsia="zh-CN"/>
              </w:rPr>
              <w:t>现状监测期间企业未运行</w:t>
            </w:r>
            <w:r>
              <w:rPr>
                <w:rFonts w:hint="eastAsia"/>
                <w:color w:val="000000" w:themeColor="text1"/>
                <w:kern w:val="0"/>
                <w:sz w:val="24"/>
                <w:highlight w:val="none"/>
                <w:lang w:val="en-US" w:eastAsia="zh-CN"/>
                <w14:textFill>
                  <w14:solidFill>
                    <w14:schemeClr w14:val="tx1"/>
                  </w14:solidFill>
                </w14:textFill>
              </w:rPr>
              <w:t>。监测时间为2025年1月16日，监测结果见下表。</w:t>
            </w:r>
          </w:p>
          <w:p w14:paraId="3B506107">
            <w:pPr>
              <w:spacing w:line="360" w:lineRule="auto"/>
              <w:ind w:left="0" w:leftChars="0" w:right="0" w:rightChars="0" w:firstLine="0" w:firstLineChars="0"/>
              <w:jc w:val="center"/>
              <w:rPr>
                <w:rFonts w:hint="default"/>
                <w:b/>
                <w:bCs/>
                <w:color w:val="000000" w:themeColor="text1"/>
                <w:kern w:val="0"/>
                <w:sz w:val="24"/>
                <w:highlight w:val="none"/>
                <w:lang w:val="en-US" w:eastAsia="zh-CN"/>
                <w14:textFill>
                  <w14:solidFill>
                    <w14:schemeClr w14:val="tx1"/>
                  </w14:solidFill>
                </w14:textFill>
              </w:rPr>
            </w:pPr>
            <w:r>
              <w:rPr>
                <w:rFonts w:hint="eastAsia"/>
                <w:b/>
                <w:bCs/>
                <w:color w:val="000000" w:themeColor="text1"/>
                <w:kern w:val="0"/>
                <w:sz w:val="24"/>
                <w:highlight w:val="none"/>
                <w:lang w:val="en-US" w:eastAsia="zh-CN"/>
                <w14:textFill>
                  <w14:solidFill>
                    <w14:schemeClr w14:val="tx1"/>
                  </w14:solidFill>
                </w14:textFill>
              </w:rPr>
              <w:t>表3-4 厂界噪声监测结果一览表</w:t>
            </w:r>
          </w:p>
          <w:tbl>
            <w:tblPr>
              <w:tblStyle w:val="28"/>
              <w:tblW w:w="490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31"/>
              <w:gridCol w:w="2810"/>
              <w:gridCol w:w="2813"/>
            </w:tblGrid>
            <w:tr w14:paraId="7C766A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420" w:type="pct"/>
                  <w:vMerge w:val="restart"/>
                  <w:tcBorders>
                    <w:tl2br w:val="nil"/>
                    <w:tr2bl w:val="nil"/>
                  </w:tcBorders>
                  <w:noWrap w:val="0"/>
                  <w:vAlign w:val="center"/>
                </w:tcPr>
                <w:p w14:paraId="1656EDFD">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监测点位</w:t>
                  </w:r>
                </w:p>
              </w:tc>
              <w:tc>
                <w:tcPr>
                  <w:tcW w:w="3579" w:type="pct"/>
                  <w:gridSpan w:val="2"/>
                  <w:tcBorders>
                    <w:tl2br w:val="nil"/>
                    <w:tr2bl w:val="nil"/>
                  </w:tcBorders>
                  <w:noWrap w:val="0"/>
                  <w:vAlign w:val="center"/>
                </w:tcPr>
                <w:p w14:paraId="3490B76A">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eastAsia="黑体" w:cs="Times New Roman"/>
                      <w:b w:val="0"/>
                      <w:bCs w:val="0"/>
                      <w:color w:val="auto"/>
                      <w:sz w:val="21"/>
                      <w:szCs w:val="21"/>
                      <w:highlight w:val="none"/>
                      <w:lang w:eastAsia="zh-CN"/>
                    </w:rPr>
                    <w:t>202</w:t>
                  </w:r>
                  <w:r>
                    <w:rPr>
                      <w:rFonts w:hint="eastAsia" w:eastAsia="黑体" w:cs="Times New Roman"/>
                      <w:b w:val="0"/>
                      <w:bCs w:val="0"/>
                      <w:color w:val="auto"/>
                      <w:sz w:val="21"/>
                      <w:szCs w:val="21"/>
                      <w:highlight w:val="none"/>
                      <w:lang w:val="en-US" w:eastAsia="zh-CN"/>
                    </w:rPr>
                    <w:t>5.01.16</w:t>
                  </w:r>
                </w:p>
              </w:tc>
            </w:tr>
            <w:tr w14:paraId="53F8FB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420" w:type="pct"/>
                  <w:vMerge w:val="continue"/>
                  <w:tcBorders>
                    <w:tl2br w:val="nil"/>
                    <w:tr2bl w:val="nil"/>
                  </w:tcBorders>
                  <w:noWrap w:val="0"/>
                  <w:vAlign w:val="center"/>
                </w:tcPr>
                <w:p w14:paraId="7B9041A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788" w:type="pct"/>
                  <w:tcBorders>
                    <w:tl2br w:val="nil"/>
                    <w:tr2bl w:val="nil"/>
                  </w:tcBorders>
                  <w:noWrap w:val="0"/>
                  <w:vAlign w:val="center"/>
                </w:tcPr>
                <w:p w14:paraId="183CE81A">
                  <w:pPr>
                    <w:keepNext w:val="0"/>
                    <w:keepLines w:val="0"/>
                    <w:suppressLineNumbers w:val="0"/>
                    <w:spacing w:before="0" w:beforeAutospacing="0" w:after="0" w:afterAutospacing="0" w:line="240" w:lineRule="auto"/>
                    <w:ind w:left="0" w:leftChars="0" w:right="0" w:rightChars="0"/>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eastAsia="zh-CN"/>
                    </w:rPr>
                    <w:t>昼间</w:t>
                  </w:r>
                </w:p>
              </w:tc>
              <w:tc>
                <w:tcPr>
                  <w:tcW w:w="1790" w:type="pct"/>
                  <w:tcBorders>
                    <w:tl2br w:val="nil"/>
                    <w:tr2bl w:val="nil"/>
                  </w:tcBorders>
                  <w:noWrap w:val="0"/>
                  <w:vAlign w:val="center"/>
                </w:tcPr>
                <w:p w14:paraId="1C76119C">
                  <w:pPr>
                    <w:keepNext w:val="0"/>
                    <w:keepLines w:val="0"/>
                    <w:suppressLineNumbers w:val="0"/>
                    <w:spacing w:before="0" w:beforeAutospacing="0" w:after="0" w:afterAutospacing="0" w:line="240" w:lineRule="auto"/>
                    <w:ind w:left="0" w:leftChars="0" w:right="0" w:rightChars="0"/>
                    <w:jc w:val="center"/>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夜</w:t>
                  </w:r>
                  <w:r>
                    <w:rPr>
                      <w:rFonts w:hint="eastAsia" w:ascii="宋体" w:hAnsi="宋体" w:eastAsia="宋体" w:cs="宋体"/>
                      <w:b w:val="0"/>
                      <w:bCs w:val="0"/>
                      <w:color w:val="auto"/>
                      <w:sz w:val="21"/>
                      <w:szCs w:val="21"/>
                      <w:highlight w:val="none"/>
                      <w:lang w:eastAsia="zh-CN"/>
                    </w:rPr>
                    <w:t>间</w:t>
                  </w:r>
                </w:p>
              </w:tc>
            </w:tr>
            <w:tr w14:paraId="2A8AE2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420" w:type="pct"/>
                  <w:tcBorders>
                    <w:tl2br w:val="nil"/>
                    <w:tr2bl w:val="nil"/>
                  </w:tcBorders>
                  <w:shd w:val="clear" w:color="auto" w:fill="auto"/>
                  <w:noWrap w:val="0"/>
                  <w:vAlign w:val="center"/>
                </w:tcPr>
                <w:p w14:paraId="521493F4">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厂界东侧1#</w:t>
                  </w:r>
                </w:p>
              </w:tc>
              <w:tc>
                <w:tcPr>
                  <w:tcW w:w="2810" w:type="dxa"/>
                  <w:tcBorders>
                    <w:tl2br w:val="nil"/>
                    <w:tr2bl w:val="nil"/>
                  </w:tcBorders>
                  <w:noWrap w:val="0"/>
                  <w:vAlign w:val="center"/>
                </w:tcPr>
                <w:p w14:paraId="0D419697">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黑体" w:cs="Times New Roman"/>
                      <w:b w:val="0"/>
                      <w:bCs w:val="0"/>
                      <w:color w:val="0000FF"/>
                      <w:sz w:val="21"/>
                      <w:szCs w:val="21"/>
                      <w:highlight w:val="yellow"/>
                      <w:lang w:val="en-US" w:eastAsia="zh-CN"/>
                    </w:rPr>
                  </w:pPr>
                  <w:r>
                    <w:rPr>
                      <w:rFonts w:hint="eastAsia" w:eastAsia="黑体" w:cs="Times New Roman"/>
                      <w:i w:val="0"/>
                      <w:color w:val="000000"/>
                      <w:kern w:val="0"/>
                      <w:sz w:val="21"/>
                      <w:szCs w:val="21"/>
                      <w:highlight w:val="none"/>
                      <w:u w:val="none"/>
                      <w:lang w:val="en-US" w:eastAsia="zh-CN" w:bidi="ar-SA"/>
                    </w:rPr>
                    <w:t>51.6</w:t>
                  </w:r>
                </w:p>
              </w:tc>
              <w:tc>
                <w:tcPr>
                  <w:tcW w:w="2813" w:type="dxa"/>
                  <w:tcBorders>
                    <w:tl2br w:val="nil"/>
                    <w:tr2bl w:val="nil"/>
                  </w:tcBorders>
                  <w:noWrap w:val="0"/>
                  <w:vAlign w:val="center"/>
                </w:tcPr>
                <w:p w14:paraId="74D2A1DC">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黑体" w:cs="Times New Roman"/>
                      <w:b w:val="0"/>
                      <w:bCs w:val="0"/>
                      <w:color w:val="0000FF"/>
                      <w:kern w:val="2"/>
                      <w:sz w:val="21"/>
                      <w:szCs w:val="21"/>
                      <w:highlight w:val="yellow"/>
                      <w:lang w:val="en-US" w:eastAsia="zh-CN" w:bidi="ar-SA"/>
                    </w:rPr>
                  </w:pPr>
                  <w:r>
                    <w:rPr>
                      <w:rFonts w:hint="eastAsia" w:eastAsia="黑体" w:cs="Times New Roman"/>
                      <w:kern w:val="2"/>
                      <w:sz w:val="21"/>
                      <w:szCs w:val="21"/>
                      <w:highlight w:val="none"/>
                      <w:lang w:val="en-US" w:eastAsia="zh-CN" w:bidi="ar-SA"/>
                    </w:rPr>
                    <w:t>46.9</w:t>
                  </w:r>
                </w:p>
              </w:tc>
            </w:tr>
            <w:tr w14:paraId="5D142E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420" w:type="pct"/>
                  <w:tcBorders>
                    <w:tl2br w:val="nil"/>
                    <w:tr2bl w:val="nil"/>
                  </w:tcBorders>
                  <w:shd w:val="clear" w:color="auto" w:fill="auto"/>
                  <w:noWrap w:val="0"/>
                  <w:vAlign w:val="center"/>
                </w:tcPr>
                <w:p w14:paraId="797D6F0D">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厂界南侧2#</w:t>
                  </w:r>
                </w:p>
              </w:tc>
              <w:tc>
                <w:tcPr>
                  <w:tcW w:w="2810" w:type="dxa"/>
                  <w:tcBorders>
                    <w:tl2br w:val="nil"/>
                    <w:tr2bl w:val="nil"/>
                  </w:tcBorders>
                  <w:noWrap w:val="0"/>
                  <w:vAlign w:val="center"/>
                </w:tcPr>
                <w:p w14:paraId="22D4C1A1">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0000FF"/>
                      <w:sz w:val="21"/>
                      <w:szCs w:val="21"/>
                      <w:highlight w:val="yellow"/>
                      <w:lang w:val="en-US" w:eastAsia="zh-CN"/>
                    </w:rPr>
                  </w:pPr>
                  <w:r>
                    <w:rPr>
                      <w:rFonts w:hint="eastAsia" w:eastAsia="黑体" w:cs="Times New Roman"/>
                      <w:i w:val="0"/>
                      <w:color w:val="000000"/>
                      <w:kern w:val="0"/>
                      <w:sz w:val="21"/>
                      <w:szCs w:val="21"/>
                      <w:highlight w:val="none"/>
                      <w:u w:val="none"/>
                      <w:lang w:val="en-US" w:eastAsia="zh-CN" w:bidi="ar-SA"/>
                    </w:rPr>
                    <w:t>50.2</w:t>
                  </w:r>
                </w:p>
              </w:tc>
              <w:tc>
                <w:tcPr>
                  <w:tcW w:w="2813" w:type="dxa"/>
                  <w:tcBorders>
                    <w:tl2br w:val="nil"/>
                    <w:tr2bl w:val="nil"/>
                  </w:tcBorders>
                  <w:noWrap w:val="0"/>
                  <w:vAlign w:val="center"/>
                </w:tcPr>
                <w:p w14:paraId="1A1750CF">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0000FF"/>
                      <w:kern w:val="2"/>
                      <w:sz w:val="21"/>
                      <w:szCs w:val="21"/>
                      <w:highlight w:val="yellow"/>
                      <w:lang w:val="en-US" w:eastAsia="zh-CN" w:bidi="ar-SA"/>
                    </w:rPr>
                  </w:pPr>
                  <w:r>
                    <w:rPr>
                      <w:rFonts w:hint="eastAsia" w:eastAsia="黑体" w:cs="Times New Roman"/>
                      <w:kern w:val="2"/>
                      <w:sz w:val="21"/>
                      <w:szCs w:val="21"/>
                      <w:highlight w:val="none"/>
                      <w:lang w:val="en-US" w:eastAsia="zh-CN" w:bidi="ar-SA"/>
                    </w:rPr>
                    <w:t>46.3</w:t>
                  </w:r>
                </w:p>
              </w:tc>
            </w:tr>
            <w:tr w14:paraId="7CEB20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420" w:type="pct"/>
                  <w:tcBorders>
                    <w:tl2br w:val="nil"/>
                    <w:tr2bl w:val="nil"/>
                  </w:tcBorders>
                  <w:shd w:val="clear" w:color="auto" w:fill="auto"/>
                  <w:noWrap w:val="0"/>
                  <w:vAlign w:val="center"/>
                </w:tcPr>
                <w:p w14:paraId="55B5CA2E">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厂界西侧3#</w:t>
                  </w:r>
                </w:p>
              </w:tc>
              <w:tc>
                <w:tcPr>
                  <w:tcW w:w="2810" w:type="dxa"/>
                  <w:tcBorders>
                    <w:tl2br w:val="nil"/>
                    <w:tr2bl w:val="nil"/>
                  </w:tcBorders>
                  <w:noWrap w:val="0"/>
                  <w:vAlign w:val="center"/>
                </w:tcPr>
                <w:p w14:paraId="642C042F">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0000FF"/>
                      <w:sz w:val="21"/>
                      <w:szCs w:val="21"/>
                      <w:highlight w:val="yellow"/>
                      <w:lang w:val="en-US" w:eastAsia="zh-CN"/>
                    </w:rPr>
                  </w:pPr>
                  <w:r>
                    <w:rPr>
                      <w:rFonts w:hint="eastAsia" w:eastAsia="黑体" w:cs="Times New Roman"/>
                      <w:i w:val="0"/>
                      <w:color w:val="000000"/>
                      <w:kern w:val="0"/>
                      <w:sz w:val="21"/>
                      <w:szCs w:val="21"/>
                      <w:highlight w:val="none"/>
                      <w:u w:val="none"/>
                      <w:lang w:val="en-US" w:eastAsia="zh-CN" w:bidi="ar-SA"/>
                    </w:rPr>
                    <w:t>50.9</w:t>
                  </w:r>
                </w:p>
              </w:tc>
              <w:tc>
                <w:tcPr>
                  <w:tcW w:w="2813" w:type="dxa"/>
                  <w:tcBorders>
                    <w:tl2br w:val="nil"/>
                    <w:tr2bl w:val="nil"/>
                  </w:tcBorders>
                  <w:noWrap w:val="0"/>
                  <w:vAlign w:val="center"/>
                </w:tcPr>
                <w:p w14:paraId="00CE3F39">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0000FF"/>
                      <w:kern w:val="2"/>
                      <w:sz w:val="21"/>
                      <w:szCs w:val="21"/>
                      <w:highlight w:val="yellow"/>
                      <w:lang w:val="en-US" w:eastAsia="zh-CN" w:bidi="ar-SA"/>
                    </w:rPr>
                  </w:pPr>
                  <w:r>
                    <w:rPr>
                      <w:rFonts w:hint="eastAsia" w:eastAsia="黑体" w:cs="Times New Roman"/>
                      <w:kern w:val="2"/>
                      <w:sz w:val="21"/>
                      <w:szCs w:val="21"/>
                      <w:highlight w:val="none"/>
                      <w:lang w:val="en-US" w:eastAsia="zh-CN" w:bidi="ar-SA"/>
                    </w:rPr>
                    <w:t>45.1</w:t>
                  </w:r>
                </w:p>
              </w:tc>
            </w:tr>
            <w:tr w14:paraId="70A396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420" w:type="pct"/>
                  <w:tcBorders>
                    <w:tl2br w:val="nil"/>
                    <w:tr2bl w:val="nil"/>
                  </w:tcBorders>
                  <w:shd w:val="clear" w:color="auto" w:fill="auto"/>
                  <w:noWrap w:val="0"/>
                  <w:vAlign w:val="center"/>
                </w:tcPr>
                <w:p w14:paraId="130CE29B">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厂界北侧4#</w:t>
                  </w:r>
                </w:p>
              </w:tc>
              <w:tc>
                <w:tcPr>
                  <w:tcW w:w="2810" w:type="dxa"/>
                  <w:tcBorders>
                    <w:tl2br w:val="nil"/>
                    <w:tr2bl w:val="nil"/>
                  </w:tcBorders>
                  <w:noWrap w:val="0"/>
                  <w:vAlign w:val="center"/>
                </w:tcPr>
                <w:p w14:paraId="78BB8D81">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0000FF"/>
                      <w:sz w:val="21"/>
                      <w:szCs w:val="21"/>
                      <w:highlight w:val="yellow"/>
                      <w:lang w:val="en-US" w:eastAsia="zh-CN"/>
                    </w:rPr>
                  </w:pPr>
                  <w:r>
                    <w:rPr>
                      <w:rFonts w:hint="eastAsia" w:eastAsia="黑体" w:cs="Times New Roman"/>
                      <w:i w:val="0"/>
                      <w:color w:val="000000"/>
                      <w:kern w:val="0"/>
                      <w:sz w:val="21"/>
                      <w:szCs w:val="21"/>
                      <w:highlight w:val="none"/>
                      <w:u w:val="none"/>
                      <w:lang w:val="en-US" w:eastAsia="zh-CN" w:bidi="ar-SA"/>
                    </w:rPr>
                    <w:t>49.1</w:t>
                  </w:r>
                </w:p>
              </w:tc>
              <w:tc>
                <w:tcPr>
                  <w:tcW w:w="2813" w:type="dxa"/>
                  <w:tcBorders>
                    <w:tl2br w:val="nil"/>
                    <w:tr2bl w:val="nil"/>
                  </w:tcBorders>
                  <w:noWrap w:val="0"/>
                  <w:vAlign w:val="center"/>
                </w:tcPr>
                <w:p w14:paraId="29571A77">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0000FF"/>
                      <w:kern w:val="2"/>
                      <w:sz w:val="21"/>
                      <w:szCs w:val="21"/>
                      <w:highlight w:val="yellow"/>
                      <w:lang w:val="en-US" w:eastAsia="zh-CN" w:bidi="ar-SA"/>
                    </w:rPr>
                  </w:pPr>
                  <w:r>
                    <w:rPr>
                      <w:rFonts w:hint="eastAsia" w:eastAsia="黑体" w:cs="Times New Roman"/>
                      <w:kern w:val="2"/>
                      <w:sz w:val="21"/>
                      <w:szCs w:val="21"/>
                      <w:highlight w:val="none"/>
                      <w:lang w:val="en-US" w:eastAsia="zh-CN" w:bidi="ar-SA"/>
                    </w:rPr>
                    <w:t>45.8</w:t>
                  </w:r>
                </w:p>
              </w:tc>
            </w:tr>
          </w:tbl>
          <w:p w14:paraId="50E7DDAA">
            <w:pPr>
              <w:spacing w:line="360" w:lineRule="auto"/>
              <w:ind w:left="0" w:leftChars="0" w:right="0" w:rightChars="0" w:firstLine="0" w:firstLineChars="0"/>
              <w:jc w:val="center"/>
              <w:rPr>
                <w:rFonts w:hint="eastAsia"/>
                <w:color w:val="000000" w:themeColor="text1"/>
                <w:kern w:val="0"/>
                <w:sz w:val="24"/>
                <w:highlight w:val="none"/>
                <w:lang w:val="en-US" w:eastAsia="zh-CN"/>
                <w14:textFill>
                  <w14:solidFill>
                    <w14:schemeClr w14:val="tx1"/>
                  </w14:solidFill>
                </w14:textFill>
              </w:rPr>
            </w:pPr>
            <w:r>
              <w:rPr>
                <w:rFonts w:hint="eastAsia"/>
                <w:b/>
                <w:bCs/>
                <w:color w:val="000000" w:themeColor="text1"/>
                <w:kern w:val="0"/>
                <w:sz w:val="24"/>
                <w:highlight w:val="none"/>
                <w:lang w:val="en-US" w:eastAsia="zh-CN"/>
                <w14:textFill>
                  <w14:solidFill>
                    <w14:schemeClr w14:val="tx1"/>
                  </w14:solidFill>
                </w14:textFill>
              </w:rPr>
              <w:t>表3-5 敏感目标噪声监测结果一览表</w:t>
            </w:r>
          </w:p>
          <w:tbl>
            <w:tblPr>
              <w:tblStyle w:val="28"/>
              <w:tblW w:w="490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97"/>
              <w:gridCol w:w="927"/>
              <w:gridCol w:w="903"/>
              <w:gridCol w:w="2195"/>
              <w:gridCol w:w="926"/>
              <w:gridCol w:w="806"/>
            </w:tblGrid>
            <w:tr w14:paraId="2D0C1E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4" w:type="pct"/>
                  <w:vMerge w:val="restart"/>
                  <w:tcBorders>
                    <w:tl2br w:val="nil"/>
                    <w:tr2bl w:val="nil"/>
                  </w:tcBorders>
                  <w:noWrap w:val="0"/>
                  <w:vAlign w:val="center"/>
                </w:tcPr>
                <w:p w14:paraId="50738BC0">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监测点位</w:t>
                  </w:r>
                </w:p>
              </w:tc>
              <w:tc>
                <w:tcPr>
                  <w:tcW w:w="1165" w:type="pct"/>
                  <w:gridSpan w:val="2"/>
                  <w:tcBorders>
                    <w:tl2br w:val="nil"/>
                    <w:tr2bl w:val="nil"/>
                  </w:tcBorders>
                  <w:noWrap w:val="0"/>
                  <w:vAlign w:val="center"/>
                </w:tcPr>
                <w:p w14:paraId="6C2DBB15">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2025.01.16</w:t>
                  </w:r>
                </w:p>
              </w:tc>
              <w:tc>
                <w:tcPr>
                  <w:tcW w:w="1397" w:type="pct"/>
                  <w:vMerge w:val="restart"/>
                  <w:tcBorders>
                    <w:tl2br w:val="nil"/>
                    <w:tr2bl w:val="nil"/>
                  </w:tcBorders>
                  <w:noWrap w:val="0"/>
                  <w:vAlign w:val="center"/>
                </w:tcPr>
                <w:p w14:paraId="689BEEE0">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监测点位</w:t>
                  </w:r>
                </w:p>
              </w:tc>
              <w:tc>
                <w:tcPr>
                  <w:tcW w:w="1102" w:type="pct"/>
                  <w:gridSpan w:val="2"/>
                  <w:tcBorders>
                    <w:tl2br w:val="nil"/>
                    <w:tr2bl w:val="nil"/>
                  </w:tcBorders>
                  <w:noWrap w:val="0"/>
                  <w:vAlign w:val="center"/>
                </w:tcPr>
                <w:p w14:paraId="5296F869">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2025.01.1</w:t>
                  </w:r>
                  <w:r>
                    <w:rPr>
                      <w:rFonts w:hint="eastAsia" w:cs="Times New Roman"/>
                      <w:color w:val="000000" w:themeColor="text1"/>
                      <w:sz w:val="21"/>
                      <w:szCs w:val="21"/>
                      <w:highlight w:val="none"/>
                      <w:lang w:val="en-US" w:eastAsia="zh-CN"/>
                      <w14:textFill>
                        <w14:solidFill>
                          <w14:schemeClr w14:val="tx1"/>
                        </w14:solidFill>
                      </w14:textFill>
                    </w:rPr>
                    <w:t>6</w:t>
                  </w:r>
                </w:p>
              </w:tc>
            </w:tr>
            <w:tr w14:paraId="49A9B5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4" w:type="pct"/>
                  <w:vMerge w:val="continue"/>
                  <w:tcBorders>
                    <w:tl2br w:val="nil"/>
                    <w:tr2bl w:val="nil"/>
                  </w:tcBorders>
                  <w:noWrap w:val="0"/>
                  <w:vAlign w:val="center"/>
                </w:tcPr>
                <w:p w14:paraId="7082739C">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590" w:type="pct"/>
                  <w:tcBorders>
                    <w:tl2br w:val="nil"/>
                    <w:tr2bl w:val="nil"/>
                  </w:tcBorders>
                  <w:noWrap w:val="0"/>
                  <w:vAlign w:val="center"/>
                </w:tcPr>
                <w:p w14:paraId="1C2E506C">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昼间</w:t>
                  </w:r>
                </w:p>
              </w:tc>
              <w:tc>
                <w:tcPr>
                  <w:tcW w:w="574" w:type="pct"/>
                  <w:tcBorders>
                    <w:tl2br w:val="nil"/>
                    <w:tr2bl w:val="nil"/>
                  </w:tcBorders>
                  <w:noWrap w:val="0"/>
                  <w:vAlign w:val="center"/>
                </w:tcPr>
                <w:p w14:paraId="4E511CB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夜间</w:t>
                  </w:r>
                </w:p>
              </w:tc>
              <w:tc>
                <w:tcPr>
                  <w:tcW w:w="1397" w:type="pct"/>
                  <w:vMerge w:val="continue"/>
                  <w:tcBorders>
                    <w:tl2br w:val="nil"/>
                    <w:tr2bl w:val="nil"/>
                  </w:tcBorders>
                  <w:noWrap w:val="0"/>
                  <w:vAlign w:val="center"/>
                </w:tcPr>
                <w:p w14:paraId="2C81945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589" w:type="pct"/>
                  <w:tcBorders>
                    <w:tl2br w:val="nil"/>
                    <w:tr2bl w:val="nil"/>
                  </w:tcBorders>
                  <w:noWrap w:val="0"/>
                  <w:vAlign w:val="center"/>
                </w:tcPr>
                <w:p w14:paraId="72AB756F">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昼间</w:t>
                  </w:r>
                </w:p>
              </w:tc>
              <w:tc>
                <w:tcPr>
                  <w:tcW w:w="513" w:type="pct"/>
                  <w:tcBorders>
                    <w:tl2br w:val="nil"/>
                    <w:tr2bl w:val="nil"/>
                  </w:tcBorders>
                  <w:noWrap w:val="0"/>
                  <w:vAlign w:val="center"/>
                </w:tcPr>
                <w:p w14:paraId="04F275F8">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夜间</w:t>
                  </w:r>
                </w:p>
              </w:tc>
            </w:tr>
            <w:tr w14:paraId="49953E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4" w:type="pct"/>
                  <w:tcBorders>
                    <w:tl2br w:val="nil"/>
                    <w:tr2bl w:val="nil"/>
                  </w:tcBorders>
                  <w:shd w:val="clear" w:color="auto" w:fill="auto"/>
                  <w:noWrap w:val="0"/>
                  <w:vAlign w:val="center"/>
                </w:tcPr>
                <w:p w14:paraId="110204C7">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惠民新城</w:t>
                  </w:r>
                  <w:r>
                    <w:rPr>
                      <w:rFonts w:hint="eastAsia" w:cs="Times New Roman"/>
                      <w:color w:val="000000" w:themeColor="text1"/>
                      <w:sz w:val="21"/>
                      <w:szCs w:val="21"/>
                      <w:highlight w:val="none"/>
                      <w:lang w:val="en-US" w:eastAsia="zh-CN"/>
                      <w14:textFill>
                        <w14:solidFill>
                          <w14:schemeClr w14:val="tx1"/>
                        </w14:solidFill>
                      </w14:textFill>
                    </w:rPr>
                    <w:t>6号楼1层</w:t>
                  </w:r>
                </w:p>
              </w:tc>
              <w:tc>
                <w:tcPr>
                  <w:tcW w:w="590" w:type="pct"/>
                  <w:tcBorders>
                    <w:tl2br w:val="nil"/>
                    <w:tr2bl w:val="nil"/>
                  </w:tcBorders>
                  <w:noWrap w:val="0"/>
                  <w:vAlign w:val="center"/>
                </w:tcPr>
                <w:p w14:paraId="19E19E99">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eastAsia="黑体" w:cs="Times New Roman"/>
                      <w:i w:val="0"/>
                      <w:color w:val="000000"/>
                      <w:kern w:val="0"/>
                      <w:sz w:val="21"/>
                      <w:szCs w:val="21"/>
                      <w:highlight w:val="none"/>
                      <w:u w:val="none"/>
                      <w:lang w:val="en-US" w:eastAsia="zh-CN" w:bidi="ar-SA"/>
                    </w:rPr>
                    <w:t>48.2</w:t>
                  </w:r>
                </w:p>
              </w:tc>
              <w:tc>
                <w:tcPr>
                  <w:tcW w:w="574" w:type="pct"/>
                  <w:tcBorders>
                    <w:tl2br w:val="nil"/>
                    <w:tr2bl w:val="nil"/>
                  </w:tcBorders>
                  <w:noWrap w:val="0"/>
                  <w:vAlign w:val="center"/>
                </w:tcPr>
                <w:p w14:paraId="528C53D7">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eastAsia="黑体" w:cs="Times New Roman"/>
                      <w:kern w:val="2"/>
                      <w:sz w:val="21"/>
                      <w:szCs w:val="21"/>
                      <w:highlight w:val="none"/>
                      <w:lang w:val="en-US" w:eastAsia="zh-CN" w:bidi="ar-SA"/>
                    </w:rPr>
                    <w:t>41.9</w:t>
                  </w:r>
                </w:p>
              </w:tc>
              <w:tc>
                <w:tcPr>
                  <w:tcW w:w="1397" w:type="pct"/>
                  <w:tcBorders>
                    <w:tl2br w:val="nil"/>
                    <w:tr2bl w:val="nil"/>
                  </w:tcBorders>
                  <w:noWrap w:val="0"/>
                  <w:vAlign w:val="center"/>
                </w:tcPr>
                <w:p w14:paraId="222A5524">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站南小区4号楼</w:t>
                  </w:r>
                  <w:r>
                    <w:rPr>
                      <w:rFonts w:hint="eastAsia" w:cs="Times New Roman"/>
                      <w:color w:val="000000" w:themeColor="text1"/>
                      <w:sz w:val="21"/>
                      <w:szCs w:val="21"/>
                      <w:highlight w:val="none"/>
                      <w:lang w:val="en-US" w:eastAsia="zh-CN"/>
                      <w14:textFill>
                        <w14:solidFill>
                          <w14:schemeClr w14:val="tx1"/>
                        </w14:solidFill>
                      </w14:textFill>
                    </w:rPr>
                    <w:t>5</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层</w:t>
                  </w:r>
                </w:p>
              </w:tc>
              <w:tc>
                <w:tcPr>
                  <w:tcW w:w="926" w:type="dxa"/>
                  <w:tcBorders>
                    <w:tl2br w:val="nil"/>
                    <w:tr2bl w:val="nil"/>
                  </w:tcBorders>
                  <w:shd w:val="clear" w:color="auto" w:fill="auto"/>
                  <w:noWrap w:val="0"/>
                  <w:vAlign w:val="center"/>
                </w:tcPr>
                <w:p w14:paraId="5C90D9B9">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eastAsia="黑体" w:cs="Times New Roman"/>
                      <w:i w:val="0"/>
                      <w:color w:val="000000"/>
                      <w:kern w:val="0"/>
                      <w:sz w:val="21"/>
                      <w:szCs w:val="21"/>
                      <w:highlight w:val="none"/>
                      <w:u w:val="none"/>
                      <w:lang w:val="en-US" w:eastAsia="zh-CN" w:bidi="ar-SA"/>
                    </w:rPr>
                    <w:t>49.7</w:t>
                  </w:r>
                </w:p>
              </w:tc>
              <w:tc>
                <w:tcPr>
                  <w:tcW w:w="806" w:type="dxa"/>
                  <w:tcBorders>
                    <w:tl2br w:val="nil"/>
                    <w:tr2bl w:val="nil"/>
                  </w:tcBorders>
                  <w:noWrap w:val="0"/>
                  <w:vAlign w:val="center"/>
                </w:tcPr>
                <w:p w14:paraId="5970DEEC">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eastAsia="黑体" w:cs="Times New Roman"/>
                      <w:kern w:val="2"/>
                      <w:sz w:val="21"/>
                      <w:szCs w:val="21"/>
                      <w:highlight w:val="none"/>
                      <w:lang w:val="en-US" w:eastAsia="zh-CN" w:bidi="ar-SA"/>
                    </w:rPr>
                    <w:t>42.2</w:t>
                  </w:r>
                </w:p>
              </w:tc>
            </w:tr>
            <w:tr w14:paraId="00CB2F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4" w:type="pct"/>
                  <w:tcBorders>
                    <w:tl2br w:val="nil"/>
                    <w:tr2bl w:val="nil"/>
                  </w:tcBorders>
                  <w:shd w:val="clear" w:color="auto" w:fill="auto"/>
                  <w:noWrap w:val="0"/>
                  <w:vAlign w:val="center"/>
                </w:tcPr>
                <w:p w14:paraId="0C8F987E">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惠民新城6号楼</w:t>
                  </w:r>
                  <w:r>
                    <w:rPr>
                      <w:rFonts w:hint="eastAsia" w:cs="Times New Roman"/>
                      <w:color w:val="000000" w:themeColor="text1"/>
                      <w:sz w:val="21"/>
                      <w:szCs w:val="21"/>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层</w:t>
                  </w:r>
                </w:p>
              </w:tc>
              <w:tc>
                <w:tcPr>
                  <w:tcW w:w="590" w:type="pct"/>
                  <w:tcBorders>
                    <w:tl2br w:val="nil"/>
                    <w:tr2bl w:val="nil"/>
                  </w:tcBorders>
                  <w:noWrap w:val="0"/>
                  <w:vAlign w:val="center"/>
                </w:tcPr>
                <w:p w14:paraId="2C7FF952">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eastAsia="黑体" w:cs="Times New Roman"/>
                      <w:i w:val="0"/>
                      <w:color w:val="000000"/>
                      <w:kern w:val="0"/>
                      <w:sz w:val="21"/>
                      <w:szCs w:val="21"/>
                      <w:highlight w:val="none"/>
                      <w:u w:val="none"/>
                      <w:lang w:val="en-US" w:eastAsia="zh-CN" w:bidi="ar-SA"/>
                    </w:rPr>
                    <w:t>47.6</w:t>
                  </w:r>
                </w:p>
              </w:tc>
              <w:tc>
                <w:tcPr>
                  <w:tcW w:w="574" w:type="pct"/>
                  <w:tcBorders>
                    <w:tl2br w:val="nil"/>
                    <w:tr2bl w:val="nil"/>
                  </w:tcBorders>
                  <w:noWrap w:val="0"/>
                  <w:vAlign w:val="center"/>
                </w:tcPr>
                <w:p w14:paraId="7E22A768">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eastAsia="黑体" w:cs="Times New Roman"/>
                      <w:kern w:val="2"/>
                      <w:sz w:val="21"/>
                      <w:szCs w:val="21"/>
                      <w:highlight w:val="none"/>
                      <w:lang w:val="en-US" w:eastAsia="zh-CN" w:bidi="ar-SA"/>
                    </w:rPr>
                    <w:t>42.5</w:t>
                  </w:r>
                </w:p>
              </w:tc>
              <w:tc>
                <w:tcPr>
                  <w:tcW w:w="1397" w:type="pct"/>
                  <w:tcBorders>
                    <w:tl2br w:val="nil"/>
                    <w:tr2bl w:val="nil"/>
                  </w:tcBorders>
                  <w:noWrap w:val="0"/>
                  <w:vAlign w:val="center"/>
                </w:tcPr>
                <w:p w14:paraId="44F9489E">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站南小区4号</w:t>
                  </w:r>
                  <w:r>
                    <w:rPr>
                      <w:rFonts w:hint="eastAsia" w:cs="Times New Roman"/>
                      <w:color w:val="000000" w:themeColor="text1"/>
                      <w:sz w:val="21"/>
                      <w:szCs w:val="21"/>
                      <w:highlight w:val="none"/>
                      <w:lang w:val="en-US" w:eastAsia="zh-CN"/>
                      <w14:textFill>
                        <w14:solidFill>
                          <w14:schemeClr w14:val="tx1"/>
                        </w14:solidFill>
                      </w14:textFill>
                    </w:rPr>
                    <w:t>楼9</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层</w:t>
                  </w:r>
                </w:p>
              </w:tc>
              <w:tc>
                <w:tcPr>
                  <w:tcW w:w="926" w:type="dxa"/>
                  <w:tcBorders>
                    <w:tl2br w:val="nil"/>
                    <w:tr2bl w:val="nil"/>
                  </w:tcBorders>
                  <w:shd w:val="clear" w:color="auto" w:fill="auto"/>
                  <w:noWrap w:val="0"/>
                  <w:vAlign w:val="center"/>
                </w:tcPr>
                <w:p w14:paraId="561E17D9">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eastAsia="黑体" w:cs="Times New Roman"/>
                      <w:i w:val="0"/>
                      <w:color w:val="000000"/>
                      <w:kern w:val="0"/>
                      <w:sz w:val="21"/>
                      <w:szCs w:val="21"/>
                      <w:highlight w:val="none"/>
                      <w:u w:val="none"/>
                      <w:lang w:val="en-US" w:eastAsia="zh-CN" w:bidi="ar-SA"/>
                    </w:rPr>
                    <w:t>50.1</w:t>
                  </w:r>
                </w:p>
              </w:tc>
              <w:tc>
                <w:tcPr>
                  <w:tcW w:w="806" w:type="dxa"/>
                  <w:tcBorders>
                    <w:tl2br w:val="nil"/>
                    <w:tr2bl w:val="nil"/>
                  </w:tcBorders>
                  <w:noWrap w:val="0"/>
                  <w:vAlign w:val="center"/>
                </w:tcPr>
                <w:p w14:paraId="329E7BD5">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eastAsia="黑体" w:cs="Times New Roman"/>
                      <w:kern w:val="2"/>
                      <w:sz w:val="21"/>
                      <w:szCs w:val="21"/>
                      <w:highlight w:val="none"/>
                      <w:lang w:val="en-US" w:eastAsia="zh-CN" w:bidi="ar-SA"/>
                    </w:rPr>
                    <w:t>41.1</w:t>
                  </w:r>
                </w:p>
              </w:tc>
            </w:tr>
            <w:tr w14:paraId="43E6FD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4" w:type="pct"/>
                  <w:tcBorders>
                    <w:tl2br w:val="nil"/>
                    <w:tr2bl w:val="nil"/>
                  </w:tcBorders>
                  <w:shd w:val="clear" w:color="auto" w:fill="auto"/>
                  <w:noWrap w:val="0"/>
                  <w:vAlign w:val="center"/>
                </w:tcPr>
                <w:p w14:paraId="7E9B684B">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惠民新城6号楼5层</w:t>
                  </w:r>
                </w:p>
              </w:tc>
              <w:tc>
                <w:tcPr>
                  <w:tcW w:w="590" w:type="pct"/>
                  <w:tcBorders>
                    <w:tl2br w:val="nil"/>
                    <w:tr2bl w:val="nil"/>
                  </w:tcBorders>
                  <w:noWrap w:val="0"/>
                  <w:vAlign w:val="center"/>
                </w:tcPr>
                <w:p w14:paraId="21454857">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eastAsia="黑体" w:cs="Times New Roman"/>
                      <w:i w:val="0"/>
                      <w:color w:val="000000"/>
                      <w:kern w:val="0"/>
                      <w:sz w:val="21"/>
                      <w:szCs w:val="21"/>
                      <w:highlight w:val="none"/>
                      <w:u w:val="none"/>
                      <w:lang w:val="en-US" w:eastAsia="zh-CN" w:bidi="ar-SA"/>
                    </w:rPr>
                    <w:t>49.6</w:t>
                  </w:r>
                </w:p>
              </w:tc>
              <w:tc>
                <w:tcPr>
                  <w:tcW w:w="574" w:type="pct"/>
                  <w:tcBorders>
                    <w:tl2br w:val="nil"/>
                    <w:tr2bl w:val="nil"/>
                  </w:tcBorders>
                  <w:noWrap w:val="0"/>
                  <w:vAlign w:val="center"/>
                </w:tcPr>
                <w:p w14:paraId="06731F18">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eastAsia="黑体" w:cs="Times New Roman"/>
                      <w:kern w:val="2"/>
                      <w:sz w:val="21"/>
                      <w:szCs w:val="21"/>
                      <w:highlight w:val="none"/>
                      <w:lang w:val="en-US" w:eastAsia="zh-CN" w:bidi="ar-SA"/>
                    </w:rPr>
                    <w:t>40.6</w:t>
                  </w:r>
                </w:p>
              </w:tc>
              <w:tc>
                <w:tcPr>
                  <w:tcW w:w="1397" w:type="pct"/>
                  <w:tcBorders>
                    <w:tl2br w:val="nil"/>
                    <w:tr2bl w:val="nil"/>
                  </w:tcBorders>
                  <w:noWrap w:val="0"/>
                  <w:vAlign w:val="center"/>
                </w:tcPr>
                <w:p w14:paraId="64A4938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站南小区4号楼</w:t>
                  </w:r>
                  <w:r>
                    <w:rPr>
                      <w:rFonts w:hint="eastAsia" w:cs="Times New Roman"/>
                      <w:color w:val="000000" w:themeColor="text1"/>
                      <w:sz w:val="21"/>
                      <w:szCs w:val="21"/>
                      <w:highlight w:val="none"/>
                      <w:lang w:val="en-US" w:eastAsia="zh-CN"/>
                      <w14:textFill>
                        <w14:solidFill>
                          <w14:schemeClr w14:val="tx1"/>
                        </w14:solidFill>
                      </w14:textFill>
                    </w:rPr>
                    <w:t>13</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层</w:t>
                  </w:r>
                </w:p>
              </w:tc>
              <w:tc>
                <w:tcPr>
                  <w:tcW w:w="926" w:type="dxa"/>
                  <w:tcBorders>
                    <w:tl2br w:val="nil"/>
                    <w:tr2bl w:val="nil"/>
                  </w:tcBorders>
                  <w:noWrap w:val="0"/>
                  <w:vAlign w:val="center"/>
                </w:tcPr>
                <w:p w14:paraId="540F6BB1">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eastAsia="黑体" w:cs="Times New Roman"/>
                      <w:i w:val="0"/>
                      <w:color w:val="000000"/>
                      <w:kern w:val="0"/>
                      <w:sz w:val="21"/>
                      <w:szCs w:val="21"/>
                      <w:highlight w:val="none"/>
                      <w:u w:val="none"/>
                      <w:lang w:val="en-US" w:eastAsia="zh-CN" w:bidi="ar-SA"/>
                    </w:rPr>
                    <w:t>48.1</w:t>
                  </w:r>
                </w:p>
              </w:tc>
              <w:tc>
                <w:tcPr>
                  <w:tcW w:w="806" w:type="dxa"/>
                  <w:tcBorders>
                    <w:tl2br w:val="nil"/>
                    <w:tr2bl w:val="nil"/>
                  </w:tcBorders>
                  <w:noWrap w:val="0"/>
                  <w:vAlign w:val="center"/>
                </w:tcPr>
                <w:p w14:paraId="26F4530E">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eastAsia="黑体" w:cs="Times New Roman"/>
                      <w:kern w:val="2"/>
                      <w:sz w:val="21"/>
                      <w:szCs w:val="21"/>
                      <w:highlight w:val="none"/>
                      <w:lang w:val="en-US" w:eastAsia="zh-CN" w:bidi="ar-SA"/>
                    </w:rPr>
                    <w:t>42.3</w:t>
                  </w:r>
                </w:p>
              </w:tc>
            </w:tr>
            <w:tr w14:paraId="39E15D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4" w:type="pct"/>
                  <w:tcBorders>
                    <w:tl2br w:val="nil"/>
                    <w:tr2bl w:val="nil"/>
                  </w:tcBorders>
                  <w:shd w:val="clear" w:color="auto" w:fill="auto"/>
                  <w:noWrap w:val="0"/>
                  <w:vAlign w:val="center"/>
                </w:tcPr>
                <w:p w14:paraId="6ACD31DF">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站南小区</w:t>
                  </w:r>
                  <w:r>
                    <w:rPr>
                      <w:rFonts w:hint="eastAsia" w:cs="Times New Roman"/>
                      <w:color w:val="000000" w:themeColor="text1"/>
                      <w:sz w:val="21"/>
                      <w:szCs w:val="21"/>
                      <w:highlight w:val="none"/>
                      <w:lang w:val="en-US" w:eastAsia="zh-CN"/>
                      <w14:textFill>
                        <w14:solidFill>
                          <w14:schemeClr w14:val="tx1"/>
                        </w14:solidFill>
                      </w14:textFill>
                    </w:rPr>
                    <w:t>4号楼1</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层</w:t>
                  </w:r>
                </w:p>
              </w:tc>
              <w:tc>
                <w:tcPr>
                  <w:tcW w:w="590" w:type="pct"/>
                  <w:tcBorders>
                    <w:tl2br w:val="nil"/>
                    <w:tr2bl w:val="nil"/>
                  </w:tcBorders>
                  <w:shd w:val="clear" w:color="auto" w:fill="auto"/>
                  <w:noWrap w:val="0"/>
                  <w:vAlign w:val="center"/>
                </w:tcPr>
                <w:p w14:paraId="67AD15BB">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黑体" w:cs="Times New Roman"/>
                      <w:i w:val="0"/>
                      <w:color w:val="000000"/>
                      <w:kern w:val="0"/>
                      <w:sz w:val="21"/>
                      <w:szCs w:val="21"/>
                      <w:highlight w:val="none"/>
                      <w:u w:val="none"/>
                      <w:lang w:val="en-US" w:eastAsia="zh-CN" w:bidi="ar-SA"/>
                    </w:rPr>
                  </w:pPr>
                  <w:r>
                    <w:rPr>
                      <w:rFonts w:hint="eastAsia" w:eastAsia="黑体" w:cs="Times New Roman"/>
                      <w:i w:val="0"/>
                      <w:color w:val="000000"/>
                      <w:kern w:val="0"/>
                      <w:sz w:val="21"/>
                      <w:szCs w:val="21"/>
                      <w:highlight w:val="none"/>
                      <w:u w:val="none"/>
                      <w:lang w:val="en-US" w:eastAsia="zh-CN" w:bidi="ar-SA"/>
                    </w:rPr>
                    <w:t>50.4</w:t>
                  </w:r>
                </w:p>
              </w:tc>
              <w:tc>
                <w:tcPr>
                  <w:tcW w:w="574" w:type="pct"/>
                  <w:tcBorders>
                    <w:tl2br w:val="nil"/>
                    <w:tr2bl w:val="nil"/>
                  </w:tcBorders>
                  <w:shd w:val="clear" w:color="auto" w:fill="auto"/>
                  <w:noWrap w:val="0"/>
                  <w:vAlign w:val="center"/>
                </w:tcPr>
                <w:p w14:paraId="5A6178E4">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黑体" w:cs="Times New Roman"/>
                      <w:kern w:val="2"/>
                      <w:sz w:val="21"/>
                      <w:szCs w:val="21"/>
                      <w:highlight w:val="none"/>
                      <w:lang w:val="en-US" w:eastAsia="zh-CN" w:bidi="ar-SA"/>
                    </w:rPr>
                  </w:pPr>
                  <w:r>
                    <w:rPr>
                      <w:rFonts w:hint="eastAsia" w:eastAsia="黑体" w:cs="Times New Roman"/>
                      <w:kern w:val="2"/>
                      <w:sz w:val="21"/>
                      <w:szCs w:val="21"/>
                      <w:highlight w:val="none"/>
                      <w:lang w:val="en-US" w:eastAsia="zh-CN" w:bidi="ar-SA"/>
                    </w:rPr>
                    <w:t>42.4</w:t>
                  </w:r>
                </w:p>
              </w:tc>
              <w:tc>
                <w:tcPr>
                  <w:tcW w:w="1397" w:type="pct"/>
                  <w:tcBorders>
                    <w:tl2br w:val="nil"/>
                    <w:tr2bl w:val="nil"/>
                  </w:tcBorders>
                  <w:noWrap w:val="0"/>
                  <w:vAlign w:val="center"/>
                </w:tcPr>
                <w:p w14:paraId="1076C58F">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站南小区4号楼</w:t>
                  </w:r>
                  <w:r>
                    <w:rPr>
                      <w:rFonts w:hint="eastAsia" w:cs="Times New Roman"/>
                      <w:color w:val="000000" w:themeColor="text1"/>
                      <w:sz w:val="21"/>
                      <w:szCs w:val="21"/>
                      <w:highlight w:val="none"/>
                      <w:lang w:val="en-US" w:eastAsia="zh-CN"/>
                      <w14:textFill>
                        <w14:solidFill>
                          <w14:schemeClr w14:val="tx1"/>
                        </w14:solidFill>
                      </w14:textFill>
                    </w:rPr>
                    <w:t>17</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层</w:t>
                  </w:r>
                </w:p>
              </w:tc>
              <w:tc>
                <w:tcPr>
                  <w:tcW w:w="926" w:type="dxa"/>
                  <w:tcBorders>
                    <w:tl2br w:val="nil"/>
                    <w:tr2bl w:val="nil"/>
                  </w:tcBorders>
                  <w:noWrap w:val="0"/>
                  <w:vAlign w:val="center"/>
                </w:tcPr>
                <w:p w14:paraId="365390C4">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eastAsia="黑体" w:cs="Times New Roman"/>
                      <w:i w:val="0"/>
                      <w:color w:val="000000"/>
                      <w:kern w:val="0"/>
                      <w:sz w:val="21"/>
                      <w:szCs w:val="21"/>
                      <w:highlight w:val="none"/>
                      <w:u w:val="none"/>
                      <w:lang w:val="en-US" w:eastAsia="zh-CN" w:bidi="ar-SA"/>
                    </w:rPr>
                    <w:t>49.0</w:t>
                  </w:r>
                </w:p>
              </w:tc>
              <w:tc>
                <w:tcPr>
                  <w:tcW w:w="806" w:type="dxa"/>
                  <w:tcBorders>
                    <w:tl2br w:val="nil"/>
                    <w:tr2bl w:val="nil"/>
                  </w:tcBorders>
                  <w:noWrap w:val="0"/>
                  <w:vAlign w:val="center"/>
                </w:tcPr>
                <w:p w14:paraId="147D1179">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eastAsia="黑体" w:cs="Times New Roman"/>
                      <w:kern w:val="2"/>
                      <w:sz w:val="21"/>
                      <w:szCs w:val="21"/>
                      <w:highlight w:val="none"/>
                      <w:lang w:val="en-US" w:eastAsia="zh-CN" w:bidi="ar-SA"/>
                    </w:rPr>
                    <w:t>43.0</w:t>
                  </w:r>
                </w:p>
              </w:tc>
            </w:tr>
            <w:tr w14:paraId="09302E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4" w:type="pct"/>
                  <w:tcBorders>
                    <w:tl2br w:val="nil"/>
                    <w:tr2bl w:val="nil"/>
                  </w:tcBorders>
                  <w:shd w:val="clear" w:color="auto" w:fill="auto"/>
                  <w:noWrap w:val="0"/>
                  <w:vAlign w:val="center"/>
                </w:tcPr>
                <w:p w14:paraId="5834AF1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站南小区4号楼</w:t>
                  </w:r>
                  <w:r>
                    <w:rPr>
                      <w:rFonts w:hint="eastAsia" w:cs="Times New Roman"/>
                      <w:color w:val="000000" w:themeColor="text1"/>
                      <w:sz w:val="21"/>
                      <w:szCs w:val="21"/>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层</w:t>
                  </w:r>
                </w:p>
              </w:tc>
              <w:tc>
                <w:tcPr>
                  <w:tcW w:w="590" w:type="pct"/>
                  <w:tcBorders>
                    <w:tl2br w:val="nil"/>
                    <w:tr2bl w:val="nil"/>
                  </w:tcBorders>
                  <w:shd w:val="clear" w:color="auto" w:fill="auto"/>
                  <w:noWrap w:val="0"/>
                  <w:vAlign w:val="center"/>
                </w:tcPr>
                <w:p w14:paraId="1F6C4858">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黑体" w:cs="Times New Roman"/>
                      <w:i w:val="0"/>
                      <w:color w:val="000000"/>
                      <w:kern w:val="0"/>
                      <w:sz w:val="21"/>
                      <w:szCs w:val="21"/>
                      <w:highlight w:val="none"/>
                      <w:u w:val="none"/>
                      <w:lang w:val="en-US" w:eastAsia="zh-CN" w:bidi="ar-SA"/>
                    </w:rPr>
                  </w:pPr>
                  <w:r>
                    <w:rPr>
                      <w:rFonts w:hint="eastAsia" w:eastAsia="黑体" w:cs="Times New Roman"/>
                      <w:i w:val="0"/>
                      <w:color w:val="000000"/>
                      <w:kern w:val="0"/>
                      <w:sz w:val="21"/>
                      <w:szCs w:val="21"/>
                      <w:highlight w:val="none"/>
                      <w:u w:val="none"/>
                      <w:lang w:val="en-US" w:eastAsia="zh-CN" w:bidi="ar-SA"/>
                    </w:rPr>
                    <w:t>50.0</w:t>
                  </w:r>
                </w:p>
              </w:tc>
              <w:tc>
                <w:tcPr>
                  <w:tcW w:w="574" w:type="pct"/>
                  <w:tcBorders>
                    <w:tl2br w:val="nil"/>
                    <w:tr2bl w:val="nil"/>
                  </w:tcBorders>
                  <w:shd w:val="clear" w:color="auto" w:fill="auto"/>
                  <w:noWrap w:val="0"/>
                  <w:vAlign w:val="center"/>
                </w:tcPr>
                <w:p w14:paraId="40F0B502">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黑体" w:cs="Times New Roman"/>
                      <w:kern w:val="2"/>
                      <w:sz w:val="21"/>
                      <w:szCs w:val="21"/>
                      <w:highlight w:val="none"/>
                      <w:lang w:val="en-US" w:eastAsia="zh-CN" w:bidi="ar-SA"/>
                    </w:rPr>
                  </w:pPr>
                  <w:r>
                    <w:rPr>
                      <w:rFonts w:hint="eastAsia" w:eastAsia="黑体" w:cs="Times New Roman"/>
                      <w:kern w:val="2"/>
                      <w:sz w:val="21"/>
                      <w:szCs w:val="21"/>
                      <w:highlight w:val="none"/>
                      <w:lang w:val="en-US" w:eastAsia="zh-CN" w:bidi="ar-SA"/>
                    </w:rPr>
                    <w:t>43.4</w:t>
                  </w:r>
                </w:p>
              </w:tc>
              <w:tc>
                <w:tcPr>
                  <w:tcW w:w="1397" w:type="pct"/>
                  <w:tcBorders>
                    <w:tl2br w:val="nil"/>
                    <w:tr2bl w:val="nil"/>
                  </w:tcBorders>
                  <w:noWrap w:val="0"/>
                  <w:vAlign w:val="center"/>
                </w:tcPr>
                <w:p w14:paraId="65FCAEF6">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589" w:type="pct"/>
                  <w:tcBorders>
                    <w:tl2br w:val="nil"/>
                    <w:tr2bl w:val="nil"/>
                  </w:tcBorders>
                  <w:noWrap w:val="0"/>
                  <w:vAlign w:val="center"/>
                </w:tcPr>
                <w:p w14:paraId="6C925F06">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513" w:type="pct"/>
                  <w:tcBorders>
                    <w:tl2br w:val="nil"/>
                    <w:tr2bl w:val="nil"/>
                  </w:tcBorders>
                  <w:noWrap w:val="0"/>
                  <w:vAlign w:val="center"/>
                </w:tcPr>
                <w:p w14:paraId="566B86A0">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r>
          </w:tbl>
          <w:p w14:paraId="4C4E6008">
            <w:pPr>
              <w:spacing w:line="360" w:lineRule="auto"/>
              <w:ind w:left="0" w:leftChars="0" w:right="0" w:rightChars="0" w:firstLine="0" w:firstLineChars="0"/>
              <w:jc w:val="center"/>
              <w:rPr>
                <w:rFonts w:hint="eastAsia"/>
                <w:color w:val="000000" w:themeColor="text1"/>
                <w:kern w:val="0"/>
                <w:sz w:val="24"/>
                <w:highlight w:val="none"/>
                <w:lang w:val="en-US" w:eastAsia="zh-CN"/>
                <w14:textFill>
                  <w14:solidFill>
                    <w14:schemeClr w14:val="tx1"/>
                  </w14:solidFill>
                </w14:textFill>
              </w:rPr>
            </w:pPr>
            <w:r>
              <w:rPr>
                <w:rFonts w:hint="eastAsia"/>
                <w:color w:val="000000" w:themeColor="text1"/>
                <w:kern w:val="0"/>
                <w:sz w:val="24"/>
                <w:highlight w:val="none"/>
                <w:lang w:val="en-US" w:eastAsia="zh-CN"/>
                <w14:textFill>
                  <w14:solidFill>
                    <w14:schemeClr w14:val="tx1"/>
                  </w14:solidFill>
                </w14:textFill>
              </w:rPr>
              <w:drawing>
                <wp:inline distT="0" distB="0" distL="114300" distR="114300">
                  <wp:extent cx="5077460" cy="3166110"/>
                  <wp:effectExtent l="0" t="0" r="8890" b="1524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1"/>
                          <a:stretch>
                            <a:fillRect/>
                          </a:stretch>
                        </pic:blipFill>
                        <pic:spPr>
                          <a:xfrm>
                            <a:off x="0" y="0"/>
                            <a:ext cx="5077460" cy="3166110"/>
                          </a:xfrm>
                          <a:prstGeom prst="rect">
                            <a:avLst/>
                          </a:prstGeom>
                          <a:noFill/>
                          <a:ln>
                            <a:noFill/>
                          </a:ln>
                        </pic:spPr>
                      </pic:pic>
                    </a:graphicData>
                  </a:graphic>
                </wp:inline>
              </w:drawing>
            </w:r>
          </w:p>
          <w:p w14:paraId="11630002">
            <w:pPr>
              <w:spacing w:line="360" w:lineRule="auto"/>
              <w:ind w:left="0" w:leftChars="0" w:right="0" w:rightChars="0" w:firstLine="0" w:firstLineChars="0"/>
              <w:jc w:val="center"/>
              <w:rPr>
                <w:rFonts w:hint="eastAsia"/>
                <w:color w:val="000000" w:themeColor="text1"/>
                <w:kern w:val="0"/>
                <w:sz w:val="24"/>
                <w:highlight w:val="none"/>
                <w:lang w:val="en-US" w:eastAsia="zh-CN"/>
                <w14:textFill>
                  <w14:solidFill>
                    <w14:schemeClr w14:val="tx1"/>
                  </w14:solidFill>
                </w14:textFill>
              </w:rPr>
            </w:pPr>
            <w:r>
              <w:rPr>
                <w:rFonts w:hint="eastAsia"/>
                <w:b/>
                <w:bCs/>
                <w:color w:val="000000" w:themeColor="text1"/>
                <w:kern w:val="0"/>
                <w:sz w:val="24"/>
                <w:highlight w:val="none"/>
                <w:lang w:val="en-US" w:eastAsia="zh-CN"/>
                <w14:textFill>
                  <w14:solidFill>
                    <w14:schemeClr w14:val="tx1"/>
                  </w14:solidFill>
                </w14:textFill>
              </w:rPr>
              <w:t>图3-3 噪声监测点位示意图</w:t>
            </w:r>
          </w:p>
          <w:p w14:paraId="59DCE2AD">
            <w:pPr>
              <w:spacing w:line="360" w:lineRule="auto"/>
              <w:ind w:firstLine="480" w:firstLineChars="200"/>
              <w:rPr>
                <w:rFonts w:hint="default"/>
                <w:color w:val="000000" w:themeColor="text1"/>
                <w:kern w:val="21"/>
                <w:sz w:val="24"/>
                <w:highlight w:val="yellow"/>
                <w:lang w:val="en-US"/>
                <w14:textFill>
                  <w14:solidFill>
                    <w14:schemeClr w14:val="tx1"/>
                  </w14:solidFill>
                </w14:textFill>
              </w:rPr>
            </w:pPr>
            <w:r>
              <w:rPr>
                <w:rFonts w:hint="eastAsia"/>
                <w:color w:val="000000" w:themeColor="text1"/>
                <w:kern w:val="0"/>
                <w:sz w:val="24"/>
                <w:highlight w:val="none"/>
                <w:lang w:val="en-US" w:eastAsia="zh-CN"/>
                <w14:textFill>
                  <w14:solidFill>
                    <w14:schemeClr w14:val="tx1"/>
                  </w14:solidFill>
                </w14:textFill>
              </w:rPr>
              <w:t>根据监测结果可知，监测期间厂界昼间噪声值在49.1</w:t>
            </w:r>
            <w:r>
              <w:rPr>
                <w:rFonts w:hint="eastAsia"/>
                <w:color w:val="000000" w:themeColor="text1"/>
                <w:kern w:val="0"/>
                <w:sz w:val="24"/>
                <w:highlight w:val="none"/>
                <w:lang w:val="zh-CN" w:eastAsia="zh-CN"/>
                <w14:textFill>
                  <w14:solidFill>
                    <w14:schemeClr w14:val="tx1"/>
                  </w14:solidFill>
                </w14:textFill>
              </w:rPr>
              <w:t>dB(A)</w:t>
            </w:r>
            <w:r>
              <w:rPr>
                <w:rFonts w:hint="eastAsia"/>
                <w:color w:val="000000" w:themeColor="text1"/>
                <w:kern w:val="0"/>
                <w:sz w:val="24"/>
                <w:highlight w:val="none"/>
                <w:lang w:val="en-US" w:eastAsia="zh-CN"/>
                <w14:textFill>
                  <w14:solidFill>
                    <w14:schemeClr w14:val="tx1"/>
                  </w14:solidFill>
                </w14:textFill>
              </w:rPr>
              <w:t>~51.6</w:t>
            </w:r>
            <w:r>
              <w:rPr>
                <w:rFonts w:hint="eastAsia"/>
                <w:color w:val="000000" w:themeColor="text1"/>
                <w:kern w:val="0"/>
                <w:sz w:val="24"/>
                <w:highlight w:val="none"/>
                <w:lang w:val="zh-CN" w:eastAsia="zh-CN"/>
                <w14:textFill>
                  <w14:solidFill>
                    <w14:schemeClr w14:val="tx1"/>
                  </w14:solidFill>
                </w14:textFill>
              </w:rPr>
              <w:t>dB(A)，</w:t>
            </w:r>
            <w:r>
              <w:rPr>
                <w:rFonts w:hint="eastAsia"/>
                <w:color w:val="000000" w:themeColor="text1"/>
                <w:kern w:val="0"/>
                <w:sz w:val="24"/>
                <w:highlight w:val="none"/>
                <w:lang w:val="en-US" w:eastAsia="zh-CN"/>
                <w14:textFill>
                  <w14:solidFill>
                    <w14:schemeClr w14:val="tx1"/>
                  </w14:solidFill>
                </w14:textFill>
              </w:rPr>
              <w:t>夜间噪声值在45.1dB(A)~46.9dB(A)，满足《工业企业厂界环境噪声排放标准》（GB12348-2008）3类标准限值要求；敏感目标站南小区昼间噪声值在48.1dB(A)~50.4dB(A)，夜间噪声值在41.1dB(A)~43.4dB(A)，满足《声环境质量标准标准》（GB3096-2008）2类标准限值要求；敏感目标惠民新城昼间噪声值在47.6dB(A)~49.6dB(A)，夜间噪声值在40.6dB(A)~42.5dB(A)，满足《声环境质量标准标准》（GB3096-2008）1类标准限值要求。声环境质量较好。</w:t>
            </w:r>
          </w:p>
          <w:p w14:paraId="437BBAF4">
            <w:pPr>
              <w:keepNext w:val="0"/>
              <w:keepLines w:val="0"/>
              <w:pageBreakBefore w:val="0"/>
              <w:widowControl w:val="0"/>
              <w:kinsoku/>
              <w:wordWrap/>
              <w:overflowPunct/>
              <w:topLinePunct w:val="0"/>
              <w:autoSpaceDE/>
              <w:autoSpaceDN/>
              <w:bidi w:val="0"/>
              <w:spacing w:line="360" w:lineRule="auto"/>
              <w:ind w:left="0" w:leftChars="0" w:right="0" w:rightChars="0" w:firstLine="0" w:firstLineChars="0"/>
              <w:jc w:val="center"/>
              <w:textAlignment w:val="auto"/>
              <w:rPr>
                <w:b/>
                <w:bCs/>
                <w:color w:val="000000" w:themeColor="text1"/>
                <w:kern w:val="21"/>
                <w:sz w:val="24"/>
                <w:highlight w:val="none"/>
                <w14:textFill>
                  <w14:solidFill>
                    <w14:schemeClr w14:val="tx1"/>
                  </w14:solidFill>
                </w14:textFill>
              </w:rPr>
            </w:pPr>
            <w:r>
              <w:rPr>
                <w:b/>
                <w:bCs/>
                <w:color w:val="000000" w:themeColor="text1"/>
                <w:kern w:val="21"/>
                <w:sz w:val="24"/>
                <w:highlight w:val="none"/>
                <w14:textFill>
                  <w14:solidFill>
                    <w14:schemeClr w14:val="tx1"/>
                  </w14:solidFill>
                </w14:textFill>
              </w:rPr>
              <w:drawing>
                <wp:inline distT="0" distB="0" distL="114300" distR="114300">
                  <wp:extent cx="5033010" cy="5680710"/>
                  <wp:effectExtent l="0" t="0" r="15240" b="15240"/>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22"/>
                          <a:stretch>
                            <a:fillRect/>
                          </a:stretch>
                        </pic:blipFill>
                        <pic:spPr>
                          <a:xfrm>
                            <a:off x="0" y="0"/>
                            <a:ext cx="5033010" cy="5680710"/>
                          </a:xfrm>
                          <a:prstGeom prst="rect">
                            <a:avLst/>
                          </a:prstGeom>
                          <a:noFill/>
                          <a:ln>
                            <a:noFill/>
                          </a:ln>
                        </pic:spPr>
                      </pic:pic>
                    </a:graphicData>
                  </a:graphic>
                </wp:inline>
              </w:drawing>
            </w:r>
          </w:p>
          <w:p w14:paraId="557FBE1C">
            <w:pPr>
              <w:keepNext w:val="0"/>
              <w:keepLines w:val="0"/>
              <w:pageBreakBefore w:val="0"/>
              <w:widowControl w:val="0"/>
              <w:kinsoku/>
              <w:wordWrap/>
              <w:overflowPunct/>
              <w:topLinePunct w:val="0"/>
              <w:autoSpaceDE/>
              <w:autoSpaceDN/>
              <w:bidi w:val="0"/>
              <w:spacing w:line="360" w:lineRule="auto"/>
              <w:ind w:left="0" w:leftChars="0" w:right="0" w:rightChars="0" w:firstLine="0" w:firstLineChars="0"/>
              <w:jc w:val="center"/>
              <w:textAlignment w:val="auto"/>
              <w:rPr>
                <w:b/>
                <w:bCs/>
                <w:color w:val="000000" w:themeColor="text1"/>
                <w:kern w:val="21"/>
                <w:sz w:val="24"/>
                <w:highlight w:val="none"/>
                <w14:textFill>
                  <w14:solidFill>
                    <w14:schemeClr w14:val="tx1"/>
                  </w14:solidFill>
                </w14:textFill>
              </w:rPr>
            </w:pPr>
            <w:r>
              <w:rPr>
                <w:rFonts w:hint="eastAsia"/>
                <w:b/>
                <w:bCs/>
                <w:color w:val="000000" w:themeColor="text1"/>
                <w:kern w:val="21"/>
                <w:sz w:val="24"/>
                <w:highlight w:val="none"/>
                <w:lang w:val="en-US" w:eastAsia="zh-CN"/>
                <w14:textFill>
                  <w14:solidFill>
                    <w14:schemeClr w14:val="tx1"/>
                  </w14:solidFill>
                </w14:textFill>
              </w:rPr>
              <w:t>图3-4 双鸭山市中心城区声环境功能区划图</w:t>
            </w:r>
          </w:p>
          <w:p w14:paraId="12B29390">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b/>
                <w:bCs/>
                <w:color w:val="000000" w:themeColor="text1"/>
                <w:kern w:val="21"/>
                <w:sz w:val="24"/>
                <w:highlight w:val="none"/>
                <w14:textFill>
                  <w14:solidFill>
                    <w14:schemeClr w14:val="tx1"/>
                  </w14:solidFill>
                </w14:textFill>
              </w:rPr>
            </w:pPr>
            <w:r>
              <w:rPr>
                <w:b/>
                <w:bCs/>
                <w:color w:val="000000" w:themeColor="text1"/>
                <w:kern w:val="21"/>
                <w:sz w:val="24"/>
                <w:highlight w:val="none"/>
                <w14:textFill>
                  <w14:solidFill>
                    <w14:schemeClr w14:val="tx1"/>
                  </w14:solidFill>
                </w14:textFill>
              </w:rPr>
              <w:t>4、地下水环境质量现状</w:t>
            </w:r>
          </w:p>
          <w:p w14:paraId="6025B39F">
            <w:pPr>
              <w:keepNext w:val="0"/>
              <w:keepLines w:val="0"/>
              <w:pageBreakBefore w:val="0"/>
              <w:widowControl w:val="0"/>
              <w:kinsoku/>
              <w:wordWrap/>
              <w:overflowPunct/>
              <w:topLinePunct w:val="0"/>
              <w:autoSpaceDE/>
              <w:autoSpaceDN/>
              <w:bidi w:val="0"/>
              <w:spacing w:line="360" w:lineRule="auto"/>
              <w:ind w:firstLine="480" w:firstLineChars="200"/>
              <w:textAlignment w:val="auto"/>
              <w:rPr>
                <w:color w:val="000000" w:themeColor="text1"/>
                <w:kern w:val="21"/>
                <w:sz w:val="24"/>
                <w:highlight w:val="none"/>
                <w14:textFill>
                  <w14:solidFill>
                    <w14:schemeClr w14:val="tx1"/>
                  </w14:solidFill>
                </w14:textFill>
              </w:rPr>
            </w:pPr>
            <w:r>
              <w:rPr>
                <w:rFonts w:hint="eastAsia"/>
                <w:color w:val="000000" w:themeColor="text1"/>
                <w:kern w:val="21"/>
                <w:sz w:val="24"/>
                <w:highlight w:val="none"/>
                <w14:textFill>
                  <w14:solidFill>
                    <w14:schemeClr w14:val="tx1"/>
                  </w14:solidFill>
                </w14:textFill>
              </w:rPr>
              <w:t>经现场勘查，本项目厂界外</w:t>
            </w:r>
            <w:r>
              <w:rPr>
                <w:rFonts w:hint="eastAsia"/>
                <w:color w:val="000000" w:themeColor="text1"/>
                <w:kern w:val="21"/>
                <w:sz w:val="24"/>
                <w:highlight w:val="none"/>
                <w:lang w:val="en-US" w:eastAsia="zh-CN"/>
                <w14:textFill>
                  <w14:solidFill>
                    <w14:schemeClr w14:val="tx1"/>
                  </w14:solidFill>
                </w14:textFill>
              </w:rPr>
              <w:t>500m</w:t>
            </w:r>
            <w:r>
              <w:rPr>
                <w:rFonts w:hint="eastAsia"/>
                <w:color w:val="000000" w:themeColor="text1"/>
                <w:kern w:val="21"/>
                <w:sz w:val="24"/>
                <w:highlight w:val="none"/>
                <w14:textFill>
                  <w14:solidFill>
                    <w14:schemeClr w14:val="tx1"/>
                  </w14:solidFill>
                </w14:textFill>
              </w:rPr>
              <w:t>范围内无地下水集中式饮用水水源和热水、矿泉水、温泉等特殊水资源。</w:t>
            </w:r>
            <w:r>
              <w:rPr>
                <w:rFonts w:hint="eastAsia"/>
                <w:color w:val="FF0000"/>
                <w:kern w:val="21"/>
                <w:sz w:val="24"/>
                <w:highlight w:val="none"/>
                <w:lang w:val="en-US" w:eastAsia="zh-CN"/>
              </w:rPr>
              <w:t>厂区内及周边无地下水井</w:t>
            </w:r>
            <w:r>
              <w:rPr>
                <w:rFonts w:hint="eastAsia"/>
                <w:color w:val="000000" w:themeColor="text1"/>
                <w:kern w:val="21"/>
                <w:sz w:val="24"/>
                <w:highlight w:val="none"/>
                <w:lang w:val="en-US" w:eastAsia="zh-CN"/>
                <w14:textFill>
                  <w14:solidFill>
                    <w14:schemeClr w14:val="tx1"/>
                  </w14:solidFill>
                </w14:textFill>
              </w:rPr>
              <w:t>，因此</w:t>
            </w:r>
            <w:r>
              <w:rPr>
                <w:rFonts w:hint="eastAsia"/>
                <w:color w:val="000000" w:themeColor="text1"/>
                <w:kern w:val="21"/>
                <w:sz w:val="24"/>
                <w:highlight w:val="none"/>
                <w14:textFill>
                  <w14:solidFill>
                    <w14:schemeClr w14:val="tx1"/>
                  </w14:solidFill>
                </w14:textFill>
              </w:rPr>
              <w:t>本次评价</w:t>
            </w:r>
            <w:r>
              <w:rPr>
                <w:rFonts w:hint="eastAsia"/>
                <w:color w:val="000000" w:themeColor="text1"/>
                <w:kern w:val="21"/>
                <w:sz w:val="24"/>
                <w:highlight w:val="none"/>
                <w:lang w:val="en-US" w:eastAsia="zh-CN"/>
                <w14:textFill>
                  <w14:solidFill>
                    <w14:schemeClr w14:val="tx1"/>
                  </w14:solidFill>
                </w14:textFill>
              </w:rPr>
              <w:t>不进行地下水监测</w:t>
            </w:r>
            <w:r>
              <w:rPr>
                <w:rFonts w:hint="eastAsia"/>
                <w:color w:val="000000" w:themeColor="text1"/>
                <w:kern w:val="21"/>
                <w:sz w:val="24"/>
                <w:highlight w:val="none"/>
                <w:lang w:eastAsia="zh-CN"/>
                <w14:textFill>
                  <w14:solidFill>
                    <w14:schemeClr w14:val="tx1"/>
                  </w14:solidFill>
                </w14:textFill>
              </w:rPr>
              <w:t>。</w:t>
            </w:r>
          </w:p>
          <w:p w14:paraId="2DF4847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auto"/>
              <w:rPr>
                <w:rFonts w:hint="eastAsia"/>
                <w:b/>
                <w:bCs/>
                <w:color w:val="000000" w:themeColor="text1"/>
                <w:sz w:val="24"/>
                <w:highlight w:val="none"/>
                <w:lang w:val="en-US" w:eastAsia="zh-CN"/>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5、土壤环境质量现状</w:t>
            </w:r>
          </w:p>
          <w:p w14:paraId="31B66EE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为了掌握土壤环境质量现状</w:t>
            </w:r>
            <w:r>
              <w:rPr>
                <w:rFonts w:hint="eastAsia"/>
                <w:color w:val="000000" w:themeColor="text1"/>
                <w:sz w:val="24"/>
                <w:szCs w:val="24"/>
                <w:highlight w:val="none"/>
                <w:lang w:val="en-US" w:eastAsia="zh-CN"/>
                <w14:textFill>
                  <w14:solidFill>
                    <w14:schemeClr w14:val="tx1"/>
                  </w14:solidFill>
                </w14:textFill>
              </w:rPr>
              <w:t>情况</w:t>
            </w:r>
            <w:r>
              <w:rPr>
                <w:rFonts w:hint="default"/>
                <w:color w:val="000000" w:themeColor="text1"/>
                <w:sz w:val="24"/>
                <w:szCs w:val="24"/>
                <w:highlight w:val="none"/>
                <w:lang w:val="en-US" w:eastAsia="zh-CN"/>
                <w14:textFill>
                  <w14:solidFill>
                    <w14:schemeClr w14:val="tx1"/>
                  </w14:solidFill>
                </w14:textFill>
              </w:rPr>
              <w:t>，本次现状评价</w:t>
            </w:r>
            <w:r>
              <w:rPr>
                <w:rFonts w:hint="eastAsia"/>
                <w:color w:val="000000" w:themeColor="text1"/>
                <w:sz w:val="24"/>
                <w:szCs w:val="24"/>
                <w:highlight w:val="none"/>
                <w:lang w:val="en-US" w:eastAsia="zh-CN"/>
                <w14:textFill>
                  <w14:solidFill>
                    <w14:schemeClr w14:val="tx1"/>
                  </w14:solidFill>
                </w14:textFill>
              </w:rPr>
              <w:t>委托江苏格林勒斯</w:t>
            </w:r>
            <w:r>
              <w:rPr>
                <w:rFonts w:hint="default"/>
                <w:color w:val="000000" w:themeColor="text1"/>
                <w:sz w:val="24"/>
                <w:szCs w:val="24"/>
                <w:highlight w:val="none"/>
                <w:lang w:val="en-US" w:eastAsia="zh-CN"/>
                <w14:textFill>
                  <w14:solidFill>
                    <w14:schemeClr w14:val="tx1"/>
                  </w14:solidFill>
                </w14:textFill>
              </w:rPr>
              <w:t>检测</w:t>
            </w:r>
            <w:r>
              <w:rPr>
                <w:rFonts w:hint="eastAsia"/>
                <w:color w:val="000000" w:themeColor="text1"/>
                <w:sz w:val="24"/>
                <w:szCs w:val="24"/>
                <w:highlight w:val="none"/>
                <w:lang w:val="en-US" w:eastAsia="zh-CN"/>
                <w14:textFill>
                  <w14:solidFill>
                    <w14:schemeClr w14:val="tx1"/>
                  </w14:solidFill>
                </w14:textFill>
              </w:rPr>
              <w:t>科技</w:t>
            </w:r>
            <w:r>
              <w:rPr>
                <w:rFonts w:hint="default"/>
                <w:color w:val="000000" w:themeColor="text1"/>
                <w:sz w:val="24"/>
                <w:szCs w:val="24"/>
                <w:highlight w:val="none"/>
                <w:lang w:val="en-US" w:eastAsia="zh-CN"/>
                <w14:textFill>
                  <w14:solidFill>
                    <w14:schemeClr w14:val="tx1"/>
                  </w14:solidFill>
                </w14:textFill>
              </w:rPr>
              <w:t>有限公司</w:t>
            </w:r>
            <w:r>
              <w:rPr>
                <w:rFonts w:hint="eastAsia"/>
                <w:color w:val="000000" w:themeColor="text1"/>
                <w:sz w:val="24"/>
                <w:szCs w:val="24"/>
                <w:highlight w:val="none"/>
                <w:lang w:val="en-US" w:eastAsia="zh-CN"/>
                <w14:textFill>
                  <w14:solidFill>
                    <w14:schemeClr w14:val="tx1"/>
                  </w14:solidFill>
                </w14:textFill>
              </w:rPr>
              <w:t>对厂区内土壤进行</w:t>
            </w:r>
            <w:r>
              <w:rPr>
                <w:rFonts w:hint="default"/>
                <w:color w:val="000000" w:themeColor="text1"/>
                <w:sz w:val="24"/>
                <w:szCs w:val="24"/>
                <w:highlight w:val="none"/>
                <w:lang w:val="en-US" w:eastAsia="zh-CN"/>
                <w14:textFill>
                  <w14:solidFill>
                    <w14:schemeClr w14:val="tx1"/>
                  </w14:solidFill>
                </w14:textFill>
              </w:rPr>
              <w:t>监测，</w:t>
            </w:r>
            <w:r>
              <w:rPr>
                <w:rFonts w:hint="eastAsia"/>
                <w:color w:val="000000" w:themeColor="text1"/>
                <w:sz w:val="24"/>
                <w:szCs w:val="24"/>
                <w:highlight w:val="none"/>
                <w:lang w:val="en-US" w:eastAsia="zh-CN"/>
                <w14:textFill>
                  <w14:solidFill>
                    <w14:schemeClr w14:val="tx1"/>
                  </w14:solidFill>
                </w14:textFill>
              </w:rPr>
              <w:t>收样</w:t>
            </w:r>
            <w:r>
              <w:rPr>
                <w:rFonts w:hint="default"/>
                <w:color w:val="000000" w:themeColor="text1"/>
                <w:sz w:val="24"/>
                <w:szCs w:val="24"/>
                <w:highlight w:val="none"/>
                <w:lang w:val="en-US" w:eastAsia="zh-CN"/>
                <w14:textFill>
                  <w14:solidFill>
                    <w14:schemeClr w14:val="tx1"/>
                  </w14:solidFill>
                </w14:textFill>
              </w:rPr>
              <w:t>时间为202</w:t>
            </w:r>
            <w:r>
              <w:rPr>
                <w:rFonts w:hint="eastAsia"/>
                <w:color w:val="000000" w:themeColor="text1"/>
                <w:sz w:val="24"/>
                <w:szCs w:val="24"/>
                <w:highlight w:val="none"/>
                <w:lang w:val="en-US" w:eastAsia="zh-CN"/>
                <w14:textFill>
                  <w14:solidFill>
                    <w14:schemeClr w14:val="tx1"/>
                  </w14:solidFill>
                </w14:textFill>
              </w:rPr>
              <w:t>5</w:t>
            </w:r>
            <w:r>
              <w:rPr>
                <w:rFonts w:hint="default"/>
                <w:color w:val="000000" w:themeColor="text1"/>
                <w:sz w:val="24"/>
                <w:szCs w:val="24"/>
                <w:highlight w:val="none"/>
                <w:lang w:val="en-US" w:eastAsia="zh-CN"/>
                <w14:textFill>
                  <w14:solidFill>
                    <w14:schemeClr w14:val="tx1"/>
                  </w14:solidFill>
                </w14:textFill>
              </w:rPr>
              <w:t>年</w:t>
            </w:r>
            <w:r>
              <w:rPr>
                <w:rFonts w:hint="eastAsia"/>
                <w:color w:val="000000" w:themeColor="text1"/>
                <w:sz w:val="24"/>
                <w:szCs w:val="24"/>
                <w:highlight w:val="none"/>
                <w:lang w:val="en-US" w:eastAsia="zh-CN"/>
                <w14:textFill>
                  <w14:solidFill>
                    <w14:schemeClr w14:val="tx1"/>
                  </w14:solidFill>
                </w14:textFill>
              </w:rPr>
              <w:t>2</w:t>
            </w:r>
            <w:r>
              <w:rPr>
                <w:rFonts w:hint="default"/>
                <w:color w:val="000000" w:themeColor="text1"/>
                <w:sz w:val="24"/>
                <w:szCs w:val="24"/>
                <w:highlight w:val="none"/>
                <w:lang w:val="en-US" w:eastAsia="zh-CN"/>
                <w14:textFill>
                  <w14:solidFill>
                    <w14:schemeClr w14:val="tx1"/>
                  </w14:solidFill>
                </w14:textFill>
              </w:rPr>
              <w:t>月</w:t>
            </w:r>
            <w:r>
              <w:rPr>
                <w:rFonts w:hint="eastAsia"/>
                <w:color w:val="000000" w:themeColor="text1"/>
                <w:sz w:val="24"/>
                <w:szCs w:val="24"/>
                <w:highlight w:val="none"/>
                <w:lang w:val="en-US" w:eastAsia="zh-CN"/>
                <w14:textFill>
                  <w14:solidFill>
                    <w14:schemeClr w14:val="tx1"/>
                  </w14:solidFill>
                </w14:textFill>
              </w:rPr>
              <w:t>12</w:t>
            </w:r>
            <w:r>
              <w:rPr>
                <w:rFonts w:hint="default"/>
                <w:color w:val="000000" w:themeColor="text1"/>
                <w:sz w:val="24"/>
                <w:szCs w:val="24"/>
                <w:highlight w:val="none"/>
                <w:lang w:val="en-US" w:eastAsia="zh-CN"/>
                <w14:textFill>
                  <w14:solidFill>
                    <w14:schemeClr w14:val="tx1"/>
                  </w14:solidFill>
                </w14:textFill>
              </w:rPr>
              <w:t>日。监测</w:t>
            </w:r>
            <w:r>
              <w:rPr>
                <w:rFonts w:hint="eastAsia"/>
                <w:color w:val="000000" w:themeColor="text1"/>
                <w:sz w:val="24"/>
                <w:szCs w:val="24"/>
                <w:highlight w:val="none"/>
                <w:lang w:val="en-US" w:eastAsia="zh-CN"/>
                <w14:textFill>
                  <w14:solidFill>
                    <w14:schemeClr w14:val="tx1"/>
                  </w14:solidFill>
                </w14:textFill>
              </w:rPr>
              <w:t>结果</w:t>
            </w:r>
            <w:r>
              <w:rPr>
                <w:rFonts w:hint="default"/>
                <w:color w:val="000000" w:themeColor="text1"/>
                <w:sz w:val="24"/>
                <w:szCs w:val="24"/>
                <w:highlight w:val="none"/>
                <w:lang w:val="en-US" w:eastAsia="zh-CN"/>
                <w14:textFill>
                  <w14:solidFill>
                    <w14:schemeClr w14:val="tx1"/>
                  </w14:solidFill>
                </w14:textFill>
              </w:rPr>
              <w:t>见</w:t>
            </w:r>
            <w:r>
              <w:rPr>
                <w:rFonts w:hint="eastAsia"/>
                <w:color w:val="000000" w:themeColor="text1"/>
                <w:sz w:val="24"/>
                <w:szCs w:val="24"/>
                <w:highlight w:val="none"/>
                <w:lang w:val="en-US" w:eastAsia="zh-CN"/>
                <w14:textFill>
                  <w14:solidFill>
                    <w14:schemeClr w14:val="tx1"/>
                  </w14:solidFill>
                </w14:textFill>
              </w:rPr>
              <w:t>下</w:t>
            </w:r>
            <w:r>
              <w:rPr>
                <w:rFonts w:hint="default"/>
                <w:color w:val="000000" w:themeColor="text1"/>
                <w:sz w:val="24"/>
                <w:szCs w:val="24"/>
                <w:highlight w:val="none"/>
                <w:lang w:val="en-US" w:eastAsia="zh-CN"/>
                <w14:textFill>
                  <w14:solidFill>
                    <w14:schemeClr w14:val="tx1"/>
                  </w14:solidFill>
                </w14:textFill>
              </w:rPr>
              <w:t>表</w:t>
            </w:r>
            <w:r>
              <w:rPr>
                <w:rFonts w:hint="eastAsia"/>
                <w:color w:val="000000" w:themeColor="text1"/>
                <w:sz w:val="24"/>
                <w:szCs w:val="24"/>
                <w:highlight w:val="none"/>
                <w:lang w:val="en-US" w:eastAsia="zh-CN"/>
                <w14:textFill>
                  <w14:solidFill>
                    <w14:schemeClr w14:val="tx1"/>
                  </w14:solidFill>
                </w14:textFill>
              </w:rPr>
              <w:t>。</w:t>
            </w:r>
          </w:p>
          <w:p w14:paraId="2BBCAE5E">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default"/>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表3-</w:t>
            </w:r>
            <w:r>
              <w:rPr>
                <w:rFonts w:hint="eastAsia" w:cs="Times New Roman"/>
                <w:b/>
                <w:bCs/>
                <w:color w:val="000000" w:themeColor="text1"/>
                <w:kern w:val="0"/>
                <w:sz w:val="24"/>
                <w:szCs w:val="24"/>
                <w:highlight w:val="none"/>
                <w:lang w:val="en-US" w:eastAsia="zh-CN" w:bidi="ar-SA"/>
                <w14:textFill>
                  <w14:solidFill>
                    <w14:schemeClr w14:val="tx1"/>
                  </w14:solidFill>
                </w14:textFill>
              </w:rPr>
              <w:t>6</w:t>
            </w:r>
            <w:r>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 xml:space="preserve"> 土壤监测结果一览表</w:t>
            </w:r>
          </w:p>
          <w:tbl>
            <w:tblPr>
              <w:tblStyle w:val="29"/>
              <w:tblW w:w="797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7"/>
              <w:gridCol w:w="2320"/>
              <w:gridCol w:w="1303"/>
              <w:gridCol w:w="1408"/>
              <w:gridCol w:w="2289"/>
            </w:tblGrid>
            <w:tr w14:paraId="4F2FA4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vMerge w:val="restart"/>
                  <w:tcBorders>
                    <w:tl2br w:val="nil"/>
                    <w:tr2bl w:val="nil"/>
                  </w:tcBorders>
                  <w:noWrap w:val="0"/>
                  <w:vAlign w:val="center"/>
                </w:tcPr>
                <w:p w14:paraId="5D0672FF">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序号</w:t>
                  </w:r>
                </w:p>
              </w:tc>
              <w:tc>
                <w:tcPr>
                  <w:tcW w:w="2320" w:type="dxa"/>
                  <w:vMerge w:val="restart"/>
                  <w:tcBorders>
                    <w:tl2br w:val="nil"/>
                    <w:tr2bl w:val="nil"/>
                  </w:tcBorders>
                  <w:noWrap w:val="0"/>
                  <w:vAlign w:val="center"/>
                </w:tcPr>
                <w:p w14:paraId="7EA96C38">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监测项目</w:t>
                  </w:r>
                </w:p>
              </w:tc>
              <w:tc>
                <w:tcPr>
                  <w:tcW w:w="1303" w:type="dxa"/>
                  <w:vMerge w:val="restart"/>
                  <w:tcBorders>
                    <w:tl2br w:val="nil"/>
                    <w:tr2bl w:val="nil"/>
                  </w:tcBorders>
                  <w:noWrap w:val="0"/>
                  <w:vAlign w:val="center"/>
                </w:tcPr>
                <w:p w14:paraId="5842A97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监测结果</w:t>
                  </w:r>
                </w:p>
              </w:tc>
              <w:tc>
                <w:tcPr>
                  <w:tcW w:w="1408" w:type="dxa"/>
                  <w:vMerge w:val="restart"/>
                  <w:tcBorders>
                    <w:tl2br w:val="nil"/>
                    <w:tr2bl w:val="nil"/>
                  </w:tcBorders>
                  <w:noWrap w:val="0"/>
                  <w:vAlign w:val="center"/>
                </w:tcPr>
                <w:p w14:paraId="0491B192">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单位</w:t>
                  </w:r>
                </w:p>
              </w:tc>
              <w:tc>
                <w:tcPr>
                  <w:tcW w:w="2289" w:type="dxa"/>
                  <w:tcBorders>
                    <w:tl2br w:val="nil"/>
                    <w:tr2bl w:val="nil"/>
                  </w:tcBorders>
                  <w:noWrap w:val="0"/>
                  <w:vAlign w:val="center"/>
                </w:tcPr>
                <w:p w14:paraId="30EBA05D">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标准限值</w:t>
                  </w:r>
                </w:p>
              </w:tc>
            </w:tr>
            <w:tr w14:paraId="3C3E39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vMerge w:val="continue"/>
                  <w:tcBorders>
                    <w:tl2br w:val="nil"/>
                    <w:tr2bl w:val="nil"/>
                  </w:tcBorders>
                  <w:noWrap w:val="0"/>
                  <w:vAlign w:val="center"/>
                </w:tcPr>
                <w:p w14:paraId="5AB87C48">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2320" w:type="dxa"/>
                  <w:vMerge w:val="continue"/>
                  <w:tcBorders>
                    <w:tl2br w:val="nil"/>
                    <w:tr2bl w:val="nil"/>
                  </w:tcBorders>
                  <w:noWrap w:val="0"/>
                  <w:vAlign w:val="center"/>
                </w:tcPr>
                <w:p w14:paraId="3B98D20C">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303" w:type="dxa"/>
                  <w:vMerge w:val="continue"/>
                  <w:tcBorders>
                    <w:tl2br w:val="nil"/>
                    <w:tr2bl w:val="nil"/>
                  </w:tcBorders>
                  <w:noWrap w:val="0"/>
                  <w:vAlign w:val="center"/>
                </w:tcPr>
                <w:p w14:paraId="709A1294">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408" w:type="dxa"/>
                  <w:vMerge w:val="continue"/>
                  <w:tcBorders>
                    <w:tl2br w:val="nil"/>
                    <w:tr2bl w:val="nil"/>
                  </w:tcBorders>
                  <w:noWrap w:val="0"/>
                  <w:vAlign w:val="center"/>
                </w:tcPr>
                <w:p w14:paraId="1DF88DC1">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2289" w:type="dxa"/>
                  <w:tcBorders>
                    <w:tl2br w:val="nil"/>
                    <w:tr2bl w:val="nil"/>
                  </w:tcBorders>
                  <w:noWrap w:val="0"/>
                  <w:vAlign w:val="center"/>
                </w:tcPr>
                <w:p w14:paraId="2A1222EF">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第二类用地筛选值</w:t>
                  </w:r>
                </w:p>
              </w:tc>
            </w:tr>
            <w:tr w14:paraId="0348CC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634548C0">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2320" w:type="dxa"/>
                  <w:tcBorders>
                    <w:tl2br w:val="nil"/>
                    <w:tr2bl w:val="nil"/>
                  </w:tcBorders>
                  <w:noWrap w:val="0"/>
                  <w:vAlign w:val="center"/>
                </w:tcPr>
                <w:p w14:paraId="0C957071">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砷</w:t>
                  </w:r>
                  <w:r>
                    <w:rPr>
                      <w:rFonts w:hint="eastAsia" w:cs="Times New Roman"/>
                      <w:color w:val="FF0000"/>
                      <w:sz w:val="21"/>
                      <w:szCs w:val="21"/>
                      <w:highlight w:val="none"/>
                      <w:lang w:val="en-US" w:eastAsia="zh-CN"/>
                    </w:rPr>
                    <w:t>*</w:t>
                  </w:r>
                </w:p>
              </w:tc>
              <w:tc>
                <w:tcPr>
                  <w:tcW w:w="1303" w:type="dxa"/>
                  <w:tcBorders>
                    <w:tl2br w:val="nil"/>
                    <w:tr2bl w:val="nil"/>
                  </w:tcBorders>
                  <w:noWrap w:val="0"/>
                  <w:vAlign w:val="center"/>
                </w:tcPr>
                <w:p w14:paraId="53A5E247">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9.34</w:t>
                  </w:r>
                </w:p>
              </w:tc>
              <w:tc>
                <w:tcPr>
                  <w:tcW w:w="1408" w:type="dxa"/>
                  <w:tcBorders>
                    <w:tl2br w:val="nil"/>
                    <w:tr2bl w:val="nil"/>
                  </w:tcBorders>
                  <w:noWrap w:val="0"/>
                  <w:vAlign w:val="center"/>
                </w:tcPr>
                <w:p w14:paraId="508539F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mg/kg</w:t>
                  </w:r>
                </w:p>
              </w:tc>
              <w:tc>
                <w:tcPr>
                  <w:tcW w:w="2289" w:type="dxa"/>
                  <w:tcBorders>
                    <w:tl2br w:val="nil"/>
                    <w:tr2bl w:val="nil"/>
                  </w:tcBorders>
                  <w:noWrap w:val="0"/>
                  <w:vAlign w:val="top"/>
                </w:tcPr>
                <w:p w14:paraId="553EABC7">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60mg/kg</w:t>
                  </w:r>
                </w:p>
              </w:tc>
            </w:tr>
            <w:tr w14:paraId="46BCD4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41AC900B">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c>
                <w:tcPr>
                  <w:tcW w:w="2320" w:type="dxa"/>
                  <w:tcBorders>
                    <w:tl2br w:val="nil"/>
                    <w:tr2bl w:val="nil"/>
                  </w:tcBorders>
                  <w:noWrap w:val="0"/>
                  <w:vAlign w:val="center"/>
                </w:tcPr>
                <w:p w14:paraId="1D0DF62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镉*</w:t>
                  </w:r>
                </w:p>
              </w:tc>
              <w:tc>
                <w:tcPr>
                  <w:tcW w:w="1303" w:type="dxa"/>
                  <w:tcBorders>
                    <w:tl2br w:val="nil"/>
                    <w:tr2bl w:val="nil"/>
                  </w:tcBorders>
                  <w:noWrap w:val="0"/>
                  <w:vAlign w:val="center"/>
                </w:tcPr>
                <w:p w14:paraId="10B0F18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0.1</w:t>
                  </w:r>
                  <w:r>
                    <w:rPr>
                      <w:rFonts w:hint="eastAsia" w:cs="Times New Roman"/>
                      <w:color w:val="000000" w:themeColor="text1"/>
                      <w:sz w:val="21"/>
                      <w:szCs w:val="21"/>
                      <w:highlight w:val="none"/>
                      <w:lang w:val="en-US" w:eastAsia="zh-CN"/>
                      <w14:textFill>
                        <w14:solidFill>
                          <w14:schemeClr w14:val="tx1"/>
                        </w14:solidFill>
                      </w14:textFill>
                    </w:rPr>
                    <w:t>3</w:t>
                  </w:r>
                </w:p>
              </w:tc>
              <w:tc>
                <w:tcPr>
                  <w:tcW w:w="1408" w:type="dxa"/>
                  <w:tcBorders>
                    <w:tl2br w:val="nil"/>
                    <w:tr2bl w:val="nil"/>
                  </w:tcBorders>
                  <w:noWrap w:val="0"/>
                  <w:vAlign w:val="center"/>
                </w:tcPr>
                <w:p w14:paraId="0ECA521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mg/kg</w:t>
                  </w:r>
                </w:p>
              </w:tc>
              <w:tc>
                <w:tcPr>
                  <w:tcW w:w="2289" w:type="dxa"/>
                  <w:tcBorders>
                    <w:tl2br w:val="nil"/>
                    <w:tr2bl w:val="nil"/>
                  </w:tcBorders>
                  <w:noWrap w:val="0"/>
                  <w:vAlign w:val="top"/>
                </w:tcPr>
                <w:p w14:paraId="0649A97D">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65mg/kg</w:t>
                  </w:r>
                </w:p>
              </w:tc>
            </w:tr>
            <w:tr w14:paraId="1493AC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13581272">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c>
                <w:tcPr>
                  <w:tcW w:w="2320" w:type="dxa"/>
                  <w:tcBorders>
                    <w:tl2br w:val="nil"/>
                    <w:tr2bl w:val="nil"/>
                  </w:tcBorders>
                  <w:noWrap w:val="0"/>
                  <w:vAlign w:val="center"/>
                </w:tcPr>
                <w:p w14:paraId="1BFC9075">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六价铬*</w:t>
                  </w:r>
                </w:p>
              </w:tc>
              <w:tc>
                <w:tcPr>
                  <w:tcW w:w="1303" w:type="dxa"/>
                  <w:tcBorders>
                    <w:tl2br w:val="nil"/>
                    <w:tr2bl w:val="nil"/>
                  </w:tcBorders>
                  <w:noWrap w:val="0"/>
                  <w:vAlign w:val="center"/>
                </w:tcPr>
                <w:p w14:paraId="0F75513F">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44701FEE">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mg/kg</w:t>
                  </w:r>
                </w:p>
              </w:tc>
              <w:tc>
                <w:tcPr>
                  <w:tcW w:w="2289" w:type="dxa"/>
                  <w:tcBorders>
                    <w:tl2br w:val="nil"/>
                    <w:tr2bl w:val="nil"/>
                  </w:tcBorders>
                  <w:noWrap w:val="0"/>
                  <w:vAlign w:val="top"/>
                </w:tcPr>
                <w:p w14:paraId="36F88D47">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5.7mg/kg</w:t>
                  </w:r>
                </w:p>
              </w:tc>
            </w:tr>
            <w:tr w14:paraId="4FA6F2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1B8D6E1C">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w:t>
                  </w:r>
                </w:p>
              </w:tc>
              <w:tc>
                <w:tcPr>
                  <w:tcW w:w="2320" w:type="dxa"/>
                  <w:tcBorders>
                    <w:tl2br w:val="nil"/>
                    <w:tr2bl w:val="nil"/>
                  </w:tcBorders>
                  <w:noWrap w:val="0"/>
                  <w:vAlign w:val="center"/>
                </w:tcPr>
                <w:p w14:paraId="008730C9">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铜</w:t>
                  </w:r>
                </w:p>
              </w:tc>
              <w:tc>
                <w:tcPr>
                  <w:tcW w:w="1303" w:type="dxa"/>
                  <w:tcBorders>
                    <w:tl2br w:val="nil"/>
                    <w:tr2bl w:val="nil"/>
                  </w:tcBorders>
                  <w:noWrap w:val="0"/>
                  <w:vAlign w:val="center"/>
                </w:tcPr>
                <w:p w14:paraId="67408748">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w:t>
                  </w:r>
                  <w:r>
                    <w:rPr>
                      <w:rFonts w:hint="eastAsia" w:cs="Times New Roman"/>
                      <w:color w:val="000000" w:themeColor="text1"/>
                      <w:sz w:val="21"/>
                      <w:szCs w:val="21"/>
                      <w:highlight w:val="none"/>
                      <w:lang w:val="en-US" w:eastAsia="zh-CN"/>
                      <w14:textFill>
                        <w14:solidFill>
                          <w14:schemeClr w14:val="tx1"/>
                        </w14:solidFill>
                      </w14:textFill>
                    </w:rPr>
                    <w:t>1</w:t>
                  </w:r>
                </w:p>
              </w:tc>
              <w:tc>
                <w:tcPr>
                  <w:tcW w:w="1408" w:type="dxa"/>
                  <w:tcBorders>
                    <w:tl2br w:val="nil"/>
                    <w:tr2bl w:val="nil"/>
                  </w:tcBorders>
                  <w:noWrap w:val="0"/>
                  <w:vAlign w:val="center"/>
                </w:tcPr>
                <w:p w14:paraId="0FD12344">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mg/kg</w:t>
                  </w:r>
                </w:p>
              </w:tc>
              <w:tc>
                <w:tcPr>
                  <w:tcW w:w="2289" w:type="dxa"/>
                  <w:tcBorders>
                    <w:tl2br w:val="nil"/>
                    <w:tr2bl w:val="nil"/>
                  </w:tcBorders>
                  <w:noWrap w:val="0"/>
                  <w:vAlign w:val="top"/>
                </w:tcPr>
                <w:p w14:paraId="347F9085">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18000mg/kg</w:t>
                  </w:r>
                </w:p>
              </w:tc>
            </w:tr>
            <w:tr w14:paraId="1C1FC0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2E4B8789">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w:t>
                  </w:r>
                </w:p>
              </w:tc>
              <w:tc>
                <w:tcPr>
                  <w:tcW w:w="2320" w:type="dxa"/>
                  <w:tcBorders>
                    <w:tl2br w:val="nil"/>
                    <w:tr2bl w:val="nil"/>
                  </w:tcBorders>
                  <w:noWrap w:val="0"/>
                  <w:vAlign w:val="center"/>
                </w:tcPr>
                <w:p w14:paraId="6C211CDB">
                  <w:pPr>
                    <w:spacing w:line="240" w:lineRule="auto"/>
                    <w:ind w:left="0" w:leftChars="0" w:right="0" w:rightChars="0" w:firstLine="0" w:firstLineChars="0"/>
                    <w:jc w:val="center"/>
                    <w:rPr>
                      <w:rFonts w:hint="eastAsia"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铅*</w:t>
                  </w:r>
                </w:p>
              </w:tc>
              <w:tc>
                <w:tcPr>
                  <w:tcW w:w="1303" w:type="dxa"/>
                  <w:tcBorders>
                    <w:tl2br w:val="nil"/>
                    <w:tr2bl w:val="nil"/>
                  </w:tcBorders>
                  <w:noWrap w:val="0"/>
                  <w:vAlign w:val="center"/>
                </w:tcPr>
                <w:p w14:paraId="25710B99">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39.2</w:t>
                  </w:r>
                </w:p>
              </w:tc>
              <w:tc>
                <w:tcPr>
                  <w:tcW w:w="1408" w:type="dxa"/>
                  <w:tcBorders>
                    <w:tl2br w:val="nil"/>
                    <w:tr2bl w:val="nil"/>
                  </w:tcBorders>
                  <w:noWrap w:val="0"/>
                  <w:vAlign w:val="center"/>
                </w:tcPr>
                <w:p w14:paraId="1E058C7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mg/kg</w:t>
                  </w:r>
                </w:p>
              </w:tc>
              <w:tc>
                <w:tcPr>
                  <w:tcW w:w="2289" w:type="dxa"/>
                  <w:tcBorders>
                    <w:tl2br w:val="nil"/>
                    <w:tr2bl w:val="nil"/>
                  </w:tcBorders>
                  <w:noWrap w:val="0"/>
                  <w:vAlign w:val="top"/>
                </w:tcPr>
                <w:p w14:paraId="17E8D061">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800mg/kg</w:t>
                  </w:r>
                </w:p>
              </w:tc>
            </w:tr>
            <w:tr w14:paraId="783571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2EB7D5B7">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6</w:t>
                  </w:r>
                </w:p>
              </w:tc>
              <w:tc>
                <w:tcPr>
                  <w:tcW w:w="2320" w:type="dxa"/>
                  <w:tcBorders>
                    <w:tl2br w:val="nil"/>
                    <w:tr2bl w:val="nil"/>
                  </w:tcBorders>
                  <w:noWrap w:val="0"/>
                  <w:vAlign w:val="center"/>
                </w:tcPr>
                <w:p w14:paraId="7D2A1508">
                  <w:pPr>
                    <w:spacing w:line="240" w:lineRule="auto"/>
                    <w:ind w:left="0" w:leftChars="0" w:right="0" w:rightChars="0" w:firstLine="0" w:firstLineChars="0"/>
                    <w:jc w:val="center"/>
                    <w:rPr>
                      <w:rFonts w:hint="eastAsia"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汞*</w:t>
                  </w:r>
                </w:p>
              </w:tc>
              <w:tc>
                <w:tcPr>
                  <w:tcW w:w="1303" w:type="dxa"/>
                  <w:tcBorders>
                    <w:tl2br w:val="nil"/>
                    <w:tr2bl w:val="nil"/>
                  </w:tcBorders>
                  <w:noWrap w:val="0"/>
                  <w:vAlign w:val="center"/>
                </w:tcPr>
                <w:p w14:paraId="1F265489">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w:t>
                  </w:r>
                  <w:r>
                    <w:rPr>
                      <w:rFonts w:hint="eastAsia" w:cs="Times New Roman"/>
                      <w:color w:val="000000" w:themeColor="text1"/>
                      <w:sz w:val="21"/>
                      <w:szCs w:val="21"/>
                      <w:highlight w:val="none"/>
                      <w:lang w:val="en-US" w:eastAsia="zh-CN"/>
                      <w14:textFill>
                        <w14:solidFill>
                          <w14:schemeClr w14:val="tx1"/>
                        </w14:solidFill>
                      </w14:textFill>
                    </w:rPr>
                    <w:t>038</w:t>
                  </w:r>
                </w:p>
              </w:tc>
              <w:tc>
                <w:tcPr>
                  <w:tcW w:w="1408" w:type="dxa"/>
                  <w:tcBorders>
                    <w:tl2br w:val="nil"/>
                    <w:tr2bl w:val="nil"/>
                  </w:tcBorders>
                  <w:noWrap w:val="0"/>
                  <w:vAlign w:val="center"/>
                </w:tcPr>
                <w:p w14:paraId="10E62560">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mg/kg</w:t>
                  </w:r>
                </w:p>
              </w:tc>
              <w:tc>
                <w:tcPr>
                  <w:tcW w:w="2289" w:type="dxa"/>
                  <w:tcBorders>
                    <w:tl2br w:val="nil"/>
                    <w:tr2bl w:val="nil"/>
                  </w:tcBorders>
                  <w:noWrap w:val="0"/>
                  <w:vAlign w:val="top"/>
                </w:tcPr>
                <w:p w14:paraId="1A315B27">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38mg/kg</w:t>
                  </w:r>
                </w:p>
              </w:tc>
            </w:tr>
            <w:tr w14:paraId="7C82D0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1E65BA02">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7</w:t>
                  </w:r>
                </w:p>
              </w:tc>
              <w:tc>
                <w:tcPr>
                  <w:tcW w:w="2320" w:type="dxa"/>
                  <w:tcBorders>
                    <w:tl2br w:val="nil"/>
                    <w:tr2bl w:val="nil"/>
                  </w:tcBorders>
                  <w:noWrap w:val="0"/>
                  <w:vAlign w:val="center"/>
                </w:tcPr>
                <w:p w14:paraId="0D2E4C4F">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镍</w:t>
                  </w:r>
                </w:p>
              </w:tc>
              <w:tc>
                <w:tcPr>
                  <w:tcW w:w="1303" w:type="dxa"/>
                  <w:tcBorders>
                    <w:tl2br w:val="nil"/>
                    <w:tr2bl w:val="nil"/>
                  </w:tcBorders>
                  <w:noWrap w:val="0"/>
                  <w:vAlign w:val="center"/>
                </w:tcPr>
                <w:p w14:paraId="534EA6D8">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25</w:t>
                  </w:r>
                </w:p>
              </w:tc>
              <w:tc>
                <w:tcPr>
                  <w:tcW w:w="1408" w:type="dxa"/>
                  <w:tcBorders>
                    <w:tl2br w:val="nil"/>
                    <w:tr2bl w:val="nil"/>
                  </w:tcBorders>
                  <w:noWrap w:val="0"/>
                  <w:vAlign w:val="center"/>
                </w:tcPr>
                <w:p w14:paraId="3BC9B89B">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mg/kg</w:t>
                  </w:r>
                </w:p>
              </w:tc>
              <w:tc>
                <w:tcPr>
                  <w:tcW w:w="2289" w:type="dxa"/>
                  <w:tcBorders>
                    <w:tl2br w:val="nil"/>
                    <w:tr2bl w:val="nil"/>
                  </w:tcBorders>
                  <w:noWrap w:val="0"/>
                  <w:vAlign w:val="top"/>
                </w:tcPr>
                <w:p w14:paraId="326C1A9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900mg/kg</w:t>
                  </w:r>
                </w:p>
              </w:tc>
            </w:tr>
            <w:tr w14:paraId="380AFB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5F603D6C">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8</w:t>
                  </w:r>
                </w:p>
              </w:tc>
              <w:tc>
                <w:tcPr>
                  <w:tcW w:w="2320" w:type="dxa"/>
                  <w:tcBorders>
                    <w:tl2br w:val="nil"/>
                    <w:tr2bl w:val="nil"/>
                  </w:tcBorders>
                  <w:noWrap w:val="0"/>
                  <w:vAlign w:val="center"/>
                </w:tcPr>
                <w:p w14:paraId="39154CE5">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四氯化碳</w:t>
                  </w:r>
                </w:p>
              </w:tc>
              <w:tc>
                <w:tcPr>
                  <w:tcW w:w="1303" w:type="dxa"/>
                  <w:tcBorders>
                    <w:tl2br w:val="nil"/>
                    <w:tr2bl w:val="nil"/>
                  </w:tcBorders>
                  <w:noWrap w:val="0"/>
                  <w:vAlign w:val="center"/>
                </w:tcPr>
                <w:p w14:paraId="5553358A">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03B4FAF5">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4579C60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2.8mg/kg</w:t>
                  </w:r>
                </w:p>
              </w:tc>
            </w:tr>
            <w:tr w14:paraId="3F5153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000D6A78">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9</w:t>
                  </w:r>
                </w:p>
              </w:tc>
              <w:tc>
                <w:tcPr>
                  <w:tcW w:w="2320" w:type="dxa"/>
                  <w:tcBorders>
                    <w:tl2br w:val="nil"/>
                    <w:tr2bl w:val="nil"/>
                  </w:tcBorders>
                  <w:noWrap w:val="0"/>
                  <w:vAlign w:val="center"/>
                </w:tcPr>
                <w:p w14:paraId="231D56AC">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氯仿</w:t>
                  </w:r>
                </w:p>
              </w:tc>
              <w:tc>
                <w:tcPr>
                  <w:tcW w:w="1303" w:type="dxa"/>
                  <w:tcBorders>
                    <w:tl2br w:val="nil"/>
                    <w:tr2bl w:val="nil"/>
                  </w:tcBorders>
                  <w:noWrap w:val="0"/>
                  <w:vAlign w:val="center"/>
                </w:tcPr>
                <w:p w14:paraId="1BB7B50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47B5091C">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12ACAD4B">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0.9mg/kg</w:t>
                  </w:r>
                </w:p>
              </w:tc>
            </w:tr>
            <w:tr w14:paraId="14D9B8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1D6154F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10</w:t>
                  </w:r>
                </w:p>
              </w:tc>
              <w:tc>
                <w:tcPr>
                  <w:tcW w:w="2320" w:type="dxa"/>
                  <w:tcBorders>
                    <w:tl2br w:val="nil"/>
                    <w:tr2bl w:val="nil"/>
                  </w:tcBorders>
                  <w:noWrap w:val="0"/>
                  <w:vAlign w:val="center"/>
                </w:tcPr>
                <w:p w14:paraId="65D7643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氯甲烷</w:t>
                  </w:r>
                </w:p>
              </w:tc>
              <w:tc>
                <w:tcPr>
                  <w:tcW w:w="1303" w:type="dxa"/>
                  <w:tcBorders>
                    <w:tl2br w:val="nil"/>
                    <w:tr2bl w:val="nil"/>
                  </w:tcBorders>
                  <w:noWrap w:val="0"/>
                  <w:vAlign w:val="center"/>
                </w:tcPr>
                <w:p w14:paraId="5007FE3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0F892D7E">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6B1A3810">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37mg/kg</w:t>
                  </w:r>
                </w:p>
              </w:tc>
            </w:tr>
            <w:tr w14:paraId="389EDD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18728ED8">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11</w:t>
                  </w:r>
                </w:p>
              </w:tc>
              <w:tc>
                <w:tcPr>
                  <w:tcW w:w="2320" w:type="dxa"/>
                  <w:tcBorders>
                    <w:tl2br w:val="nil"/>
                    <w:tr2bl w:val="nil"/>
                  </w:tcBorders>
                  <w:noWrap w:val="0"/>
                  <w:vAlign w:val="center"/>
                </w:tcPr>
                <w:p w14:paraId="10C717D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1,1-二氯乙烷</w:t>
                  </w:r>
                </w:p>
              </w:tc>
              <w:tc>
                <w:tcPr>
                  <w:tcW w:w="1303" w:type="dxa"/>
                  <w:tcBorders>
                    <w:tl2br w:val="nil"/>
                    <w:tr2bl w:val="nil"/>
                  </w:tcBorders>
                  <w:noWrap w:val="0"/>
                  <w:vAlign w:val="center"/>
                </w:tcPr>
                <w:p w14:paraId="0BC174B9">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75416A4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4BA1F7F8">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9mg/kg</w:t>
                  </w:r>
                </w:p>
              </w:tc>
            </w:tr>
            <w:tr w14:paraId="37B5DC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05DC3BB0">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12</w:t>
                  </w:r>
                </w:p>
              </w:tc>
              <w:tc>
                <w:tcPr>
                  <w:tcW w:w="2320" w:type="dxa"/>
                  <w:tcBorders>
                    <w:tl2br w:val="nil"/>
                    <w:tr2bl w:val="nil"/>
                  </w:tcBorders>
                  <w:noWrap w:val="0"/>
                  <w:vAlign w:val="center"/>
                </w:tcPr>
                <w:p w14:paraId="1340239D">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1,2-二氯乙烷</w:t>
                  </w:r>
                </w:p>
              </w:tc>
              <w:tc>
                <w:tcPr>
                  <w:tcW w:w="1303" w:type="dxa"/>
                  <w:tcBorders>
                    <w:tl2br w:val="nil"/>
                    <w:tr2bl w:val="nil"/>
                  </w:tcBorders>
                  <w:noWrap w:val="0"/>
                  <w:vAlign w:val="center"/>
                </w:tcPr>
                <w:p w14:paraId="6597360A">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2D226E08">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41FECB30">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5mg/kg</w:t>
                  </w:r>
                </w:p>
              </w:tc>
            </w:tr>
            <w:tr w14:paraId="6E5243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0EA5D2F4">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13</w:t>
                  </w:r>
                </w:p>
              </w:tc>
              <w:tc>
                <w:tcPr>
                  <w:tcW w:w="2320" w:type="dxa"/>
                  <w:tcBorders>
                    <w:tl2br w:val="nil"/>
                    <w:tr2bl w:val="nil"/>
                  </w:tcBorders>
                  <w:noWrap w:val="0"/>
                  <w:vAlign w:val="center"/>
                </w:tcPr>
                <w:p w14:paraId="318EA9EF">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1,1-二氯乙烯*</w:t>
                  </w:r>
                </w:p>
              </w:tc>
              <w:tc>
                <w:tcPr>
                  <w:tcW w:w="1303" w:type="dxa"/>
                  <w:tcBorders>
                    <w:tl2br w:val="nil"/>
                    <w:tr2bl w:val="nil"/>
                  </w:tcBorders>
                  <w:noWrap w:val="0"/>
                  <w:vAlign w:val="center"/>
                </w:tcPr>
                <w:p w14:paraId="35A18A2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67D3DF1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563F3E4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66mg/kg</w:t>
                  </w:r>
                </w:p>
              </w:tc>
            </w:tr>
            <w:tr w14:paraId="7879C1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4ABAB35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14</w:t>
                  </w:r>
                </w:p>
              </w:tc>
              <w:tc>
                <w:tcPr>
                  <w:tcW w:w="2320" w:type="dxa"/>
                  <w:tcBorders>
                    <w:tl2br w:val="nil"/>
                    <w:tr2bl w:val="nil"/>
                  </w:tcBorders>
                  <w:noWrap w:val="0"/>
                  <w:vAlign w:val="center"/>
                </w:tcPr>
                <w:p w14:paraId="3AB70754">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顺-1,2-二氯乙烯</w:t>
                  </w:r>
                </w:p>
              </w:tc>
              <w:tc>
                <w:tcPr>
                  <w:tcW w:w="1303" w:type="dxa"/>
                  <w:tcBorders>
                    <w:tl2br w:val="nil"/>
                    <w:tr2bl w:val="nil"/>
                  </w:tcBorders>
                  <w:noWrap w:val="0"/>
                  <w:vAlign w:val="center"/>
                </w:tcPr>
                <w:p w14:paraId="3440F75E">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6FD65465">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4903AFB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596mg/kg</w:t>
                  </w:r>
                </w:p>
              </w:tc>
            </w:tr>
            <w:tr w14:paraId="3EA245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2C779259">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15</w:t>
                  </w:r>
                </w:p>
              </w:tc>
              <w:tc>
                <w:tcPr>
                  <w:tcW w:w="2320" w:type="dxa"/>
                  <w:tcBorders>
                    <w:tl2br w:val="nil"/>
                    <w:tr2bl w:val="nil"/>
                  </w:tcBorders>
                  <w:noWrap w:val="0"/>
                  <w:vAlign w:val="center"/>
                </w:tcPr>
                <w:p w14:paraId="6E56058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反-1,2-二氯乙烯</w:t>
                  </w:r>
                </w:p>
              </w:tc>
              <w:tc>
                <w:tcPr>
                  <w:tcW w:w="1303" w:type="dxa"/>
                  <w:tcBorders>
                    <w:tl2br w:val="nil"/>
                    <w:tr2bl w:val="nil"/>
                  </w:tcBorders>
                  <w:noWrap w:val="0"/>
                  <w:vAlign w:val="center"/>
                </w:tcPr>
                <w:p w14:paraId="554F226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37C3A642">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315DAD6F">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54mg/kg</w:t>
                  </w:r>
                </w:p>
              </w:tc>
            </w:tr>
            <w:tr w14:paraId="2B65D8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4AC03A9C">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16</w:t>
                  </w:r>
                </w:p>
              </w:tc>
              <w:tc>
                <w:tcPr>
                  <w:tcW w:w="2320" w:type="dxa"/>
                  <w:tcBorders>
                    <w:tl2br w:val="nil"/>
                    <w:tr2bl w:val="nil"/>
                  </w:tcBorders>
                  <w:noWrap w:val="0"/>
                  <w:vAlign w:val="center"/>
                </w:tcPr>
                <w:p w14:paraId="039E7DE0">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二氯甲烷*</w:t>
                  </w:r>
                </w:p>
              </w:tc>
              <w:tc>
                <w:tcPr>
                  <w:tcW w:w="1303" w:type="dxa"/>
                  <w:tcBorders>
                    <w:tl2br w:val="nil"/>
                    <w:tr2bl w:val="nil"/>
                  </w:tcBorders>
                  <w:noWrap w:val="0"/>
                  <w:vAlign w:val="center"/>
                </w:tcPr>
                <w:p w14:paraId="422282D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4A844A32">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1F9234C5">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616mg/kg</w:t>
                  </w:r>
                </w:p>
              </w:tc>
            </w:tr>
            <w:tr w14:paraId="4DC4C6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177E3648">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17</w:t>
                  </w:r>
                </w:p>
              </w:tc>
              <w:tc>
                <w:tcPr>
                  <w:tcW w:w="2320" w:type="dxa"/>
                  <w:tcBorders>
                    <w:tl2br w:val="nil"/>
                    <w:tr2bl w:val="nil"/>
                  </w:tcBorders>
                  <w:noWrap w:val="0"/>
                  <w:vAlign w:val="center"/>
                </w:tcPr>
                <w:p w14:paraId="258ADC7B">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1,2-二氯丙烷*</w:t>
                  </w:r>
                </w:p>
              </w:tc>
              <w:tc>
                <w:tcPr>
                  <w:tcW w:w="1303" w:type="dxa"/>
                  <w:tcBorders>
                    <w:tl2br w:val="nil"/>
                    <w:tr2bl w:val="nil"/>
                  </w:tcBorders>
                  <w:noWrap w:val="0"/>
                  <w:vAlign w:val="center"/>
                </w:tcPr>
                <w:p w14:paraId="2D7FCB57">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4936275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2F89838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5mg/kg</w:t>
                  </w:r>
                </w:p>
              </w:tc>
            </w:tr>
            <w:tr w14:paraId="1F55ED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1B5C8057">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18</w:t>
                  </w:r>
                </w:p>
              </w:tc>
              <w:tc>
                <w:tcPr>
                  <w:tcW w:w="2320" w:type="dxa"/>
                  <w:tcBorders>
                    <w:tl2br w:val="nil"/>
                    <w:tr2bl w:val="nil"/>
                  </w:tcBorders>
                  <w:noWrap w:val="0"/>
                  <w:vAlign w:val="center"/>
                </w:tcPr>
                <w:p w14:paraId="3FB8D18E">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1,1,1,2-四氯乙烷</w:t>
                  </w:r>
                </w:p>
              </w:tc>
              <w:tc>
                <w:tcPr>
                  <w:tcW w:w="1303" w:type="dxa"/>
                  <w:tcBorders>
                    <w:tl2br w:val="nil"/>
                    <w:tr2bl w:val="nil"/>
                  </w:tcBorders>
                  <w:noWrap w:val="0"/>
                  <w:vAlign w:val="center"/>
                </w:tcPr>
                <w:p w14:paraId="3B8E052D">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5F9CF040">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301374DA">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10mg/kg</w:t>
                  </w:r>
                </w:p>
              </w:tc>
            </w:tr>
            <w:tr w14:paraId="0488BB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5265FB69">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19</w:t>
                  </w:r>
                </w:p>
              </w:tc>
              <w:tc>
                <w:tcPr>
                  <w:tcW w:w="2320" w:type="dxa"/>
                  <w:tcBorders>
                    <w:tl2br w:val="nil"/>
                    <w:tr2bl w:val="nil"/>
                  </w:tcBorders>
                  <w:noWrap w:val="0"/>
                  <w:vAlign w:val="center"/>
                </w:tcPr>
                <w:p w14:paraId="7852744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1,1,2,2-四氯乙烷</w:t>
                  </w:r>
                </w:p>
              </w:tc>
              <w:tc>
                <w:tcPr>
                  <w:tcW w:w="1303" w:type="dxa"/>
                  <w:tcBorders>
                    <w:tl2br w:val="nil"/>
                    <w:tr2bl w:val="nil"/>
                  </w:tcBorders>
                  <w:noWrap w:val="0"/>
                  <w:vAlign w:val="center"/>
                </w:tcPr>
                <w:p w14:paraId="4BE442B8">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31E965C8">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4D2E425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6.8mg/kg</w:t>
                  </w:r>
                </w:p>
              </w:tc>
            </w:tr>
            <w:tr w14:paraId="1609CF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0850299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20</w:t>
                  </w:r>
                </w:p>
              </w:tc>
              <w:tc>
                <w:tcPr>
                  <w:tcW w:w="2320" w:type="dxa"/>
                  <w:tcBorders>
                    <w:tl2br w:val="nil"/>
                    <w:tr2bl w:val="nil"/>
                  </w:tcBorders>
                  <w:noWrap w:val="0"/>
                  <w:vAlign w:val="center"/>
                </w:tcPr>
                <w:p w14:paraId="40601BF0">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四氯乙烯*</w:t>
                  </w:r>
                </w:p>
              </w:tc>
              <w:tc>
                <w:tcPr>
                  <w:tcW w:w="1303" w:type="dxa"/>
                  <w:tcBorders>
                    <w:tl2br w:val="nil"/>
                    <w:tr2bl w:val="nil"/>
                  </w:tcBorders>
                  <w:noWrap w:val="0"/>
                  <w:vAlign w:val="center"/>
                </w:tcPr>
                <w:p w14:paraId="35BF06A9">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2224F5F1">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0C6EE1B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53mg/kg</w:t>
                  </w:r>
                </w:p>
              </w:tc>
            </w:tr>
            <w:tr w14:paraId="0383A6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7C346A72">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21</w:t>
                  </w:r>
                </w:p>
              </w:tc>
              <w:tc>
                <w:tcPr>
                  <w:tcW w:w="2320" w:type="dxa"/>
                  <w:tcBorders>
                    <w:tl2br w:val="nil"/>
                    <w:tr2bl w:val="nil"/>
                  </w:tcBorders>
                  <w:noWrap w:val="0"/>
                  <w:vAlign w:val="center"/>
                </w:tcPr>
                <w:p w14:paraId="3D36CD44">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1,1,1-三氯乙烷</w:t>
                  </w:r>
                </w:p>
              </w:tc>
              <w:tc>
                <w:tcPr>
                  <w:tcW w:w="1303" w:type="dxa"/>
                  <w:tcBorders>
                    <w:tl2br w:val="nil"/>
                    <w:tr2bl w:val="nil"/>
                  </w:tcBorders>
                  <w:noWrap w:val="0"/>
                  <w:vAlign w:val="center"/>
                </w:tcPr>
                <w:p w14:paraId="174D0557">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335BBD62">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18C22727">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840mg/kg</w:t>
                  </w:r>
                </w:p>
              </w:tc>
            </w:tr>
            <w:tr w14:paraId="09B5C5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51555D17">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22</w:t>
                  </w:r>
                </w:p>
              </w:tc>
              <w:tc>
                <w:tcPr>
                  <w:tcW w:w="2320" w:type="dxa"/>
                  <w:tcBorders>
                    <w:tl2br w:val="nil"/>
                    <w:tr2bl w:val="nil"/>
                  </w:tcBorders>
                  <w:noWrap w:val="0"/>
                  <w:vAlign w:val="center"/>
                </w:tcPr>
                <w:p w14:paraId="1812B15E">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1,1,2-三氯乙烷</w:t>
                  </w:r>
                </w:p>
              </w:tc>
              <w:tc>
                <w:tcPr>
                  <w:tcW w:w="1303" w:type="dxa"/>
                  <w:tcBorders>
                    <w:tl2br w:val="nil"/>
                    <w:tr2bl w:val="nil"/>
                  </w:tcBorders>
                  <w:noWrap w:val="0"/>
                  <w:vAlign w:val="center"/>
                </w:tcPr>
                <w:p w14:paraId="776360D5">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4E21A2D0">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05217BED">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2.8mg/kg</w:t>
                  </w:r>
                </w:p>
              </w:tc>
            </w:tr>
            <w:tr w14:paraId="180BF3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148DD90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23</w:t>
                  </w:r>
                </w:p>
              </w:tc>
              <w:tc>
                <w:tcPr>
                  <w:tcW w:w="2320" w:type="dxa"/>
                  <w:tcBorders>
                    <w:tl2br w:val="nil"/>
                    <w:tr2bl w:val="nil"/>
                  </w:tcBorders>
                  <w:noWrap w:val="0"/>
                  <w:vAlign w:val="center"/>
                </w:tcPr>
                <w:p w14:paraId="3AE1916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三氯乙烯*</w:t>
                  </w:r>
                </w:p>
              </w:tc>
              <w:tc>
                <w:tcPr>
                  <w:tcW w:w="1303" w:type="dxa"/>
                  <w:tcBorders>
                    <w:tl2br w:val="nil"/>
                    <w:tr2bl w:val="nil"/>
                  </w:tcBorders>
                  <w:noWrap w:val="0"/>
                  <w:vAlign w:val="center"/>
                </w:tcPr>
                <w:p w14:paraId="68CB0F9F">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24032852">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426D31D4">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2.8mg/kg</w:t>
                  </w:r>
                </w:p>
              </w:tc>
            </w:tr>
            <w:tr w14:paraId="254274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77ADF0AB">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24</w:t>
                  </w:r>
                </w:p>
              </w:tc>
              <w:tc>
                <w:tcPr>
                  <w:tcW w:w="2320" w:type="dxa"/>
                  <w:tcBorders>
                    <w:tl2br w:val="nil"/>
                    <w:tr2bl w:val="nil"/>
                  </w:tcBorders>
                  <w:noWrap w:val="0"/>
                  <w:vAlign w:val="center"/>
                </w:tcPr>
                <w:p w14:paraId="6F8371D4">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1,2,3-三氯丙烷</w:t>
                  </w:r>
                </w:p>
              </w:tc>
              <w:tc>
                <w:tcPr>
                  <w:tcW w:w="1303" w:type="dxa"/>
                  <w:tcBorders>
                    <w:tl2br w:val="nil"/>
                    <w:tr2bl w:val="nil"/>
                  </w:tcBorders>
                  <w:noWrap w:val="0"/>
                  <w:vAlign w:val="center"/>
                </w:tcPr>
                <w:p w14:paraId="1298ABEE">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2706FC8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1759A5E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0.5mg/kg</w:t>
                  </w:r>
                </w:p>
              </w:tc>
            </w:tr>
            <w:tr w14:paraId="32C132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33CD4417">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25</w:t>
                  </w:r>
                </w:p>
              </w:tc>
              <w:tc>
                <w:tcPr>
                  <w:tcW w:w="2320" w:type="dxa"/>
                  <w:tcBorders>
                    <w:tl2br w:val="nil"/>
                    <w:tr2bl w:val="nil"/>
                  </w:tcBorders>
                  <w:noWrap w:val="0"/>
                  <w:vAlign w:val="center"/>
                </w:tcPr>
                <w:p w14:paraId="6CD56B2B">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氯乙烯</w:t>
                  </w:r>
                </w:p>
              </w:tc>
              <w:tc>
                <w:tcPr>
                  <w:tcW w:w="1303" w:type="dxa"/>
                  <w:tcBorders>
                    <w:tl2br w:val="nil"/>
                    <w:tr2bl w:val="nil"/>
                  </w:tcBorders>
                  <w:noWrap w:val="0"/>
                  <w:vAlign w:val="center"/>
                </w:tcPr>
                <w:p w14:paraId="76C8BE71">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553F5CDA">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62FA5901">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0.43mg/kg</w:t>
                  </w:r>
                </w:p>
              </w:tc>
            </w:tr>
            <w:tr w14:paraId="77A7E0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5E210284">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26</w:t>
                  </w:r>
                </w:p>
              </w:tc>
              <w:tc>
                <w:tcPr>
                  <w:tcW w:w="2320" w:type="dxa"/>
                  <w:tcBorders>
                    <w:tl2br w:val="nil"/>
                    <w:tr2bl w:val="nil"/>
                  </w:tcBorders>
                  <w:noWrap w:val="0"/>
                  <w:vAlign w:val="center"/>
                </w:tcPr>
                <w:p w14:paraId="59BBF04A">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苯*</w:t>
                  </w:r>
                </w:p>
              </w:tc>
              <w:tc>
                <w:tcPr>
                  <w:tcW w:w="1303" w:type="dxa"/>
                  <w:tcBorders>
                    <w:tl2br w:val="nil"/>
                    <w:tr2bl w:val="nil"/>
                  </w:tcBorders>
                  <w:noWrap w:val="0"/>
                  <w:vAlign w:val="center"/>
                </w:tcPr>
                <w:p w14:paraId="6BF16C78">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5C8FEA61">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4FC8E021">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4mg/kg</w:t>
                  </w:r>
                </w:p>
              </w:tc>
            </w:tr>
            <w:tr w14:paraId="7527A4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11105B6D">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27</w:t>
                  </w:r>
                </w:p>
              </w:tc>
              <w:tc>
                <w:tcPr>
                  <w:tcW w:w="2320" w:type="dxa"/>
                  <w:tcBorders>
                    <w:tl2br w:val="nil"/>
                    <w:tr2bl w:val="nil"/>
                  </w:tcBorders>
                  <w:noWrap w:val="0"/>
                  <w:vAlign w:val="center"/>
                </w:tcPr>
                <w:p w14:paraId="16A0B01C">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氯苯</w:t>
                  </w:r>
                </w:p>
              </w:tc>
              <w:tc>
                <w:tcPr>
                  <w:tcW w:w="1303" w:type="dxa"/>
                  <w:tcBorders>
                    <w:tl2br w:val="nil"/>
                    <w:tr2bl w:val="nil"/>
                  </w:tcBorders>
                  <w:noWrap w:val="0"/>
                  <w:vAlign w:val="center"/>
                </w:tcPr>
                <w:p w14:paraId="78CC0020">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484D5D8A">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1976C7C8">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270mg/kg</w:t>
                  </w:r>
                </w:p>
              </w:tc>
            </w:tr>
            <w:tr w14:paraId="34D3D2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53B5B1E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28</w:t>
                  </w:r>
                </w:p>
              </w:tc>
              <w:tc>
                <w:tcPr>
                  <w:tcW w:w="2320" w:type="dxa"/>
                  <w:tcBorders>
                    <w:tl2br w:val="nil"/>
                    <w:tr2bl w:val="nil"/>
                  </w:tcBorders>
                  <w:noWrap w:val="0"/>
                  <w:vAlign w:val="center"/>
                </w:tcPr>
                <w:p w14:paraId="32F17D8A">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1,2-二氯苯</w:t>
                  </w:r>
                </w:p>
              </w:tc>
              <w:tc>
                <w:tcPr>
                  <w:tcW w:w="1303" w:type="dxa"/>
                  <w:tcBorders>
                    <w:tl2br w:val="nil"/>
                    <w:tr2bl w:val="nil"/>
                  </w:tcBorders>
                  <w:noWrap w:val="0"/>
                  <w:vAlign w:val="center"/>
                </w:tcPr>
                <w:p w14:paraId="36D07BB9">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33727F1B">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2CBA0AA9">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560mg/kg</w:t>
                  </w:r>
                </w:p>
              </w:tc>
            </w:tr>
            <w:tr w14:paraId="3DD767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center"/>
                </w:tcPr>
                <w:p w14:paraId="5066ED4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29</w:t>
                  </w:r>
                </w:p>
              </w:tc>
              <w:tc>
                <w:tcPr>
                  <w:tcW w:w="2320" w:type="dxa"/>
                  <w:tcBorders>
                    <w:tl2br w:val="nil"/>
                    <w:tr2bl w:val="nil"/>
                  </w:tcBorders>
                  <w:noWrap w:val="0"/>
                  <w:vAlign w:val="center"/>
                </w:tcPr>
                <w:p w14:paraId="1C599601">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1,4-二氯苯</w:t>
                  </w:r>
                </w:p>
              </w:tc>
              <w:tc>
                <w:tcPr>
                  <w:tcW w:w="1303" w:type="dxa"/>
                  <w:tcBorders>
                    <w:tl2br w:val="nil"/>
                    <w:tr2bl w:val="nil"/>
                  </w:tcBorders>
                  <w:noWrap w:val="0"/>
                  <w:vAlign w:val="center"/>
                </w:tcPr>
                <w:p w14:paraId="49B63298">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44BB9DE4">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6A898DDA">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20mg/kg</w:t>
                  </w:r>
                </w:p>
              </w:tc>
            </w:tr>
            <w:tr w14:paraId="540941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top"/>
                </w:tcPr>
                <w:p w14:paraId="7C423528">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30</w:t>
                  </w:r>
                </w:p>
              </w:tc>
              <w:tc>
                <w:tcPr>
                  <w:tcW w:w="2320" w:type="dxa"/>
                  <w:tcBorders>
                    <w:tl2br w:val="nil"/>
                    <w:tr2bl w:val="nil"/>
                  </w:tcBorders>
                  <w:noWrap w:val="0"/>
                  <w:vAlign w:val="center"/>
                </w:tcPr>
                <w:p w14:paraId="564C99AA">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乙苯</w:t>
                  </w:r>
                </w:p>
              </w:tc>
              <w:tc>
                <w:tcPr>
                  <w:tcW w:w="1303" w:type="dxa"/>
                  <w:tcBorders>
                    <w:tl2br w:val="nil"/>
                    <w:tr2bl w:val="nil"/>
                  </w:tcBorders>
                  <w:noWrap w:val="0"/>
                  <w:vAlign w:val="center"/>
                </w:tcPr>
                <w:p w14:paraId="7DC309AB">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3E186E92">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76B0D2CD">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28mg/kg</w:t>
                  </w:r>
                </w:p>
              </w:tc>
            </w:tr>
            <w:tr w14:paraId="4CA693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top"/>
                </w:tcPr>
                <w:p w14:paraId="5856DD89">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31</w:t>
                  </w:r>
                </w:p>
              </w:tc>
              <w:tc>
                <w:tcPr>
                  <w:tcW w:w="2320" w:type="dxa"/>
                  <w:tcBorders>
                    <w:tl2br w:val="nil"/>
                    <w:tr2bl w:val="nil"/>
                  </w:tcBorders>
                  <w:noWrap w:val="0"/>
                  <w:vAlign w:val="center"/>
                </w:tcPr>
                <w:p w14:paraId="0639C00B">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苯乙烯</w:t>
                  </w:r>
                </w:p>
              </w:tc>
              <w:tc>
                <w:tcPr>
                  <w:tcW w:w="1303" w:type="dxa"/>
                  <w:tcBorders>
                    <w:tl2br w:val="nil"/>
                    <w:tr2bl w:val="nil"/>
                  </w:tcBorders>
                  <w:noWrap w:val="0"/>
                  <w:vAlign w:val="center"/>
                </w:tcPr>
                <w:p w14:paraId="4E0176EA">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6739FF90">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48F12527">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1290mg/kg</w:t>
                  </w:r>
                </w:p>
              </w:tc>
            </w:tr>
            <w:tr w14:paraId="05D4BE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top"/>
                </w:tcPr>
                <w:p w14:paraId="03757F16">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32</w:t>
                  </w:r>
                </w:p>
              </w:tc>
              <w:tc>
                <w:tcPr>
                  <w:tcW w:w="2320" w:type="dxa"/>
                  <w:tcBorders>
                    <w:tl2br w:val="nil"/>
                    <w:tr2bl w:val="nil"/>
                  </w:tcBorders>
                  <w:noWrap w:val="0"/>
                  <w:vAlign w:val="center"/>
                </w:tcPr>
                <w:p w14:paraId="19224DAA">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甲苯*</w:t>
                  </w:r>
                </w:p>
              </w:tc>
              <w:tc>
                <w:tcPr>
                  <w:tcW w:w="1303" w:type="dxa"/>
                  <w:tcBorders>
                    <w:tl2br w:val="nil"/>
                    <w:tr2bl w:val="nil"/>
                  </w:tcBorders>
                  <w:noWrap w:val="0"/>
                  <w:vAlign w:val="center"/>
                </w:tcPr>
                <w:p w14:paraId="2807F2FB">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582EF74A">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66A0350D">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1200mg/kg</w:t>
                  </w:r>
                </w:p>
              </w:tc>
            </w:tr>
            <w:tr w14:paraId="4CC8D6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top"/>
                </w:tcPr>
                <w:p w14:paraId="04D524E6">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33</w:t>
                  </w:r>
                </w:p>
              </w:tc>
              <w:tc>
                <w:tcPr>
                  <w:tcW w:w="2320" w:type="dxa"/>
                  <w:tcBorders>
                    <w:tl2br w:val="nil"/>
                    <w:tr2bl w:val="nil"/>
                  </w:tcBorders>
                  <w:noWrap w:val="0"/>
                  <w:vAlign w:val="center"/>
                </w:tcPr>
                <w:p w14:paraId="46F8E23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间-二甲苯</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对-二甲苯</w:t>
                  </w:r>
                </w:p>
              </w:tc>
              <w:tc>
                <w:tcPr>
                  <w:tcW w:w="1303" w:type="dxa"/>
                  <w:tcBorders>
                    <w:tl2br w:val="nil"/>
                    <w:tr2bl w:val="nil"/>
                  </w:tcBorders>
                  <w:noWrap w:val="0"/>
                  <w:vAlign w:val="center"/>
                </w:tcPr>
                <w:p w14:paraId="0ACD0A34">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1709A384">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59682DDF">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570mg/kg</w:t>
                  </w:r>
                </w:p>
              </w:tc>
            </w:tr>
            <w:tr w14:paraId="0F6130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top"/>
                </w:tcPr>
                <w:p w14:paraId="5452C9F5">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34</w:t>
                  </w:r>
                </w:p>
              </w:tc>
              <w:tc>
                <w:tcPr>
                  <w:tcW w:w="2320" w:type="dxa"/>
                  <w:tcBorders>
                    <w:tl2br w:val="nil"/>
                    <w:tr2bl w:val="nil"/>
                  </w:tcBorders>
                  <w:noWrap w:val="0"/>
                  <w:vAlign w:val="center"/>
                </w:tcPr>
                <w:p w14:paraId="6C6C7DB1">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邻-二甲苯</w:t>
                  </w:r>
                </w:p>
              </w:tc>
              <w:tc>
                <w:tcPr>
                  <w:tcW w:w="1303" w:type="dxa"/>
                  <w:tcBorders>
                    <w:tl2br w:val="nil"/>
                    <w:tr2bl w:val="nil"/>
                  </w:tcBorders>
                  <w:noWrap w:val="0"/>
                  <w:vAlign w:val="center"/>
                </w:tcPr>
                <w:p w14:paraId="37BD80A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6CDEC36C">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μg/kg</w:t>
                  </w:r>
                </w:p>
              </w:tc>
              <w:tc>
                <w:tcPr>
                  <w:tcW w:w="2289" w:type="dxa"/>
                  <w:tcBorders>
                    <w:tl2br w:val="nil"/>
                    <w:tr2bl w:val="nil"/>
                  </w:tcBorders>
                  <w:noWrap w:val="0"/>
                  <w:vAlign w:val="top"/>
                </w:tcPr>
                <w:p w14:paraId="704BB4F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640mg/kg</w:t>
                  </w:r>
                </w:p>
              </w:tc>
            </w:tr>
            <w:tr w14:paraId="7535FC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top"/>
                </w:tcPr>
                <w:p w14:paraId="0DEF64BE">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35</w:t>
                  </w:r>
                </w:p>
              </w:tc>
              <w:tc>
                <w:tcPr>
                  <w:tcW w:w="2320" w:type="dxa"/>
                  <w:tcBorders>
                    <w:tl2br w:val="nil"/>
                    <w:tr2bl w:val="nil"/>
                  </w:tcBorders>
                  <w:noWrap w:val="0"/>
                  <w:vAlign w:val="center"/>
                </w:tcPr>
                <w:p w14:paraId="6604B6AE">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苯胺</w:t>
                  </w:r>
                </w:p>
              </w:tc>
              <w:tc>
                <w:tcPr>
                  <w:tcW w:w="1303" w:type="dxa"/>
                  <w:tcBorders>
                    <w:tl2br w:val="nil"/>
                    <w:tr2bl w:val="nil"/>
                  </w:tcBorders>
                  <w:noWrap w:val="0"/>
                  <w:vAlign w:val="center"/>
                </w:tcPr>
                <w:p w14:paraId="03DB5FBA">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6D79111E">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mg/kg</w:t>
                  </w:r>
                </w:p>
              </w:tc>
              <w:tc>
                <w:tcPr>
                  <w:tcW w:w="2289" w:type="dxa"/>
                  <w:tcBorders>
                    <w:tl2br w:val="nil"/>
                    <w:tr2bl w:val="nil"/>
                  </w:tcBorders>
                  <w:noWrap w:val="0"/>
                  <w:vAlign w:val="top"/>
                </w:tcPr>
                <w:p w14:paraId="749514B4">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76mg/kg</w:t>
                  </w:r>
                </w:p>
              </w:tc>
            </w:tr>
            <w:tr w14:paraId="66A959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top"/>
                </w:tcPr>
                <w:p w14:paraId="73805B47">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36</w:t>
                  </w:r>
                </w:p>
              </w:tc>
              <w:tc>
                <w:tcPr>
                  <w:tcW w:w="2320" w:type="dxa"/>
                  <w:tcBorders>
                    <w:tl2br w:val="nil"/>
                    <w:tr2bl w:val="nil"/>
                  </w:tcBorders>
                  <w:noWrap w:val="0"/>
                  <w:vAlign w:val="center"/>
                </w:tcPr>
                <w:p w14:paraId="2784FF71">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硝基苯</w:t>
                  </w:r>
                </w:p>
              </w:tc>
              <w:tc>
                <w:tcPr>
                  <w:tcW w:w="1303" w:type="dxa"/>
                  <w:tcBorders>
                    <w:tl2br w:val="nil"/>
                    <w:tr2bl w:val="nil"/>
                  </w:tcBorders>
                  <w:noWrap w:val="0"/>
                  <w:vAlign w:val="center"/>
                </w:tcPr>
                <w:p w14:paraId="0B51739D">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11310A7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mg/kg</w:t>
                  </w:r>
                </w:p>
              </w:tc>
              <w:tc>
                <w:tcPr>
                  <w:tcW w:w="2289" w:type="dxa"/>
                  <w:tcBorders>
                    <w:tl2br w:val="nil"/>
                    <w:tr2bl w:val="nil"/>
                  </w:tcBorders>
                  <w:noWrap w:val="0"/>
                  <w:vAlign w:val="top"/>
                </w:tcPr>
                <w:p w14:paraId="0AD4302C">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260mg/kg</w:t>
                  </w:r>
                </w:p>
              </w:tc>
            </w:tr>
            <w:tr w14:paraId="665967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top"/>
                </w:tcPr>
                <w:p w14:paraId="0A77F480">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37</w:t>
                  </w:r>
                </w:p>
              </w:tc>
              <w:tc>
                <w:tcPr>
                  <w:tcW w:w="2320" w:type="dxa"/>
                  <w:tcBorders>
                    <w:tl2br w:val="nil"/>
                    <w:tr2bl w:val="nil"/>
                  </w:tcBorders>
                  <w:noWrap w:val="0"/>
                  <w:vAlign w:val="center"/>
                </w:tcPr>
                <w:p w14:paraId="16A4B52C">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2-氯酚</w:t>
                  </w:r>
                </w:p>
              </w:tc>
              <w:tc>
                <w:tcPr>
                  <w:tcW w:w="1303" w:type="dxa"/>
                  <w:tcBorders>
                    <w:tl2br w:val="nil"/>
                    <w:tr2bl w:val="nil"/>
                  </w:tcBorders>
                  <w:noWrap w:val="0"/>
                  <w:vAlign w:val="center"/>
                </w:tcPr>
                <w:p w14:paraId="4B4F79F2">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44A4718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mg/kg</w:t>
                  </w:r>
                </w:p>
              </w:tc>
              <w:tc>
                <w:tcPr>
                  <w:tcW w:w="2289" w:type="dxa"/>
                  <w:tcBorders>
                    <w:tl2br w:val="nil"/>
                    <w:tr2bl w:val="nil"/>
                  </w:tcBorders>
                  <w:noWrap w:val="0"/>
                  <w:vAlign w:val="top"/>
                </w:tcPr>
                <w:p w14:paraId="16092D57">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2256mg/kg</w:t>
                  </w:r>
                </w:p>
              </w:tc>
            </w:tr>
            <w:tr w14:paraId="318A28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top"/>
                </w:tcPr>
                <w:p w14:paraId="3D497AEF">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38</w:t>
                  </w:r>
                </w:p>
              </w:tc>
              <w:tc>
                <w:tcPr>
                  <w:tcW w:w="2320" w:type="dxa"/>
                  <w:tcBorders>
                    <w:tl2br w:val="nil"/>
                    <w:tr2bl w:val="nil"/>
                  </w:tcBorders>
                  <w:noWrap w:val="0"/>
                  <w:vAlign w:val="center"/>
                </w:tcPr>
                <w:p w14:paraId="3A5B5ED2">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苯并[a]蒽</w:t>
                  </w:r>
                </w:p>
              </w:tc>
              <w:tc>
                <w:tcPr>
                  <w:tcW w:w="1303" w:type="dxa"/>
                  <w:tcBorders>
                    <w:tl2br w:val="nil"/>
                    <w:tr2bl w:val="nil"/>
                  </w:tcBorders>
                  <w:noWrap w:val="0"/>
                  <w:vAlign w:val="center"/>
                </w:tcPr>
                <w:p w14:paraId="3608EA42">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0.2</w:t>
                  </w:r>
                </w:p>
              </w:tc>
              <w:tc>
                <w:tcPr>
                  <w:tcW w:w="1408" w:type="dxa"/>
                  <w:tcBorders>
                    <w:tl2br w:val="nil"/>
                    <w:tr2bl w:val="nil"/>
                  </w:tcBorders>
                  <w:noWrap w:val="0"/>
                  <w:vAlign w:val="center"/>
                </w:tcPr>
                <w:p w14:paraId="512DB0CB">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mg/kg</w:t>
                  </w:r>
                </w:p>
              </w:tc>
              <w:tc>
                <w:tcPr>
                  <w:tcW w:w="2289" w:type="dxa"/>
                  <w:tcBorders>
                    <w:tl2br w:val="nil"/>
                    <w:tr2bl w:val="nil"/>
                  </w:tcBorders>
                  <w:noWrap w:val="0"/>
                  <w:vAlign w:val="top"/>
                </w:tcPr>
                <w:p w14:paraId="04BD7F90">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15mg/kg</w:t>
                  </w:r>
                </w:p>
              </w:tc>
            </w:tr>
            <w:tr w14:paraId="6BB811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top"/>
                </w:tcPr>
                <w:p w14:paraId="2CF850A2">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39</w:t>
                  </w:r>
                </w:p>
              </w:tc>
              <w:tc>
                <w:tcPr>
                  <w:tcW w:w="2320" w:type="dxa"/>
                  <w:tcBorders>
                    <w:tl2br w:val="nil"/>
                    <w:tr2bl w:val="nil"/>
                  </w:tcBorders>
                  <w:noWrap w:val="0"/>
                  <w:vAlign w:val="center"/>
                </w:tcPr>
                <w:p w14:paraId="0C53E7CA">
                  <w:pPr>
                    <w:spacing w:line="240" w:lineRule="auto"/>
                    <w:ind w:left="0" w:leftChars="0" w:right="0" w:rightChars="0" w:firstLine="0" w:firstLineChars="0"/>
                    <w:jc w:val="center"/>
                    <w:rPr>
                      <w:rFonts w:hint="eastAsia"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苯并[a]芘*</w:t>
                  </w:r>
                </w:p>
              </w:tc>
              <w:tc>
                <w:tcPr>
                  <w:tcW w:w="1303" w:type="dxa"/>
                  <w:tcBorders>
                    <w:tl2br w:val="nil"/>
                    <w:tr2bl w:val="nil"/>
                  </w:tcBorders>
                  <w:noWrap w:val="0"/>
                  <w:vAlign w:val="center"/>
                </w:tcPr>
                <w:p w14:paraId="4BF251F5">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0.2</w:t>
                  </w:r>
                </w:p>
              </w:tc>
              <w:tc>
                <w:tcPr>
                  <w:tcW w:w="1408" w:type="dxa"/>
                  <w:tcBorders>
                    <w:tl2br w:val="nil"/>
                    <w:tr2bl w:val="nil"/>
                  </w:tcBorders>
                  <w:noWrap w:val="0"/>
                  <w:vAlign w:val="center"/>
                </w:tcPr>
                <w:p w14:paraId="27887A85">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mg/kg</w:t>
                  </w:r>
                </w:p>
              </w:tc>
              <w:tc>
                <w:tcPr>
                  <w:tcW w:w="2289" w:type="dxa"/>
                  <w:tcBorders>
                    <w:tl2br w:val="nil"/>
                    <w:tr2bl w:val="nil"/>
                  </w:tcBorders>
                  <w:noWrap w:val="0"/>
                  <w:vAlign w:val="top"/>
                </w:tcPr>
                <w:p w14:paraId="2E22045F">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1.5mg/kg</w:t>
                  </w:r>
                </w:p>
              </w:tc>
            </w:tr>
            <w:tr w14:paraId="1E515B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top"/>
                </w:tcPr>
                <w:p w14:paraId="7A5D6122">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40</w:t>
                  </w:r>
                </w:p>
              </w:tc>
              <w:tc>
                <w:tcPr>
                  <w:tcW w:w="2320" w:type="dxa"/>
                  <w:tcBorders>
                    <w:tl2br w:val="nil"/>
                    <w:tr2bl w:val="nil"/>
                  </w:tcBorders>
                  <w:noWrap w:val="0"/>
                  <w:vAlign w:val="center"/>
                </w:tcPr>
                <w:p w14:paraId="01C3702C">
                  <w:pPr>
                    <w:spacing w:line="240" w:lineRule="auto"/>
                    <w:ind w:left="0" w:leftChars="0" w:right="0" w:rightChars="0" w:firstLine="0" w:firstLineChars="0"/>
                    <w:jc w:val="center"/>
                    <w:rPr>
                      <w:rFonts w:hint="eastAsia"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苯并[b]荧蒽*</w:t>
                  </w:r>
                </w:p>
              </w:tc>
              <w:tc>
                <w:tcPr>
                  <w:tcW w:w="1303" w:type="dxa"/>
                  <w:tcBorders>
                    <w:tl2br w:val="nil"/>
                    <w:tr2bl w:val="nil"/>
                  </w:tcBorders>
                  <w:noWrap w:val="0"/>
                  <w:vAlign w:val="center"/>
                </w:tcPr>
                <w:p w14:paraId="5EE5FEE3">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1D6C6E07">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mg/kg</w:t>
                  </w:r>
                </w:p>
              </w:tc>
              <w:tc>
                <w:tcPr>
                  <w:tcW w:w="2289" w:type="dxa"/>
                  <w:tcBorders>
                    <w:tl2br w:val="nil"/>
                    <w:tr2bl w:val="nil"/>
                  </w:tcBorders>
                  <w:noWrap w:val="0"/>
                  <w:vAlign w:val="top"/>
                </w:tcPr>
                <w:p w14:paraId="73BD9EC2">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15mg/kg</w:t>
                  </w:r>
                </w:p>
              </w:tc>
            </w:tr>
            <w:tr w14:paraId="018240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top"/>
                </w:tcPr>
                <w:p w14:paraId="0AF278B9">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41</w:t>
                  </w:r>
                </w:p>
              </w:tc>
              <w:tc>
                <w:tcPr>
                  <w:tcW w:w="2320" w:type="dxa"/>
                  <w:tcBorders>
                    <w:tl2br w:val="nil"/>
                    <w:tr2bl w:val="nil"/>
                  </w:tcBorders>
                  <w:noWrap w:val="0"/>
                  <w:vAlign w:val="center"/>
                </w:tcPr>
                <w:p w14:paraId="0944D2CF">
                  <w:pPr>
                    <w:spacing w:line="240" w:lineRule="auto"/>
                    <w:ind w:left="0" w:leftChars="0" w:right="0" w:rightChars="0" w:firstLine="0" w:firstLineChars="0"/>
                    <w:jc w:val="center"/>
                    <w:rPr>
                      <w:rFonts w:hint="eastAsia"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苯并[k]荧蒽*</w:t>
                  </w:r>
                </w:p>
              </w:tc>
              <w:tc>
                <w:tcPr>
                  <w:tcW w:w="1303" w:type="dxa"/>
                  <w:tcBorders>
                    <w:tl2br w:val="nil"/>
                    <w:tr2bl w:val="nil"/>
                  </w:tcBorders>
                  <w:noWrap w:val="0"/>
                  <w:vAlign w:val="center"/>
                </w:tcPr>
                <w:p w14:paraId="707B1760">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0.1</w:t>
                  </w:r>
                </w:p>
              </w:tc>
              <w:tc>
                <w:tcPr>
                  <w:tcW w:w="1408" w:type="dxa"/>
                  <w:tcBorders>
                    <w:tl2br w:val="nil"/>
                    <w:tr2bl w:val="nil"/>
                  </w:tcBorders>
                  <w:noWrap w:val="0"/>
                  <w:vAlign w:val="center"/>
                </w:tcPr>
                <w:p w14:paraId="45FD27B0">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mg/kg</w:t>
                  </w:r>
                </w:p>
              </w:tc>
              <w:tc>
                <w:tcPr>
                  <w:tcW w:w="2289" w:type="dxa"/>
                  <w:tcBorders>
                    <w:tl2br w:val="nil"/>
                    <w:tr2bl w:val="nil"/>
                  </w:tcBorders>
                  <w:noWrap w:val="0"/>
                  <w:vAlign w:val="top"/>
                </w:tcPr>
                <w:p w14:paraId="694A0194">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151mg/kg</w:t>
                  </w:r>
                </w:p>
              </w:tc>
            </w:tr>
            <w:tr w14:paraId="64B327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657" w:type="dxa"/>
                  <w:tcBorders>
                    <w:tl2br w:val="nil"/>
                    <w:tr2bl w:val="nil"/>
                  </w:tcBorders>
                  <w:noWrap w:val="0"/>
                  <w:vAlign w:val="top"/>
                </w:tcPr>
                <w:p w14:paraId="6A2E85AD">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42</w:t>
                  </w:r>
                </w:p>
              </w:tc>
              <w:tc>
                <w:tcPr>
                  <w:tcW w:w="2320" w:type="dxa"/>
                  <w:tcBorders>
                    <w:tl2br w:val="nil"/>
                    <w:tr2bl w:val="nil"/>
                  </w:tcBorders>
                  <w:noWrap w:val="0"/>
                  <w:vAlign w:val="center"/>
                </w:tcPr>
                <w:p w14:paraId="56C83DC1">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䓛</w:t>
                  </w:r>
                </w:p>
              </w:tc>
              <w:tc>
                <w:tcPr>
                  <w:tcW w:w="1303" w:type="dxa"/>
                  <w:tcBorders>
                    <w:tl2br w:val="nil"/>
                    <w:tr2bl w:val="nil"/>
                  </w:tcBorders>
                  <w:noWrap w:val="0"/>
                  <w:vAlign w:val="center"/>
                </w:tcPr>
                <w:p w14:paraId="78808247">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0.2</w:t>
                  </w:r>
                </w:p>
              </w:tc>
              <w:tc>
                <w:tcPr>
                  <w:tcW w:w="1408" w:type="dxa"/>
                  <w:tcBorders>
                    <w:tl2br w:val="nil"/>
                    <w:tr2bl w:val="nil"/>
                  </w:tcBorders>
                  <w:noWrap w:val="0"/>
                  <w:vAlign w:val="center"/>
                </w:tcPr>
                <w:p w14:paraId="4531E947">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mg/kg</w:t>
                  </w:r>
                </w:p>
              </w:tc>
              <w:tc>
                <w:tcPr>
                  <w:tcW w:w="2289" w:type="dxa"/>
                  <w:tcBorders>
                    <w:tl2br w:val="nil"/>
                    <w:tr2bl w:val="nil"/>
                  </w:tcBorders>
                  <w:noWrap w:val="0"/>
                  <w:vAlign w:val="top"/>
                </w:tcPr>
                <w:p w14:paraId="325EB0F9">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1293mg/kg</w:t>
                  </w:r>
                </w:p>
              </w:tc>
            </w:tr>
            <w:tr w14:paraId="3ECE32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top"/>
                </w:tcPr>
                <w:p w14:paraId="3AD44F49">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43</w:t>
                  </w:r>
                </w:p>
              </w:tc>
              <w:tc>
                <w:tcPr>
                  <w:tcW w:w="2320" w:type="dxa"/>
                  <w:tcBorders>
                    <w:tl2br w:val="nil"/>
                    <w:tr2bl w:val="nil"/>
                  </w:tcBorders>
                  <w:noWrap w:val="0"/>
                  <w:vAlign w:val="center"/>
                </w:tcPr>
                <w:p w14:paraId="30E273BB">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茚并[1,2,3-cd]芘</w:t>
                  </w:r>
                </w:p>
              </w:tc>
              <w:tc>
                <w:tcPr>
                  <w:tcW w:w="1303" w:type="dxa"/>
                  <w:tcBorders>
                    <w:tl2br w:val="nil"/>
                    <w:tr2bl w:val="nil"/>
                  </w:tcBorders>
                  <w:noWrap w:val="0"/>
                  <w:vAlign w:val="center"/>
                </w:tcPr>
                <w:p w14:paraId="287BBFDB">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0.2</w:t>
                  </w:r>
                </w:p>
              </w:tc>
              <w:tc>
                <w:tcPr>
                  <w:tcW w:w="1408" w:type="dxa"/>
                  <w:tcBorders>
                    <w:tl2br w:val="nil"/>
                    <w:tr2bl w:val="nil"/>
                  </w:tcBorders>
                  <w:noWrap w:val="0"/>
                  <w:vAlign w:val="center"/>
                </w:tcPr>
                <w:p w14:paraId="01B27A82">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mg/kg</w:t>
                  </w:r>
                </w:p>
              </w:tc>
              <w:tc>
                <w:tcPr>
                  <w:tcW w:w="2289" w:type="dxa"/>
                  <w:tcBorders>
                    <w:tl2br w:val="nil"/>
                    <w:tr2bl w:val="nil"/>
                  </w:tcBorders>
                  <w:noWrap w:val="0"/>
                  <w:vAlign w:val="top"/>
                </w:tcPr>
                <w:p w14:paraId="11BBD9C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1.5mg/kg</w:t>
                  </w:r>
                </w:p>
              </w:tc>
            </w:tr>
            <w:tr w14:paraId="153CA3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top"/>
                </w:tcPr>
                <w:p w14:paraId="1464511C">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44</w:t>
                  </w:r>
                </w:p>
              </w:tc>
              <w:tc>
                <w:tcPr>
                  <w:tcW w:w="2320" w:type="dxa"/>
                  <w:tcBorders>
                    <w:tl2br w:val="nil"/>
                    <w:tr2bl w:val="nil"/>
                  </w:tcBorders>
                  <w:noWrap w:val="0"/>
                  <w:vAlign w:val="center"/>
                </w:tcPr>
                <w:p w14:paraId="4361AD6F">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二苯并[a,h]蒽</w:t>
                  </w:r>
                </w:p>
              </w:tc>
              <w:tc>
                <w:tcPr>
                  <w:tcW w:w="1303" w:type="dxa"/>
                  <w:tcBorders>
                    <w:tl2br w:val="nil"/>
                    <w:tr2bl w:val="nil"/>
                  </w:tcBorders>
                  <w:noWrap w:val="0"/>
                  <w:vAlign w:val="center"/>
                </w:tcPr>
                <w:p w14:paraId="7B5555BF">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3CCA6254">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mg/kg</w:t>
                  </w:r>
                </w:p>
              </w:tc>
              <w:tc>
                <w:tcPr>
                  <w:tcW w:w="2289" w:type="dxa"/>
                  <w:tcBorders>
                    <w:tl2br w:val="nil"/>
                    <w:tr2bl w:val="nil"/>
                  </w:tcBorders>
                  <w:noWrap w:val="0"/>
                  <w:vAlign w:val="top"/>
                </w:tcPr>
                <w:p w14:paraId="2E81DE65">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15mg/kg</w:t>
                  </w:r>
                </w:p>
              </w:tc>
            </w:tr>
            <w:tr w14:paraId="3A4F41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top"/>
                </w:tcPr>
                <w:p w14:paraId="59A5791A">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45</w:t>
                  </w:r>
                </w:p>
              </w:tc>
              <w:tc>
                <w:tcPr>
                  <w:tcW w:w="2320" w:type="dxa"/>
                  <w:tcBorders>
                    <w:tl2br w:val="nil"/>
                    <w:tr2bl w:val="nil"/>
                  </w:tcBorders>
                  <w:noWrap w:val="0"/>
                  <w:vAlign w:val="center"/>
                </w:tcPr>
                <w:p w14:paraId="26E11E6F">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萘</w:t>
                  </w:r>
                </w:p>
              </w:tc>
              <w:tc>
                <w:tcPr>
                  <w:tcW w:w="1303" w:type="dxa"/>
                  <w:tcBorders>
                    <w:tl2br w:val="nil"/>
                    <w:tr2bl w:val="nil"/>
                  </w:tcBorders>
                  <w:noWrap w:val="0"/>
                  <w:vAlign w:val="center"/>
                </w:tcPr>
                <w:p w14:paraId="62F6F9D8">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未检出</w:t>
                  </w:r>
                </w:p>
              </w:tc>
              <w:tc>
                <w:tcPr>
                  <w:tcW w:w="1408" w:type="dxa"/>
                  <w:tcBorders>
                    <w:tl2br w:val="nil"/>
                    <w:tr2bl w:val="nil"/>
                  </w:tcBorders>
                  <w:noWrap w:val="0"/>
                  <w:vAlign w:val="center"/>
                </w:tcPr>
                <w:p w14:paraId="2459EC5A">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mg/kg</w:t>
                  </w:r>
                </w:p>
              </w:tc>
              <w:tc>
                <w:tcPr>
                  <w:tcW w:w="2289" w:type="dxa"/>
                  <w:tcBorders>
                    <w:tl2br w:val="nil"/>
                    <w:tr2bl w:val="nil"/>
                  </w:tcBorders>
                  <w:noWrap w:val="0"/>
                  <w:vAlign w:val="top"/>
                </w:tcPr>
                <w:p w14:paraId="549B2E36">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70mg/kg</w:t>
                  </w:r>
                </w:p>
              </w:tc>
            </w:tr>
            <w:tr w14:paraId="5E09D4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noWrap w:val="0"/>
                  <w:vAlign w:val="top"/>
                </w:tcPr>
                <w:p w14:paraId="639F9021">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46</w:t>
                  </w:r>
                </w:p>
              </w:tc>
              <w:tc>
                <w:tcPr>
                  <w:tcW w:w="2320" w:type="dxa"/>
                  <w:tcBorders>
                    <w:tl2br w:val="nil"/>
                    <w:tr2bl w:val="nil"/>
                  </w:tcBorders>
                  <w:noWrap w:val="0"/>
                  <w:vAlign w:val="center"/>
                </w:tcPr>
                <w:p w14:paraId="7766EC0D">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石油烃（C</w:t>
                  </w:r>
                  <w:r>
                    <w:rPr>
                      <w:rFonts w:hint="eastAsia"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10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-C</w:t>
                  </w:r>
                  <w:r>
                    <w:rPr>
                      <w:rFonts w:hint="eastAsia"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40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1303" w:type="dxa"/>
                  <w:tcBorders>
                    <w:tl2br w:val="nil"/>
                    <w:tr2bl w:val="nil"/>
                  </w:tcBorders>
                  <w:noWrap w:val="0"/>
                  <w:vAlign w:val="center"/>
                </w:tcPr>
                <w:p w14:paraId="63A97438">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54</w:t>
                  </w:r>
                </w:p>
              </w:tc>
              <w:tc>
                <w:tcPr>
                  <w:tcW w:w="1408" w:type="dxa"/>
                  <w:tcBorders>
                    <w:tl2br w:val="nil"/>
                    <w:tr2bl w:val="nil"/>
                  </w:tcBorders>
                  <w:noWrap w:val="0"/>
                  <w:vAlign w:val="center"/>
                </w:tcPr>
                <w:p w14:paraId="2314DF41">
                  <w:pPr>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mg/kg</w:t>
                  </w:r>
                </w:p>
              </w:tc>
              <w:tc>
                <w:tcPr>
                  <w:tcW w:w="2289" w:type="dxa"/>
                  <w:tcBorders>
                    <w:tl2br w:val="nil"/>
                    <w:tr2bl w:val="nil"/>
                  </w:tcBorders>
                  <w:noWrap w:val="0"/>
                  <w:vAlign w:val="top"/>
                </w:tcPr>
                <w:p w14:paraId="3DA4FD52">
                  <w:pPr>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4500mg/kg</w:t>
                  </w:r>
                </w:p>
              </w:tc>
            </w:tr>
          </w:tbl>
          <w:p w14:paraId="7730821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FF0000"/>
                <w:sz w:val="21"/>
                <w:szCs w:val="21"/>
                <w:highlight w:val="none"/>
                <w:lang w:val="en-US" w:eastAsia="zh-CN"/>
              </w:rPr>
            </w:pPr>
            <w:r>
              <w:rPr>
                <w:rFonts w:hint="eastAsia"/>
                <w:color w:val="FF0000"/>
                <w:sz w:val="21"/>
                <w:szCs w:val="21"/>
                <w:highlight w:val="none"/>
                <w:lang w:val="en-US" w:eastAsia="zh-CN"/>
              </w:rPr>
              <w:t>注：带“*”项目为《重点控制的土壤有毒有害物质名录（第一批）》中项目</w:t>
            </w:r>
          </w:p>
          <w:p w14:paraId="6B7B25A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FF0000"/>
                <w:sz w:val="24"/>
                <w:szCs w:val="24"/>
                <w:highlight w:val="none"/>
              </w:rPr>
            </w:pPr>
            <w:r>
              <w:rPr>
                <w:color w:val="FF0000"/>
                <w:sz w:val="24"/>
                <w:szCs w:val="24"/>
                <w:highlight w:val="none"/>
              </w:rPr>
              <w:t>根据土壤监测结果可知，各项土壤监测项均可满足《土壤环境质量</w:t>
            </w:r>
            <w:r>
              <w:rPr>
                <w:rFonts w:hint="eastAsia"/>
                <w:color w:val="FF0000"/>
                <w:sz w:val="24"/>
                <w:szCs w:val="24"/>
                <w:highlight w:val="none"/>
                <w:lang w:val="en-US" w:eastAsia="zh-CN"/>
              </w:rPr>
              <w:t xml:space="preserve"> </w:t>
            </w:r>
            <w:r>
              <w:rPr>
                <w:color w:val="FF0000"/>
                <w:sz w:val="24"/>
                <w:szCs w:val="24"/>
                <w:highlight w:val="none"/>
              </w:rPr>
              <w:t>建设用地土壤污染风险管控标准》（试行）</w:t>
            </w:r>
            <w:r>
              <w:rPr>
                <w:rFonts w:hint="default"/>
                <w:color w:val="FF0000"/>
                <w:sz w:val="24"/>
                <w:szCs w:val="24"/>
                <w:highlight w:val="none"/>
              </w:rPr>
              <w:t>（GB36600-2018）表1</w:t>
            </w:r>
            <w:r>
              <w:rPr>
                <w:rFonts w:hint="eastAsia"/>
                <w:color w:val="FF0000"/>
                <w:sz w:val="24"/>
                <w:szCs w:val="24"/>
                <w:highlight w:val="none"/>
                <w:lang w:eastAsia="zh-CN"/>
              </w:rPr>
              <w:t>、</w:t>
            </w:r>
            <w:r>
              <w:rPr>
                <w:rFonts w:hint="eastAsia"/>
                <w:color w:val="FF0000"/>
                <w:sz w:val="24"/>
                <w:szCs w:val="24"/>
                <w:highlight w:val="none"/>
                <w:lang w:val="en-US" w:eastAsia="zh-CN"/>
              </w:rPr>
              <w:t>表2</w:t>
            </w:r>
            <w:r>
              <w:rPr>
                <w:color w:val="FF0000"/>
                <w:sz w:val="24"/>
                <w:szCs w:val="24"/>
                <w:highlight w:val="none"/>
              </w:rPr>
              <w:t>建设用地土壤污染风险筛选值第二类用地标准要求，土壤环境质量现状良好</w:t>
            </w:r>
            <w:r>
              <w:rPr>
                <w:rFonts w:hint="eastAsia"/>
                <w:color w:val="FF0000"/>
                <w:sz w:val="24"/>
                <w:szCs w:val="24"/>
                <w:highlight w:val="none"/>
                <w:lang w:eastAsia="zh-CN"/>
              </w:rPr>
              <w:t>。</w:t>
            </w:r>
          </w:p>
          <w:p w14:paraId="537E72EF">
            <w:pPr>
              <w:keepNext w:val="0"/>
              <w:keepLines w:val="0"/>
              <w:pageBreakBefore w:val="0"/>
              <w:widowControl w:val="0"/>
              <w:kinsoku/>
              <w:wordWrap/>
              <w:overflowPunct/>
              <w:topLinePunct w:val="0"/>
              <w:autoSpaceDE/>
              <w:autoSpaceDN/>
              <w:bidi w:val="0"/>
              <w:spacing w:line="360" w:lineRule="auto"/>
              <w:ind w:firstLine="482" w:firstLineChars="200"/>
              <w:textAlignment w:val="auto"/>
              <w:rPr>
                <w:color w:val="000000" w:themeColor="text1"/>
                <w:sz w:val="24"/>
                <w:highlight w:val="none"/>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6</w:t>
            </w:r>
            <w:r>
              <w:rPr>
                <w:rFonts w:hint="eastAsia"/>
                <w:b/>
                <w:bCs/>
                <w:color w:val="000000" w:themeColor="text1"/>
                <w:sz w:val="24"/>
                <w:highlight w:val="none"/>
                <w14:textFill>
                  <w14:solidFill>
                    <w14:schemeClr w14:val="tx1"/>
                  </w14:solidFill>
                </w14:textFill>
              </w:rPr>
              <w:t>、</w:t>
            </w:r>
            <w:r>
              <w:rPr>
                <w:b/>
                <w:bCs/>
                <w:color w:val="000000" w:themeColor="text1"/>
                <w:sz w:val="24"/>
                <w:highlight w:val="none"/>
                <w14:textFill>
                  <w14:solidFill>
                    <w14:schemeClr w14:val="tx1"/>
                  </w14:solidFill>
                </w14:textFill>
              </w:rPr>
              <w:t>生态环境</w:t>
            </w:r>
          </w:p>
          <w:p w14:paraId="75B48FDA">
            <w:pPr>
              <w:keepNext w:val="0"/>
              <w:keepLines w:val="0"/>
              <w:pageBreakBefore w:val="0"/>
              <w:widowControl w:val="0"/>
              <w:kinsoku/>
              <w:wordWrap/>
              <w:overflowPunct/>
              <w:topLinePunct w:val="0"/>
              <w:autoSpaceDE/>
              <w:autoSpaceDN/>
              <w:bidi w:val="0"/>
              <w:spacing w:line="360" w:lineRule="auto"/>
              <w:ind w:firstLine="480" w:firstLineChars="200"/>
              <w:textAlignment w:val="auto"/>
              <w:rPr>
                <w:color w:val="000000" w:themeColor="text1"/>
                <w:kern w:val="0"/>
                <w:szCs w:val="21"/>
                <w14:textFill>
                  <w14:solidFill>
                    <w14:schemeClr w14:val="tx1"/>
                  </w14:solidFill>
                </w14:textFill>
              </w:rPr>
            </w:pPr>
            <w:r>
              <w:rPr>
                <w:color w:val="000000" w:themeColor="text1"/>
                <w:sz w:val="24"/>
                <w:highlight w:val="none"/>
                <w14:textFill>
                  <w14:solidFill>
                    <w14:schemeClr w14:val="tx1"/>
                  </w14:solidFill>
                </w14:textFill>
              </w:rPr>
              <w:t>根据实地调查，建设项目区域内无重要保护动植物，不属于生态敏感区和自然保护区，项目所在地生态环境较好。</w:t>
            </w:r>
          </w:p>
        </w:tc>
      </w:tr>
      <w:tr w14:paraId="61229E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5" w:hRule="atLeast"/>
          <w:jc w:val="center"/>
        </w:trPr>
        <w:tc>
          <w:tcPr>
            <w:tcW w:w="844" w:type="dxa"/>
            <w:vAlign w:val="center"/>
          </w:tcPr>
          <w:p w14:paraId="139E3F27">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环境</w:t>
            </w:r>
          </w:p>
          <w:p w14:paraId="1380F36A">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保护</w:t>
            </w:r>
          </w:p>
          <w:p w14:paraId="459F2A35">
            <w:pPr>
              <w:adjustRightInd w:val="0"/>
              <w:snapToGrid w:val="0"/>
              <w:jc w:val="center"/>
              <w:rPr>
                <w:color w:val="000000" w:themeColor="text1"/>
                <w:kern w:val="0"/>
                <w:szCs w:val="21"/>
                <w14:textFill>
                  <w14:solidFill>
                    <w14:schemeClr w14:val="tx1"/>
                  </w14:solidFill>
                </w14:textFill>
              </w:rPr>
            </w:pPr>
            <w:r>
              <w:rPr>
                <w:color w:val="000000" w:themeColor="text1"/>
                <w:kern w:val="0"/>
                <w:sz w:val="24"/>
                <w14:textFill>
                  <w14:solidFill>
                    <w14:schemeClr w14:val="tx1"/>
                  </w14:solidFill>
                </w14:textFill>
              </w:rPr>
              <w:t>目标</w:t>
            </w:r>
          </w:p>
        </w:tc>
        <w:tc>
          <w:tcPr>
            <w:tcW w:w="8217" w:type="dxa"/>
            <w:vAlign w:val="center"/>
          </w:tcPr>
          <w:p w14:paraId="2A7FA4BF">
            <w:pPr>
              <w:spacing w:line="360" w:lineRule="auto"/>
              <w:ind w:firstLine="482" w:firstLineChars="200"/>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pPr>
            <w:r>
              <w:rPr>
                <w:rFonts w:hint="eastAsia" w:cs="Times New Roman"/>
                <w:b/>
                <w:bCs/>
                <w:color w:val="000000" w:themeColor="text1"/>
                <w:sz w:val="24"/>
                <w:szCs w:val="24"/>
                <w:highlight w:val="none"/>
                <w:lang w:val="en-US" w:eastAsia="zh-CN"/>
                <w14:textFill>
                  <w14:solidFill>
                    <w14:schemeClr w14:val="tx1"/>
                  </w14:solidFill>
                </w14:textFill>
              </w:rPr>
              <w:t>1</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、环境</w:t>
            </w:r>
            <w:r>
              <w:rPr>
                <w:rFonts w:hint="eastAsia" w:cs="Times New Roman"/>
                <w:b/>
                <w:bCs/>
                <w:color w:val="000000" w:themeColor="text1"/>
                <w:sz w:val="24"/>
                <w:szCs w:val="24"/>
                <w:highlight w:val="none"/>
                <w:lang w:val="en-US" w:eastAsia="zh-CN"/>
                <w14:textFill>
                  <w14:solidFill>
                    <w14:schemeClr w14:val="tx1"/>
                  </w14:solidFill>
                </w14:textFill>
              </w:rPr>
              <w:t>空气</w:t>
            </w:r>
          </w:p>
          <w:p w14:paraId="49D302B8">
            <w:pPr>
              <w:spacing w:line="360" w:lineRule="auto"/>
              <w:ind w:firstLine="480" w:firstLineChars="200"/>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本项目位于</w:t>
            </w:r>
            <w:r>
              <w:rPr>
                <w:rFonts w:hint="eastAsia"/>
                <w:color w:val="000000" w:themeColor="text1"/>
                <w:kern w:val="0"/>
                <w:sz w:val="24"/>
                <w:highlight w:val="none"/>
                <w:lang w:val="en-US" w:eastAsia="zh-CN"/>
                <w14:textFill>
                  <w14:solidFill>
                    <w14:schemeClr w14:val="tx1"/>
                  </w14:solidFill>
                </w14:textFill>
              </w:rPr>
              <w:t>黑龙江省双鸭山市尖山区三马路和西平行路交叉处西南</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，厂界外500米范围内无自然保护区、风景名胜区</w:t>
            </w:r>
            <w:r>
              <w:rPr>
                <w:rFonts w:hint="eastAsia" w:cs="Times New Roman"/>
                <w:color w:val="000000" w:themeColor="text1"/>
                <w:sz w:val="24"/>
                <w:szCs w:val="24"/>
                <w:highlight w:val="none"/>
                <w:lang w:val="en-US" w:eastAsia="zh-CN"/>
                <w14:textFill>
                  <w14:solidFill>
                    <w14:schemeClr w14:val="tx1"/>
                  </w14:solidFill>
                </w14:textFill>
              </w:rPr>
              <w:t>等</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。项目厂界外500米范围内大气环境保护目标见下表。</w:t>
            </w:r>
          </w:p>
          <w:p w14:paraId="5D17930B">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表3-</w:t>
            </w:r>
            <w:r>
              <w:rPr>
                <w:rFonts w:hint="eastAsia" w:cs="Times New Roman"/>
                <w:b/>
                <w:bCs/>
                <w:color w:val="000000" w:themeColor="text1"/>
                <w:kern w:val="0"/>
                <w:sz w:val="24"/>
                <w:szCs w:val="24"/>
                <w:highlight w:val="none"/>
                <w:lang w:val="en-US" w:eastAsia="zh-CN" w:bidi="ar-SA"/>
                <w14:textFill>
                  <w14:solidFill>
                    <w14:schemeClr w14:val="tx1"/>
                  </w14:solidFill>
                </w14:textFill>
              </w:rPr>
              <w:t>7</w:t>
            </w:r>
            <w:r>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 xml:space="preserve"> 大气环境保护目标</w:t>
            </w:r>
          </w:p>
          <w:tbl>
            <w:tblPr>
              <w:tblStyle w:val="29"/>
              <w:tblW w:w="809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2"/>
              <w:gridCol w:w="652"/>
              <w:gridCol w:w="1019"/>
              <w:gridCol w:w="1044"/>
              <w:gridCol w:w="810"/>
              <w:gridCol w:w="665"/>
              <w:gridCol w:w="676"/>
              <w:gridCol w:w="738"/>
              <w:gridCol w:w="1838"/>
            </w:tblGrid>
            <w:tr w14:paraId="76845C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652" w:type="dxa"/>
                  <w:vMerge w:val="restart"/>
                  <w:tcBorders>
                    <w:tl2br w:val="nil"/>
                    <w:tr2bl w:val="nil"/>
                  </w:tcBorders>
                  <w:vAlign w:val="center"/>
                </w:tcPr>
                <w:p w14:paraId="2309B0EE">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环境要素</w:t>
                  </w:r>
                </w:p>
              </w:tc>
              <w:tc>
                <w:tcPr>
                  <w:tcW w:w="652" w:type="dxa"/>
                  <w:vMerge w:val="restart"/>
                  <w:tcBorders>
                    <w:tl2br w:val="nil"/>
                    <w:tr2bl w:val="nil"/>
                  </w:tcBorders>
                  <w:vAlign w:val="center"/>
                </w:tcPr>
                <w:p w14:paraId="584A598E">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保护目标名称</w:t>
                  </w:r>
                </w:p>
              </w:tc>
              <w:tc>
                <w:tcPr>
                  <w:tcW w:w="2063" w:type="dxa"/>
                  <w:gridSpan w:val="2"/>
                  <w:tcBorders>
                    <w:tl2br w:val="nil"/>
                    <w:tr2bl w:val="nil"/>
                  </w:tcBorders>
                  <w:vAlign w:val="center"/>
                </w:tcPr>
                <w:p w14:paraId="269AD615">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坐标</w:t>
                  </w:r>
                </w:p>
              </w:tc>
              <w:tc>
                <w:tcPr>
                  <w:tcW w:w="810" w:type="dxa"/>
                  <w:vMerge w:val="restart"/>
                  <w:tcBorders>
                    <w:tl2br w:val="nil"/>
                    <w:tr2bl w:val="nil"/>
                  </w:tcBorders>
                  <w:vAlign w:val="center"/>
                </w:tcPr>
                <w:p w14:paraId="20AFE971">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保护对象</w:t>
                  </w:r>
                </w:p>
              </w:tc>
              <w:tc>
                <w:tcPr>
                  <w:tcW w:w="665" w:type="dxa"/>
                  <w:vMerge w:val="restart"/>
                  <w:tcBorders>
                    <w:tl2br w:val="nil"/>
                    <w:tr2bl w:val="nil"/>
                  </w:tcBorders>
                  <w:vAlign w:val="center"/>
                </w:tcPr>
                <w:p w14:paraId="2E652E25">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保护内容</w:t>
                  </w:r>
                </w:p>
              </w:tc>
              <w:tc>
                <w:tcPr>
                  <w:tcW w:w="676" w:type="dxa"/>
                  <w:vMerge w:val="restart"/>
                  <w:tcBorders>
                    <w:tl2br w:val="nil"/>
                    <w:tr2bl w:val="nil"/>
                  </w:tcBorders>
                  <w:vAlign w:val="center"/>
                </w:tcPr>
                <w:p w14:paraId="1A563753">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相对厂址方位</w:t>
                  </w:r>
                </w:p>
              </w:tc>
              <w:tc>
                <w:tcPr>
                  <w:tcW w:w="738" w:type="dxa"/>
                  <w:vMerge w:val="restart"/>
                  <w:tcBorders>
                    <w:tl2br w:val="nil"/>
                    <w:tr2bl w:val="nil"/>
                  </w:tcBorders>
                  <w:vAlign w:val="center"/>
                </w:tcPr>
                <w:p w14:paraId="5B75B61F">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相对厂界距离</w:t>
                  </w:r>
                </w:p>
              </w:tc>
              <w:tc>
                <w:tcPr>
                  <w:tcW w:w="1838" w:type="dxa"/>
                  <w:vMerge w:val="restart"/>
                  <w:tcBorders>
                    <w:tl2br w:val="nil"/>
                    <w:tr2bl w:val="nil"/>
                  </w:tcBorders>
                  <w:vAlign w:val="center"/>
                </w:tcPr>
                <w:p w14:paraId="7607F929">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环境功能区</w:t>
                  </w:r>
                </w:p>
              </w:tc>
            </w:tr>
            <w:tr w14:paraId="50602C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Merge w:val="continue"/>
                  <w:tcBorders>
                    <w:tl2br w:val="nil"/>
                    <w:tr2bl w:val="nil"/>
                  </w:tcBorders>
                </w:tcPr>
                <w:p w14:paraId="783C0B0A">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c>
                <w:tcPr>
                  <w:tcW w:w="652" w:type="dxa"/>
                  <w:vMerge w:val="continue"/>
                  <w:tcBorders>
                    <w:tl2br w:val="nil"/>
                    <w:tr2bl w:val="nil"/>
                  </w:tcBorders>
                </w:tcPr>
                <w:p w14:paraId="6A41BD1E">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c>
                <w:tcPr>
                  <w:tcW w:w="1019" w:type="dxa"/>
                  <w:tcBorders>
                    <w:tl2br w:val="nil"/>
                    <w:tr2bl w:val="nil"/>
                  </w:tcBorders>
                  <w:vAlign w:val="center"/>
                </w:tcPr>
                <w:p w14:paraId="39EF37D2">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经度</w:t>
                  </w:r>
                </w:p>
              </w:tc>
              <w:tc>
                <w:tcPr>
                  <w:tcW w:w="1044" w:type="dxa"/>
                  <w:tcBorders>
                    <w:tl2br w:val="nil"/>
                    <w:tr2bl w:val="nil"/>
                  </w:tcBorders>
                  <w:vAlign w:val="center"/>
                </w:tcPr>
                <w:p w14:paraId="1908F571">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纬度</w:t>
                  </w:r>
                </w:p>
              </w:tc>
              <w:tc>
                <w:tcPr>
                  <w:tcW w:w="810" w:type="dxa"/>
                  <w:vMerge w:val="continue"/>
                  <w:tcBorders>
                    <w:tl2br w:val="nil"/>
                    <w:tr2bl w:val="nil"/>
                  </w:tcBorders>
                </w:tcPr>
                <w:p w14:paraId="30851DF4">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665" w:type="dxa"/>
                  <w:vMerge w:val="continue"/>
                  <w:tcBorders>
                    <w:tl2br w:val="nil"/>
                    <w:tr2bl w:val="nil"/>
                  </w:tcBorders>
                </w:tcPr>
                <w:p w14:paraId="0954BADF">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676" w:type="dxa"/>
                  <w:vMerge w:val="continue"/>
                  <w:tcBorders>
                    <w:tl2br w:val="nil"/>
                    <w:tr2bl w:val="nil"/>
                  </w:tcBorders>
                </w:tcPr>
                <w:p w14:paraId="354E8F9E">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738" w:type="dxa"/>
                  <w:vMerge w:val="continue"/>
                  <w:tcBorders>
                    <w:tl2br w:val="nil"/>
                    <w:tr2bl w:val="nil"/>
                  </w:tcBorders>
                </w:tcPr>
                <w:p w14:paraId="302928D2">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838" w:type="dxa"/>
                  <w:vMerge w:val="continue"/>
                  <w:tcBorders>
                    <w:tl2br w:val="nil"/>
                    <w:tr2bl w:val="nil"/>
                  </w:tcBorders>
                </w:tcPr>
                <w:p w14:paraId="507FDCBB">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r>
            <w:tr w14:paraId="18030D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Merge w:val="restart"/>
                  <w:tcBorders>
                    <w:tl2br w:val="nil"/>
                    <w:tr2bl w:val="nil"/>
                  </w:tcBorders>
                  <w:vAlign w:val="center"/>
                </w:tcPr>
                <w:p w14:paraId="28F0F8F5">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大气环境</w:t>
                  </w:r>
                </w:p>
              </w:tc>
              <w:tc>
                <w:tcPr>
                  <w:tcW w:w="652" w:type="dxa"/>
                  <w:tcBorders>
                    <w:tl2br w:val="nil"/>
                    <w:tr2bl w:val="nil"/>
                  </w:tcBorders>
                  <w:vAlign w:val="center"/>
                </w:tcPr>
                <w:p w14:paraId="78121F7B">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长虹小区</w:t>
                  </w:r>
                </w:p>
              </w:tc>
              <w:tc>
                <w:tcPr>
                  <w:tcW w:w="1019" w:type="dxa"/>
                  <w:tcBorders>
                    <w:tl2br w:val="nil"/>
                    <w:tr2bl w:val="nil"/>
                  </w:tcBorders>
                  <w:vAlign w:val="center"/>
                </w:tcPr>
                <w:p w14:paraId="09AE1C3D">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131.1400</w:t>
                  </w:r>
                </w:p>
              </w:tc>
              <w:tc>
                <w:tcPr>
                  <w:tcW w:w="1044" w:type="dxa"/>
                  <w:tcBorders>
                    <w:tl2br w:val="nil"/>
                    <w:tr2bl w:val="nil"/>
                  </w:tcBorders>
                  <w:vAlign w:val="center"/>
                </w:tcPr>
                <w:p w14:paraId="1B48503B">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46.6396</w:t>
                  </w:r>
                </w:p>
              </w:tc>
              <w:tc>
                <w:tcPr>
                  <w:tcW w:w="810" w:type="dxa"/>
                  <w:tcBorders>
                    <w:tl2br w:val="nil"/>
                    <w:tr2bl w:val="nil"/>
                  </w:tcBorders>
                  <w:vAlign w:val="center"/>
                </w:tcPr>
                <w:p w14:paraId="41A82511">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21000人</w:t>
                  </w:r>
                </w:p>
              </w:tc>
              <w:tc>
                <w:tcPr>
                  <w:tcW w:w="665" w:type="dxa"/>
                  <w:vMerge w:val="restart"/>
                  <w:tcBorders>
                    <w:tl2br w:val="nil"/>
                    <w:tr2bl w:val="nil"/>
                  </w:tcBorders>
                  <w:vAlign w:val="center"/>
                </w:tcPr>
                <w:p w14:paraId="260D76BA">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人群</w:t>
                  </w:r>
                </w:p>
              </w:tc>
              <w:tc>
                <w:tcPr>
                  <w:tcW w:w="676" w:type="dxa"/>
                  <w:tcBorders>
                    <w:tl2br w:val="nil"/>
                    <w:tr2bl w:val="nil"/>
                  </w:tcBorders>
                  <w:vAlign w:val="center"/>
                </w:tcPr>
                <w:p w14:paraId="32311AA9">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EN</w:t>
                  </w:r>
                </w:p>
              </w:tc>
              <w:tc>
                <w:tcPr>
                  <w:tcW w:w="738" w:type="dxa"/>
                  <w:tcBorders>
                    <w:tl2br w:val="nil"/>
                    <w:tr2bl w:val="nil"/>
                  </w:tcBorders>
                  <w:vAlign w:val="center"/>
                </w:tcPr>
                <w:p w14:paraId="28346614">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190m</w:t>
                  </w:r>
                </w:p>
              </w:tc>
              <w:tc>
                <w:tcPr>
                  <w:tcW w:w="1838" w:type="dxa"/>
                  <w:vMerge w:val="restart"/>
                  <w:tcBorders>
                    <w:tl2br w:val="nil"/>
                    <w:tr2bl w:val="nil"/>
                  </w:tcBorders>
                  <w:vAlign w:val="center"/>
                </w:tcPr>
                <w:p w14:paraId="1F03A477">
                  <w:pPr>
                    <w:adjustRightInd w:val="0"/>
                    <w:snapToGrid w:val="0"/>
                    <w:spacing w:line="240" w:lineRule="auto"/>
                    <w:jc w:val="center"/>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《环境空气质量标准》（GB3095-2012）2类区</w:t>
                  </w:r>
                </w:p>
              </w:tc>
            </w:tr>
            <w:tr w14:paraId="367CE8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Merge w:val="continue"/>
                  <w:tcBorders>
                    <w:tl2br w:val="nil"/>
                    <w:tr2bl w:val="nil"/>
                  </w:tcBorders>
                  <w:vAlign w:val="center"/>
                </w:tcPr>
                <w:p w14:paraId="10E4C5AB">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652" w:type="dxa"/>
                  <w:tcBorders>
                    <w:tl2br w:val="nil"/>
                    <w:tr2bl w:val="nil"/>
                  </w:tcBorders>
                  <w:vAlign w:val="center"/>
                </w:tcPr>
                <w:p w14:paraId="4DA68DB2">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隆安小区</w:t>
                  </w:r>
                </w:p>
              </w:tc>
              <w:tc>
                <w:tcPr>
                  <w:tcW w:w="1019" w:type="dxa"/>
                  <w:tcBorders>
                    <w:tl2br w:val="nil"/>
                    <w:tr2bl w:val="nil"/>
                  </w:tcBorders>
                  <w:vAlign w:val="center"/>
                </w:tcPr>
                <w:p w14:paraId="1470A5C3">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131.1429</w:t>
                  </w:r>
                </w:p>
              </w:tc>
              <w:tc>
                <w:tcPr>
                  <w:tcW w:w="1044" w:type="dxa"/>
                  <w:tcBorders>
                    <w:tl2br w:val="nil"/>
                    <w:tr2bl w:val="nil"/>
                  </w:tcBorders>
                  <w:vAlign w:val="center"/>
                </w:tcPr>
                <w:p w14:paraId="213B6BF3">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46.6360</w:t>
                  </w:r>
                </w:p>
              </w:tc>
              <w:tc>
                <w:tcPr>
                  <w:tcW w:w="810" w:type="dxa"/>
                  <w:tcBorders>
                    <w:tl2br w:val="nil"/>
                    <w:tr2bl w:val="nil"/>
                  </w:tcBorders>
                  <w:vAlign w:val="center"/>
                </w:tcPr>
                <w:p w14:paraId="5F8820C9">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3000人</w:t>
                  </w:r>
                </w:p>
              </w:tc>
              <w:tc>
                <w:tcPr>
                  <w:tcW w:w="665" w:type="dxa"/>
                  <w:vMerge w:val="continue"/>
                  <w:tcBorders>
                    <w:tl2br w:val="nil"/>
                    <w:tr2bl w:val="nil"/>
                  </w:tcBorders>
                  <w:vAlign w:val="center"/>
                </w:tcPr>
                <w:p w14:paraId="70F0A2AF">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676" w:type="dxa"/>
                  <w:tcBorders>
                    <w:tl2br w:val="nil"/>
                    <w:tr2bl w:val="nil"/>
                  </w:tcBorders>
                  <w:vAlign w:val="center"/>
                </w:tcPr>
                <w:p w14:paraId="44661F5B">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EN</w:t>
                  </w:r>
                </w:p>
              </w:tc>
              <w:tc>
                <w:tcPr>
                  <w:tcW w:w="738" w:type="dxa"/>
                  <w:tcBorders>
                    <w:tl2br w:val="nil"/>
                    <w:tr2bl w:val="nil"/>
                  </w:tcBorders>
                  <w:vAlign w:val="center"/>
                </w:tcPr>
                <w:p w14:paraId="6EBB7FEE">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80m</w:t>
                  </w:r>
                </w:p>
              </w:tc>
              <w:tc>
                <w:tcPr>
                  <w:tcW w:w="1838" w:type="dxa"/>
                  <w:vMerge w:val="continue"/>
                  <w:tcBorders>
                    <w:tl2br w:val="nil"/>
                    <w:tr2bl w:val="nil"/>
                  </w:tcBorders>
                  <w:vAlign w:val="center"/>
                </w:tcPr>
                <w:p w14:paraId="12F4460C">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r>
            <w:tr w14:paraId="176B26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Merge w:val="continue"/>
                  <w:tcBorders>
                    <w:tl2br w:val="nil"/>
                    <w:tr2bl w:val="nil"/>
                  </w:tcBorders>
                  <w:vAlign w:val="center"/>
                </w:tcPr>
                <w:p w14:paraId="57C5D0A7">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652" w:type="dxa"/>
                  <w:tcBorders>
                    <w:tl2br w:val="nil"/>
                    <w:tr2bl w:val="nil"/>
                  </w:tcBorders>
                  <w:vAlign w:val="center"/>
                </w:tcPr>
                <w:p w14:paraId="7A4F46C5">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站南小区</w:t>
                  </w:r>
                </w:p>
              </w:tc>
              <w:tc>
                <w:tcPr>
                  <w:tcW w:w="1019" w:type="dxa"/>
                  <w:tcBorders>
                    <w:tl2br w:val="nil"/>
                    <w:tr2bl w:val="nil"/>
                  </w:tcBorders>
                  <w:vAlign w:val="center"/>
                </w:tcPr>
                <w:p w14:paraId="5D9B0E51">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131.141</w:t>
                  </w:r>
                  <w:r>
                    <w:rPr>
                      <w:rFonts w:hint="eastAsia" w:cs="Times New Roman"/>
                      <w:color w:val="000000" w:themeColor="text1"/>
                      <w:sz w:val="21"/>
                      <w:szCs w:val="21"/>
                      <w:highlight w:val="none"/>
                      <w:vertAlign w:val="baseline"/>
                      <w:lang w:val="en-US" w:eastAsia="zh-CN"/>
                      <w14:textFill>
                        <w14:solidFill>
                          <w14:schemeClr w14:val="tx1"/>
                        </w14:solidFill>
                      </w14:textFill>
                    </w:rPr>
                    <w:t>7</w:t>
                  </w:r>
                </w:p>
              </w:tc>
              <w:tc>
                <w:tcPr>
                  <w:tcW w:w="1044" w:type="dxa"/>
                  <w:tcBorders>
                    <w:tl2br w:val="nil"/>
                    <w:tr2bl w:val="nil"/>
                  </w:tcBorders>
                  <w:vAlign w:val="center"/>
                </w:tcPr>
                <w:p w14:paraId="71BCFB8E">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46.63</w:t>
                  </w:r>
                  <w:r>
                    <w:rPr>
                      <w:rFonts w:hint="eastAsia" w:cs="Times New Roman"/>
                      <w:color w:val="000000" w:themeColor="text1"/>
                      <w:sz w:val="21"/>
                      <w:szCs w:val="21"/>
                      <w:highlight w:val="none"/>
                      <w:vertAlign w:val="baseline"/>
                      <w:lang w:val="en-US" w:eastAsia="zh-CN"/>
                      <w14:textFill>
                        <w14:solidFill>
                          <w14:schemeClr w14:val="tx1"/>
                        </w14:solidFill>
                      </w14:textFill>
                    </w:rPr>
                    <w:t>30</w:t>
                  </w:r>
                </w:p>
              </w:tc>
              <w:tc>
                <w:tcPr>
                  <w:tcW w:w="810" w:type="dxa"/>
                  <w:tcBorders>
                    <w:tl2br w:val="nil"/>
                    <w:tr2bl w:val="nil"/>
                  </w:tcBorders>
                  <w:vAlign w:val="center"/>
                </w:tcPr>
                <w:p w14:paraId="65934E84">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000人</w:t>
                  </w:r>
                </w:p>
              </w:tc>
              <w:tc>
                <w:tcPr>
                  <w:tcW w:w="665" w:type="dxa"/>
                  <w:vMerge w:val="continue"/>
                  <w:tcBorders>
                    <w:tl2br w:val="nil"/>
                    <w:tr2bl w:val="nil"/>
                  </w:tcBorders>
                  <w:vAlign w:val="center"/>
                </w:tcPr>
                <w:p w14:paraId="15D56828">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676" w:type="dxa"/>
                  <w:tcBorders>
                    <w:tl2br w:val="nil"/>
                    <w:tr2bl w:val="nil"/>
                  </w:tcBorders>
                  <w:vAlign w:val="center"/>
                </w:tcPr>
                <w:p w14:paraId="0F2F5765">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E</w:t>
                  </w:r>
                </w:p>
              </w:tc>
              <w:tc>
                <w:tcPr>
                  <w:tcW w:w="738" w:type="dxa"/>
                  <w:tcBorders>
                    <w:tl2br w:val="nil"/>
                    <w:tr2bl w:val="nil"/>
                  </w:tcBorders>
                  <w:vAlign w:val="center"/>
                </w:tcPr>
                <w:p w14:paraId="6CBF1B79">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30m</w:t>
                  </w:r>
                </w:p>
              </w:tc>
              <w:tc>
                <w:tcPr>
                  <w:tcW w:w="1838" w:type="dxa"/>
                  <w:vMerge w:val="continue"/>
                  <w:tcBorders>
                    <w:tl2br w:val="nil"/>
                    <w:tr2bl w:val="nil"/>
                  </w:tcBorders>
                  <w:vAlign w:val="center"/>
                </w:tcPr>
                <w:p w14:paraId="3BB13377">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r>
            <w:tr w14:paraId="18AF47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2" w:type="dxa"/>
                  <w:vMerge w:val="continue"/>
                  <w:tcBorders>
                    <w:tl2br w:val="nil"/>
                    <w:tr2bl w:val="nil"/>
                  </w:tcBorders>
                  <w:vAlign w:val="center"/>
                </w:tcPr>
                <w:p w14:paraId="442B377A">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652" w:type="dxa"/>
                  <w:tcBorders>
                    <w:tl2br w:val="nil"/>
                    <w:tr2bl w:val="nil"/>
                  </w:tcBorders>
                  <w:vAlign w:val="center"/>
                </w:tcPr>
                <w:p w14:paraId="50B275A4">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铁西小区</w:t>
                  </w:r>
                </w:p>
              </w:tc>
              <w:tc>
                <w:tcPr>
                  <w:tcW w:w="1019" w:type="dxa"/>
                  <w:tcBorders>
                    <w:tl2br w:val="nil"/>
                    <w:tr2bl w:val="nil"/>
                  </w:tcBorders>
                  <w:vAlign w:val="center"/>
                </w:tcPr>
                <w:p w14:paraId="7CDF2E1C">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131.1411</w:t>
                  </w:r>
                </w:p>
              </w:tc>
              <w:tc>
                <w:tcPr>
                  <w:tcW w:w="1044" w:type="dxa"/>
                  <w:tcBorders>
                    <w:tl2br w:val="nil"/>
                    <w:tr2bl w:val="nil"/>
                  </w:tcBorders>
                  <w:vAlign w:val="center"/>
                </w:tcPr>
                <w:p w14:paraId="1E3ACA31">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46.7147</w:t>
                  </w:r>
                </w:p>
              </w:tc>
              <w:tc>
                <w:tcPr>
                  <w:tcW w:w="810" w:type="dxa"/>
                  <w:tcBorders>
                    <w:tl2br w:val="nil"/>
                    <w:tr2bl w:val="nil"/>
                  </w:tcBorders>
                  <w:vAlign w:val="center"/>
                </w:tcPr>
                <w:p w14:paraId="0FC238F3">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2000人</w:t>
                  </w:r>
                </w:p>
              </w:tc>
              <w:tc>
                <w:tcPr>
                  <w:tcW w:w="665" w:type="dxa"/>
                  <w:vMerge w:val="continue"/>
                  <w:tcBorders>
                    <w:tl2br w:val="nil"/>
                    <w:tr2bl w:val="nil"/>
                  </w:tcBorders>
                  <w:vAlign w:val="center"/>
                </w:tcPr>
                <w:p w14:paraId="52977B47">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676" w:type="dxa"/>
                  <w:tcBorders>
                    <w:tl2br w:val="nil"/>
                    <w:tr2bl w:val="nil"/>
                  </w:tcBorders>
                  <w:vAlign w:val="center"/>
                </w:tcPr>
                <w:p w14:paraId="39A3D486">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ES</w:t>
                  </w:r>
                </w:p>
              </w:tc>
              <w:tc>
                <w:tcPr>
                  <w:tcW w:w="738" w:type="dxa"/>
                  <w:tcBorders>
                    <w:tl2br w:val="nil"/>
                    <w:tr2bl w:val="nil"/>
                  </w:tcBorders>
                  <w:vAlign w:val="center"/>
                </w:tcPr>
                <w:p w14:paraId="2B6A7FBA">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170m</w:t>
                  </w:r>
                </w:p>
              </w:tc>
              <w:tc>
                <w:tcPr>
                  <w:tcW w:w="1838" w:type="dxa"/>
                  <w:vMerge w:val="continue"/>
                  <w:tcBorders>
                    <w:tl2br w:val="nil"/>
                    <w:tr2bl w:val="nil"/>
                  </w:tcBorders>
                  <w:vAlign w:val="center"/>
                </w:tcPr>
                <w:p w14:paraId="222F1840">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r>
            <w:tr w14:paraId="66B9C0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Merge w:val="continue"/>
                  <w:tcBorders>
                    <w:tl2br w:val="nil"/>
                    <w:tr2bl w:val="nil"/>
                  </w:tcBorders>
                  <w:vAlign w:val="center"/>
                </w:tcPr>
                <w:p w14:paraId="059E8843">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652" w:type="dxa"/>
                  <w:tcBorders>
                    <w:tl2br w:val="nil"/>
                    <w:tr2bl w:val="nil"/>
                  </w:tcBorders>
                  <w:vAlign w:val="center"/>
                </w:tcPr>
                <w:p w14:paraId="494C9A64">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惠民新城</w:t>
                  </w:r>
                </w:p>
              </w:tc>
              <w:tc>
                <w:tcPr>
                  <w:tcW w:w="1019" w:type="dxa"/>
                  <w:tcBorders>
                    <w:tl2br w:val="nil"/>
                    <w:tr2bl w:val="nil"/>
                  </w:tcBorders>
                  <w:vAlign w:val="center"/>
                </w:tcPr>
                <w:p w14:paraId="795E1324">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131.1342</w:t>
                  </w:r>
                </w:p>
              </w:tc>
              <w:tc>
                <w:tcPr>
                  <w:tcW w:w="1044" w:type="dxa"/>
                  <w:tcBorders>
                    <w:tl2br w:val="nil"/>
                    <w:tr2bl w:val="nil"/>
                  </w:tcBorders>
                  <w:vAlign w:val="center"/>
                </w:tcPr>
                <w:p w14:paraId="674BAE66">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46.6311</w:t>
                  </w:r>
                </w:p>
              </w:tc>
              <w:tc>
                <w:tcPr>
                  <w:tcW w:w="810" w:type="dxa"/>
                  <w:tcBorders>
                    <w:tl2br w:val="nil"/>
                    <w:tr2bl w:val="nil"/>
                  </w:tcBorders>
                  <w:vAlign w:val="center"/>
                </w:tcPr>
                <w:p w14:paraId="67878007">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15000人</w:t>
                  </w:r>
                </w:p>
              </w:tc>
              <w:tc>
                <w:tcPr>
                  <w:tcW w:w="665" w:type="dxa"/>
                  <w:vMerge w:val="continue"/>
                  <w:tcBorders>
                    <w:tl2br w:val="nil"/>
                    <w:tr2bl w:val="nil"/>
                  </w:tcBorders>
                  <w:vAlign w:val="center"/>
                </w:tcPr>
                <w:p w14:paraId="5A835DB7">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676" w:type="dxa"/>
                  <w:tcBorders>
                    <w:tl2br w:val="nil"/>
                    <w:tr2bl w:val="nil"/>
                  </w:tcBorders>
                  <w:vAlign w:val="center"/>
                </w:tcPr>
                <w:p w14:paraId="21A0AB22">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S</w:t>
                  </w:r>
                </w:p>
              </w:tc>
              <w:tc>
                <w:tcPr>
                  <w:tcW w:w="738" w:type="dxa"/>
                  <w:tcBorders>
                    <w:tl2br w:val="nil"/>
                    <w:tr2bl w:val="nil"/>
                  </w:tcBorders>
                  <w:vAlign w:val="center"/>
                </w:tcPr>
                <w:p w14:paraId="5B5C7089">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20m</w:t>
                  </w:r>
                </w:p>
              </w:tc>
              <w:tc>
                <w:tcPr>
                  <w:tcW w:w="1838" w:type="dxa"/>
                  <w:vMerge w:val="continue"/>
                  <w:tcBorders>
                    <w:tl2br w:val="nil"/>
                    <w:tr2bl w:val="nil"/>
                  </w:tcBorders>
                  <w:vAlign w:val="center"/>
                </w:tcPr>
                <w:p w14:paraId="6BCF714F">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r>
            <w:tr w14:paraId="62F579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Merge w:val="continue"/>
                  <w:tcBorders>
                    <w:tl2br w:val="nil"/>
                    <w:tr2bl w:val="nil"/>
                  </w:tcBorders>
                  <w:vAlign w:val="center"/>
                </w:tcPr>
                <w:p w14:paraId="0218E037">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c>
                <w:tcPr>
                  <w:tcW w:w="652" w:type="dxa"/>
                  <w:tcBorders>
                    <w:tl2br w:val="nil"/>
                    <w:tr2bl w:val="nil"/>
                  </w:tcBorders>
                  <w:vAlign w:val="center"/>
                </w:tcPr>
                <w:p w14:paraId="5F5BC7C6">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选煤小区</w:t>
                  </w:r>
                </w:p>
              </w:tc>
              <w:tc>
                <w:tcPr>
                  <w:tcW w:w="1019" w:type="dxa"/>
                  <w:tcBorders>
                    <w:tl2br w:val="nil"/>
                    <w:tr2bl w:val="nil"/>
                  </w:tcBorders>
                  <w:vAlign w:val="center"/>
                </w:tcPr>
                <w:p w14:paraId="28972961">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131.1468</w:t>
                  </w:r>
                </w:p>
              </w:tc>
              <w:tc>
                <w:tcPr>
                  <w:tcW w:w="1044" w:type="dxa"/>
                  <w:tcBorders>
                    <w:tl2br w:val="nil"/>
                    <w:tr2bl w:val="nil"/>
                  </w:tcBorders>
                  <w:vAlign w:val="center"/>
                </w:tcPr>
                <w:p w14:paraId="042F20FB">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46.6362</w:t>
                  </w:r>
                </w:p>
              </w:tc>
              <w:tc>
                <w:tcPr>
                  <w:tcW w:w="810" w:type="dxa"/>
                  <w:tcBorders>
                    <w:tl2br w:val="nil"/>
                    <w:tr2bl w:val="nil"/>
                  </w:tcBorders>
                  <w:vAlign w:val="center"/>
                </w:tcPr>
                <w:p w14:paraId="706F2AD1">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2000人</w:t>
                  </w:r>
                </w:p>
              </w:tc>
              <w:tc>
                <w:tcPr>
                  <w:tcW w:w="665" w:type="dxa"/>
                  <w:vMerge w:val="continue"/>
                  <w:tcBorders>
                    <w:tl2br w:val="nil"/>
                    <w:tr2bl w:val="nil"/>
                  </w:tcBorders>
                  <w:vAlign w:val="center"/>
                </w:tcPr>
                <w:p w14:paraId="30F89EFB">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676" w:type="dxa"/>
                  <w:tcBorders>
                    <w:tl2br w:val="nil"/>
                    <w:tr2bl w:val="nil"/>
                  </w:tcBorders>
                  <w:vAlign w:val="center"/>
                </w:tcPr>
                <w:p w14:paraId="669D0D40">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EN</w:t>
                  </w:r>
                </w:p>
              </w:tc>
              <w:tc>
                <w:tcPr>
                  <w:tcW w:w="738" w:type="dxa"/>
                  <w:tcBorders>
                    <w:tl2br w:val="nil"/>
                    <w:tr2bl w:val="nil"/>
                  </w:tcBorders>
                  <w:vAlign w:val="center"/>
                </w:tcPr>
                <w:p w14:paraId="7F68A9D6">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470m</w:t>
                  </w:r>
                </w:p>
              </w:tc>
              <w:tc>
                <w:tcPr>
                  <w:tcW w:w="1838" w:type="dxa"/>
                  <w:vMerge w:val="continue"/>
                  <w:tcBorders>
                    <w:tl2br w:val="nil"/>
                    <w:tr2bl w:val="nil"/>
                  </w:tcBorders>
                  <w:vAlign w:val="center"/>
                </w:tcPr>
                <w:p w14:paraId="4DDBEC46">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r>
            <w:tr w14:paraId="3EF9AE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Merge w:val="continue"/>
                  <w:tcBorders>
                    <w:tl2br w:val="nil"/>
                    <w:tr2bl w:val="nil"/>
                  </w:tcBorders>
                  <w:vAlign w:val="center"/>
                </w:tcPr>
                <w:p w14:paraId="28BF8785">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c>
                <w:tcPr>
                  <w:tcW w:w="652" w:type="dxa"/>
                  <w:tcBorders>
                    <w:tl2br w:val="nil"/>
                    <w:tr2bl w:val="nil"/>
                  </w:tcBorders>
                  <w:vAlign w:val="center"/>
                </w:tcPr>
                <w:p w14:paraId="4B025CFA">
                  <w:pPr>
                    <w:adjustRightInd w:val="0"/>
                    <w:snapToGrid w:val="0"/>
                    <w:spacing w:line="240" w:lineRule="auto"/>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富丽新村</w:t>
                  </w:r>
                  <w:r>
                    <w:rPr>
                      <w:rFonts w:hint="eastAsia" w:cs="Times New Roman"/>
                      <w:color w:val="000000" w:themeColor="text1"/>
                      <w:sz w:val="21"/>
                      <w:szCs w:val="21"/>
                      <w:highlight w:val="none"/>
                      <w:vertAlign w:val="baseline"/>
                      <w:lang w:val="en-US" w:eastAsia="zh-CN"/>
                      <w14:textFill>
                        <w14:solidFill>
                          <w14:schemeClr w14:val="tx1"/>
                        </w14:solidFill>
                      </w14:textFill>
                    </w:rPr>
                    <w:t>小区</w:t>
                  </w:r>
                </w:p>
              </w:tc>
              <w:tc>
                <w:tcPr>
                  <w:tcW w:w="1019" w:type="dxa"/>
                  <w:tcBorders>
                    <w:tl2br w:val="nil"/>
                    <w:tr2bl w:val="nil"/>
                  </w:tcBorders>
                  <w:vAlign w:val="center"/>
                </w:tcPr>
                <w:p w14:paraId="33CF899D">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131.1464</w:t>
                  </w:r>
                </w:p>
              </w:tc>
              <w:tc>
                <w:tcPr>
                  <w:tcW w:w="1044" w:type="dxa"/>
                  <w:tcBorders>
                    <w:tl2br w:val="nil"/>
                    <w:tr2bl w:val="nil"/>
                  </w:tcBorders>
                  <w:vAlign w:val="center"/>
                </w:tcPr>
                <w:p w14:paraId="33C5C1D6">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46.6348</w:t>
                  </w:r>
                </w:p>
              </w:tc>
              <w:tc>
                <w:tcPr>
                  <w:tcW w:w="810" w:type="dxa"/>
                  <w:tcBorders>
                    <w:tl2br w:val="nil"/>
                    <w:tr2bl w:val="nil"/>
                  </w:tcBorders>
                  <w:vAlign w:val="center"/>
                </w:tcPr>
                <w:p w14:paraId="0757F06B">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2200人</w:t>
                  </w:r>
                </w:p>
              </w:tc>
              <w:tc>
                <w:tcPr>
                  <w:tcW w:w="665" w:type="dxa"/>
                  <w:vMerge w:val="continue"/>
                  <w:tcBorders>
                    <w:tl2br w:val="nil"/>
                    <w:tr2bl w:val="nil"/>
                  </w:tcBorders>
                  <w:vAlign w:val="center"/>
                </w:tcPr>
                <w:p w14:paraId="49AC3021">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676" w:type="dxa"/>
                  <w:tcBorders>
                    <w:tl2br w:val="nil"/>
                    <w:tr2bl w:val="nil"/>
                  </w:tcBorders>
                  <w:vAlign w:val="center"/>
                </w:tcPr>
                <w:p w14:paraId="0475DB2F">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EN</w:t>
                  </w:r>
                </w:p>
              </w:tc>
              <w:tc>
                <w:tcPr>
                  <w:tcW w:w="738" w:type="dxa"/>
                  <w:tcBorders>
                    <w:tl2br w:val="nil"/>
                    <w:tr2bl w:val="nil"/>
                  </w:tcBorders>
                  <w:vAlign w:val="center"/>
                </w:tcPr>
                <w:p w14:paraId="12E1CCCE">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340m</w:t>
                  </w:r>
                </w:p>
              </w:tc>
              <w:tc>
                <w:tcPr>
                  <w:tcW w:w="1838" w:type="dxa"/>
                  <w:vMerge w:val="continue"/>
                  <w:tcBorders>
                    <w:tl2br w:val="nil"/>
                    <w:tr2bl w:val="nil"/>
                  </w:tcBorders>
                  <w:vAlign w:val="center"/>
                </w:tcPr>
                <w:p w14:paraId="54EF8E67">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r>
            <w:tr w14:paraId="2EC3F2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Merge w:val="continue"/>
                  <w:tcBorders>
                    <w:tl2br w:val="nil"/>
                    <w:tr2bl w:val="nil"/>
                  </w:tcBorders>
                  <w:vAlign w:val="center"/>
                </w:tcPr>
                <w:p w14:paraId="2A9928BA">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c>
                <w:tcPr>
                  <w:tcW w:w="652" w:type="dxa"/>
                  <w:tcBorders>
                    <w:tl2br w:val="nil"/>
                    <w:tr2bl w:val="nil"/>
                  </w:tcBorders>
                  <w:vAlign w:val="center"/>
                </w:tcPr>
                <w:p w14:paraId="2046BEA8">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丽华小区</w:t>
                  </w:r>
                </w:p>
              </w:tc>
              <w:tc>
                <w:tcPr>
                  <w:tcW w:w="1019" w:type="dxa"/>
                  <w:tcBorders>
                    <w:tl2br w:val="nil"/>
                    <w:tr2bl w:val="nil"/>
                  </w:tcBorders>
                  <w:vAlign w:val="center"/>
                </w:tcPr>
                <w:p w14:paraId="04F16C9D">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131.1465</w:t>
                  </w:r>
                </w:p>
              </w:tc>
              <w:tc>
                <w:tcPr>
                  <w:tcW w:w="1044" w:type="dxa"/>
                  <w:tcBorders>
                    <w:tl2br w:val="nil"/>
                    <w:tr2bl w:val="nil"/>
                  </w:tcBorders>
                  <w:vAlign w:val="center"/>
                </w:tcPr>
                <w:p w14:paraId="18C7CAEB">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46.6325</w:t>
                  </w:r>
                </w:p>
              </w:tc>
              <w:tc>
                <w:tcPr>
                  <w:tcW w:w="810" w:type="dxa"/>
                  <w:tcBorders>
                    <w:tl2br w:val="nil"/>
                    <w:tr2bl w:val="nil"/>
                  </w:tcBorders>
                  <w:vAlign w:val="center"/>
                </w:tcPr>
                <w:p w14:paraId="6FD7CD52">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2000人</w:t>
                  </w:r>
                </w:p>
              </w:tc>
              <w:tc>
                <w:tcPr>
                  <w:tcW w:w="665" w:type="dxa"/>
                  <w:vMerge w:val="continue"/>
                  <w:tcBorders>
                    <w:tl2br w:val="nil"/>
                    <w:tr2bl w:val="nil"/>
                  </w:tcBorders>
                  <w:vAlign w:val="center"/>
                </w:tcPr>
                <w:p w14:paraId="4B1E28D3">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676" w:type="dxa"/>
                  <w:tcBorders>
                    <w:tl2br w:val="nil"/>
                    <w:tr2bl w:val="nil"/>
                  </w:tcBorders>
                  <w:vAlign w:val="center"/>
                </w:tcPr>
                <w:p w14:paraId="59DFDC9D">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E</w:t>
                  </w:r>
                </w:p>
              </w:tc>
              <w:tc>
                <w:tcPr>
                  <w:tcW w:w="738" w:type="dxa"/>
                  <w:tcBorders>
                    <w:tl2br w:val="nil"/>
                    <w:tr2bl w:val="nil"/>
                  </w:tcBorders>
                  <w:vAlign w:val="center"/>
                </w:tcPr>
                <w:p w14:paraId="1D5CE91B">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260m</w:t>
                  </w:r>
                </w:p>
              </w:tc>
              <w:tc>
                <w:tcPr>
                  <w:tcW w:w="1838" w:type="dxa"/>
                  <w:vMerge w:val="continue"/>
                  <w:tcBorders>
                    <w:tl2br w:val="nil"/>
                    <w:tr2bl w:val="nil"/>
                  </w:tcBorders>
                  <w:vAlign w:val="center"/>
                </w:tcPr>
                <w:p w14:paraId="46A5AC31">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r>
            <w:tr w14:paraId="162366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Merge w:val="continue"/>
                  <w:tcBorders>
                    <w:tl2br w:val="nil"/>
                    <w:tr2bl w:val="nil"/>
                  </w:tcBorders>
                  <w:vAlign w:val="center"/>
                </w:tcPr>
                <w:p w14:paraId="6F8BBFC9">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c>
                <w:tcPr>
                  <w:tcW w:w="652" w:type="dxa"/>
                  <w:tcBorders>
                    <w:tl2br w:val="nil"/>
                    <w:tr2bl w:val="nil"/>
                  </w:tcBorders>
                  <w:vAlign w:val="center"/>
                </w:tcPr>
                <w:p w14:paraId="546FB629">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丁香小区</w:t>
                  </w:r>
                </w:p>
              </w:tc>
              <w:tc>
                <w:tcPr>
                  <w:tcW w:w="1019" w:type="dxa"/>
                  <w:tcBorders>
                    <w:tl2br w:val="nil"/>
                    <w:tr2bl w:val="nil"/>
                  </w:tcBorders>
                  <w:vAlign w:val="center"/>
                </w:tcPr>
                <w:p w14:paraId="7B225C3B">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131.1463</w:t>
                  </w:r>
                </w:p>
              </w:tc>
              <w:tc>
                <w:tcPr>
                  <w:tcW w:w="1044" w:type="dxa"/>
                  <w:tcBorders>
                    <w:tl2br w:val="nil"/>
                    <w:tr2bl w:val="nil"/>
                  </w:tcBorders>
                  <w:vAlign w:val="center"/>
                </w:tcPr>
                <w:p w14:paraId="24CFAEA6">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46.6336</w:t>
                  </w:r>
                </w:p>
              </w:tc>
              <w:tc>
                <w:tcPr>
                  <w:tcW w:w="810" w:type="dxa"/>
                  <w:tcBorders>
                    <w:tl2br w:val="nil"/>
                    <w:tr2bl w:val="nil"/>
                  </w:tcBorders>
                  <w:vAlign w:val="center"/>
                </w:tcPr>
                <w:p w14:paraId="5F1CBE78">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1800人</w:t>
                  </w:r>
                </w:p>
              </w:tc>
              <w:tc>
                <w:tcPr>
                  <w:tcW w:w="665" w:type="dxa"/>
                  <w:vMerge w:val="continue"/>
                  <w:tcBorders>
                    <w:tl2br w:val="nil"/>
                    <w:tr2bl w:val="nil"/>
                  </w:tcBorders>
                  <w:vAlign w:val="center"/>
                </w:tcPr>
                <w:p w14:paraId="1A466036">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676" w:type="dxa"/>
                  <w:tcBorders>
                    <w:tl2br w:val="nil"/>
                    <w:tr2bl w:val="nil"/>
                  </w:tcBorders>
                  <w:vAlign w:val="center"/>
                </w:tcPr>
                <w:p w14:paraId="530349D9">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EN</w:t>
                  </w:r>
                </w:p>
              </w:tc>
              <w:tc>
                <w:tcPr>
                  <w:tcW w:w="738" w:type="dxa"/>
                  <w:tcBorders>
                    <w:tl2br w:val="nil"/>
                    <w:tr2bl w:val="nil"/>
                  </w:tcBorders>
                  <w:vAlign w:val="center"/>
                </w:tcPr>
                <w:p w14:paraId="203A552E">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280m</w:t>
                  </w:r>
                </w:p>
              </w:tc>
              <w:tc>
                <w:tcPr>
                  <w:tcW w:w="1838" w:type="dxa"/>
                  <w:vMerge w:val="continue"/>
                  <w:tcBorders>
                    <w:tl2br w:val="nil"/>
                    <w:tr2bl w:val="nil"/>
                  </w:tcBorders>
                  <w:vAlign w:val="center"/>
                </w:tcPr>
                <w:p w14:paraId="1CE58773">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r>
            <w:tr w14:paraId="7C3C0A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Merge w:val="continue"/>
                  <w:tcBorders>
                    <w:tl2br w:val="nil"/>
                    <w:tr2bl w:val="nil"/>
                  </w:tcBorders>
                  <w:vAlign w:val="center"/>
                </w:tcPr>
                <w:p w14:paraId="7276A2EC">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c>
                <w:tcPr>
                  <w:tcW w:w="652" w:type="dxa"/>
                  <w:tcBorders>
                    <w:tl2br w:val="nil"/>
                    <w:tr2bl w:val="nil"/>
                  </w:tcBorders>
                  <w:vAlign w:val="center"/>
                </w:tcPr>
                <w:p w14:paraId="7F79B5D7">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黑土地花园小区</w:t>
                  </w:r>
                </w:p>
              </w:tc>
              <w:tc>
                <w:tcPr>
                  <w:tcW w:w="1019" w:type="dxa"/>
                  <w:tcBorders>
                    <w:tl2br w:val="nil"/>
                    <w:tr2bl w:val="nil"/>
                  </w:tcBorders>
                  <w:vAlign w:val="center"/>
                </w:tcPr>
                <w:p w14:paraId="75F39828">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131.1430</w:t>
                  </w:r>
                </w:p>
              </w:tc>
              <w:tc>
                <w:tcPr>
                  <w:tcW w:w="1044" w:type="dxa"/>
                  <w:tcBorders>
                    <w:tl2br w:val="nil"/>
                    <w:tr2bl w:val="nil"/>
                  </w:tcBorders>
                  <w:vAlign w:val="center"/>
                </w:tcPr>
                <w:p w14:paraId="7A904DB7">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46.6337</w:t>
                  </w:r>
                </w:p>
              </w:tc>
              <w:tc>
                <w:tcPr>
                  <w:tcW w:w="810" w:type="dxa"/>
                  <w:tcBorders>
                    <w:tl2br w:val="nil"/>
                    <w:tr2bl w:val="nil"/>
                  </w:tcBorders>
                  <w:vAlign w:val="center"/>
                </w:tcPr>
                <w:p w14:paraId="2A2427EE">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1200人</w:t>
                  </w:r>
                </w:p>
              </w:tc>
              <w:tc>
                <w:tcPr>
                  <w:tcW w:w="665" w:type="dxa"/>
                  <w:vMerge w:val="continue"/>
                  <w:tcBorders>
                    <w:tl2br w:val="nil"/>
                    <w:tr2bl w:val="nil"/>
                  </w:tcBorders>
                  <w:vAlign w:val="center"/>
                </w:tcPr>
                <w:p w14:paraId="5DB33206">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676" w:type="dxa"/>
                  <w:tcBorders>
                    <w:tl2br w:val="nil"/>
                    <w:tr2bl w:val="nil"/>
                  </w:tcBorders>
                  <w:vAlign w:val="center"/>
                </w:tcPr>
                <w:p w14:paraId="64E7EBCE">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E</w:t>
                  </w:r>
                </w:p>
              </w:tc>
              <w:tc>
                <w:tcPr>
                  <w:tcW w:w="738" w:type="dxa"/>
                  <w:tcBorders>
                    <w:tl2br w:val="nil"/>
                    <w:tr2bl w:val="nil"/>
                  </w:tcBorders>
                  <w:vAlign w:val="center"/>
                </w:tcPr>
                <w:p w14:paraId="1A02BBA0">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160m</w:t>
                  </w:r>
                </w:p>
              </w:tc>
              <w:tc>
                <w:tcPr>
                  <w:tcW w:w="1838" w:type="dxa"/>
                  <w:vMerge w:val="continue"/>
                  <w:tcBorders>
                    <w:tl2br w:val="nil"/>
                    <w:tr2bl w:val="nil"/>
                  </w:tcBorders>
                  <w:vAlign w:val="center"/>
                </w:tcPr>
                <w:p w14:paraId="1AB48A18">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r>
            <w:tr w14:paraId="4A1A4C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Merge w:val="continue"/>
                  <w:tcBorders>
                    <w:tl2br w:val="nil"/>
                    <w:tr2bl w:val="nil"/>
                  </w:tcBorders>
                  <w:vAlign w:val="center"/>
                </w:tcPr>
                <w:p w14:paraId="593A2D0B">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c>
                <w:tcPr>
                  <w:tcW w:w="652" w:type="dxa"/>
                  <w:tcBorders>
                    <w:tl2br w:val="nil"/>
                    <w:tr2bl w:val="nil"/>
                  </w:tcBorders>
                  <w:vAlign w:val="center"/>
                </w:tcPr>
                <w:p w14:paraId="70D4C836">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金山国际</w:t>
                  </w:r>
                </w:p>
              </w:tc>
              <w:tc>
                <w:tcPr>
                  <w:tcW w:w="1019" w:type="dxa"/>
                  <w:tcBorders>
                    <w:tl2br w:val="nil"/>
                    <w:tr2bl w:val="nil"/>
                  </w:tcBorders>
                  <w:vAlign w:val="center"/>
                </w:tcPr>
                <w:p w14:paraId="5B617482">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131.1427</w:t>
                  </w:r>
                </w:p>
              </w:tc>
              <w:tc>
                <w:tcPr>
                  <w:tcW w:w="1044" w:type="dxa"/>
                  <w:tcBorders>
                    <w:tl2br w:val="nil"/>
                    <w:tr2bl w:val="nil"/>
                  </w:tcBorders>
                  <w:vAlign w:val="center"/>
                </w:tcPr>
                <w:p w14:paraId="4250633E">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46.6326</w:t>
                  </w:r>
                </w:p>
              </w:tc>
              <w:tc>
                <w:tcPr>
                  <w:tcW w:w="810" w:type="dxa"/>
                  <w:tcBorders>
                    <w:tl2br w:val="nil"/>
                    <w:tr2bl w:val="nil"/>
                  </w:tcBorders>
                  <w:vAlign w:val="center"/>
                </w:tcPr>
                <w:p w14:paraId="2A29ED08">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1000人</w:t>
                  </w:r>
                </w:p>
              </w:tc>
              <w:tc>
                <w:tcPr>
                  <w:tcW w:w="665" w:type="dxa"/>
                  <w:vMerge w:val="continue"/>
                  <w:tcBorders>
                    <w:tl2br w:val="nil"/>
                    <w:tr2bl w:val="nil"/>
                  </w:tcBorders>
                  <w:vAlign w:val="center"/>
                </w:tcPr>
                <w:p w14:paraId="726AD922">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676" w:type="dxa"/>
                  <w:tcBorders>
                    <w:tl2br w:val="nil"/>
                    <w:tr2bl w:val="nil"/>
                  </w:tcBorders>
                  <w:vAlign w:val="center"/>
                </w:tcPr>
                <w:p w14:paraId="181AB132">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E</w:t>
                  </w:r>
                </w:p>
              </w:tc>
              <w:tc>
                <w:tcPr>
                  <w:tcW w:w="738" w:type="dxa"/>
                  <w:tcBorders>
                    <w:tl2br w:val="nil"/>
                    <w:tr2bl w:val="nil"/>
                  </w:tcBorders>
                  <w:vAlign w:val="center"/>
                </w:tcPr>
                <w:p w14:paraId="6C65AF1A">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70m</w:t>
                  </w:r>
                </w:p>
              </w:tc>
              <w:tc>
                <w:tcPr>
                  <w:tcW w:w="1838" w:type="dxa"/>
                  <w:vMerge w:val="continue"/>
                  <w:tcBorders>
                    <w:tl2br w:val="nil"/>
                    <w:tr2bl w:val="nil"/>
                  </w:tcBorders>
                  <w:vAlign w:val="center"/>
                </w:tcPr>
                <w:p w14:paraId="4DB5F2E9">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r>
            <w:tr w14:paraId="5C471F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Merge w:val="continue"/>
                  <w:tcBorders>
                    <w:tl2br w:val="nil"/>
                    <w:tr2bl w:val="nil"/>
                  </w:tcBorders>
                  <w:vAlign w:val="center"/>
                </w:tcPr>
                <w:p w14:paraId="3340AF8F">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c>
                <w:tcPr>
                  <w:tcW w:w="652" w:type="dxa"/>
                  <w:tcBorders>
                    <w:tl2br w:val="nil"/>
                    <w:tr2bl w:val="nil"/>
                  </w:tcBorders>
                  <w:vAlign w:val="center"/>
                </w:tcPr>
                <w:p w14:paraId="3E183D52">
                  <w:pPr>
                    <w:adjustRightInd w:val="0"/>
                    <w:snapToGrid w:val="0"/>
                    <w:spacing w:line="240" w:lineRule="auto"/>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龙祥小区</w:t>
                  </w:r>
                </w:p>
              </w:tc>
              <w:tc>
                <w:tcPr>
                  <w:tcW w:w="1019" w:type="dxa"/>
                  <w:tcBorders>
                    <w:tl2br w:val="nil"/>
                    <w:tr2bl w:val="nil"/>
                  </w:tcBorders>
                  <w:vAlign w:val="center"/>
                </w:tcPr>
                <w:p w14:paraId="69883D9F">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131.143</w:t>
                  </w:r>
                  <w:r>
                    <w:rPr>
                      <w:rFonts w:hint="eastAsia" w:cs="Times New Roman"/>
                      <w:color w:val="000000" w:themeColor="text1"/>
                      <w:sz w:val="21"/>
                      <w:szCs w:val="21"/>
                      <w:highlight w:val="none"/>
                      <w:vertAlign w:val="baseline"/>
                      <w:lang w:val="en-US" w:eastAsia="zh-CN"/>
                      <w14:textFill>
                        <w14:solidFill>
                          <w14:schemeClr w14:val="tx1"/>
                        </w14:solidFill>
                      </w14:textFill>
                    </w:rPr>
                    <w:t>9</w:t>
                  </w:r>
                </w:p>
              </w:tc>
              <w:tc>
                <w:tcPr>
                  <w:tcW w:w="1044" w:type="dxa"/>
                  <w:tcBorders>
                    <w:tl2br w:val="nil"/>
                    <w:tr2bl w:val="nil"/>
                  </w:tcBorders>
                  <w:vAlign w:val="center"/>
                </w:tcPr>
                <w:p w14:paraId="19A45036">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46.6380</w:t>
                  </w:r>
                </w:p>
              </w:tc>
              <w:tc>
                <w:tcPr>
                  <w:tcW w:w="810" w:type="dxa"/>
                  <w:tcBorders>
                    <w:tl2br w:val="nil"/>
                    <w:tr2bl w:val="nil"/>
                  </w:tcBorders>
                  <w:vAlign w:val="center"/>
                </w:tcPr>
                <w:p w14:paraId="75C6DC42">
                  <w:pPr>
                    <w:adjustRightInd w:val="0"/>
                    <w:snapToGrid w:val="0"/>
                    <w:spacing w:line="240" w:lineRule="auto"/>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4000人</w:t>
                  </w:r>
                </w:p>
              </w:tc>
              <w:tc>
                <w:tcPr>
                  <w:tcW w:w="665" w:type="dxa"/>
                  <w:vMerge w:val="continue"/>
                  <w:tcBorders>
                    <w:tl2br w:val="nil"/>
                    <w:tr2bl w:val="nil"/>
                  </w:tcBorders>
                  <w:vAlign w:val="center"/>
                </w:tcPr>
                <w:p w14:paraId="4036748D">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676" w:type="dxa"/>
                  <w:tcBorders>
                    <w:tl2br w:val="nil"/>
                    <w:tr2bl w:val="nil"/>
                  </w:tcBorders>
                  <w:vAlign w:val="center"/>
                </w:tcPr>
                <w:p w14:paraId="3F27C1E9">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EN</w:t>
                  </w:r>
                </w:p>
              </w:tc>
              <w:tc>
                <w:tcPr>
                  <w:tcW w:w="738" w:type="dxa"/>
                  <w:tcBorders>
                    <w:tl2br w:val="nil"/>
                    <w:tr2bl w:val="nil"/>
                  </w:tcBorders>
                  <w:vAlign w:val="center"/>
                </w:tcPr>
                <w:p w14:paraId="61EFF7B3">
                  <w:pPr>
                    <w:adjustRightInd w:val="0"/>
                    <w:snapToGrid w:val="0"/>
                    <w:spacing w:line="240" w:lineRule="auto"/>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340m</w:t>
                  </w:r>
                </w:p>
              </w:tc>
              <w:tc>
                <w:tcPr>
                  <w:tcW w:w="1838" w:type="dxa"/>
                  <w:vMerge w:val="continue"/>
                  <w:tcBorders>
                    <w:tl2br w:val="nil"/>
                    <w:tr2bl w:val="nil"/>
                  </w:tcBorders>
                  <w:vAlign w:val="center"/>
                </w:tcPr>
                <w:p w14:paraId="63F02FEA">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r>
            <w:tr w14:paraId="192A90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Merge w:val="continue"/>
                  <w:tcBorders>
                    <w:tl2br w:val="nil"/>
                    <w:tr2bl w:val="nil"/>
                  </w:tcBorders>
                  <w:vAlign w:val="center"/>
                </w:tcPr>
                <w:p w14:paraId="67690BF7">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c>
                <w:tcPr>
                  <w:tcW w:w="652" w:type="dxa"/>
                  <w:tcBorders>
                    <w:tl2br w:val="nil"/>
                    <w:tr2bl w:val="nil"/>
                  </w:tcBorders>
                  <w:vAlign w:val="center"/>
                </w:tcPr>
                <w:p w14:paraId="42308881">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河畔小区</w:t>
                  </w:r>
                </w:p>
              </w:tc>
              <w:tc>
                <w:tcPr>
                  <w:tcW w:w="1019" w:type="dxa"/>
                  <w:tcBorders>
                    <w:tl2br w:val="nil"/>
                    <w:tr2bl w:val="nil"/>
                  </w:tcBorders>
                  <w:vAlign w:val="center"/>
                </w:tcPr>
                <w:p w14:paraId="3AA8D9BA">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131.1252</w:t>
                  </w:r>
                </w:p>
              </w:tc>
              <w:tc>
                <w:tcPr>
                  <w:tcW w:w="1044" w:type="dxa"/>
                  <w:tcBorders>
                    <w:tl2br w:val="nil"/>
                    <w:tr2bl w:val="nil"/>
                  </w:tcBorders>
                  <w:vAlign w:val="center"/>
                </w:tcPr>
                <w:p w14:paraId="6EF1896C">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46.6305</w:t>
                  </w:r>
                </w:p>
              </w:tc>
              <w:tc>
                <w:tcPr>
                  <w:tcW w:w="810" w:type="dxa"/>
                  <w:tcBorders>
                    <w:tl2br w:val="nil"/>
                    <w:tr2bl w:val="nil"/>
                  </w:tcBorders>
                  <w:vAlign w:val="center"/>
                </w:tcPr>
                <w:p w14:paraId="7AE5094D">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3600人</w:t>
                  </w:r>
                </w:p>
              </w:tc>
              <w:tc>
                <w:tcPr>
                  <w:tcW w:w="665" w:type="dxa"/>
                  <w:vMerge w:val="continue"/>
                  <w:tcBorders>
                    <w:tl2br w:val="nil"/>
                    <w:tr2bl w:val="nil"/>
                  </w:tcBorders>
                  <w:vAlign w:val="center"/>
                </w:tcPr>
                <w:p w14:paraId="76F03285">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676" w:type="dxa"/>
                  <w:tcBorders>
                    <w:tl2br w:val="nil"/>
                    <w:tr2bl w:val="nil"/>
                  </w:tcBorders>
                  <w:vAlign w:val="center"/>
                </w:tcPr>
                <w:p w14:paraId="5E3C02CA">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WS</w:t>
                  </w:r>
                </w:p>
              </w:tc>
              <w:tc>
                <w:tcPr>
                  <w:tcW w:w="738" w:type="dxa"/>
                  <w:tcBorders>
                    <w:tl2br w:val="nil"/>
                    <w:tr2bl w:val="nil"/>
                  </w:tcBorders>
                  <w:vAlign w:val="center"/>
                </w:tcPr>
                <w:p w14:paraId="69852CA1">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360m</w:t>
                  </w:r>
                </w:p>
              </w:tc>
              <w:tc>
                <w:tcPr>
                  <w:tcW w:w="1838" w:type="dxa"/>
                  <w:vMerge w:val="continue"/>
                  <w:tcBorders>
                    <w:tl2br w:val="nil"/>
                    <w:tr2bl w:val="nil"/>
                  </w:tcBorders>
                  <w:vAlign w:val="center"/>
                </w:tcPr>
                <w:p w14:paraId="671BDD80">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p>
              </w:tc>
            </w:tr>
          </w:tbl>
          <w:p w14:paraId="67EC201F">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2" w:firstLineChars="200"/>
              <w:jc w:val="both"/>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r>
              <w:rPr>
                <w:rFonts w:hint="eastAsia" w:cs="Times New Roman"/>
                <w:b/>
                <w:bCs/>
                <w:color w:val="000000" w:themeColor="text1"/>
                <w:kern w:val="0"/>
                <w:sz w:val="24"/>
                <w:szCs w:val="24"/>
                <w:highlight w:val="none"/>
                <w:lang w:val="en-US" w:eastAsia="zh-CN" w:bidi="ar-SA"/>
                <w14:textFill>
                  <w14:solidFill>
                    <w14:schemeClr w14:val="tx1"/>
                  </w14:solidFill>
                </w14:textFill>
              </w:rPr>
              <w:t>2</w:t>
            </w:r>
            <w:r>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w:t>
            </w:r>
            <w:r>
              <w:rPr>
                <w:rFonts w:hint="eastAsia" w:cs="Times New Roman"/>
                <w:b/>
                <w:bCs/>
                <w:color w:val="000000" w:themeColor="text1"/>
                <w:kern w:val="0"/>
                <w:sz w:val="24"/>
                <w:szCs w:val="24"/>
                <w:highlight w:val="none"/>
                <w:lang w:val="en-US" w:eastAsia="zh-CN" w:bidi="ar-SA"/>
                <w14:textFill>
                  <w14:solidFill>
                    <w14:schemeClr w14:val="tx1"/>
                  </w14:solidFill>
                </w14:textFill>
              </w:rPr>
              <w:t>声</w:t>
            </w:r>
            <w:r>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环境</w:t>
            </w:r>
          </w:p>
          <w:p w14:paraId="00F1CDE7">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eastAsia" w:ascii="Times New Roman" w:hAnsi="Times New Roman" w:eastAsia="宋体" w:cs="Times New Roman"/>
                <w:b w:val="0"/>
                <w:bCs w:val="0"/>
                <w:color w:val="000000" w:themeColor="text1"/>
                <w:kern w:val="0"/>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highlight w:val="none"/>
                <w:lang w:val="en-US" w:eastAsia="zh-CN" w:bidi="ar-SA"/>
                <w14:textFill>
                  <w14:solidFill>
                    <w14:schemeClr w14:val="tx1"/>
                  </w14:solidFill>
                </w14:textFill>
              </w:rPr>
              <w:t>本项目位于黑龙江省双鸭山市尖山区三马路和西平行路交叉处西南，厂界外50米范围内声环境保护目标见下表。</w:t>
            </w:r>
          </w:p>
          <w:p w14:paraId="31A0A471">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表3-</w:t>
            </w:r>
            <w:r>
              <w:rPr>
                <w:rFonts w:hint="eastAsia" w:cs="Times New Roman"/>
                <w:b/>
                <w:bCs/>
                <w:color w:val="000000" w:themeColor="text1"/>
                <w:kern w:val="0"/>
                <w:sz w:val="24"/>
                <w:szCs w:val="24"/>
                <w:highlight w:val="none"/>
                <w:lang w:val="en-US" w:eastAsia="zh-CN" w:bidi="ar-SA"/>
                <w14:textFill>
                  <w14:solidFill>
                    <w14:schemeClr w14:val="tx1"/>
                  </w14:solidFill>
                </w14:textFill>
              </w:rPr>
              <w:t>8</w:t>
            </w:r>
            <w:r>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 xml:space="preserve"> </w:t>
            </w:r>
            <w:r>
              <w:rPr>
                <w:rFonts w:hint="eastAsia" w:cs="Times New Roman"/>
                <w:b/>
                <w:bCs/>
                <w:color w:val="000000" w:themeColor="text1"/>
                <w:kern w:val="0"/>
                <w:sz w:val="24"/>
                <w:szCs w:val="24"/>
                <w:highlight w:val="none"/>
                <w:lang w:val="en-US" w:eastAsia="zh-CN" w:bidi="ar-SA"/>
                <w14:textFill>
                  <w14:solidFill>
                    <w14:schemeClr w14:val="tx1"/>
                  </w14:solidFill>
                </w14:textFill>
              </w:rPr>
              <w:t>声</w:t>
            </w:r>
            <w:r>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环境保护目标</w:t>
            </w:r>
          </w:p>
          <w:tbl>
            <w:tblPr>
              <w:tblStyle w:val="29"/>
              <w:tblW w:w="799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2"/>
              <w:gridCol w:w="1366"/>
              <w:gridCol w:w="1115"/>
              <w:gridCol w:w="916"/>
              <w:gridCol w:w="759"/>
              <w:gridCol w:w="927"/>
              <w:gridCol w:w="1031"/>
              <w:gridCol w:w="1230"/>
            </w:tblGrid>
            <w:tr w14:paraId="3086EB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652" w:type="dxa"/>
                  <w:vMerge w:val="restart"/>
                  <w:tcBorders>
                    <w:tl2br w:val="nil"/>
                    <w:tr2bl w:val="nil"/>
                  </w:tcBorders>
                  <w:vAlign w:val="center"/>
                </w:tcPr>
                <w:p w14:paraId="5C32B8D1">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环境要素</w:t>
                  </w:r>
                </w:p>
              </w:tc>
              <w:tc>
                <w:tcPr>
                  <w:tcW w:w="1366" w:type="dxa"/>
                  <w:vMerge w:val="restart"/>
                  <w:tcBorders>
                    <w:tl2br w:val="nil"/>
                    <w:tr2bl w:val="nil"/>
                  </w:tcBorders>
                  <w:vAlign w:val="center"/>
                </w:tcPr>
                <w:p w14:paraId="080ADBF0">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保护目标名称</w:t>
                  </w:r>
                </w:p>
              </w:tc>
              <w:tc>
                <w:tcPr>
                  <w:tcW w:w="2031" w:type="dxa"/>
                  <w:gridSpan w:val="2"/>
                  <w:tcBorders>
                    <w:tl2br w:val="nil"/>
                    <w:tr2bl w:val="nil"/>
                  </w:tcBorders>
                  <w:vAlign w:val="center"/>
                </w:tcPr>
                <w:p w14:paraId="03BF45A3">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坐标</w:t>
                  </w:r>
                </w:p>
              </w:tc>
              <w:tc>
                <w:tcPr>
                  <w:tcW w:w="759" w:type="dxa"/>
                  <w:vMerge w:val="restart"/>
                  <w:tcBorders>
                    <w:tl2br w:val="nil"/>
                    <w:tr2bl w:val="nil"/>
                  </w:tcBorders>
                  <w:vAlign w:val="center"/>
                </w:tcPr>
                <w:p w14:paraId="74097710">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保护对象</w:t>
                  </w:r>
                </w:p>
              </w:tc>
              <w:tc>
                <w:tcPr>
                  <w:tcW w:w="927" w:type="dxa"/>
                  <w:vMerge w:val="restart"/>
                  <w:tcBorders>
                    <w:tl2br w:val="nil"/>
                    <w:tr2bl w:val="nil"/>
                  </w:tcBorders>
                  <w:vAlign w:val="center"/>
                </w:tcPr>
                <w:p w14:paraId="5DEE9BAB">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相对厂址方位</w:t>
                  </w:r>
                </w:p>
              </w:tc>
              <w:tc>
                <w:tcPr>
                  <w:tcW w:w="1031" w:type="dxa"/>
                  <w:vMerge w:val="restart"/>
                  <w:tcBorders>
                    <w:tl2br w:val="nil"/>
                    <w:tr2bl w:val="nil"/>
                  </w:tcBorders>
                  <w:vAlign w:val="center"/>
                </w:tcPr>
                <w:p w14:paraId="57C936B7">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相对厂界距离</w:t>
                  </w:r>
                </w:p>
              </w:tc>
              <w:tc>
                <w:tcPr>
                  <w:tcW w:w="1230" w:type="dxa"/>
                  <w:vMerge w:val="restart"/>
                  <w:tcBorders>
                    <w:tl2br w:val="nil"/>
                    <w:tr2bl w:val="nil"/>
                  </w:tcBorders>
                  <w:vAlign w:val="center"/>
                </w:tcPr>
                <w:p w14:paraId="31FE2482">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环境功能区</w:t>
                  </w:r>
                </w:p>
              </w:tc>
            </w:tr>
            <w:tr w14:paraId="3509C1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Merge w:val="continue"/>
                  <w:tcBorders>
                    <w:tl2br w:val="nil"/>
                    <w:tr2bl w:val="nil"/>
                  </w:tcBorders>
                </w:tcPr>
                <w:p w14:paraId="29A9D631">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366" w:type="dxa"/>
                  <w:vMerge w:val="continue"/>
                  <w:tcBorders>
                    <w:tl2br w:val="nil"/>
                    <w:tr2bl w:val="nil"/>
                  </w:tcBorders>
                </w:tcPr>
                <w:p w14:paraId="21B04B16">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115" w:type="dxa"/>
                  <w:tcBorders>
                    <w:tl2br w:val="nil"/>
                    <w:tr2bl w:val="nil"/>
                  </w:tcBorders>
                  <w:vAlign w:val="center"/>
                </w:tcPr>
                <w:p w14:paraId="18E7F8DB">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经度</w:t>
                  </w:r>
                </w:p>
              </w:tc>
              <w:tc>
                <w:tcPr>
                  <w:tcW w:w="916" w:type="dxa"/>
                  <w:tcBorders>
                    <w:tl2br w:val="nil"/>
                    <w:tr2bl w:val="nil"/>
                  </w:tcBorders>
                  <w:vAlign w:val="center"/>
                </w:tcPr>
                <w:p w14:paraId="0C3653FE">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纬度</w:t>
                  </w:r>
                </w:p>
              </w:tc>
              <w:tc>
                <w:tcPr>
                  <w:tcW w:w="759" w:type="dxa"/>
                  <w:vMerge w:val="continue"/>
                  <w:tcBorders>
                    <w:tl2br w:val="nil"/>
                    <w:tr2bl w:val="nil"/>
                  </w:tcBorders>
                </w:tcPr>
                <w:p w14:paraId="20AD1B1D">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927" w:type="dxa"/>
                  <w:vMerge w:val="continue"/>
                  <w:tcBorders>
                    <w:tl2br w:val="nil"/>
                    <w:tr2bl w:val="nil"/>
                  </w:tcBorders>
                </w:tcPr>
                <w:p w14:paraId="74BDF4F1">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031" w:type="dxa"/>
                  <w:vMerge w:val="continue"/>
                  <w:tcBorders>
                    <w:tl2br w:val="nil"/>
                    <w:tr2bl w:val="nil"/>
                  </w:tcBorders>
                </w:tcPr>
                <w:p w14:paraId="74365A77">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230" w:type="dxa"/>
                  <w:vMerge w:val="continue"/>
                  <w:tcBorders>
                    <w:tl2br w:val="nil"/>
                    <w:tr2bl w:val="nil"/>
                  </w:tcBorders>
                </w:tcPr>
                <w:p w14:paraId="1ACB7BBF">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r>
            <w:tr w14:paraId="5E78E4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Merge w:val="restart"/>
                  <w:tcBorders>
                    <w:tl2br w:val="nil"/>
                    <w:tr2bl w:val="nil"/>
                  </w:tcBorders>
                  <w:vAlign w:val="center"/>
                </w:tcPr>
                <w:p w14:paraId="71494CF5">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声</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环境</w:t>
                  </w:r>
                </w:p>
              </w:tc>
              <w:tc>
                <w:tcPr>
                  <w:tcW w:w="1366" w:type="dxa"/>
                  <w:tcBorders>
                    <w:tl2br w:val="nil"/>
                    <w:tr2bl w:val="nil"/>
                  </w:tcBorders>
                  <w:vAlign w:val="center"/>
                </w:tcPr>
                <w:p w14:paraId="47F24B72">
                  <w:pPr>
                    <w:adjustRightInd w:val="0"/>
                    <w:snapToGrid w:val="0"/>
                    <w:spacing w:line="240" w:lineRule="auto"/>
                    <w:jc w:val="center"/>
                    <w:rPr>
                      <w:rFonts w:hint="default" w:ascii="Times New Roman" w:hAnsi="Times New Roman" w:cs="Times New Roman"/>
                      <w:color w:val="FF0000"/>
                      <w:sz w:val="21"/>
                      <w:szCs w:val="21"/>
                      <w:highlight w:val="none"/>
                      <w:vertAlign w:val="baseline"/>
                      <w:lang w:val="en-US" w:eastAsia="zh-CN"/>
                    </w:rPr>
                  </w:pPr>
                  <w:r>
                    <w:rPr>
                      <w:rFonts w:hint="eastAsia" w:ascii="Times New Roman" w:hAnsi="Times New Roman" w:cs="Times New Roman"/>
                      <w:color w:val="FF0000"/>
                      <w:sz w:val="21"/>
                      <w:szCs w:val="21"/>
                      <w:highlight w:val="none"/>
                      <w:vertAlign w:val="baseline"/>
                      <w:lang w:val="en-US" w:eastAsia="zh-CN"/>
                    </w:rPr>
                    <w:t>惠民新城</w:t>
                  </w:r>
                  <w:r>
                    <w:rPr>
                      <w:rFonts w:hint="eastAsia" w:cs="Times New Roman"/>
                      <w:color w:val="FF0000"/>
                      <w:sz w:val="21"/>
                      <w:szCs w:val="21"/>
                      <w:highlight w:val="none"/>
                      <w:vertAlign w:val="baseline"/>
                      <w:lang w:val="en-US" w:eastAsia="zh-CN"/>
                    </w:rPr>
                    <w:t>（6层）</w:t>
                  </w:r>
                </w:p>
              </w:tc>
              <w:tc>
                <w:tcPr>
                  <w:tcW w:w="1115" w:type="dxa"/>
                  <w:tcBorders>
                    <w:tl2br w:val="nil"/>
                    <w:tr2bl w:val="nil"/>
                  </w:tcBorders>
                  <w:vAlign w:val="center"/>
                </w:tcPr>
                <w:p w14:paraId="586CC8F7">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131.1342</w:t>
                  </w:r>
                </w:p>
              </w:tc>
              <w:tc>
                <w:tcPr>
                  <w:tcW w:w="916" w:type="dxa"/>
                  <w:tcBorders>
                    <w:tl2br w:val="nil"/>
                    <w:tr2bl w:val="nil"/>
                  </w:tcBorders>
                  <w:vAlign w:val="center"/>
                </w:tcPr>
                <w:p w14:paraId="6B3D0683">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46.6311</w:t>
                  </w:r>
                </w:p>
              </w:tc>
              <w:tc>
                <w:tcPr>
                  <w:tcW w:w="759" w:type="dxa"/>
                  <w:tcBorders>
                    <w:tl2br w:val="nil"/>
                    <w:tr2bl w:val="nil"/>
                  </w:tcBorders>
                  <w:vAlign w:val="center"/>
                </w:tcPr>
                <w:p w14:paraId="6DF403CD">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15000</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人</w:t>
                  </w:r>
                </w:p>
              </w:tc>
              <w:tc>
                <w:tcPr>
                  <w:tcW w:w="927" w:type="dxa"/>
                  <w:tcBorders>
                    <w:tl2br w:val="nil"/>
                    <w:tr2bl w:val="nil"/>
                  </w:tcBorders>
                  <w:vAlign w:val="center"/>
                </w:tcPr>
                <w:p w14:paraId="57A54FA3">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S</w:t>
                  </w:r>
                </w:p>
              </w:tc>
              <w:tc>
                <w:tcPr>
                  <w:tcW w:w="1031" w:type="dxa"/>
                  <w:tcBorders>
                    <w:tl2br w:val="nil"/>
                    <w:tr2bl w:val="nil"/>
                  </w:tcBorders>
                  <w:vAlign w:val="center"/>
                </w:tcPr>
                <w:p w14:paraId="473F5769">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20</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m</w:t>
                  </w:r>
                </w:p>
              </w:tc>
              <w:tc>
                <w:tcPr>
                  <w:tcW w:w="1230" w:type="dxa"/>
                  <w:tcBorders>
                    <w:tl2br w:val="nil"/>
                    <w:tr2bl w:val="nil"/>
                  </w:tcBorders>
                  <w:vAlign w:val="center"/>
                </w:tcPr>
                <w:p w14:paraId="3DC64BAE">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类</w:t>
                  </w:r>
                  <w:r>
                    <w:rPr>
                      <w:rFonts w:hint="eastAsia" w:cs="Times New Roman"/>
                      <w:color w:val="000000" w:themeColor="text1"/>
                      <w:sz w:val="21"/>
                      <w:szCs w:val="21"/>
                      <w:highlight w:val="none"/>
                      <w:vertAlign w:val="baseline"/>
                      <w:lang w:val="en-US" w:eastAsia="zh-CN"/>
                      <w14:textFill>
                        <w14:solidFill>
                          <w14:schemeClr w14:val="tx1"/>
                        </w14:solidFill>
                      </w14:textFill>
                    </w:rPr>
                    <w:t>声功能</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区</w:t>
                  </w:r>
                </w:p>
              </w:tc>
            </w:tr>
            <w:tr w14:paraId="4F96AE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Merge w:val="continue"/>
                  <w:tcBorders>
                    <w:tl2br w:val="nil"/>
                    <w:tr2bl w:val="nil"/>
                  </w:tcBorders>
                  <w:vAlign w:val="center"/>
                </w:tcPr>
                <w:p w14:paraId="4906F784">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366" w:type="dxa"/>
                  <w:tcBorders>
                    <w:tl2br w:val="nil"/>
                    <w:tr2bl w:val="nil"/>
                  </w:tcBorders>
                  <w:vAlign w:val="center"/>
                </w:tcPr>
                <w:p w14:paraId="2463E6D7">
                  <w:pPr>
                    <w:adjustRightInd w:val="0"/>
                    <w:snapToGrid w:val="0"/>
                    <w:spacing w:line="240" w:lineRule="auto"/>
                    <w:jc w:val="center"/>
                    <w:rPr>
                      <w:rFonts w:hint="default" w:ascii="Times New Roman" w:hAnsi="Times New Roman" w:cs="Times New Roman"/>
                      <w:color w:val="FF0000"/>
                      <w:sz w:val="21"/>
                      <w:szCs w:val="21"/>
                      <w:highlight w:val="none"/>
                      <w:vertAlign w:val="baseline"/>
                      <w:lang w:val="en-US" w:eastAsia="zh-CN"/>
                    </w:rPr>
                  </w:pPr>
                  <w:r>
                    <w:rPr>
                      <w:rFonts w:hint="eastAsia" w:cs="Times New Roman"/>
                      <w:color w:val="FF0000"/>
                      <w:sz w:val="21"/>
                      <w:szCs w:val="21"/>
                      <w:highlight w:val="none"/>
                      <w:vertAlign w:val="baseline"/>
                      <w:lang w:val="en-US" w:eastAsia="zh-CN"/>
                    </w:rPr>
                    <w:t>站南小区（18层）</w:t>
                  </w:r>
                </w:p>
              </w:tc>
              <w:tc>
                <w:tcPr>
                  <w:tcW w:w="1115" w:type="dxa"/>
                  <w:tcBorders>
                    <w:tl2br w:val="nil"/>
                    <w:tr2bl w:val="nil"/>
                  </w:tcBorders>
                  <w:vAlign w:val="center"/>
                </w:tcPr>
                <w:p w14:paraId="68039639">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131.141</w:t>
                  </w:r>
                  <w:r>
                    <w:rPr>
                      <w:rFonts w:hint="eastAsia" w:cs="Times New Roman"/>
                      <w:color w:val="000000" w:themeColor="text1"/>
                      <w:sz w:val="21"/>
                      <w:szCs w:val="21"/>
                      <w:highlight w:val="none"/>
                      <w:vertAlign w:val="baseline"/>
                      <w:lang w:val="en-US" w:eastAsia="zh-CN"/>
                      <w14:textFill>
                        <w14:solidFill>
                          <w14:schemeClr w14:val="tx1"/>
                        </w14:solidFill>
                      </w14:textFill>
                    </w:rPr>
                    <w:t>7</w:t>
                  </w:r>
                </w:p>
              </w:tc>
              <w:tc>
                <w:tcPr>
                  <w:tcW w:w="916" w:type="dxa"/>
                  <w:tcBorders>
                    <w:tl2br w:val="nil"/>
                    <w:tr2bl w:val="nil"/>
                  </w:tcBorders>
                  <w:vAlign w:val="center"/>
                </w:tcPr>
                <w:p w14:paraId="21FD2520">
                  <w:pPr>
                    <w:adjustRightInd w:val="0"/>
                    <w:snapToGrid w:val="0"/>
                    <w:spacing w:line="240" w:lineRule="auto"/>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46.63</w:t>
                  </w:r>
                  <w:r>
                    <w:rPr>
                      <w:rFonts w:hint="eastAsia" w:cs="Times New Roman"/>
                      <w:color w:val="000000" w:themeColor="text1"/>
                      <w:sz w:val="21"/>
                      <w:szCs w:val="21"/>
                      <w:highlight w:val="none"/>
                      <w:vertAlign w:val="baseline"/>
                      <w:lang w:val="en-US" w:eastAsia="zh-CN"/>
                      <w14:textFill>
                        <w14:solidFill>
                          <w14:schemeClr w14:val="tx1"/>
                        </w14:solidFill>
                      </w14:textFill>
                    </w:rPr>
                    <w:t>30</w:t>
                  </w:r>
                </w:p>
              </w:tc>
              <w:tc>
                <w:tcPr>
                  <w:tcW w:w="759" w:type="dxa"/>
                  <w:tcBorders>
                    <w:tl2br w:val="nil"/>
                    <w:tr2bl w:val="nil"/>
                  </w:tcBorders>
                  <w:vAlign w:val="center"/>
                </w:tcPr>
                <w:p w14:paraId="718518B9">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000人</w:t>
                  </w:r>
                </w:p>
              </w:tc>
              <w:tc>
                <w:tcPr>
                  <w:tcW w:w="927" w:type="dxa"/>
                  <w:tcBorders>
                    <w:tl2br w:val="nil"/>
                    <w:tr2bl w:val="nil"/>
                  </w:tcBorders>
                  <w:vAlign w:val="center"/>
                </w:tcPr>
                <w:p w14:paraId="67EEFEFB">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E</w:t>
                  </w:r>
                </w:p>
              </w:tc>
              <w:tc>
                <w:tcPr>
                  <w:tcW w:w="1031" w:type="dxa"/>
                  <w:tcBorders>
                    <w:tl2br w:val="nil"/>
                    <w:tr2bl w:val="nil"/>
                  </w:tcBorders>
                  <w:vAlign w:val="center"/>
                </w:tcPr>
                <w:p w14:paraId="6CA3CD9E">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30</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m</w:t>
                  </w:r>
                </w:p>
              </w:tc>
              <w:tc>
                <w:tcPr>
                  <w:tcW w:w="1230" w:type="dxa"/>
                  <w:tcBorders>
                    <w:tl2br w:val="nil"/>
                    <w:tr2bl w:val="nil"/>
                  </w:tcBorders>
                  <w:vAlign w:val="center"/>
                </w:tcPr>
                <w:p w14:paraId="1538F87C">
                  <w:pPr>
                    <w:adjustRightInd w:val="0"/>
                    <w:snapToGrid w:val="0"/>
                    <w:spacing w:line="240" w:lineRule="auto"/>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类声功能区</w:t>
                  </w:r>
                </w:p>
              </w:tc>
            </w:tr>
          </w:tbl>
          <w:p w14:paraId="2616FBA0">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2" w:firstLineChars="200"/>
              <w:jc w:val="left"/>
              <w:textAlignment w:val="auto"/>
              <w:rPr>
                <w:rFonts w:hint="default"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r>
              <w:rPr>
                <w:rFonts w:hint="eastAsia" w:cs="Times New Roman"/>
                <w:b/>
                <w:bCs/>
                <w:color w:val="000000" w:themeColor="text1"/>
                <w:kern w:val="0"/>
                <w:sz w:val="24"/>
                <w:szCs w:val="24"/>
                <w:highlight w:val="none"/>
                <w:lang w:val="en-US" w:eastAsia="zh-CN" w:bidi="ar-SA"/>
                <w14:textFill>
                  <w14:solidFill>
                    <w14:schemeClr w14:val="tx1"/>
                  </w14:solidFill>
                </w14:textFill>
              </w:rPr>
              <w:t>3</w:t>
            </w:r>
            <w:r>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w:t>
            </w:r>
            <w:r>
              <w:rPr>
                <w:rFonts w:hint="eastAsia" w:cs="Times New Roman"/>
                <w:b/>
                <w:bCs/>
                <w:color w:val="000000" w:themeColor="text1"/>
                <w:kern w:val="0"/>
                <w:sz w:val="24"/>
                <w:szCs w:val="24"/>
                <w:highlight w:val="none"/>
                <w:lang w:val="en-US" w:eastAsia="zh-CN" w:bidi="ar-SA"/>
                <w14:textFill>
                  <w14:solidFill>
                    <w14:schemeClr w14:val="tx1"/>
                  </w14:solidFill>
                </w14:textFill>
              </w:rPr>
              <w:t>地下水环境</w:t>
            </w:r>
          </w:p>
          <w:p w14:paraId="6D167935">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eastAsia" w:ascii="Times New Roman" w:hAnsi="Times New Roman" w:eastAsia="宋体" w:cs="Times New Roman"/>
                <w:b w:val="0"/>
                <w:bCs w:val="0"/>
                <w:color w:val="000000" w:themeColor="text1"/>
                <w:kern w:val="0"/>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highlight w:val="none"/>
                <w:lang w:val="en-US" w:eastAsia="zh-CN" w:bidi="ar-SA"/>
                <w14:textFill>
                  <w14:solidFill>
                    <w14:schemeClr w14:val="tx1"/>
                  </w14:solidFill>
                </w14:textFill>
              </w:rPr>
              <w:t>本项目位于黑龙江省双鸭山市尖山区三马路和西平行路交叉处西南，厂界外500m范围内无地下水集中式饮用水水源和热水、矿泉水、温泉等特殊地下水资源保护区。</w:t>
            </w:r>
          </w:p>
          <w:p w14:paraId="3B4FD5E4">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2" w:firstLineChars="200"/>
              <w:jc w:val="left"/>
              <w:textAlignment w:val="auto"/>
              <w:rPr>
                <w:rFonts w:hint="default" w:cs="Times New Roman"/>
                <w:b/>
                <w:bCs/>
                <w:color w:val="000000" w:themeColor="text1"/>
                <w:kern w:val="0"/>
                <w:sz w:val="24"/>
                <w:szCs w:val="24"/>
                <w:highlight w:val="none"/>
                <w:lang w:val="en-US" w:eastAsia="zh-CN" w:bidi="ar-SA"/>
                <w14:textFill>
                  <w14:solidFill>
                    <w14:schemeClr w14:val="tx1"/>
                  </w14:solidFill>
                </w14:textFill>
              </w:rPr>
            </w:pPr>
            <w:r>
              <w:rPr>
                <w:rFonts w:hint="eastAsia" w:cs="Times New Roman"/>
                <w:b/>
                <w:bCs/>
                <w:color w:val="000000" w:themeColor="text1"/>
                <w:kern w:val="0"/>
                <w:sz w:val="24"/>
                <w:szCs w:val="24"/>
                <w:highlight w:val="none"/>
                <w:lang w:val="en-US" w:eastAsia="zh-CN" w:bidi="ar-SA"/>
                <w14:textFill>
                  <w14:solidFill>
                    <w14:schemeClr w14:val="tx1"/>
                  </w14:solidFill>
                </w14:textFill>
              </w:rPr>
              <w:t>4、生态环境</w:t>
            </w:r>
          </w:p>
          <w:p w14:paraId="0DAB50AE">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b/>
                <w:color w:val="000000" w:themeColor="text1"/>
                <w:sz w:val="24"/>
                <w14:textFill>
                  <w14:solidFill>
                    <w14:schemeClr w14:val="tx1"/>
                  </w14:solidFill>
                </w14:textFill>
              </w:rPr>
            </w:pPr>
            <w:r>
              <w:rPr>
                <w:rFonts w:hint="eastAsia" w:cs="Times New Roman"/>
                <w:b w:val="0"/>
                <w:bCs w:val="0"/>
                <w:color w:val="000000" w:themeColor="text1"/>
                <w:kern w:val="0"/>
                <w:sz w:val="24"/>
                <w:szCs w:val="24"/>
                <w:highlight w:val="none"/>
                <w:lang w:val="en-US" w:eastAsia="zh-CN" w:bidi="ar-SA"/>
                <w14:textFill>
                  <w14:solidFill>
                    <w14:schemeClr w14:val="tx1"/>
                  </w14:solidFill>
                </w14:textFill>
              </w:rPr>
              <w:t>本项目位于黑龙江省双鸭山市尖山区三马路和西平行路交叉处西南，本次改建不新增占地，所在区域不涉及重要生态功能区、生态敏感区、生态脆弱区、禁止开发区，属于一般区域，无生态环境保护目标。</w:t>
            </w:r>
          </w:p>
        </w:tc>
      </w:tr>
      <w:tr w14:paraId="6444C7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4" w:type="dxa"/>
            <w:tcMar>
              <w:left w:w="28" w:type="dxa"/>
              <w:right w:w="28" w:type="dxa"/>
            </w:tcMar>
            <w:vAlign w:val="center"/>
          </w:tcPr>
          <w:p w14:paraId="27B01885">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污染</w:t>
            </w:r>
          </w:p>
          <w:p w14:paraId="2315E297">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物排</w:t>
            </w:r>
          </w:p>
          <w:p w14:paraId="5B25A949">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放控</w:t>
            </w:r>
          </w:p>
          <w:p w14:paraId="45B3C81D">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制标</w:t>
            </w:r>
          </w:p>
          <w:p w14:paraId="64F29671">
            <w:pPr>
              <w:adjustRightInd w:val="0"/>
              <w:snapToGrid w:val="0"/>
              <w:jc w:val="center"/>
              <w:rPr>
                <w:color w:val="000000" w:themeColor="text1"/>
                <w:kern w:val="0"/>
                <w:szCs w:val="21"/>
                <w14:textFill>
                  <w14:solidFill>
                    <w14:schemeClr w14:val="tx1"/>
                  </w14:solidFill>
                </w14:textFill>
              </w:rPr>
            </w:pPr>
            <w:r>
              <w:rPr>
                <w:color w:val="000000" w:themeColor="text1"/>
                <w:kern w:val="0"/>
                <w:sz w:val="24"/>
                <w14:textFill>
                  <w14:solidFill>
                    <w14:schemeClr w14:val="tx1"/>
                  </w14:solidFill>
                </w14:textFill>
              </w:rPr>
              <w:t>准</w:t>
            </w:r>
          </w:p>
        </w:tc>
        <w:tc>
          <w:tcPr>
            <w:tcW w:w="8217" w:type="dxa"/>
            <w:vAlign w:val="center"/>
          </w:tcPr>
          <w:p w14:paraId="251BB8A7">
            <w:pPr>
              <w:autoSpaceDE w:val="0"/>
              <w:autoSpaceDN w:val="0"/>
              <w:spacing w:line="360" w:lineRule="auto"/>
              <w:ind w:firstLine="482" w:firstLineChars="200"/>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1、废气</w:t>
            </w:r>
          </w:p>
          <w:p w14:paraId="3080883E">
            <w:pPr>
              <w:tabs>
                <w:tab w:val="left" w:pos="2397"/>
              </w:tabs>
              <w:spacing w:line="360" w:lineRule="auto"/>
              <w:ind w:firstLine="480" w:firstLineChars="200"/>
              <w:rPr>
                <w:color w:val="000000" w:themeColor="text1"/>
                <w:sz w:val="24"/>
                <w:highlight w:val="none"/>
                <w14:textFill>
                  <w14:solidFill>
                    <w14:schemeClr w14:val="tx1"/>
                  </w14:solidFill>
                </w14:textFill>
              </w:rPr>
            </w:pPr>
            <w:r>
              <w:rPr>
                <w:rFonts w:hint="eastAsia"/>
                <w:color w:val="FF0000"/>
                <w:sz w:val="24"/>
                <w:highlight w:val="none"/>
                <w:lang w:eastAsia="zh-CN"/>
              </w:rPr>
              <w:t>本项目为煤炭洗选加工，废气主要污染物为颗粒物，工艺全程无燃烧或高温化学反应，且煤矸石含硫量极低，根据《煤炭工业污染物排放标准》（GB20426-2006）及环评源强分析，SO</w:t>
            </w:r>
            <w:r>
              <w:rPr>
                <w:rFonts w:hint="eastAsia"/>
                <w:color w:val="FF0000"/>
                <w:sz w:val="24"/>
                <w:highlight w:val="none"/>
                <w:vertAlign w:val="subscript"/>
                <w:lang w:val="en-US" w:eastAsia="zh-CN"/>
              </w:rPr>
              <w:t>2</w:t>
            </w:r>
            <w:r>
              <w:rPr>
                <w:rFonts w:hint="eastAsia"/>
                <w:color w:val="FF0000"/>
                <w:sz w:val="24"/>
                <w:highlight w:val="none"/>
                <w:lang w:eastAsia="zh-CN"/>
              </w:rPr>
              <w:t>产生量可忽略。</w:t>
            </w:r>
            <w:r>
              <w:rPr>
                <w:rFonts w:hint="eastAsia" w:cs="Times New Roman"/>
                <w:color w:val="FF0000"/>
                <w:sz w:val="24"/>
                <w:szCs w:val="24"/>
                <w:highlight w:val="none"/>
                <w:lang w:val="en-US" w:eastAsia="zh-CN"/>
              </w:rPr>
              <w:t>运营期主厂房原煤输送、破碎、筛分等工序废气</w:t>
            </w:r>
            <w:r>
              <w:rPr>
                <w:rFonts w:hint="eastAsia"/>
                <w:color w:val="FF0000"/>
                <w:sz w:val="24"/>
                <w:highlight w:val="none"/>
                <w:lang w:val="en-US" w:eastAsia="zh-CN"/>
              </w:rPr>
              <w:t>无组织</w:t>
            </w:r>
            <w:r>
              <w:rPr>
                <w:rFonts w:hint="eastAsia"/>
                <w:color w:val="FF0000"/>
                <w:sz w:val="24"/>
                <w:highlight w:val="none"/>
              </w:rPr>
              <w:t>颗粒物执行</w:t>
            </w:r>
            <w:r>
              <w:rPr>
                <w:color w:val="FF0000"/>
                <w:sz w:val="24"/>
                <w:highlight w:val="none"/>
              </w:rPr>
              <w:t>《煤炭工业污染物排放标准》（GB20426-2006）中</w:t>
            </w:r>
            <w:r>
              <w:rPr>
                <w:rFonts w:hint="eastAsia"/>
                <w:color w:val="FF0000"/>
                <w:sz w:val="24"/>
                <w:highlight w:val="none"/>
                <w:lang w:val="en-US" w:eastAsia="zh-CN"/>
              </w:rPr>
              <w:t>表5厂界外浓度最高点标准限值要求</w:t>
            </w:r>
            <w:r>
              <w:rPr>
                <w:rFonts w:hint="eastAsia"/>
                <w:color w:val="FF0000"/>
                <w:sz w:val="24"/>
                <w:highlight w:val="none"/>
                <w:lang w:eastAsia="zh-CN"/>
              </w:rPr>
              <w:t>；运营期</w:t>
            </w:r>
            <w:r>
              <w:rPr>
                <w:rFonts w:hint="eastAsia"/>
                <w:color w:val="FF0000"/>
                <w:sz w:val="24"/>
                <w:highlight w:val="none"/>
                <w:lang w:val="en-US" w:eastAsia="zh-CN"/>
              </w:rPr>
              <w:t>浮选及柴油贮存</w:t>
            </w:r>
            <w:r>
              <w:rPr>
                <w:rFonts w:hint="eastAsia"/>
                <w:color w:val="FF0000"/>
                <w:sz w:val="24"/>
                <w:highlight w:val="none"/>
                <w:lang w:eastAsia="zh-CN"/>
              </w:rPr>
              <w:t>无组织</w:t>
            </w:r>
            <w:r>
              <w:rPr>
                <w:rFonts w:hint="eastAsia"/>
                <w:color w:val="FF0000"/>
                <w:sz w:val="24"/>
                <w:highlight w:val="none"/>
                <w:lang w:val="en-US" w:eastAsia="zh-CN"/>
              </w:rPr>
              <w:t>非甲烷总烃，厂内</w:t>
            </w:r>
            <w:r>
              <w:rPr>
                <w:rFonts w:hint="eastAsia"/>
                <w:color w:val="FF0000"/>
                <w:sz w:val="24"/>
                <w:highlight w:val="none"/>
                <w:lang w:eastAsia="zh-CN"/>
              </w:rPr>
              <w:t>排放执行</w:t>
            </w:r>
            <w:r>
              <w:rPr>
                <w:rFonts w:hint="eastAsia"/>
                <w:color w:val="FF0000"/>
                <w:sz w:val="24"/>
                <w:highlight w:val="none"/>
                <w:lang w:val="en-US" w:eastAsia="zh-CN"/>
              </w:rPr>
              <w:t>《挥发性有机物无组织排放控制标准》（GB37822-2019）附录A表A.1中无组织排放限值要求，厂界排放执行《大气污染物综合排放标准》（GB16297-1996）标准限值要求；</w:t>
            </w:r>
            <w:r>
              <w:rPr>
                <w:color w:val="FF0000"/>
                <w:sz w:val="24"/>
                <w:highlight w:val="none"/>
              </w:rPr>
              <w:t>食堂油烟排放执行《饮食业油烟排放标准》（GB18483-2001）中标准限值。</w:t>
            </w:r>
            <w:r>
              <w:rPr>
                <w:rFonts w:hint="eastAsia"/>
                <w:color w:val="FF0000"/>
                <w:sz w:val="24"/>
                <w:highlight w:val="none"/>
                <w:lang w:val="en-US" w:eastAsia="zh-CN"/>
              </w:rPr>
              <w:t>具体见下表</w:t>
            </w:r>
            <w:r>
              <w:rPr>
                <w:color w:val="FF0000"/>
                <w:sz w:val="24"/>
                <w:highlight w:val="none"/>
              </w:rPr>
              <w:t>。</w:t>
            </w:r>
          </w:p>
          <w:p w14:paraId="3F34E82C">
            <w:pPr>
              <w:pStyle w:val="11"/>
              <w:spacing w:line="360" w:lineRule="auto"/>
              <w:ind w:left="0" w:leftChars="0" w:firstLine="482" w:firstLineChars="200"/>
              <w:jc w:val="cente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表3-</w:t>
            </w:r>
            <w:r>
              <w:rPr>
                <w:rFonts w:hint="eastAsia" w:cs="Times New Roman"/>
                <w:b/>
                <w:bCs/>
                <w:color w:val="000000" w:themeColor="text1"/>
                <w:sz w:val="24"/>
                <w:szCs w:val="24"/>
                <w:highlight w:val="none"/>
                <w:lang w:val="en-US" w:eastAsia="zh-CN"/>
                <w14:textFill>
                  <w14:solidFill>
                    <w14:schemeClr w14:val="tx1"/>
                  </w14:solidFill>
                </w14:textFill>
              </w:rPr>
              <w:t>9</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煤炭工业无组织排放限值</w:t>
            </w:r>
          </w:p>
          <w:tbl>
            <w:tblPr>
              <w:tblStyle w:val="2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5"/>
              <w:gridCol w:w="1843"/>
              <w:gridCol w:w="2981"/>
              <w:gridCol w:w="1990"/>
            </w:tblGrid>
            <w:tr w14:paraId="77AB4B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5" w:type="dxa"/>
                  <w:vMerge w:val="restart"/>
                  <w:noWrap w:val="0"/>
                  <w:vAlign w:val="center"/>
                </w:tcPr>
                <w:p w14:paraId="71F1ED1A">
                  <w:pPr>
                    <w:adjustRightInd w:val="0"/>
                    <w:snapToGrid w:val="0"/>
                    <w:spacing w:line="240" w:lineRule="auto"/>
                    <w:jc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污染物</w:t>
                  </w:r>
                </w:p>
              </w:tc>
              <w:tc>
                <w:tcPr>
                  <w:tcW w:w="1843" w:type="dxa"/>
                  <w:vMerge w:val="restart"/>
                  <w:noWrap w:val="0"/>
                  <w:vAlign w:val="center"/>
                </w:tcPr>
                <w:p w14:paraId="6D25A255">
                  <w:pPr>
                    <w:adjustRightInd w:val="0"/>
                    <w:snapToGrid w:val="0"/>
                    <w:spacing w:line="240" w:lineRule="auto"/>
                    <w:jc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监控点</w:t>
                  </w:r>
                </w:p>
              </w:tc>
              <w:tc>
                <w:tcPr>
                  <w:tcW w:w="4971" w:type="dxa"/>
                  <w:gridSpan w:val="2"/>
                  <w:noWrap w:val="0"/>
                  <w:vAlign w:val="center"/>
                </w:tcPr>
                <w:p w14:paraId="0C8F8E5B">
                  <w:pPr>
                    <w:adjustRightInd w:val="0"/>
                    <w:snapToGrid w:val="0"/>
                    <w:spacing w:line="240" w:lineRule="auto"/>
                    <w:jc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作业场所</w:t>
                  </w:r>
                </w:p>
              </w:tc>
            </w:tr>
            <w:tr w14:paraId="4446D1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5" w:type="dxa"/>
                  <w:vMerge w:val="continue"/>
                  <w:noWrap w:val="0"/>
                  <w:vAlign w:val="center"/>
                </w:tcPr>
                <w:p w14:paraId="54A8D600">
                  <w:pPr>
                    <w:adjustRightInd w:val="0"/>
                    <w:snapToGrid w:val="0"/>
                    <w:spacing w:line="240" w:lineRule="auto"/>
                    <w:jc w:val="center"/>
                    <w:rPr>
                      <w:rFonts w:hint="eastAsia" w:cs="Times New Roman"/>
                      <w:color w:val="000000" w:themeColor="text1"/>
                      <w:sz w:val="21"/>
                      <w:szCs w:val="21"/>
                      <w:highlight w:val="none"/>
                      <w:vertAlign w:val="baseline"/>
                      <w:lang w:val="en-US" w:eastAsia="zh-CN"/>
                      <w14:textFill>
                        <w14:solidFill>
                          <w14:schemeClr w14:val="tx1"/>
                        </w14:solidFill>
                      </w14:textFill>
                    </w:rPr>
                  </w:pPr>
                </w:p>
              </w:tc>
              <w:tc>
                <w:tcPr>
                  <w:tcW w:w="1843" w:type="dxa"/>
                  <w:vMerge w:val="continue"/>
                  <w:noWrap w:val="0"/>
                  <w:vAlign w:val="center"/>
                </w:tcPr>
                <w:p w14:paraId="07F979B3">
                  <w:pPr>
                    <w:adjustRightInd w:val="0"/>
                    <w:snapToGrid w:val="0"/>
                    <w:spacing w:line="240" w:lineRule="auto"/>
                    <w:jc w:val="center"/>
                    <w:rPr>
                      <w:rFonts w:hint="eastAsia" w:cs="Times New Roman"/>
                      <w:color w:val="000000" w:themeColor="text1"/>
                      <w:sz w:val="21"/>
                      <w:szCs w:val="21"/>
                      <w:highlight w:val="none"/>
                      <w:vertAlign w:val="baseline"/>
                      <w:lang w:val="en-US" w:eastAsia="zh-CN"/>
                      <w14:textFill>
                        <w14:solidFill>
                          <w14:schemeClr w14:val="tx1"/>
                        </w14:solidFill>
                      </w14:textFill>
                    </w:rPr>
                  </w:pPr>
                </w:p>
              </w:tc>
              <w:tc>
                <w:tcPr>
                  <w:tcW w:w="2981" w:type="dxa"/>
                  <w:noWrap w:val="0"/>
                  <w:vAlign w:val="center"/>
                </w:tcPr>
                <w:p w14:paraId="7282A576">
                  <w:pPr>
                    <w:adjustRightInd w:val="0"/>
                    <w:snapToGrid w:val="0"/>
                    <w:spacing w:line="240" w:lineRule="auto"/>
                    <w:jc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煤炭工业所属装卸场所</w:t>
                  </w:r>
                </w:p>
              </w:tc>
              <w:tc>
                <w:tcPr>
                  <w:tcW w:w="1990" w:type="dxa"/>
                  <w:noWrap w:val="0"/>
                  <w:vAlign w:val="center"/>
                </w:tcPr>
                <w:p w14:paraId="7BC8B723">
                  <w:pPr>
                    <w:adjustRightInd w:val="0"/>
                    <w:snapToGrid w:val="0"/>
                    <w:spacing w:line="240" w:lineRule="auto"/>
                    <w:jc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煤炭贮存库、煤矸石堆置场</w:t>
                  </w:r>
                </w:p>
              </w:tc>
            </w:tr>
            <w:tr w14:paraId="524E87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5" w:type="dxa"/>
                  <w:vMerge w:val="continue"/>
                  <w:noWrap w:val="0"/>
                  <w:vAlign w:val="center"/>
                </w:tcPr>
                <w:p w14:paraId="5D3E2FCE">
                  <w:pPr>
                    <w:adjustRightInd w:val="0"/>
                    <w:snapToGrid w:val="0"/>
                    <w:spacing w:line="240" w:lineRule="auto"/>
                    <w:jc w:val="center"/>
                    <w:rPr>
                      <w:rFonts w:hint="eastAsia" w:cs="Times New Roman"/>
                      <w:color w:val="000000" w:themeColor="text1"/>
                      <w:sz w:val="21"/>
                      <w:szCs w:val="21"/>
                      <w:highlight w:val="none"/>
                      <w:vertAlign w:val="baseline"/>
                      <w:lang w:val="en-US" w:eastAsia="zh-CN"/>
                      <w14:textFill>
                        <w14:solidFill>
                          <w14:schemeClr w14:val="tx1"/>
                        </w14:solidFill>
                      </w14:textFill>
                    </w:rPr>
                  </w:pPr>
                </w:p>
              </w:tc>
              <w:tc>
                <w:tcPr>
                  <w:tcW w:w="1843" w:type="dxa"/>
                  <w:vMerge w:val="continue"/>
                  <w:noWrap w:val="0"/>
                  <w:vAlign w:val="center"/>
                </w:tcPr>
                <w:p w14:paraId="5F6EDD00">
                  <w:pPr>
                    <w:adjustRightInd w:val="0"/>
                    <w:snapToGrid w:val="0"/>
                    <w:spacing w:line="240" w:lineRule="auto"/>
                    <w:jc w:val="center"/>
                    <w:rPr>
                      <w:rFonts w:hint="eastAsia" w:cs="Times New Roman"/>
                      <w:color w:val="000000" w:themeColor="text1"/>
                      <w:sz w:val="21"/>
                      <w:szCs w:val="21"/>
                      <w:highlight w:val="none"/>
                      <w:vertAlign w:val="baseline"/>
                      <w:lang w:val="en-US" w:eastAsia="zh-CN"/>
                      <w14:textFill>
                        <w14:solidFill>
                          <w14:schemeClr w14:val="tx1"/>
                        </w14:solidFill>
                      </w14:textFill>
                    </w:rPr>
                  </w:pPr>
                </w:p>
              </w:tc>
              <w:tc>
                <w:tcPr>
                  <w:tcW w:w="2981" w:type="dxa"/>
                  <w:noWrap w:val="0"/>
                  <w:vAlign w:val="center"/>
                </w:tcPr>
                <w:p w14:paraId="67FE794F">
                  <w:pPr>
                    <w:adjustRightInd w:val="0"/>
                    <w:snapToGrid w:val="0"/>
                    <w:spacing w:line="240" w:lineRule="auto"/>
                    <w:jc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无组织排放限值/(mg/m</w:t>
                  </w:r>
                  <w:r>
                    <w:rPr>
                      <w:rFonts w:hint="eastAsia" w:cs="Times New Roman"/>
                      <w:color w:val="000000" w:themeColor="text1"/>
                      <w:sz w:val="21"/>
                      <w:szCs w:val="21"/>
                      <w:highlight w:val="none"/>
                      <w:vertAlign w:val="superscript"/>
                      <w:lang w:val="en-US" w:eastAsia="zh-CN"/>
                      <w14:textFill>
                        <w14:solidFill>
                          <w14:schemeClr w14:val="tx1"/>
                        </w14:solidFill>
                      </w14:textFill>
                    </w:rPr>
                    <w:t>3</w:t>
                  </w:r>
                  <w:r>
                    <w:rPr>
                      <w:rFonts w:hint="eastAsia" w:cs="Times New Roman"/>
                      <w:color w:val="000000" w:themeColor="text1"/>
                      <w:sz w:val="21"/>
                      <w:szCs w:val="21"/>
                      <w:highlight w:val="none"/>
                      <w:vertAlign w:val="baseline"/>
                      <w:lang w:val="en-US" w:eastAsia="zh-CN"/>
                      <w14:textFill>
                        <w14:solidFill>
                          <w14:schemeClr w14:val="tx1"/>
                        </w14:solidFill>
                      </w14:textFill>
                    </w:rPr>
                    <w:t>)(监控点与参考点浓度差值)</w:t>
                  </w:r>
                </w:p>
              </w:tc>
              <w:tc>
                <w:tcPr>
                  <w:tcW w:w="1990" w:type="dxa"/>
                  <w:noWrap w:val="0"/>
                  <w:vAlign w:val="center"/>
                </w:tcPr>
                <w:p w14:paraId="6A7C3C13">
                  <w:pPr>
                    <w:adjustRightInd w:val="0"/>
                    <w:snapToGrid w:val="0"/>
                    <w:spacing w:line="240" w:lineRule="auto"/>
                    <w:jc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无组织排放限值/(mg/m</w:t>
                  </w:r>
                  <w:r>
                    <w:rPr>
                      <w:rFonts w:hint="eastAsia" w:cs="Times New Roman"/>
                      <w:color w:val="000000" w:themeColor="text1"/>
                      <w:sz w:val="21"/>
                      <w:szCs w:val="21"/>
                      <w:highlight w:val="none"/>
                      <w:vertAlign w:val="superscript"/>
                      <w:lang w:val="en-US" w:eastAsia="zh-CN"/>
                      <w14:textFill>
                        <w14:solidFill>
                          <w14:schemeClr w14:val="tx1"/>
                        </w14:solidFill>
                      </w14:textFill>
                    </w:rPr>
                    <w:t>3</w:t>
                  </w:r>
                  <w:r>
                    <w:rPr>
                      <w:rFonts w:hint="eastAsia" w:cs="Times New Roman"/>
                      <w:color w:val="000000" w:themeColor="text1"/>
                      <w:sz w:val="21"/>
                      <w:szCs w:val="21"/>
                      <w:highlight w:val="none"/>
                      <w:vertAlign w:val="baseline"/>
                      <w:lang w:val="en-US" w:eastAsia="zh-CN"/>
                      <w14:textFill>
                        <w14:solidFill>
                          <w14:schemeClr w14:val="tx1"/>
                        </w14:solidFill>
                      </w14:textFill>
                    </w:rPr>
                    <w:t>)(监控点与参考点浓度差值)</w:t>
                  </w:r>
                </w:p>
              </w:tc>
            </w:tr>
            <w:tr w14:paraId="6B0C72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5" w:type="dxa"/>
                  <w:noWrap w:val="0"/>
                  <w:vAlign w:val="center"/>
                </w:tcPr>
                <w:p w14:paraId="4F5CCE2A">
                  <w:pPr>
                    <w:adjustRightInd w:val="0"/>
                    <w:snapToGrid w:val="0"/>
                    <w:spacing w:line="240" w:lineRule="auto"/>
                    <w:jc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颗粒物</w:t>
                  </w:r>
                </w:p>
              </w:tc>
              <w:tc>
                <w:tcPr>
                  <w:tcW w:w="1843" w:type="dxa"/>
                  <w:vMerge w:val="restart"/>
                  <w:noWrap w:val="0"/>
                  <w:vAlign w:val="center"/>
                </w:tcPr>
                <w:p w14:paraId="4AA1949F">
                  <w:pPr>
                    <w:adjustRightInd w:val="0"/>
                    <w:snapToGrid w:val="0"/>
                    <w:spacing w:line="240" w:lineRule="auto"/>
                    <w:jc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周界外质量浓度最高点(1)</w:t>
                  </w:r>
                </w:p>
              </w:tc>
              <w:tc>
                <w:tcPr>
                  <w:tcW w:w="2981" w:type="dxa"/>
                  <w:noWrap w:val="0"/>
                  <w:vAlign w:val="center"/>
                </w:tcPr>
                <w:p w14:paraId="28F3BFF8">
                  <w:pPr>
                    <w:adjustRightInd w:val="0"/>
                    <w:snapToGrid w:val="0"/>
                    <w:spacing w:line="240" w:lineRule="auto"/>
                    <w:jc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1.0</w:t>
                  </w:r>
                </w:p>
              </w:tc>
              <w:tc>
                <w:tcPr>
                  <w:tcW w:w="1990" w:type="dxa"/>
                  <w:noWrap w:val="0"/>
                  <w:vAlign w:val="center"/>
                </w:tcPr>
                <w:p w14:paraId="33EEAD50">
                  <w:pPr>
                    <w:adjustRightInd w:val="0"/>
                    <w:snapToGrid w:val="0"/>
                    <w:spacing w:line="240" w:lineRule="auto"/>
                    <w:jc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1.0</w:t>
                  </w:r>
                </w:p>
              </w:tc>
            </w:tr>
            <w:tr w14:paraId="602979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5" w:type="dxa"/>
                  <w:noWrap w:val="0"/>
                  <w:vAlign w:val="center"/>
                </w:tcPr>
                <w:p w14:paraId="5987E82F">
                  <w:pPr>
                    <w:adjustRightInd w:val="0"/>
                    <w:snapToGrid w:val="0"/>
                    <w:spacing w:line="240" w:lineRule="auto"/>
                    <w:jc w:val="center"/>
                    <w:rPr>
                      <w:rFonts w:hint="eastAsia" w:cs="Times New Roman"/>
                      <w:color w:val="FF0000"/>
                      <w:sz w:val="21"/>
                      <w:szCs w:val="21"/>
                      <w:highlight w:val="none"/>
                      <w:vertAlign w:val="baseline"/>
                      <w:lang w:val="en-US" w:eastAsia="zh-CN"/>
                    </w:rPr>
                  </w:pPr>
                  <w:r>
                    <w:rPr>
                      <w:rFonts w:hint="eastAsia" w:cs="Times New Roman"/>
                      <w:color w:val="FF0000"/>
                      <w:sz w:val="21"/>
                      <w:szCs w:val="21"/>
                      <w:highlight w:val="none"/>
                      <w:vertAlign w:val="baseline"/>
                      <w:lang w:val="en-US" w:eastAsia="zh-CN"/>
                    </w:rPr>
                    <w:t>二氧化硫</w:t>
                  </w:r>
                </w:p>
              </w:tc>
              <w:tc>
                <w:tcPr>
                  <w:tcW w:w="1843" w:type="dxa"/>
                  <w:vMerge w:val="continue"/>
                  <w:noWrap w:val="0"/>
                  <w:vAlign w:val="center"/>
                </w:tcPr>
                <w:p w14:paraId="55BA9B37">
                  <w:pPr>
                    <w:adjustRightInd w:val="0"/>
                    <w:snapToGrid w:val="0"/>
                    <w:spacing w:line="240" w:lineRule="auto"/>
                    <w:jc w:val="center"/>
                    <w:rPr>
                      <w:rFonts w:hint="eastAsia" w:cs="Times New Roman"/>
                      <w:color w:val="FF0000"/>
                      <w:sz w:val="21"/>
                      <w:szCs w:val="21"/>
                      <w:highlight w:val="none"/>
                      <w:vertAlign w:val="baseline"/>
                      <w:lang w:val="en-US" w:eastAsia="zh-CN"/>
                    </w:rPr>
                  </w:pPr>
                </w:p>
              </w:tc>
              <w:tc>
                <w:tcPr>
                  <w:tcW w:w="2981" w:type="dxa"/>
                  <w:noWrap w:val="0"/>
                  <w:vAlign w:val="center"/>
                </w:tcPr>
                <w:p w14:paraId="573CA440">
                  <w:pPr>
                    <w:adjustRightInd w:val="0"/>
                    <w:snapToGrid w:val="0"/>
                    <w:spacing w:line="240" w:lineRule="auto"/>
                    <w:jc w:val="center"/>
                    <w:rPr>
                      <w:rFonts w:hint="eastAsia" w:cs="Times New Roman"/>
                      <w:color w:val="FF0000"/>
                      <w:sz w:val="21"/>
                      <w:szCs w:val="21"/>
                      <w:highlight w:val="none"/>
                      <w:vertAlign w:val="baseline"/>
                      <w:lang w:val="en-US" w:eastAsia="zh-CN"/>
                    </w:rPr>
                  </w:pPr>
                  <w:r>
                    <w:rPr>
                      <w:rFonts w:hint="eastAsia" w:cs="Times New Roman"/>
                      <w:color w:val="FF0000"/>
                      <w:sz w:val="21"/>
                      <w:szCs w:val="21"/>
                      <w:highlight w:val="none"/>
                      <w:vertAlign w:val="baseline"/>
                      <w:lang w:val="en-US" w:eastAsia="zh-CN"/>
                    </w:rPr>
                    <w:t>-</w:t>
                  </w:r>
                </w:p>
              </w:tc>
              <w:tc>
                <w:tcPr>
                  <w:tcW w:w="1990" w:type="dxa"/>
                  <w:noWrap w:val="0"/>
                  <w:vAlign w:val="center"/>
                </w:tcPr>
                <w:p w14:paraId="254C537E">
                  <w:pPr>
                    <w:adjustRightInd w:val="0"/>
                    <w:snapToGrid w:val="0"/>
                    <w:spacing w:line="240" w:lineRule="auto"/>
                    <w:jc w:val="center"/>
                    <w:rPr>
                      <w:rFonts w:hint="eastAsia" w:cs="Times New Roman"/>
                      <w:color w:val="FF0000"/>
                      <w:sz w:val="21"/>
                      <w:szCs w:val="21"/>
                      <w:highlight w:val="none"/>
                      <w:vertAlign w:val="baseline"/>
                      <w:lang w:val="en-US" w:eastAsia="zh-CN"/>
                    </w:rPr>
                  </w:pPr>
                  <w:r>
                    <w:rPr>
                      <w:rFonts w:hint="eastAsia" w:cs="Times New Roman"/>
                      <w:color w:val="FF0000"/>
                      <w:sz w:val="21"/>
                      <w:szCs w:val="21"/>
                      <w:highlight w:val="none"/>
                      <w:vertAlign w:val="baseline"/>
                      <w:lang w:val="en-US" w:eastAsia="zh-CN"/>
                    </w:rPr>
                    <w:t>0.4</w:t>
                  </w:r>
                </w:p>
              </w:tc>
            </w:tr>
            <w:tr w14:paraId="1E3473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59" w:type="dxa"/>
                  <w:gridSpan w:val="4"/>
                  <w:noWrap w:val="0"/>
                  <w:vAlign w:val="center"/>
                </w:tcPr>
                <w:p w14:paraId="0E89E8B7">
                  <w:pPr>
                    <w:adjustRightInd w:val="0"/>
                    <w:snapToGrid w:val="0"/>
                    <w:spacing w:line="240" w:lineRule="auto"/>
                    <w:jc w:val="both"/>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注(1)：周界外质量浓度最高点一般应设置于无组织排放源下风向的单位周界外10m范围内，若预计无组织排放的最大落地质量浓度点越出10m范围，可将监控点移至该预计质量浓度最高点。</w:t>
                  </w:r>
                </w:p>
              </w:tc>
            </w:tr>
          </w:tbl>
          <w:p w14:paraId="6AAEA880">
            <w:pPr>
              <w:pStyle w:val="11"/>
              <w:spacing w:line="360" w:lineRule="auto"/>
              <w:ind w:left="0" w:leftChars="0" w:firstLine="482" w:firstLineChars="20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表3-</w:t>
            </w:r>
            <w:r>
              <w:rPr>
                <w:rFonts w:hint="eastAsia" w:cs="Times New Roman"/>
                <w:b/>
                <w:bCs/>
                <w:color w:val="000000" w:themeColor="text1"/>
                <w:sz w:val="24"/>
                <w:szCs w:val="24"/>
                <w:highlight w:val="none"/>
                <w:lang w:val="en-US" w:eastAsia="zh-CN"/>
                <w14:textFill>
                  <w14:solidFill>
                    <w14:schemeClr w14:val="tx1"/>
                  </w14:solidFill>
                </w14:textFill>
              </w:rPr>
              <w:t>10</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 xml:space="preserve"> 大气污染物排放标准</w:t>
            </w:r>
          </w:p>
          <w:tbl>
            <w:tblPr>
              <w:tblStyle w:val="29"/>
              <w:tblW w:w="800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99"/>
              <w:gridCol w:w="1819"/>
              <w:gridCol w:w="1282"/>
              <w:gridCol w:w="2001"/>
            </w:tblGrid>
            <w:tr w14:paraId="2F3BA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99" w:type="dxa"/>
                  <w:vMerge w:val="restart"/>
                  <w:tcBorders>
                    <w:top w:val="single" w:color="auto" w:sz="12" w:space="0"/>
                  </w:tcBorders>
                  <w:vAlign w:val="center"/>
                </w:tcPr>
                <w:p w14:paraId="423F8F8E">
                  <w:pPr>
                    <w:keepNext w:val="0"/>
                    <w:keepLines w:val="0"/>
                    <w:pageBreakBefore w:val="0"/>
                    <w:widowControl w:val="0"/>
                    <w:kinsoku/>
                    <w:wordWrap/>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pacing w:val="0"/>
                      <w:kern w:val="2"/>
                      <w:sz w:val="21"/>
                      <w:szCs w:val="24"/>
                      <w:highlight w:val="none"/>
                      <w:lang w:val="en-US" w:eastAsia="zh-CN" w:bidi="ar-SA"/>
                    </w:rPr>
                    <w:t>标准名称及级（类）别</w:t>
                  </w:r>
                </w:p>
              </w:tc>
              <w:tc>
                <w:tcPr>
                  <w:tcW w:w="1819" w:type="dxa"/>
                  <w:vMerge w:val="restart"/>
                  <w:tcBorders>
                    <w:top w:val="single" w:color="auto" w:sz="12" w:space="0"/>
                  </w:tcBorders>
                  <w:vAlign w:val="center"/>
                </w:tcPr>
                <w:p w14:paraId="1D2CD54B">
                  <w:pPr>
                    <w:keepNext w:val="0"/>
                    <w:keepLines w:val="0"/>
                    <w:pageBreakBefore w:val="0"/>
                    <w:widowControl w:val="0"/>
                    <w:kinsoku/>
                    <w:wordWrap/>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pacing w:val="0"/>
                      <w:kern w:val="2"/>
                      <w:sz w:val="21"/>
                      <w:szCs w:val="24"/>
                      <w:highlight w:val="none"/>
                      <w:lang w:val="en-US" w:eastAsia="zh-CN" w:bidi="ar-SA"/>
                    </w:rPr>
                    <w:t>污染因子</w:t>
                  </w:r>
                </w:p>
              </w:tc>
              <w:tc>
                <w:tcPr>
                  <w:tcW w:w="3283" w:type="dxa"/>
                  <w:gridSpan w:val="2"/>
                  <w:tcBorders>
                    <w:top w:val="single" w:color="auto" w:sz="12" w:space="0"/>
                    <w:right w:val="nil"/>
                  </w:tcBorders>
                  <w:vAlign w:val="center"/>
                </w:tcPr>
                <w:p w14:paraId="4486B5F0">
                  <w:pPr>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标准值</w:t>
                  </w:r>
                </w:p>
              </w:tc>
            </w:tr>
            <w:tr w14:paraId="0E233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9" w:type="dxa"/>
                  <w:vMerge w:val="continue"/>
                  <w:vAlign w:val="center"/>
                </w:tcPr>
                <w:p w14:paraId="380287A5">
                  <w:pPr>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sz w:val="21"/>
                      <w:szCs w:val="21"/>
                      <w:highlight w:val="none"/>
                      <w:vertAlign w:val="baseline"/>
                      <w:lang w:val="en-US" w:eastAsia="zh-CN"/>
                    </w:rPr>
                  </w:pPr>
                </w:p>
              </w:tc>
              <w:tc>
                <w:tcPr>
                  <w:tcW w:w="1819" w:type="dxa"/>
                  <w:vMerge w:val="continue"/>
                  <w:vAlign w:val="center"/>
                </w:tcPr>
                <w:p w14:paraId="27B9C2EF">
                  <w:pPr>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sz w:val="21"/>
                      <w:szCs w:val="21"/>
                      <w:highlight w:val="none"/>
                      <w:vertAlign w:val="baseline"/>
                      <w:lang w:val="en-US" w:eastAsia="zh-CN"/>
                    </w:rPr>
                  </w:pPr>
                </w:p>
              </w:tc>
              <w:tc>
                <w:tcPr>
                  <w:tcW w:w="1282" w:type="dxa"/>
                  <w:vAlign w:val="top"/>
                </w:tcPr>
                <w:p w14:paraId="5BAD470B">
                  <w:pPr>
                    <w:keepNext w:val="0"/>
                    <w:keepLines w:val="0"/>
                    <w:pageBreakBefore w:val="0"/>
                    <w:widowControl w:val="0"/>
                    <w:kinsoku/>
                    <w:wordWrap/>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pacing w:val="0"/>
                      <w:kern w:val="2"/>
                      <w:sz w:val="21"/>
                      <w:szCs w:val="24"/>
                      <w:highlight w:val="none"/>
                      <w:lang w:val="en-US" w:eastAsia="zh-CN" w:bidi="ar-SA"/>
                    </w:rPr>
                    <w:t>单位</w:t>
                  </w:r>
                </w:p>
              </w:tc>
              <w:tc>
                <w:tcPr>
                  <w:tcW w:w="2001" w:type="dxa"/>
                  <w:tcBorders>
                    <w:right w:val="nil"/>
                  </w:tcBorders>
                  <w:vAlign w:val="top"/>
                </w:tcPr>
                <w:p w14:paraId="243702CC">
                  <w:pPr>
                    <w:keepNext w:val="0"/>
                    <w:keepLines w:val="0"/>
                    <w:pageBreakBefore w:val="0"/>
                    <w:widowControl w:val="0"/>
                    <w:kinsoku/>
                    <w:wordWrap/>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pacing w:val="0"/>
                      <w:kern w:val="2"/>
                      <w:sz w:val="21"/>
                      <w:szCs w:val="24"/>
                      <w:highlight w:val="none"/>
                      <w:lang w:val="en-US" w:eastAsia="zh-CN" w:bidi="ar-SA"/>
                    </w:rPr>
                    <w:t>数值</w:t>
                  </w:r>
                </w:p>
              </w:tc>
            </w:tr>
            <w:tr w14:paraId="32FD7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9" w:type="dxa"/>
                  <w:tcBorders>
                    <w:left w:val="nil"/>
                  </w:tcBorders>
                  <w:vAlign w:val="center"/>
                </w:tcPr>
                <w:p w14:paraId="6C074098">
                  <w:pPr>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《大气污染物综合排放标准》（GB16297-1996）</w:t>
                  </w:r>
                </w:p>
              </w:tc>
              <w:tc>
                <w:tcPr>
                  <w:tcW w:w="1819" w:type="dxa"/>
                  <w:vAlign w:val="center"/>
                </w:tcPr>
                <w:p w14:paraId="408C5325">
                  <w:pPr>
                    <w:keepNext w:val="0"/>
                    <w:keepLines w:val="0"/>
                    <w:pageBreakBefore w:val="0"/>
                    <w:widowControl w:val="0"/>
                    <w:kinsoku/>
                    <w:wordWrap/>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pacing w:val="0"/>
                      <w:kern w:val="2"/>
                      <w:sz w:val="21"/>
                      <w:szCs w:val="24"/>
                      <w:highlight w:val="none"/>
                      <w:lang w:val="en-US" w:eastAsia="zh-CN" w:bidi="ar-SA"/>
                    </w:rPr>
                    <w:t>非甲烷总烃</w:t>
                  </w:r>
                </w:p>
              </w:tc>
              <w:tc>
                <w:tcPr>
                  <w:tcW w:w="1282" w:type="dxa"/>
                  <w:vAlign w:val="center"/>
                </w:tcPr>
                <w:p w14:paraId="4BD6813A">
                  <w:pPr>
                    <w:keepNext w:val="0"/>
                    <w:keepLines w:val="0"/>
                    <w:pageBreakBefore w:val="0"/>
                    <w:widowControl w:val="0"/>
                    <w:kinsoku/>
                    <w:wordWrap/>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pacing w:val="0"/>
                      <w:kern w:val="2"/>
                      <w:sz w:val="21"/>
                      <w:szCs w:val="24"/>
                      <w:highlight w:val="none"/>
                      <w:lang w:val="en-US" w:eastAsia="zh-CN" w:bidi="ar-SA"/>
                    </w:rPr>
                    <w:t>mg/m</w:t>
                  </w:r>
                  <w:r>
                    <w:rPr>
                      <w:rFonts w:hint="default" w:ascii="Times New Roman" w:hAnsi="Times New Roman" w:eastAsia="宋体" w:cs="Times New Roman"/>
                      <w:color w:val="FF0000"/>
                      <w:spacing w:val="0"/>
                      <w:kern w:val="2"/>
                      <w:sz w:val="21"/>
                      <w:szCs w:val="24"/>
                      <w:highlight w:val="none"/>
                      <w:vertAlign w:val="superscript"/>
                      <w:lang w:val="en-US" w:eastAsia="zh-CN" w:bidi="ar-SA"/>
                    </w:rPr>
                    <w:t>3</w:t>
                  </w:r>
                </w:p>
              </w:tc>
              <w:tc>
                <w:tcPr>
                  <w:tcW w:w="2001" w:type="dxa"/>
                  <w:tcBorders>
                    <w:right w:val="nil"/>
                  </w:tcBorders>
                  <w:vAlign w:val="center"/>
                </w:tcPr>
                <w:p w14:paraId="51C03CD2">
                  <w:pPr>
                    <w:keepNext w:val="0"/>
                    <w:keepLines w:val="0"/>
                    <w:pageBreakBefore w:val="0"/>
                    <w:widowControl w:val="0"/>
                    <w:kinsoku/>
                    <w:wordWrap/>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pacing w:val="0"/>
                      <w:kern w:val="2"/>
                      <w:sz w:val="21"/>
                      <w:szCs w:val="24"/>
                      <w:highlight w:val="none"/>
                      <w:lang w:val="en-US" w:eastAsia="zh-CN" w:bidi="ar-SA"/>
                    </w:rPr>
                  </w:pPr>
                  <w:r>
                    <w:rPr>
                      <w:rFonts w:hint="default" w:ascii="Times New Roman" w:hAnsi="Times New Roman" w:eastAsia="宋体" w:cs="Times New Roman"/>
                      <w:color w:val="FF0000"/>
                      <w:spacing w:val="0"/>
                      <w:kern w:val="2"/>
                      <w:sz w:val="21"/>
                      <w:szCs w:val="24"/>
                      <w:highlight w:val="none"/>
                      <w:lang w:val="en-US" w:eastAsia="zh-CN" w:bidi="ar-SA"/>
                    </w:rPr>
                    <w:t>周界外浓度</w:t>
                  </w:r>
                </w:p>
                <w:p w14:paraId="6E0ABB9D">
                  <w:pPr>
                    <w:keepNext w:val="0"/>
                    <w:keepLines w:val="0"/>
                    <w:pageBreakBefore w:val="0"/>
                    <w:widowControl w:val="0"/>
                    <w:kinsoku/>
                    <w:wordWrap/>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pacing w:val="0"/>
                      <w:kern w:val="2"/>
                      <w:sz w:val="21"/>
                      <w:szCs w:val="24"/>
                      <w:highlight w:val="none"/>
                      <w:lang w:val="en-US" w:eastAsia="zh-CN" w:bidi="ar-SA"/>
                    </w:rPr>
                    <w:t>最高点</w:t>
                  </w:r>
                  <w:r>
                    <w:rPr>
                      <w:rFonts w:hint="eastAsia" w:ascii="Times New Roman" w:hAnsi="Times New Roman" w:eastAsia="宋体" w:cs="Times New Roman"/>
                      <w:color w:val="FF0000"/>
                      <w:spacing w:val="0"/>
                      <w:kern w:val="2"/>
                      <w:sz w:val="21"/>
                      <w:szCs w:val="24"/>
                      <w:highlight w:val="none"/>
                      <w:lang w:val="en-US" w:eastAsia="zh-CN" w:bidi="ar-SA"/>
                    </w:rPr>
                    <w:t>4</w:t>
                  </w:r>
                  <w:r>
                    <w:rPr>
                      <w:rFonts w:hint="default" w:ascii="Times New Roman" w:hAnsi="Times New Roman" w:eastAsia="宋体" w:cs="Times New Roman"/>
                      <w:color w:val="FF0000"/>
                      <w:spacing w:val="0"/>
                      <w:kern w:val="2"/>
                      <w:sz w:val="21"/>
                      <w:szCs w:val="24"/>
                      <w:highlight w:val="none"/>
                      <w:lang w:val="en-US" w:eastAsia="zh-CN" w:bidi="ar-SA"/>
                    </w:rPr>
                    <w:t>.0</w:t>
                  </w:r>
                </w:p>
              </w:tc>
            </w:tr>
            <w:tr w14:paraId="2CCDF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9" w:type="dxa"/>
                  <w:vMerge w:val="restart"/>
                  <w:tcBorders>
                    <w:left w:val="nil"/>
                  </w:tcBorders>
                  <w:vAlign w:val="center"/>
                </w:tcPr>
                <w:p w14:paraId="1902AB58">
                  <w:pPr>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《挥发性有机物无组织排放控制标准》（GB37822-2019）</w:t>
                  </w:r>
                </w:p>
              </w:tc>
              <w:tc>
                <w:tcPr>
                  <w:tcW w:w="1819" w:type="dxa"/>
                  <w:vMerge w:val="restart"/>
                  <w:vAlign w:val="center"/>
                </w:tcPr>
                <w:p w14:paraId="38B14A60">
                  <w:pPr>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非甲烷总烃</w:t>
                  </w:r>
                </w:p>
              </w:tc>
              <w:tc>
                <w:tcPr>
                  <w:tcW w:w="1282" w:type="dxa"/>
                  <w:vAlign w:val="center"/>
                </w:tcPr>
                <w:p w14:paraId="791446C7">
                  <w:pPr>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pacing w:val="0"/>
                      <w:kern w:val="2"/>
                      <w:sz w:val="21"/>
                      <w:szCs w:val="24"/>
                      <w:highlight w:val="none"/>
                      <w:lang w:val="en-US" w:eastAsia="zh-CN" w:bidi="ar-SA"/>
                    </w:rPr>
                    <w:t>mg/m</w:t>
                  </w:r>
                  <w:r>
                    <w:rPr>
                      <w:rFonts w:hint="default" w:ascii="Times New Roman" w:hAnsi="Times New Roman" w:eastAsia="宋体" w:cs="Times New Roman"/>
                      <w:color w:val="FF0000"/>
                      <w:spacing w:val="0"/>
                      <w:kern w:val="2"/>
                      <w:sz w:val="21"/>
                      <w:szCs w:val="24"/>
                      <w:highlight w:val="none"/>
                      <w:vertAlign w:val="superscript"/>
                      <w:lang w:val="en-US" w:eastAsia="zh-CN" w:bidi="ar-SA"/>
                    </w:rPr>
                    <w:t>3</w:t>
                  </w:r>
                </w:p>
              </w:tc>
              <w:tc>
                <w:tcPr>
                  <w:tcW w:w="2001" w:type="dxa"/>
                  <w:tcBorders>
                    <w:right w:val="nil"/>
                  </w:tcBorders>
                  <w:shd w:val="clear" w:color="auto" w:fill="auto"/>
                  <w:vAlign w:val="center"/>
                </w:tcPr>
                <w:p w14:paraId="7D8409D6">
                  <w:pPr>
                    <w:keepNext w:val="0"/>
                    <w:keepLines w:val="0"/>
                    <w:pageBreakBefore w:val="0"/>
                    <w:widowControl w:val="0"/>
                    <w:kinsoku/>
                    <w:wordWrap/>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FF0000"/>
                      <w:spacing w:val="0"/>
                      <w:kern w:val="2"/>
                      <w:sz w:val="21"/>
                      <w:szCs w:val="24"/>
                      <w:highlight w:val="none"/>
                      <w:lang w:val="en-US" w:eastAsia="zh-CN" w:bidi="ar-SA"/>
                    </w:rPr>
                  </w:pPr>
                  <w:r>
                    <w:rPr>
                      <w:rFonts w:hint="eastAsia" w:ascii="Times New Roman" w:hAnsi="Times New Roman" w:eastAsia="宋体" w:cs="Times New Roman"/>
                      <w:color w:val="FF0000"/>
                      <w:spacing w:val="0"/>
                      <w:kern w:val="2"/>
                      <w:sz w:val="21"/>
                      <w:szCs w:val="24"/>
                      <w:highlight w:val="none"/>
                      <w:lang w:val="en-US" w:eastAsia="zh-CN" w:bidi="ar-SA"/>
                    </w:rPr>
                    <w:t>监控点处1小时平均浓度值10</w:t>
                  </w:r>
                </w:p>
              </w:tc>
            </w:tr>
            <w:tr w14:paraId="7BCB7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9" w:type="dxa"/>
                  <w:vMerge w:val="continue"/>
                  <w:tcBorders>
                    <w:left w:val="nil"/>
                  </w:tcBorders>
                  <w:vAlign w:val="center"/>
                </w:tcPr>
                <w:p w14:paraId="231C3F14">
                  <w:pPr>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sz w:val="21"/>
                      <w:szCs w:val="21"/>
                      <w:highlight w:val="none"/>
                      <w:vertAlign w:val="baseline"/>
                      <w:lang w:val="en-US" w:eastAsia="zh-CN"/>
                    </w:rPr>
                  </w:pPr>
                </w:p>
              </w:tc>
              <w:tc>
                <w:tcPr>
                  <w:tcW w:w="1819" w:type="dxa"/>
                  <w:vMerge w:val="continue"/>
                  <w:vAlign w:val="center"/>
                </w:tcPr>
                <w:p w14:paraId="59AD0251">
                  <w:pPr>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sz w:val="21"/>
                      <w:szCs w:val="21"/>
                      <w:highlight w:val="none"/>
                      <w:vertAlign w:val="baseline"/>
                      <w:lang w:val="en-US" w:eastAsia="zh-CN"/>
                    </w:rPr>
                  </w:pPr>
                </w:p>
              </w:tc>
              <w:tc>
                <w:tcPr>
                  <w:tcW w:w="1282" w:type="dxa"/>
                  <w:vAlign w:val="center"/>
                </w:tcPr>
                <w:p w14:paraId="0FAF8677">
                  <w:pPr>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pacing w:val="0"/>
                      <w:kern w:val="2"/>
                      <w:sz w:val="21"/>
                      <w:szCs w:val="24"/>
                      <w:highlight w:val="none"/>
                      <w:lang w:val="en-US" w:eastAsia="zh-CN" w:bidi="ar-SA"/>
                    </w:rPr>
                    <w:t>mg/m</w:t>
                  </w:r>
                  <w:r>
                    <w:rPr>
                      <w:rFonts w:hint="default" w:ascii="Times New Roman" w:hAnsi="Times New Roman" w:eastAsia="宋体" w:cs="Times New Roman"/>
                      <w:color w:val="FF0000"/>
                      <w:spacing w:val="0"/>
                      <w:kern w:val="2"/>
                      <w:sz w:val="21"/>
                      <w:szCs w:val="24"/>
                      <w:highlight w:val="none"/>
                      <w:vertAlign w:val="superscript"/>
                      <w:lang w:val="en-US" w:eastAsia="zh-CN" w:bidi="ar-SA"/>
                    </w:rPr>
                    <w:t>3</w:t>
                  </w:r>
                </w:p>
              </w:tc>
              <w:tc>
                <w:tcPr>
                  <w:tcW w:w="2001" w:type="dxa"/>
                  <w:tcBorders>
                    <w:right w:val="nil"/>
                  </w:tcBorders>
                  <w:shd w:val="clear" w:color="auto" w:fill="auto"/>
                  <w:vAlign w:val="center"/>
                </w:tcPr>
                <w:p w14:paraId="06F5FD57">
                  <w:pPr>
                    <w:keepNext w:val="0"/>
                    <w:keepLines w:val="0"/>
                    <w:pageBreakBefore w:val="0"/>
                    <w:widowControl w:val="0"/>
                    <w:kinsoku/>
                    <w:wordWrap/>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FF0000"/>
                      <w:spacing w:val="0"/>
                      <w:kern w:val="2"/>
                      <w:sz w:val="21"/>
                      <w:szCs w:val="24"/>
                      <w:highlight w:val="none"/>
                      <w:lang w:val="en-US" w:eastAsia="zh-CN" w:bidi="ar-SA"/>
                    </w:rPr>
                  </w:pPr>
                  <w:r>
                    <w:rPr>
                      <w:rFonts w:hint="eastAsia" w:ascii="Times New Roman" w:hAnsi="Times New Roman" w:eastAsia="宋体" w:cs="Times New Roman"/>
                      <w:color w:val="FF0000"/>
                      <w:spacing w:val="0"/>
                      <w:kern w:val="2"/>
                      <w:sz w:val="21"/>
                      <w:szCs w:val="24"/>
                      <w:highlight w:val="none"/>
                      <w:lang w:val="en-US" w:eastAsia="zh-CN" w:bidi="ar-SA"/>
                    </w:rPr>
                    <w:t>监控点处任意一次浓度值30</w:t>
                  </w:r>
                </w:p>
              </w:tc>
            </w:tr>
            <w:tr w14:paraId="74AF9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9" w:type="dxa"/>
                  <w:tcBorders>
                    <w:left w:val="nil"/>
                    <w:bottom w:val="single" w:color="auto" w:sz="12" w:space="0"/>
                  </w:tcBorders>
                  <w:vAlign w:val="center"/>
                </w:tcPr>
                <w:p w14:paraId="3F55D102">
                  <w:pPr>
                    <w:keepNext w:val="0"/>
                    <w:keepLines w:val="0"/>
                    <w:pageBreakBefore w:val="0"/>
                    <w:widowControl w:val="0"/>
                    <w:kinsoku/>
                    <w:wordWrap/>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pacing w:val="0"/>
                      <w:kern w:val="2"/>
                      <w:sz w:val="21"/>
                      <w:szCs w:val="24"/>
                      <w:highlight w:val="none"/>
                      <w:lang w:val="en-US" w:eastAsia="zh-CN" w:bidi="ar-SA"/>
                    </w:rPr>
                    <w:t>《饮食业油烟排放标准（试行）》（GB18483-2001）</w:t>
                  </w:r>
                </w:p>
              </w:tc>
              <w:tc>
                <w:tcPr>
                  <w:tcW w:w="1819" w:type="dxa"/>
                  <w:tcBorders>
                    <w:bottom w:val="single" w:color="auto" w:sz="12" w:space="0"/>
                  </w:tcBorders>
                  <w:vAlign w:val="center"/>
                </w:tcPr>
                <w:p w14:paraId="5D5F4625">
                  <w:pPr>
                    <w:keepNext w:val="0"/>
                    <w:keepLines w:val="0"/>
                    <w:pageBreakBefore w:val="0"/>
                    <w:widowControl w:val="0"/>
                    <w:kinsoku/>
                    <w:wordWrap/>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pacing w:val="0"/>
                      <w:kern w:val="2"/>
                      <w:sz w:val="21"/>
                      <w:szCs w:val="24"/>
                      <w:highlight w:val="none"/>
                      <w:lang w:val="en-US" w:eastAsia="zh-CN" w:bidi="ar-SA"/>
                    </w:rPr>
                    <w:t>油烟</w:t>
                  </w:r>
                </w:p>
              </w:tc>
              <w:tc>
                <w:tcPr>
                  <w:tcW w:w="1282" w:type="dxa"/>
                  <w:tcBorders>
                    <w:bottom w:val="single" w:color="auto" w:sz="12" w:space="0"/>
                  </w:tcBorders>
                  <w:vAlign w:val="center"/>
                </w:tcPr>
                <w:p w14:paraId="71760F3D">
                  <w:pPr>
                    <w:keepNext w:val="0"/>
                    <w:keepLines w:val="0"/>
                    <w:pageBreakBefore w:val="0"/>
                    <w:widowControl w:val="0"/>
                    <w:kinsoku/>
                    <w:wordWrap/>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pacing w:val="0"/>
                      <w:kern w:val="2"/>
                      <w:sz w:val="21"/>
                      <w:szCs w:val="24"/>
                      <w:highlight w:val="none"/>
                      <w:lang w:val="en-US" w:eastAsia="zh-CN" w:bidi="ar-SA"/>
                    </w:rPr>
                  </w:pPr>
                  <w:r>
                    <w:rPr>
                      <w:rFonts w:hint="default" w:ascii="Times New Roman" w:hAnsi="Times New Roman" w:eastAsia="宋体" w:cs="Times New Roman"/>
                      <w:color w:val="FF0000"/>
                      <w:spacing w:val="0"/>
                      <w:kern w:val="2"/>
                      <w:sz w:val="21"/>
                      <w:szCs w:val="24"/>
                      <w:highlight w:val="none"/>
                      <w:lang w:val="en-US" w:eastAsia="zh-CN" w:bidi="ar-SA"/>
                    </w:rPr>
                    <w:t>mg/m</w:t>
                  </w:r>
                  <w:r>
                    <w:rPr>
                      <w:rFonts w:hint="default" w:ascii="Times New Roman" w:hAnsi="Times New Roman" w:eastAsia="宋体" w:cs="Times New Roman"/>
                      <w:color w:val="FF0000"/>
                      <w:spacing w:val="0"/>
                      <w:kern w:val="2"/>
                      <w:sz w:val="21"/>
                      <w:szCs w:val="24"/>
                      <w:highlight w:val="none"/>
                      <w:vertAlign w:val="superscript"/>
                      <w:lang w:val="en-US" w:eastAsia="zh-CN" w:bidi="ar-SA"/>
                    </w:rPr>
                    <w:t>3</w:t>
                  </w:r>
                </w:p>
              </w:tc>
              <w:tc>
                <w:tcPr>
                  <w:tcW w:w="2001" w:type="dxa"/>
                  <w:tcBorders>
                    <w:bottom w:val="single" w:color="auto" w:sz="12" w:space="0"/>
                    <w:right w:val="nil"/>
                  </w:tcBorders>
                  <w:shd w:val="clear" w:color="auto" w:fill="auto"/>
                  <w:vAlign w:val="center"/>
                </w:tcPr>
                <w:p w14:paraId="3FEDEF51">
                  <w:pPr>
                    <w:keepNext w:val="0"/>
                    <w:keepLines w:val="0"/>
                    <w:pageBreakBefore w:val="0"/>
                    <w:widowControl w:val="0"/>
                    <w:kinsoku/>
                    <w:wordWrap/>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FF0000"/>
                      <w:spacing w:val="0"/>
                      <w:kern w:val="2"/>
                      <w:sz w:val="21"/>
                      <w:szCs w:val="24"/>
                      <w:highlight w:val="none"/>
                      <w:lang w:val="en-US" w:eastAsia="zh-CN" w:bidi="ar-SA"/>
                    </w:rPr>
                  </w:pPr>
                  <w:r>
                    <w:rPr>
                      <w:rFonts w:hint="eastAsia" w:ascii="Times New Roman" w:hAnsi="Times New Roman" w:eastAsia="宋体" w:cs="Times New Roman"/>
                      <w:color w:val="FF0000"/>
                      <w:spacing w:val="0"/>
                      <w:kern w:val="2"/>
                      <w:sz w:val="21"/>
                      <w:szCs w:val="24"/>
                      <w:highlight w:val="none"/>
                      <w:lang w:val="en-US" w:eastAsia="zh-CN" w:bidi="ar-SA"/>
                    </w:rPr>
                    <w:t>2.0</w:t>
                  </w:r>
                </w:p>
              </w:tc>
            </w:tr>
          </w:tbl>
          <w:p w14:paraId="572928A1">
            <w:pPr>
              <w:pStyle w:val="67"/>
              <w:adjustRightInd/>
              <w:snapToGrid/>
              <w:spacing w:line="360" w:lineRule="auto"/>
              <w:ind w:firstLine="482"/>
              <w:rPr>
                <w:b/>
                <w:bCs w:val="0"/>
                <w:color w:val="000000" w:themeColor="text1"/>
                <w:sz w:val="24"/>
                <w:szCs w:val="24"/>
                <w:highlight w:val="none"/>
                <w14:textFill>
                  <w14:solidFill>
                    <w14:schemeClr w14:val="tx1"/>
                  </w14:solidFill>
                </w14:textFill>
              </w:rPr>
            </w:pPr>
            <w:r>
              <w:rPr>
                <w:b/>
                <w:bCs w:val="0"/>
                <w:color w:val="000000" w:themeColor="text1"/>
                <w:sz w:val="24"/>
                <w:szCs w:val="24"/>
                <w:highlight w:val="none"/>
                <w14:textFill>
                  <w14:solidFill>
                    <w14:schemeClr w14:val="tx1"/>
                  </w14:solidFill>
                </w14:textFill>
              </w:rPr>
              <w:t>2、废水</w:t>
            </w:r>
          </w:p>
          <w:p w14:paraId="09B77A37">
            <w:pPr>
              <w:spacing w:line="360" w:lineRule="auto"/>
              <w:ind w:firstLine="480" w:firstLineChars="200"/>
              <w:rPr>
                <w:rFonts w:hAnsi="宋体"/>
                <w:color w:val="000000" w:themeColor="text1"/>
                <w:sz w:val="24"/>
                <w:highlight w:val="yellow"/>
                <w14:textFill>
                  <w14:solidFill>
                    <w14:schemeClr w14:val="tx1"/>
                  </w14:solidFill>
                </w14:textFill>
              </w:rPr>
            </w:pPr>
            <w:r>
              <w:rPr>
                <w:rFonts w:hint="default"/>
                <w:color w:val="000000" w:themeColor="text1"/>
                <w:sz w:val="24"/>
                <w:highlight w:val="none"/>
                <w:lang w:val="en-US" w:eastAsia="zh-CN"/>
                <w14:textFill>
                  <w14:solidFill>
                    <w14:schemeClr w14:val="tx1"/>
                  </w14:solidFill>
                </w14:textFill>
              </w:rPr>
              <w:t>生产废水采用一级闭路循环，全部回用，不外排</w:t>
            </w:r>
            <w:r>
              <w:rPr>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初期</w:t>
            </w:r>
            <w:r>
              <w:rPr>
                <w:color w:val="000000" w:themeColor="text1"/>
                <w:sz w:val="24"/>
                <w:highlight w:val="none"/>
                <w14:textFill>
                  <w14:solidFill>
                    <w14:schemeClr w14:val="tx1"/>
                  </w14:solidFill>
                </w14:textFill>
              </w:rPr>
              <w:t>雨水进入</w:t>
            </w:r>
            <w:r>
              <w:rPr>
                <w:rFonts w:hint="eastAsia"/>
                <w:color w:val="000000" w:themeColor="text1"/>
                <w:sz w:val="24"/>
                <w:highlight w:val="none"/>
                <w14:textFill>
                  <w14:solidFill>
                    <w14:schemeClr w14:val="tx1"/>
                  </w14:solidFill>
                </w14:textFill>
              </w:rPr>
              <w:t>雨水收集</w:t>
            </w:r>
            <w:r>
              <w:rPr>
                <w:color w:val="000000" w:themeColor="text1"/>
                <w:sz w:val="24"/>
                <w:highlight w:val="none"/>
                <w14:textFill>
                  <w14:solidFill>
                    <w14:schemeClr w14:val="tx1"/>
                  </w14:solidFill>
                </w14:textFill>
              </w:rPr>
              <w:t>池沉淀后</w:t>
            </w:r>
            <w:r>
              <w:rPr>
                <w:rFonts w:hint="eastAsia"/>
                <w:color w:val="000000" w:themeColor="text1"/>
                <w:sz w:val="24"/>
                <w:highlight w:val="none"/>
                <w:lang w:val="en-US" w:eastAsia="zh-CN"/>
                <w14:textFill>
                  <w14:solidFill>
                    <w14:schemeClr w14:val="tx1"/>
                  </w14:solidFill>
                </w14:textFill>
              </w:rPr>
              <w:t>回用于生产</w:t>
            </w:r>
            <w:r>
              <w:rPr>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不</w:t>
            </w:r>
            <w:r>
              <w:rPr>
                <w:color w:val="000000" w:themeColor="text1"/>
                <w:sz w:val="24"/>
                <w:highlight w:val="none"/>
                <w14:textFill>
                  <w14:solidFill>
                    <w14:schemeClr w14:val="tx1"/>
                  </w14:solidFill>
                </w14:textFill>
              </w:rPr>
              <w:t>外排。</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食堂废水经现有隔油池处理后同其他生活污水一起排入化粪池，处理后排入市政管网，进入双鸭山市城市污水处理厂处理</w:t>
            </w:r>
            <w:r>
              <w:rPr>
                <w:rFonts w:hint="eastAsia"/>
                <w:color w:val="000000" w:themeColor="text1"/>
                <w:sz w:val="24"/>
                <w:highlight w:val="none"/>
                <w14:textFill>
                  <w14:solidFill>
                    <w14:schemeClr w14:val="tx1"/>
                  </w14:solidFill>
                </w14:textFill>
              </w:rPr>
              <w:t>。</w:t>
            </w:r>
          </w:p>
          <w:p w14:paraId="1A5FB336">
            <w:pPr>
              <w:autoSpaceDE w:val="0"/>
              <w:autoSpaceDN w:val="0"/>
              <w:spacing w:line="360" w:lineRule="auto"/>
              <w:ind w:firstLine="482" w:firstLineChars="200"/>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3、噪声</w:t>
            </w:r>
          </w:p>
          <w:p w14:paraId="4BD17C1A">
            <w:pPr>
              <w:autoSpaceDE w:val="0"/>
              <w:autoSpaceDN w:val="0"/>
              <w:spacing w:line="360" w:lineRule="auto"/>
              <w:ind w:firstLine="480" w:firstLineChars="200"/>
              <w:rPr>
                <w:color w:val="000000" w:themeColor="text1"/>
                <w:sz w:val="24"/>
                <w:highlight w:val="yellow"/>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根据双鸭山市尖山区声环境功能区划分图，</w:t>
            </w:r>
            <w:r>
              <w:rPr>
                <w:color w:val="000000" w:themeColor="text1"/>
                <w:sz w:val="24"/>
                <w:highlight w:val="none"/>
                <w14:textFill>
                  <w14:solidFill>
                    <w14:schemeClr w14:val="tx1"/>
                  </w14:solidFill>
                </w14:textFill>
              </w:rPr>
              <w:t>本项目营运期厂界噪声排放执行《工业企业厂界环境噪声排放标准》（GB12348-2008）中的</w:t>
            </w:r>
            <w:r>
              <w:rPr>
                <w:rFonts w:hint="eastAsia"/>
                <w:color w:val="000000" w:themeColor="text1"/>
                <w:sz w:val="24"/>
                <w:highlight w:val="none"/>
                <w:lang w:val="en-US" w:eastAsia="zh-CN"/>
                <w14:textFill>
                  <w14:solidFill>
                    <w14:schemeClr w14:val="tx1"/>
                  </w14:solidFill>
                </w14:textFill>
              </w:rPr>
              <w:t>3</w:t>
            </w:r>
            <w:r>
              <w:rPr>
                <w:color w:val="000000" w:themeColor="text1"/>
                <w:sz w:val="24"/>
                <w:highlight w:val="none"/>
                <w14:textFill>
                  <w14:solidFill>
                    <w14:schemeClr w14:val="tx1"/>
                  </w14:solidFill>
                </w14:textFill>
              </w:rPr>
              <w:t>类标准。</w:t>
            </w:r>
          </w:p>
          <w:p w14:paraId="3F627B18">
            <w:pPr>
              <w:autoSpaceDE w:val="0"/>
              <w:autoSpaceDN w:val="0"/>
              <w:spacing w:line="360" w:lineRule="auto"/>
              <w:ind w:firstLine="480" w:firstLineChars="200"/>
              <w:rPr>
                <w:color w:val="000000" w:themeColor="text1"/>
                <w:highlight w:val="none"/>
                <w14:textFill>
                  <w14:solidFill>
                    <w14:schemeClr w14:val="tx1"/>
                  </w14:solidFill>
                </w14:textFill>
              </w:rPr>
            </w:pPr>
            <w:r>
              <w:rPr>
                <w:color w:val="000000" w:themeColor="text1"/>
                <w:sz w:val="24"/>
                <w:highlight w:val="none"/>
                <w14:textFill>
                  <w14:solidFill>
                    <w14:schemeClr w14:val="tx1"/>
                  </w14:solidFill>
                </w14:textFill>
              </w:rPr>
              <w:t>执行标准情况详见表3</w:t>
            </w:r>
            <w:r>
              <w:rPr>
                <w:rFonts w:hint="eastAsia"/>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11</w:t>
            </w:r>
            <w:r>
              <w:rPr>
                <w:color w:val="000000" w:themeColor="text1"/>
                <w:sz w:val="24"/>
                <w:highlight w:val="none"/>
                <w14:textFill>
                  <w14:solidFill>
                    <w14:schemeClr w14:val="tx1"/>
                  </w14:solidFill>
                </w14:textFill>
              </w:rPr>
              <w:t>。</w:t>
            </w:r>
          </w:p>
          <w:p w14:paraId="41CB8DFF">
            <w:pPr>
              <w:pStyle w:val="12"/>
              <w:spacing w:before="0" w:after="0" w:line="360" w:lineRule="auto"/>
              <w:rPr>
                <w:rFonts w:cs="Times New Roman"/>
                <w:b/>
                <w:bCs/>
                <w:color w:val="000000" w:themeColor="text1"/>
                <w:sz w:val="24"/>
                <w:szCs w:val="24"/>
                <w:highlight w:val="none"/>
                <w14:textFill>
                  <w14:solidFill>
                    <w14:schemeClr w14:val="tx1"/>
                  </w14:solidFill>
                </w14:textFill>
              </w:rPr>
            </w:pPr>
            <w:r>
              <w:rPr>
                <w:rFonts w:cs="Times New Roman"/>
                <w:b/>
                <w:bCs/>
                <w:color w:val="000000" w:themeColor="text1"/>
                <w:sz w:val="24"/>
                <w:szCs w:val="24"/>
                <w:highlight w:val="none"/>
                <w14:textFill>
                  <w14:solidFill>
                    <w14:schemeClr w14:val="tx1"/>
                  </w14:solidFill>
                </w14:textFill>
              </w:rPr>
              <w:t>表3-</w:t>
            </w:r>
            <w:r>
              <w:rPr>
                <w:rFonts w:hint="eastAsia" w:cs="Times New Roman"/>
                <w:b/>
                <w:bCs/>
                <w:color w:val="000000" w:themeColor="text1"/>
                <w:sz w:val="24"/>
                <w:szCs w:val="24"/>
                <w:highlight w:val="none"/>
                <w:lang w:val="en-US" w:eastAsia="zh-CN"/>
                <w14:textFill>
                  <w14:solidFill>
                    <w14:schemeClr w14:val="tx1"/>
                  </w14:solidFill>
                </w14:textFill>
              </w:rPr>
              <w:t>11</w:t>
            </w:r>
            <w:r>
              <w:rPr>
                <w:rFonts w:cs="Times New Roman"/>
                <w:b/>
                <w:bCs/>
                <w:color w:val="000000" w:themeColor="text1"/>
                <w:sz w:val="24"/>
                <w:szCs w:val="24"/>
                <w:highlight w:val="none"/>
                <w14:textFill>
                  <w14:solidFill>
                    <w14:schemeClr w14:val="tx1"/>
                  </w14:solidFill>
                </w14:textFill>
              </w:rPr>
              <w:t xml:space="preserve"> 环境噪声排放标准 dB（A）</w:t>
            </w:r>
          </w:p>
          <w:tbl>
            <w:tblPr>
              <w:tblStyle w:val="28"/>
              <w:tblW w:w="810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10"/>
              <w:gridCol w:w="819"/>
              <w:gridCol w:w="840"/>
              <w:gridCol w:w="4938"/>
            </w:tblGrid>
            <w:tr w14:paraId="623912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9" w:hRule="atLeast"/>
                <w:jc w:val="center"/>
              </w:trPr>
              <w:tc>
                <w:tcPr>
                  <w:tcW w:w="931" w:type="pct"/>
                  <w:vMerge w:val="restart"/>
                  <w:tcBorders>
                    <w:top w:val="single" w:color="auto" w:sz="12" w:space="0"/>
                  </w:tcBorders>
                  <w:vAlign w:val="center"/>
                </w:tcPr>
                <w:p w14:paraId="28F1B6C5">
                  <w:pPr>
                    <w:pStyle w:val="95"/>
                    <w:adjustRightInd w:val="0"/>
                    <w:snapToGrid w:val="0"/>
                    <w:rPr>
                      <w:rFonts w:ascii="Times New Roman" w:hAnsi="Times New Roman"/>
                      <w:b w:val="0"/>
                      <w:bCs w:val="0"/>
                      <w:color w:val="000000" w:themeColor="text1"/>
                      <w:kern w:val="21"/>
                      <w:szCs w:val="21"/>
                      <w:highlight w:val="none"/>
                      <w14:textFill>
                        <w14:solidFill>
                          <w14:schemeClr w14:val="tx1"/>
                        </w14:solidFill>
                      </w14:textFill>
                    </w:rPr>
                  </w:pPr>
                  <w:r>
                    <w:rPr>
                      <w:rFonts w:hint="eastAsia" w:ascii="Times New Roman" w:hAnsi="Times New Roman"/>
                      <w:b w:val="0"/>
                      <w:bCs w:val="0"/>
                      <w:color w:val="000000" w:themeColor="text1"/>
                      <w:kern w:val="21"/>
                      <w:szCs w:val="21"/>
                      <w:highlight w:val="none"/>
                      <w14:textFill>
                        <w14:solidFill>
                          <w14:schemeClr w14:val="tx1"/>
                        </w14:solidFill>
                      </w14:textFill>
                    </w:rPr>
                    <w:t>厂界外声环境功能区类别</w:t>
                  </w:r>
                </w:p>
              </w:tc>
              <w:tc>
                <w:tcPr>
                  <w:tcW w:w="1023" w:type="pct"/>
                  <w:gridSpan w:val="2"/>
                  <w:tcBorders>
                    <w:top w:val="single" w:color="auto" w:sz="12" w:space="0"/>
                  </w:tcBorders>
                  <w:vAlign w:val="center"/>
                </w:tcPr>
                <w:p w14:paraId="3E301985">
                  <w:pPr>
                    <w:pStyle w:val="95"/>
                    <w:adjustRightInd w:val="0"/>
                    <w:snapToGrid w:val="0"/>
                    <w:rPr>
                      <w:rFonts w:ascii="Times New Roman" w:hAnsi="Times New Roman"/>
                      <w:b w:val="0"/>
                      <w:bCs w:val="0"/>
                      <w:color w:val="000000" w:themeColor="text1"/>
                      <w:kern w:val="21"/>
                      <w:szCs w:val="21"/>
                      <w:highlight w:val="none"/>
                      <w14:textFill>
                        <w14:solidFill>
                          <w14:schemeClr w14:val="tx1"/>
                        </w14:solidFill>
                      </w14:textFill>
                    </w:rPr>
                  </w:pPr>
                  <w:r>
                    <w:rPr>
                      <w:rFonts w:ascii="Times New Roman" w:hAnsi="Times New Roman"/>
                      <w:b w:val="0"/>
                      <w:bCs w:val="0"/>
                      <w:color w:val="000000" w:themeColor="text1"/>
                      <w:kern w:val="21"/>
                      <w:szCs w:val="21"/>
                      <w:highlight w:val="none"/>
                      <w14:textFill>
                        <w14:solidFill>
                          <w14:schemeClr w14:val="tx1"/>
                        </w14:solidFill>
                      </w14:textFill>
                    </w:rPr>
                    <w:t>标准限值</w:t>
                  </w:r>
                </w:p>
              </w:tc>
              <w:tc>
                <w:tcPr>
                  <w:tcW w:w="3045" w:type="pct"/>
                  <w:vMerge w:val="restart"/>
                  <w:tcBorders>
                    <w:top w:val="single" w:color="auto" w:sz="12" w:space="0"/>
                  </w:tcBorders>
                  <w:vAlign w:val="center"/>
                </w:tcPr>
                <w:p w14:paraId="1CA8F431">
                  <w:pPr>
                    <w:pStyle w:val="95"/>
                    <w:adjustRightInd w:val="0"/>
                    <w:snapToGrid w:val="0"/>
                    <w:rPr>
                      <w:rFonts w:ascii="Times New Roman" w:hAnsi="Times New Roman"/>
                      <w:b/>
                      <w:bCs/>
                      <w:color w:val="000000" w:themeColor="text1"/>
                      <w:kern w:val="21"/>
                      <w:szCs w:val="21"/>
                      <w:highlight w:val="none"/>
                      <w14:textFill>
                        <w14:solidFill>
                          <w14:schemeClr w14:val="tx1"/>
                        </w14:solidFill>
                      </w14:textFill>
                    </w:rPr>
                  </w:pPr>
                  <w:r>
                    <w:rPr>
                      <w:rFonts w:hint="eastAsia" w:ascii="Times New Roman" w:hAnsi="Times New Roman"/>
                      <w:b w:val="0"/>
                      <w:bCs w:val="0"/>
                      <w:color w:val="000000" w:themeColor="text1"/>
                      <w:kern w:val="21"/>
                      <w:szCs w:val="21"/>
                      <w:highlight w:val="none"/>
                      <w:lang w:val="en-GB"/>
                      <w14:textFill>
                        <w14:solidFill>
                          <w14:schemeClr w14:val="tx1"/>
                        </w14:solidFill>
                      </w14:textFill>
                    </w:rPr>
                    <w:t>标准来源</w:t>
                  </w:r>
                </w:p>
              </w:tc>
            </w:tr>
            <w:tr w14:paraId="254A5B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jc w:val="center"/>
              </w:trPr>
              <w:tc>
                <w:tcPr>
                  <w:tcW w:w="931" w:type="pct"/>
                  <w:vMerge w:val="continue"/>
                  <w:vAlign w:val="center"/>
                </w:tcPr>
                <w:p w14:paraId="2B496797">
                  <w:pPr>
                    <w:pStyle w:val="95"/>
                    <w:adjustRightInd w:val="0"/>
                    <w:snapToGrid w:val="0"/>
                    <w:rPr>
                      <w:rFonts w:ascii="Times New Roman" w:hAnsi="Times New Roman"/>
                      <w:b w:val="0"/>
                      <w:bCs w:val="0"/>
                      <w:color w:val="000000" w:themeColor="text1"/>
                      <w:kern w:val="21"/>
                      <w:szCs w:val="21"/>
                      <w:highlight w:val="none"/>
                      <w14:textFill>
                        <w14:solidFill>
                          <w14:schemeClr w14:val="tx1"/>
                        </w14:solidFill>
                      </w14:textFill>
                    </w:rPr>
                  </w:pPr>
                </w:p>
              </w:tc>
              <w:tc>
                <w:tcPr>
                  <w:tcW w:w="505" w:type="pct"/>
                  <w:vAlign w:val="center"/>
                </w:tcPr>
                <w:p w14:paraId="7F122119">
                  <w:pPr>
                    <w:pStyle w:val="95"/>
                    <w:adjustRightInd w:val="0"/>
                    <w:snapToGrid w:val="0"/>
                    <w:rPr>
                      <w:rFonts w:ascii="Times New Roman" w:hAnsi="Times New Roman"/>
                      <w:b w:val="0"/>
                      <w:bCs w:val="0"/>
                      <w:color w:val="000000" w:themeColor="text1"/>
                      <w:kern w:val="21"/>
                      <w:szCs w:val="21"/>
                      <w:highlight w:val="none"/>
                      <w14:textFill>
                        <w14:solidFill>
                          <w14:schemeClr w14:val="tx1"/>
                        </w14:solidFill>
                      </w14:textFill>
                    </w:rPr>
                  </w:pPr>
                  <w:r>
                    <w:rPr>
                      <w:rFonts w:hint="eastAsia" w:ascii="Times New Roman" w:hAnsi="Times New Roman"/>
                      <w:b w:val="0"/>
                      <w:bCs w:val="0"/>
                      <w:color w:val="000000" w:themeColor="text1"/>
                      <w:kern w:val="21"/>
                      <w:szCs w:val="21"/>
                      <w:highlight w:val="none"/>
                      <w14:textFill>
                        <w14:solidFill>
                          <w14:schemeClr w14:val="tx1"/>
                        </w14:solidFill>
                      </w14:textFill>
                    </w:rPr>
                    <w:t>昼间</w:t>
                  </w:r>
                </w:p>
              </w:tc>
              <w:tc>
                <w:tcPr>
                  <w:tcW w:w="518" w:type="pct"/>
                  <w:vAlign w:val="center"/>
                </w:tcPr>
                <w:p w14:paraId="45AF245F">
                  <w:pPr>
                    <w:pStyle w:val="95"/>
                    <w:adjustRightInd w:val="0"/>
                    <w:snapToGrid w:val="0"/>
                    <w:rPr>
                      <w:rFonts w:ascii="Times New Roman" w:hAnsi="Times New Roman"/>
                      <w:b w:val="0"/>
                      <w:bCs w:val="0"/>
                      <w:color w:val="000000" w:themeColor="text1"/>
                      <w:kern w:val="21"/>
                      <w:szCs w:val="21"/>
                      <w:highlight w:val="none"/>
                      <w14:textFill>
                        <w14:solidFill>
                          <w14:schemeClr w14:val="tx1"/>
                        </w14:solidFill>
                      </w14:textFill>
                    </w:rPr>
                  </w:pPr>
                  <w:r>
                    <w:rPr>
                      <w:rFonts w:hint="eastAsia" w:ascii="Times New Roman" w:hAnsi="Times New Roman"/>
                      <w:b w:val="0"/>
                      <w:bCs w:val="0"/>
                      <w:color w:val="000000" w:themeColor="text1"/>
                      <w:kern w:val="21"/>
                      <w:szCs w:val="21"/>
                      <w:highlight w:val="none"/>
                      <w14:textFill>
                        <w14:solidFill>
                          <w14:schemeClr w14:val="tx1"/>
                        </w14:solidFill>
                      </w14:textFill>
                    </w:rPr>
                    <w:t>夜间</w:t>
                  </w:r>
                </w:p>
              </w:tc>
              <w:tc>
                <w:tcPr>
                  <w:tcW w:w="3045" w:type="pct"/>
                  <w:vMerge w:val="continue"/>
                  <w:vAlign w:val="center"/>
                </w:tcPr>
                <w:p w14:paraId="54437C9E">
                  <w:pPr>
                    <w:pStyle w:val="95"/>
                    <w:adjustRightInd w:val="0"/>
                    <w:snapToGrid w:val="0"/>
                    <w:rPr>
                      <w:rFonts w:ascii="Times New Roman" w:hAnsi="Times New Roman"/>
                      <w:color w:val="000000" w:themeColor="text1"/>
                      <w:kern w:val="21"/>
                      <w:szCs w:val="21"/>
                      <w:highlight w:val="none"/>
                      <w14:textFill>
                        <w14:solidFill>
                          <w14:schemeClr w14:val="tx1"/>
                        </w14:solidFill>
                      </w14:textFill>
                    </w:rPr>
                  </w:pPr>
                </w:p>
              </w:tc>
            </w:tr>
            <w:tr w14:paraId="70FC12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30" w:hRule="atLeast"/>
                <w:jc w:val="center"/>
              </w:trPr>
              <w:tc>
                <w:tcPr>
                  <w:tcW w:w="931" w:type="pct"/>
                  <w:tcBorders>
                    <w:bottom w:val="single" w:color="auto" w:sz="12" w:space="0"/>
                  </w:tcBorders>
                  <w:shd w:val="clear" w:color="auto" w:fill="auto"/>
                  <w:vAlign w:val="center"/>
                </w:tcPr>
                <w:p w14:paraId="0883CC78">
                  <w:pPr>
                    <w:pStyle w:val="95"/>
                    <w:adjustRightInd w:val="0"/>
                    <w:snapToGrid w:val="0"/>
                    <w:rPr>
                      <w:rFonts w:ascii="Times New Roman" w:hAnsi="Times New Roman" w:eastAsia="宋体" w:cs="Times New Roman"/>
                      <w:color w:val="000000" w:themeColor="text1"/>
                      <w:kern w:val="21"/>
                      <w:sz w:val="21"/>
                      <w:szCs w:val="21"/>
                      <w:highlight w:val="none"/>
                      <w:lang w:val="en-US" w:eastAsia="zh-CN" w:bidi="ar-SA"/>
                      <w14:textFill>
                        <w14:solidFill>
                          <w14:schemeClr w14:val="tx1"/>
                        </w14:solidFill>
                      </w14:textFill>
                    </w:rPr>
                  </w:pPr>
                  <w:r>
                    <w:rPr>
                      <w:rFonts w:hint="eastAsia" w:ascii="Times New Roman" w:hAnsi="Times New Roman"/>
                      <w:color w:val="000000" w:themeColor="text1"/>
                      <w:kern w:val="21"/>
                      <w:szCs w:val="21"/>
                      <w:highlight w:val="none"/>
                      <w:lang w:val="en-US" w:eastAsia="zh-CN"/>
                      <w14:textFill>
                        <w14:solidFill>
                          <w14:schemeClr w14:val="tx1"/>
                        </w14:solidFill>
                      </w14:textFill>
                    </w:rPr>
                    <w:t>3</w:t>
                  </w:r>
                  <w:r>
                    <w:rPr>
                      <w:rFonts w:hint="eastAsia" w:ascii="Times New Roman" w:hAnsi="Times New Roman"/>
                      <w:color w:val="000000" w:themeColor="text1"/>
                      <w:kern w:val="21"/>
                      <w:szCs w:val="21"/>
                      <w:highlight w:val="none"/>
                      <w14:textFill>
                        <w14:solidFill>
                          <w14:schemeClr w14:val="tx1"/>
                        </w14:solidFill>
                      </w14:textFill>
                    </w:rPr>
                    <w:t>类</w:t>
                  </w:r>
                </w:p>
              </w:tc>
              <w:tc>
                <w:tcPr>
                  <w:tcW w:w="505" w:type="pct"/>
                  <w:tcBorders>
                    <w:bottom w:val="single" w:color="auto" w:sz="12" w:space="0"/>
                  </w:tcBorders>
                  <w:shd w:val="clear" w:color="auto" w:fill="auto"/>
                  <w:vAlign w:val="center"/>
                </w:tcPr>
                <w:p w14:paraId="6B21F179">
                  <w:pPr>
                    <w:pStyle w:val="95"/>
                    <w:adjustRightInd w:val="0"/>
                    <w:snapToGrid w:val="0"/>
                    <w:rPr>
                      <w:rFonts w:hint="eastAsia" w:ascii="Times New Roman" w:hAnsi="Times New Roman" w:eastAsia="宋体" w:cs="Times New Roman"/>
                      <w:color w:val="000000" w:themeColor="text1"/>
                      <w:kern w:val="21"/>
                      <w:sz w:val="21"/>
                      <w:szCs w:val="21"/>
                      <w:highlight w:val="none"/>
                      <w:lang w:val="en-US" w:eastAsia="zh-CN" w:bidi="ar-SA"/>
                      <w14:textFill>
                        <w14:solidFill>
                          <w14:schemeClr w14:val="tx1"/>
                        </w14:solidFill>
                      </w14:textFill>
                    </w:rPr>
                  </w:pPr>
                  <w:r>
                    <w:rPr>
                      <w:rFonts w:hint="eastAsia" w:ascii="Times New Roman" w:hAnsi="Times New Roman"/>
                      <w:color w:val="000000" w:themeColor="text1"/>
                      <w:kern w:val="21"/>
                      <w:szCs w:val="21"/>
                      <w:highlight w:val="none"/>
                      <w14:textFill>
                        <w14:solidFill>
                          <w14:schemeClr w14:val="tx1"/>
                        </w14:solidFill>
                      </w14:textFill>
                    </w:rPr>
                    <w:t>6</w:t>
                  </w:r>
                  <w:r>
                    <w:rPr>
                      <w:rFonts w:hint="eastAsia" w:ascii="Times New Roman" w:hAnsi="Times New Roman"/>
                      <w:color w:val="000000" w:themeColor="text1"/>
                      <w:kern w:val="21"/>
                      <w:szCs w:val="21"/>
                      <w:highlight w:val="none"/>
                      <w:lang w:val="en-US" w:eastAsia="zh-CN"/>
                      <w14:textFill>
                        <w14:solidFill>
                          <w14:schemeClr w14:val="tx1"/>
                        </w14:solidFill>
                      </w14:textFill>
                    </w:rPr>
                    <w:t>5</w:t>
                  </w:r>
                </w:p>
              </w:tc>
              <w:tc>
                <w:tcPr>
                  <w:tcW w:w="518" w:type="pct"/>
                  <w:tcBorders>
                    <w:bottom w:val="single" w:color="auto" w:sz="12" w:space="0"/>
                  </w:tcBorders>
                  <w:shd w:val="clear" w:color="auto" w:fill="auto"/>
                  <w:vAlign w:val="center"/>
                </w:tcPr>
                <w:p w14:paraId="0A37B78A">
                  <w:pPr>
                    <w:pStyle w:val="95"/>
                    <w:adjustRightInd w:val="0"/>
                    <w:snapToGrid w:val="0"/>
                    <w:rPr>
                      <w:rFonts w:hint="eastAsia" w:ascii="Times New Roman" w:hAnsi="Times New Roman" w:eastAsia="宋体" w:cs="Times New Roman"/>
                      <w:color w:val="000000" w:themeColor="text1"/>
                      <w:kern w:val="21"/>
                      <w:sz w:val="21"/>
                      <w:szCs w:val="21"/>
                      <w:highlight w:val="none"/>
                      <w:lang w:val="en-US" w:eastAsia="zh-CN" w:bidi="ar-SA"/>
                      <w14:textFill>
                        <w14:solidFill>
                          <w14:schemeClr w14:val="tx1"/>
                        </w14:solidFill>
                      </w14:textFill>
                    </w:rPr>
                  </w:pPr>
                  <w:r>
                    <w:rPr>
                      <w:rFonts w:hint="eastAsia" w:ascii="Times New Roman" w:hAnsi="Times New Roman"/>
                      <w:color w:val="000000" w:themeColor="text1"/>
                      <w:kern w:val="21"/>
                      <w:szCs w:val="21"/>
                      <w:highlight w:val="none"/>
                      <w14:textFill>
                        <w14:solidFill>
                          <w14:schemeClr w14:val="tx1"/>
                        </w14:solidFill>
                      </w14:textFill>
                    </w:rPr>
                    <w:t>5</w:t>
                  </w:r>
                  <w:r>
                    <w:rPr>
                      <w:rFonts w:hint="eastAsia" w:ascii="Times New Roman" w:hAnsi="Times New Roman"/>
                      <w:color w:val="000000" w:themeColor="text1"/>
                      <w:kern w:val="21"/>
                      <w:szCs w:val="21"/>
                      <w:highlight w:val="none"/>
                      <w:lang w:val="en-US" w:eastAsia="zh-CN"/>
                      <w14:textFill>
                        <w14:solidFill>
                          <w14:schemeClr w14:val="tx1"/>
                        </w14:solidFill>
                      </w14:textFill>
                    </w:rPr>
                    <w:t>5</w:t>
                  </w:r>
                </w:p>
              </w:tc>
              <w:tc>
                <w:tcPr>
                  <w:tcW w:w="3045" w:type="pct"/>
                  <w:tcBorders>
                    <w:bottom w:val="single" w:color="auto" w:sz="12" w:space="0"/>
                  </w:tcBorders>
                  <w:shd w:val="clear" w:color="auto" w:fill="auto"/>
                  <w:vAlign w:val="center"/>
                </w:tcPr>
                <w:p w14:paraId="67EB8D78">
                  <w:pPr>
                    <w:pStyle w:val="95"/>
                    <w:adjustRightInd w:val="0"/>
                    <w:snapToGrid w:val="0"/>
                    <w:rPr>
                      <w:rFonts w:ascii="Times New Roman" w:hAnsi="Times New Roman" w:eastAsia="宋体" w:cs="Times New Roman"/>
                      <w:color w:val="000000" w:themeColor="text1"/>
                      <w:kern w:val="21"/>
                      <w:sz w:val="21"/>
                      <w:szCs w:val="21"/>
                      <w:highlight w:val="none"/>
                      <w:lang w:val="en-US" w:eastAsia="zh-CN" w:bidi="ar-SA"/>
                      <w14:textFill>
                        <w14:solidFill>
                          <w14:schemeClr w14:val="tx1"/>
                        </w14:solidFill>
                      </w14:textFill>
                    </w:rPr>
                  </w:pPr>
                  <w:r>
                    <w:rPr>
                      <w:rFonts w:hint="eastAsia" w:ascii="Times New Roman" w:hAnsi="Times New Roman"/>
                      <w:color w:val="000000" w:themeColor="text1"/>
                      <w:kern w:val="21"/>
                      <w:szCs w:val="21"/>
                      <w:highlight w:val="none"/>
                      <w14:textFill>
                        <w14:solidFill>
                          <w14:schemeClr w14:val="tx1"/>
                        </w14:solidFill>
                      </w14:textFill>
                    </w:rPr>
                    <w:t>《工业企业厂界环境噪声排放标准》（GB12348-2008）</w:t>
                  </w:r>
                </w:p>
              </w:tc>
            </w:tr>
          </w:tbl>
          <w:p w14:paraId="06E63CB3">
            <w:pPr>
              <w:spacing w:line="360" w:lineRule="auto"/>
              <w:ind w:firstLine="482" w:firstLineChars="200"/>
              <w:rPr>
                <w:rFonts w:hint="eastAsia" w:eastAsia="宋体"/>
                <w:b/>
                <w:bCs/>
                <w:color w:val="000000" w:themeColor="text1"/>
                <w:sz w:val="24"/>
                <w:highlight w:val="none"/>
                <w:lang w:val="en-US" w:eastAsia="zh-CN"/>
                <w14:textFill>
                  <w14:solidFill>
                    <w14:schemeClr w14:val="tx1"/>
                  </w14:solidFill>
                </w14:textFill>
              </w:rPr>
            </w:pPr>
            <w:r>
              <w:rPr>
                <w:b/>
                <w:bCs/>
                <w:color w:val="000000" w:themeColor="text1"/>
                <w:sz w:val="24"/>
                <w:highlight w:val="none"/>
                <w14:textFill>
                  <w14:solidFill>
                    <w14:schemeClr w14:val="tx1"/>
                  </w14:solidFill>
                </w14:textFill>
              </w:rPr>
              <w:t>4、固</w:t>
            </w:r>
            <w:r>
              <w:rPr>
                <w:rFonts w:hint="eastAsia"/>
                <w:b/>
                <w:bCs/>
                <w:color w:val="000000" w:themeColor="text1"/>
                <w:sz w:val="24"/>
                <w:highlight w:val="none"/>
                <w:lang w:val="en-US" w:eastAsia="zh-CN"/>
                <w14:textFill>
                  <w14:solidFill>
                    <w14:schemeClr w14:val="tx1"/>
                  </w14:solidFill>
                </w14:textFill>
              </w:rPr>
              <w:t>体</w:t>
            </w:r>
            <w:r>
              <w:rPr>
                <w:b/>
                <w:bCs/>
                <w:color w:val="000000" w:themeColor="text1"/>
                <w:sz w:val="24"/>
                <w:highlight w:val="none"/>
                <w14:textFill>
                  <w14:solidFill>
                    <w14:schemeClr w14:val="tx1"/>
                  </w14:solidFill>
                </w14:textFill>
              </w:rPr>
              <w:t>废</w:t>
            </w:r>
            <w:r>
              <w:rPr>
                <w:rFonts w:hint="eastAsia"/>
                <w:b/>
                <w:bCs/>
                <w:color w:val="000000" w:themeColor="text1"/>
                <w:sz w:val="24"/>
                <w:highlight w:val="none"/>
                <w:lang w:val="en-US" w:eastAsia="zh-CN"/>
                <w14:textFill>
                  <w14:solidFill>
                    <w14:schemeClr w14:val="tx1"/>
                  </w14:solidFill>
                </w14:textFill>
              </w:rPr>
              <w:t>物</w:t>
            </w:r>
          </w:p>
          <w:p w14:paraId="67341A16">
            <w:pPr>
              <w:pStyle w:val="97"/>
              <w:spacing w:line="360" w:lineRule="auto"/>
              <w:ind w:firstLine="480" w:firstLineChars="20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《一般工业固体废物贮存和填埋污染控制标准》（GB18599-2020）；</w:t>
            </w:r>
          </w:p>
          <w:p w14:paraId="19E8AB49">
            <w:pPr>
              <w:spacing w:line="360" w:lineRule="auto"/>
              <w:ind w:firstLine="480" w:firstLineChars="200"/>
              <w:rPr>
                <w:rFonts w:hint="default"/>
                <w:highlight w:val="none"/>
                <w:lang w:val="en-US" w:eastAsia="zh-CN"/>
              </w:rPr>
            </w:pP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《固体废物分类与代码目录》（公告2024年</w:t>
            </w:r>
            <w:r>
              <w:rPr>
                <w:rFonts w:hint="eastAsia" w:cs="Times New Roman"/>
                <w:bCs/>
                <w:color w:val="000000" w:themeColor="text1"/>
                <w:kern w:val="2"/>
                <w:sz w:val="24"/>
                <w:szCs w:val="24"/>
                <w:highlight w:val="none"/>
                <w:lang w:val="en-US" w:eastAsia="zh-CN" w:bidi="ar-SA"/>
                <w14:textFill>
                  <w14:solidFill>
                    <w14:schemeClr w14:val="tx1"/>
                  </w14:solidFill>
                </w14:textFill>
              </w:rPr>
              <w:t xml:space="preserve"> </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第4号）；</w:t>
            </w:r>
          </w:p>
          <w:p w14:paraId="0654063E">
            <w:pPr>
              <w:spacing w:line="360" w:lineRule="auto"/>
              <w:ind w:firstLine="480" w:firstLineChars="200"/>
              <w:rPr>
                <w:color w:val="000000" w:themeColor="text1"/>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危险废物贮存执行《危险废物贮存污染控制标准》（GB18597-2023），危险废物代码执行《国家危险废物名录》（2025年版）</w:t>
            </w:r>
            <w:r>
              <w:rPr>
                <w:rFonts w:hint="eastAsia"/>
                <w:color w:val="000000" w:themeColor="text1"/>
                <w:sz w:val="24"/>
                <w:highlight w:val="none"/>
                <w14:textFill>
                  <w14:solidFill>
                    <w14:schemeClr w14:val="tx1"/>
                  </w14:solidFill>
                </w14:textFill>
              </w:rPr>
              <w:t>。</w:t>
            </w:r>
          </w:p>
        </w:tc>
      </w:tr>
      <w:tr w14:paraId="797FDF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4" w:type="dxa"/>
            <w:vAlign w:val="center"/>
          </w:tcPr>
          <w:p w14:paraId="56A2BBDB">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总量</w:t>
            </w:r>
          </w:p>
          <w:p w14:paraId="2074AB56">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控制</w:t>
            </w:r>
          </w:p>
          <w:p w14:paraId="2C70D902">
            <w:pPr>
              <w:adjustRightInd w:val="0"/>
              <w:snapToGrid w:val="0"/>
              <w:jc w:val="center"/>
              <w:rPr>
                <w:color w:val="000000" w:themeColor="text1"/>
                <w:kern w:val="0"/>
                <w:szCs w:val="21"/>
                <w14:textFill>
                  <w14:solidFill>
                    <w14:schemeClr w14:val="tx1"/>
                  </w14:solidFill>
                </w14:textFill>
              </w:rPr>
            </w:pPr>
            <w:r>
              <w:rPr>
                <w:color w:val="000000" w:themeColor="text1"/>
                <w:kern w:val="0"/>
                <w:sz w:val="24"/>
                <w14:textFill>
                  <w14:solidFill>
                    <w14:schemeClr w14:val="tx1"/>
                  </w14:solidFill>
                </w14:textFill>
              </w:rPr>
              <w:t>指标</w:t>
            </w:r>
          </w:p>
        </w:tc>
        <w:tc>
          <w:tcPr>
            <w:tcW w:w="8217" w:type="dxa"/>
          </w:tcPr>
          <w:p w14:paraId="01F33EE0">
            <w:pPr>
              <w:pStyle w:val="58"/>
              <w:autoSpaceDE w:val="0"/>
              <w:autoSpaceDN w:val="0"/>
              <w:spacing w:line="360" w:lineRule="auto"/>
              <w:ind w:firstLine="480" w:firstLineChars="200"/>
              <w:rPr>
                <w:rFonts w:ascii="Times New Roman" w:hAnsi="Times New Roman" w:cs="Times New Roman"/>
                <w:color w:val="000000" w:themeColor="text1"/>
                <w:sz w:val="24"/>
                <w:highlight w:val="none"/>
                <w:lang w:val="en-US"/>
                <w14:textFill>
                  <w14:solidFill>
                    <w14:schemeClr w14:val="tx1"/>
                  </w14:solidFill>
                </w14:textFill>
              </w:rPr>
            </w:pPr>
            <w:r>
              <w:rPr>
                <w:rFonts w:ascii="Times New Roman" w:hAnsi="Times New Roman" w:cs="Times New Roman"/>
                <w:color w:val="000000" w:themeColor="text1"/>
                <w:kern w:val="0"/>
                <w:sz w:val="24"/>
                <w:highlight w:val="none"/>
                <w:lang w:val="en-US"/>
                <w14:textFill>
                  <w14:solidFill>
                    <w14:schemeClr w14:val="tx1"/>
                  </w14:solidFill>
                </w14:textFill>
              </w:rPr>
              <w:t>根据《关于做好“十四五”主要污染物总量减排工作的通知》(环办综合函〔2021〕323号)</w:t>
            </w:r>
            <w:r>
              <w:rPr>
                <w:rFonts w:hint="eastAsia" w:ascii="Times New Roman" w:hAnsi="Times New Roman" w:cs="Times New Roman"/>
                <w:color w:val="000000" w:themeColor="text1"/>
                <w:kern w:val="0"/>
                <w:sz w:val="24"/>
                <w:highlight w:val="none"/>
                <w:lang w:val="en-US"/>
                <w14:textFill>
                  <w14:solidFill>
                    <w14:schemeClr w14:val="tx1"/>
                  </w14:solidFill>
                </w14:textFill>
              </w:rPr>
              <w:t>中</w:t>
            </w:r>
            <w:r>
              <w:rPr>
                <w:rFonts w:ascii="Times New Roman" w:hAnsi="Times New Roman" w:cs="Times New Roman"/>
                <w:color w:val="000000" w:themeColor="text1"/>
                <w:sz w:val="24"/>
                <w:highlight w:val="none"/>
                <w14:textFill>
                  <w14:solidFill>
                    <w14:schemeClr w14:val="tx1"/>
                  </w14:solidFill>
                </w14:textFill>
              </w:rPr>
              <w:t>污染物排放总量控制管理要求，</w:t>
            </w:r>
            <w:r>
              <w:rPr>
                <w:rFonts w:hint="eastAsia"/>
                <w:color w:val="000000" w:themeColor="text1"/>
                <w:sz w:val="24"/>
                <w:highlight w:val="none"/>
                <w14:textFill>
                  <w14:solidFill>
                    <w14:schemeClr w14:val="tx1"/>
                  </w14:solidFill>
                </w14:textFill>
              </w:rPr>
              <w:t>十四五期间主要控制污染物为氮氧化物、挥发性有机物、化学需氧量、氨氮</w:t>
            </w:r>
            <w:r>
              <w:rPr>
                <w:rFonts w:ascii="Times New Roman" w:hAnsi="Times New Roman" w:cs="Times New Roman"/>
                <w:color w:val="000000" w:themeColor="text1"/>
                <w:sz w:val="24"/>
                <w:highlight w:val="none"/>
                <w:lang w:val="en-US"/>
                <w14:textFill>
                  <w14:solidFill>
                    <w14:schemeClr w14:val="tx1"/>
                  </w14:solidFill>
                </w14:textFill>
              </w:rPr>
              <w:t>。</w:t>
            </w:r>
          </w:p>
          <w:p w14:paraId="019CB8A2">
            <w:pPr>
              <w:pStyle w:val="58"/>
              <w:autoSpaceDE w:val="0"/>
              <w:autoSpaceDN w:val="0"/>
              <w:spacing w:line="360" w:lineRule="auto"/>
              <w:ind w:firstLine="480" w:firstLineChars="200"/>
              <w:rPr>
                <w:rFonts w:ascii="Times New Roman" w:hAnsi="Times New Roman" w:cs="Times New Roman"/>
                <w:color w:val="000000" w:themeColor="text1"/>
                <w:sz w:val="24"/>
                <w:highlight w:val="none"/>
                <w:lang w:val="en-US"/>
                <w14:textFill>
                  <w14:solidFill>
                    <w14:schemeClr w14:val="tx1"/>
                  </w14:solidFill>
                </w14:textFill>
              </w:rPr>
            </w:pPr>
            <w:r>
              <w:rPr>
                <w:rFonts w:hint="eastAsia" w:ascii="Times New Roman" w:hAnsi="Times New Roman" w:cs="Times New Roman"/>
                <w:color w:val="000000" w:themeColor="text1"/>
                <w:sz w:val="24"/>
                <w:highlight w:val="none"/>
                <w:lang w:val="en-US" w:eastAsia="zh-CN"/>
                <w14:textFill>
                  <w14:solidFill>
                    <w14:schemeClr w14:val="tx1"/>
                  </w14:solidFill>
                </w14:textFill>
              </w:rPr>
              <w:t>本项目食堂废水经现有隔油池处理后同其他生活污水一起排入化粪池，处理后排入市政管网，进入双鸭山市城市污水处理厂处理，本项目废水污染物总量纳入双鸭山市城市污水处理厂统一管理。</w:t>
            </w:r>
          </w:p>
          <w:p w14:paraId="7222DB9D">
            <w:pPr>
              <w:pStyle w:val="58"/>
              <w:autoSpaceDE w:val="0"/>
              <w:autoSpaceDN w:val="0"/>
              <w:spacing w:line="360" w:lineRule="auto"/>
              <w:ind w:firstLine="480" w:firstLineChars="200"/>
              <w:rPr>
                <w:rFonts w:hint="eastAsia" w:ascii="Times New Roman" w:hAnsi="Times New Roman" w:cs="Times New Roman"/>
                <w:color w:val="FF0000"/>
                <w:sz w:val="24"/>
                <w:highlight w:val="none"/>
                <w:lang w:val="en-US" w:eastAsia="zh-CN"/>
              </w:rPr>
            </w:pPr>
            <w:r>
              <w:rPr>
                <w:rFonts w:hint="eastAsia" w:ascii="Times New Roman" w:hAnsi="Times New Roman" w:cs="Times New Roman"/>
                <w:color w:val="FF0000"/>
                <w:sz w:val="24"/>
                <w:highlight w:val="none"/>
                <w:lang w:val="en-US" w:eastAsia="zh-CN"/>
              </w:rPr>
              <w:t>本项目大气污染物为：颗粒物、非甲烷总烃。全厂总量三本账见下表。</w:t>
            </w:r>
          </w:p>
          <w:p w14:paraId="4AC88630">
            <w:pPr>
              <w:pStyle w:val="58"/>
              <w:autoSpaceDE w:val="0"/>
              <w:autoSpaceDN w:val="0"/>
              <w:spacing w:line="360" w:lineRule="auto"/>
              <w:ind w:left="0" w:leftChars="0" w:right="0" w:rightChars="0" w:firstLine="0" w:firstLineChars="0"/>
              <w:jc w:val="center"/>
              <w:rPr>
                <w:rFonts w:hint="eastAsia" w:ascii="Times New Roman" w:hAnsi="Times New Roman" w:cs="Times New Roman"/>
                <w:b/>
                <w:bCs/>
                <w:color w:val="FF0000"/>
                <w:sz w:val="24"/>
                <w:highlight w:val="none"/>
                <w:lang w:val="en-US" w:eastAsia="zh-CN"/>
              </w:rPr>
            </w:pPr>
            <w:r>
              <w:rPr>
                <w:rFonts w:hint="eastAsia" w:ascii="Times New Roman" w:hAnsi="Times New Roman" w:cs="Times New Roman"/>
                <w:b/>
                <w:bCs/>
                <w:color w:val="FF0000"/>
                <w:sz w:val="24"/>
                <w:highlight w:val="none"/>
                <w:lang w:val="en-US" w:eastAsia="zh-CN"/>
              </w:rPr>
              <w:t>3-12全厂总量三本账 单位：t/a</w:t>
            </w:r>
          </w:p>
          <w:tbl>
            <w:tblPr>
              <w:tblStyle w:val="29"/>
              <w:tblW w:w="800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3"/>
              <w:gridCol w:w="1333"/>
              <w:gridCol w:w="1333"/>
              <w:gridCol w:w="1334"/>
              <w:gridCol w:w="1548"/>
              <w:gridCol w:w="1120"/>
            </w:tblGrid>
            <w:tr w14:paraId="5A798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3" w:type="dxa"/>
                  <w:tcBorders>
                    <w:top w:val="single" w:color="auto" w:sz="12" w:space="0"/>
                  </w:tcBorders>
                  <w:vAlign w:val="center"/>
                </w:tcPr>
                <w:p w14:paraId="264F78D3">
                  <w:pPr>
                    <w:pStyle w:val="54"/>
                    <w:spacing w:beforeLines="0" w:afterLines="0" w:line="240" w:lineRule="auto"/>
                    <w:ind w:firstLine="0" w:firstLineChars="0"/>
                    <w:rPr>
                      <w:rFonts w:hint="eastAsia" w:ascii="Times New Roman" w:hAnsi="Times New Roman" w:eastAsia="宋体" w:cs="Times New Roman"/>
                      <w:snapToGrid w:val="0"/>
                      <w:color w:val="FF0000"/>
                      <w:kern w:val="21"/>
                      <w:szCs w:val="21"/>
                      <w:highlight w:val="none"/>
                      <w:lang w:val="en-US" w:eastAsia="zh-CN"/>
                    </w:rPr>
                  </w:pPr>
                  <w:r>
                    <w:rPr>
                      <w:rFonts w:hint="eastAsia" w:ascii="Times New Roman" w:hAnsi="Times New Roman" w:eastAsia="宋体" w:cs="Times New Roman"/>
                      <w:snapToGrid w:val="0"/>
                      <w:color w:val="FF0000"/>
                      <w:kern w:val="21"/>
                      <w:szCs w:val="21"/>
                      <w:highlight w:val="none"/>
                      <w:lang w:val="en-US" w:eastAsia="zh-CN"/>
                    </w:rPr>
                    <w:t>污染物</w:t>
                  </w:r>
                </w:p>
              </w:tc>
              <w:tc>
                <w:tcPr>
                  <w:tcW w:w="1333" w:type="dxa"/>
                  <w:tcBorders>
                    <w:top w:val="single" w:color="auto" w:sz="12" w:space="0"/>
                  </w:tcBorders>
                  <w:vAlign w:val="center"/>
                </w:tcPr>
                <w:p w14:paraId="2CCB607D">
                  <w:pPr>
                    <w:pStyle w:val="54"/>
                    <w:spacing w:beforeLines="0" w:afterLines="0" w:line="240" w:lineRule="auto"/>
                    <w:ind w:firstLine="0" w:firstLineChars="0"/>
                    <w:rPr>
                      <w:rFonts w:hint="eastAsia" w:ascii="Times New Roman" w:hAnsi="Times New Roman" w:eastAsia="宋体" w:cs="Times New Roman"/>
                      <w:snapToGrid w:val="0"/>
                      <w:color w:val="FF0000"/>
                      <w:kern w:val="21"/>
                      <w:szCs w:val="21"/>
                      <w:highlight w:val="none"/>
                      <w:lang w:val="en-US" w:eastAsia="zh-CN"/>
                    </w:rPr>
                  </w:pPr>
                  <w:r>
                    <w:rPr>
                      <w:rFonts w:hint="eastAsia" w:ascii="Times New Roman" w:hAnsi="Times New Roman" w:eastAsia="宋体" w:cs="Times New Roman"/>
                      <w:snapToGrid w:val="0"/>
                      <w:color w:val="FF0000"/>
                      <w:kern w:val="21"/>
                      <w:szCs w:val="21"/>
                      <w:highlight w:val="none"/>
                      <w:lang w:val="en-US" w:eastAsia="zh-CN"/>
                    </w:rPr>
                    <w:t>现有工程排放量</w:t>
                  </w:r>
                </w:p>
              </w:tc>
              <w:tc>
                <w:tcPr>
                  <w:tcW w:w="1333" w:type="dxa"/>
                  <w:tcBorders>
                    <w:top w:val="single" w:color="auto" w:sz="12" w:space="0"/>
                  </w:tcBorders>
                  <w:shd w:val="clear" w:color="auto" w:fill="auto"/>
                  <w:vAlign w:val="center"/>
                </w:tcPr>
                <w:p w14:paraId="3F35DE6D">
                  <w:pPr>
                    <w:pStyle w:val="54"/>
                    <w:spacing w:beforeLines="0" w:afterLines="0" w:line="240" w:lineRule="auto"/>
                    <w:ind w:firstLine="0" w:firstLineChars="0"/>
                    <w:rPr>
                      <w:rFonts w:hint="eastAsia" w:ascii="Times New Roman" w:hAnsi="Times New Roman" w:eastAsia="宋体" w:cs="Times New Roman"/>
                      <w:snapToGrid w:val="0"/>
                      <w:color w:val="FF0000"/>
                      <w:kern w:val="21"/>
                      <w:szCs w:val="21"/>
                      <w:highlight w:val="none"/>
                      <w:lang w:val="en-US" w:eastAsia="zh-CN"/>
                    </w:rPr>
                  </w:pPr>
                  <w:r>
                    <w:rPr>
                      <w:rFonts w:hint="eastAsia" w:ascii="Times New Roman" w:hAnsi="Times New Roman" w:eastAsia="宋体" w:cs="Times New Roman"/>
                      <w:snapToGrid w:val="0"/>
                      <w:color w:val="FF0000"/>
                      <w:kern w:val="21"/>
                      <w:szCs w:val="21"/>
                      <w:highlight w:val="none"/>
                      <w:lang w:val="en-US" w:eastAsia="zh-CN"/>
                    </w:rPr>
                    <w:t>本项目排放量</w:t>
                  </w:r>
                </w:p>
              </w:tc>
              <w:tc>
                <w:tcPr>
                  <w:tcW w:w="1334" w:type="dxa"/>
                  <w:tcBorders>
                    <w:top w:val="single" w:color="auto" w:sz="12" w:space="0"/>
                  </w:tcBorders>
                  <w:shd w:val="clear" w:color="auto" w:fill="auto"/>
                  <w:vAlign w:val="center"/>
                </w:tcPr>
                <w:p w14:paraId="4F14188C">
                  <w:pPr>
                    <w:pStyle w:val="54"/>
                    <w:spacing w:beforeLines="0" w:afterLines="0" w:line="240" w:lineRule="auto"/>
                    <w:ind w:firstLine="0" w:firstLineChars="0"/>
                    <w:rPr>
                      <w:rFonts w:hint="eastAsia" w:ascii="Times New Roman" w:hAnsi="Times New Roman" w:eastAsia="宋体" w:cs="Times New Roman"/>
                      <w:snapToGrid w:val="0"/>
                      <w:color w:val="FF0000"/>
                      <w:kern w:val="21"/>
                      <w:szCs w:val="21"/>
                      <w:highlight w:val="none"/>
                      <w:lang w:val="en-US" w:eastAsia="zh-CN"/>
                    </w:rPr>
                  </w:pPr>
                  <w:r>
                    <w:rPr>
                      <w:rFonts w:hint="eastAsia" w:ascii="Times New Roman" w:hAnsi="Times New Roman" w:eastAsia="宋体" w:cs="Times New Roman"/>
                      <w:snapToGrid w:val="0"/>
                      <w:color w:val="FF0000"/>
                      <w:kern w:val="21"/>
                      <w:szCs w:val="21"/>
                      <w:highlight w:val="none"/>
                      <w:lang w:val="en-US" w:eastAsia="zh-CN"/>
                    </w:rPr>
                    <w:t>以新带老削减量</w:t>
                  </w:r>
                </w:p>
              </w:tc>
              <w:tc>
                <w:tcPr>
                  <w:tcW w:w="1548" w:type="dxa"/>
                  <w:tcBorders>
                    <w:top w:val="single" w:color="auto" w:sz="12" w:space="0"/>
                  </w:tcBorders>
                  <w:shd w:val="clear" w:color="auto" w:fill="auto"/>
                  <w:vAlign w:val="center"/>
                </w:tcPr>
                <w:p w14:paraId="67F11FA5">
                  <w:pPr>
                    <w:pStyle w:val="54"/>
                    <w:spacing w:beforeLines="0" w:afterLines="0" w:line="240" w:lineRule="auto"/>
                    <w:ind w:firstLine="0" w:firstLineChars="0"/>
                    <w:rPr>
                      <w:rFonts w:hint="eastAsia" w:ascii="Times New Roman" w:hAnsi="Times New Roman" w:eastAsia="宋体" w:cs="Times New Roman"/>
                      <w:snapToGrid w:val="0"/>
                      <w:color w:val="FF0000"/>
                      <w:kern w:val="21"/>
                      <w:szCs w:val="21"/>
                      <w:highlight w:val="none"/>
                      <w:lang w:val="en-US" w:eastAsia="zh-CN"/>
                    </w:rPr>
                  </w:pPr>
                  <w:r>
                    <w:rPr>
                      <w:rFonts w:hint="eastAsia" w:ascii="Times New Roman" w:hAnsi="Times New Roman" w:eastAsia="宋体" w:cs="Times New Roman"/>
                      <w:snapToGrid w:val="0"/>
                      <w:color w:val="FF0000"/>
                      <w:kern w:val="21"/>
                      <w:szCs w:val="21"/>
                      <w:highlight w:val="none"/>
                      <w:lang w:val="en-US" w:eastAsia="zh-CN"/>
                    </w:rPr>
                    <w:t>本项目建成后全厂排放量</w:t>
                  </w:r>
                </w:p>
              </w:tc>
              <w:tc>
                <w:tcPr>
                  <w:tcW w:w="1120" w:type="dxa"/>
                  <w:tcBorders>
                    <w:top w:val="single" w:color="auto" w:sz="12" w:space="0"/>
                    <w:right w:val="nil"/>
                  </w:tcBorders>
                  <w:shd w:val="clear" w:color="auto" w:fill="auto"/>
                  <w:vAlign w:val="center"/>
                </w:tcPr>
                <w:p w14:paraId="21A74A80">
                  <w:pPr>
                    <w:pStyle w:val="54"/>
                    <w:spacing w:beforeLines="0" w:afterLines="0" w:line="240" w:lineRule="auto"/>
                    <w:ind w:firstLine="0" w:firstLineChars="0"/>
                    <w:rPr>
                      <w:rFonts w:hint="eastAsia" w:ascii="Times New Roman" w:hAnsi="Times New Roman" w:eastAsia="宋体" w:cs="Times New Roman"/>
                      <w:snapToGrid w:val="0"/>
                      <w:color w:val="FF0000"/>
                      <w:kern w:val="21"/>
                      <w:szCs w:val="21"/>
                      <w:highlight w:val="none"/>
                      <w:lang w:val="en-US" w:eastAsia="zh-CN"/>
                    </w:rPr>
                  </w:pPr>
                  <w:r>
                    <w:rPr>
                      <w:rFonts w:hint="eastAsia" w:ascii="Times New Roman" w:hAnsi="Times New Roman" w:eastAsia="宋体" w:cs="Times New Roman"/>
                      <w:snapToGrid w:val="0"/>
                      <w:color w:val="FF0000"/>
                      <w:kern w:val="21"/>
                      <w:szCs w:val="21"/>
                      <w:highlight w:val="none"/>
                      <w:lang w:val="en-US" w:eastAsia="zh-CN"/>
                    </w:rPr>
                    <w:t>变化量</w:t>
                  </w:r>
                </w:p>
              </w:tc>
            </w:tr>
            <w:tr w14:paraId="75C11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3" w:type="dxa"/>
                  <w:tcBorders>
                    <w:left w:val="nil"/>
                  </w:tcBorders>
                  <w:vAlign w:val="center"/>
                </w:tcPr>
                <w:p w14:paraId="6065DE2E">
                  <w:pPr>
                    <w:pStyle w:val="54"/>
                    <w:spacing w:beforeLines="0" w:afterLines="0" w:line="240" w:lineRule="auto"/>
                    <w:ind w:firstLine="0" w:firstLineChars="0"/>
                    <w:rPr>
                      <w:rFonts w:hint="eastAsia" w:ascii="Times New Roman" w:hAnsi="Times New Roman" w:eastAsia="宋体" w:cs="Times New Roman"/>
                      <w:snapToGrid w:val="0"/>
                      <w:color w:val="FF0000"/>
                      <w:kern w:val="21"/>
                      <w:szCs w:val="21"/>
                      <w:highlight w:val="none"/>
                      <w:lang w:val="en-US" w:eastAsia="zh-CN"/>
                    </w:rPr>
                  </w:pPr>
                  <w:r>
                    <w:rPr>
                      <w:rFonts w:hint="eastAsia" w:ascii="Times New Roman" w:hAnsi="Times New Roman" w:eastAsia="宋体" w:cs="Times New Roman"/>
                      <w:snapToGrid w:val="0"/>
                      <w:color w:val="FF0000"/>
                      <w:kern w:val="21"/>
                      <w:szCs w:val="21"/>
                      <w:highlight w:val="none"/>
                      <w:lang w:val="en-US" w:eastAsia="zh-CN"/>
                    </w:rPr>
                    <w:t>颗粒物</w:t>
                  </w:r>
                </w:p>
              </w:tc>
              <w:tc>
                <w:tcPr>
                  <w:tcW w:w="1333" w:type="dxa"/>
                  <w:vAlign w:val="center"/>
                </w:tcPr>
                <w:p w14:paraId="570D9033">
                  <w:pPr>
                    <w:pStyle w:val="54"/>
                    <w:spacing w:beforeLines="0" w:afterLines="0" w:line="240" w:lineRule="auto"/>
                    <w:ind w:firstLine="0" w:firstLineChars="0"/>
                    <w:rPr>
                      <w:rFonts w:hint="eastAsia" w:ascii="Times New Roman" w:hAnsi="Times New Roman" w:eastAsia="宋体" w:cs="Times New Roman"/>
                      <w:snapToGrid w:val="0"/>
                      <w:color w:val="FF0000"/>
                      <w:kern w:val="21"/>
                      <w:szCs w:val="21"/>
                      <w:highlight w:val="none"/>
                      <w:lang w:val="en-US" w:eastAsia="zh-CN"/>
                    </w:rPr>
                  </w:pPr>
                  <w:r>
                    <w:rPr>
                      <w:rFonts w:hint="eastAsia" w:ascii="Times New Roman" w:hAnsi="Times New Roman" w:eastAsia="宋体" w:cs="Times New Roman"/>
                      <w:snapToGrid w:val="0"/>
                      <w:color w:val="FF0000"/>
                      <w:kern w:val="21"/>
                      <w:szCs w:val="21"/>
                      <w:highlight w:val="none"/>
                      <w:lang w:val="en-US" w:eastAsia="zh-CN"/>
                    </w:rPr>
                    <w:t>39</w:t>
                  </w:r>
                </w:p>
              </w:tc>
              <w:tc>
                <w:tcPr>
                  <w:tcW w:w="1333" w:type="dxa"/>
                  <w:vAlign w:val="center"/>
                </w:tcPr>
                <w:p w14:paraId="02850AB0">
                  <w:pPr>
                    <w:pStyle w:val="54"/>
                    <w:spacing w:beforeLines="0" w:afterLines="0" w:line="240" w:lineRule="auto"/>
                    <w:ind w:firstLine="0" w:firstLineChars="0"/>
                    <w:rPr>
                      <w:rFonts w:hint="default" w:ascii="Times New Roman" w:hAnsi="Times New Roman" w:eastAsia="宋体" w:cs="Times New Roman"/>
                      <w:snapToGrid w:val="0"/>
                      <w:color w:val="FF0000"/>
                      <w:kern w:val="21"/>
                      <w:szCs w:val="21"/>
                      <w:highlight w:val="none"/>
                      <w:lang w:val="en-US" w:eastAsia="zh-CN"/>
                    </w:rPr>
                  </w:pPr>
                  <w:r>
                    <w:rPr>
                      <w:rFonts w:hint="eastAsia" w:ascii="Times New Roman" w:cs="Times New Roman"/>
                      <w:snapToGrid w:val="0"/>
                      <w:color w:val="FF0000"/>
                      <w:kern w:val="21"/>
                      <w:szCs w:val="21"/>
                      <w:highlight w:val="none"/>
                      <w:lang w:val="en-US" w:eastAsia="zh-CN"/>
                    </w:rPr>
                    <w:t>14.16</w:t>
                  </w:r>
                </w:p>
              </w:tc>
              <w:tc>
                <w:tcPr>
                  <w:tcW w:w="1334" w:type="dxa"/>
                  <w:vAlign w:val="center"/>
                </w:tcPr>
                <w:p w14:paraId="5C8981AA">
                  <w:pPr>
                    <w:pStyle w:val="54"/>
                    <w:spacing w:beforeLines="0" w:afterLines="0" w:line="240" w:lineRule="auto"/>
                    <w:ind w:firstLine="0" w:firstLineChars="0"/>
                    <w:rPr>
                      <w:rFonts w:hint="eastAsia" w:ascii="Times New Roman" w:hAnsi="Times New Roman" w:eastAsia="宋体" w:cs="Times New Roman"/>
                      <w:snapToGrid w:val="0"/>
                      <w:color w:val="FF0000"/>
                      <w:kern w:val="21"/>
                      <w:szCs w:val="21"/>
                      <w:highlight w:val="none"/>
                      <w:lang w:val="en-US" w:eastAsia="zh-CN"/>
                    </w:rPr>
                  </w:pPr>
                  <w:r>
                    <w:rPr>
                      <w:rFonts w:hint="eastAsia" w:ascii="Times New Roman" w:hAnsi="Times New Roman" w:eastAsia="宋体" w:cs="Times New Roman"/>
                      <w:snapToGrid w:val="0"/>
                      <w:color w:val="FF0000"/>
                      <w:kern w:val="21"/>
                      <w:szCs w:val="21"/>
                      <w:highlight w:val="none"/>
                      <w:lang w:val="en-US" w:eastAsia="zh-CN"/>
                    </w:rPr>
                    <w:t>39</w:t>
                  </w:r>
                </w:p>
              </w:tc>
              <w:tc>
                <w:tcPr>
                  <w:tcW w:w="1548" w:type="dxa"/>
                  <w:vAlign w:val="center"/>
                </w:tcPr>
                <w:p w14:paraId="25C31B3C">
                  <w:pPr>
                    <w:pStyle w:val="54"/>
                    <w:spacing w:beforeLines="0" w:afterLines="0" w:line="240" w:lineRule="auto"/>
                    <w:ind w:firstLine="0" w:firstLineChars="0"/>
                    <w:rPr>
                      <w:rFonts w:hint="default" w:ascii="Times New Roman" w:hAnsi="Times New Roman" w:eastAsia="宋体" w:cs="Times New Roman"/>
                      <w:snapToGrid w:val="0"/>
                      <w:color w:val="FF0000"/>
                      <w:kern w:val="21"/>
                      <w:szCs w:val="21"/>
                      <w:highlight w:val="none"/>
                      <w:lang w:val="en-US" w:eastAsia="zh-CN"/>
                    </w:rPr>
                  </w:pPr>
                  <w:r>
                    <w:rPr>
                      <w:rFonts w:hint="eastAsia" w:ascii="Times New Roman" w:cs="Times New Roman"/>
                      <w:snapToGrid w:val="0"/>
                      <w:color w:val="FF0000"/>
                      <w:kern w:val="21"/>
                      <w:szCs w:val="21"/>
                      <w:highlight w:val="none"/>
                      <w:lang w:val="en-US" w:eastAsia="zh-CN"/>
                    </w:rPr>
                    <w:t>14.16</w:t>
                  </w:r>
                </w:p>
              </w:tc>
              <w:tc>
                <w:tcPr>
                  <w:tcW w:w="1120" w:type="dxa"/>
                  <w:tcBorders>
                    <w:right w:val="nil"/>
                  </w:tcBorders>
                  <w:vAlign w:val="center"/>
                </w:tcPr>
                <w:p w14:paraId="7D13E94D">
                  <w:pPr>
                    <w:pStyle w:val="54"/>
                    <w:spacing w:beforeLines="0" w:afterLines="0" w:line="240" w:lineRule="auto"/>
                    <w:ind w:firstLine="0" w:firstLineChars="0"/>
                    <w:rPr>
                      <w:rFonts w:hint="default" w:ascii="Times New Roman" w:hAnsi="Times New Roman" w:eastAsia="宋体" w:cs="Times New Roman"/>
                      <w:snapToGrid w:val="0"/>
                      <w:color w:val="FF0000"/>
                      <w:kern w:val="21"/>
                      <w:szCs w:val="21"/>
                      <w:highlight w:val="none"/>
                      <w:lang w:val="en-US" w:eastAsia="zh-CN"/>
                    </w:rPr>
                  </w:pPr>
                  <w:r>
                    <w:rPr>
                      <w:rFonts w:hint="eastAsia" w:ascii="Times New Roman" w:hAnsi="Times New Roman" w:eastAsia="宋体" w:cs="Times New Roman"/>
                      <w:snapToGrid w:val="0"/>
                      <w:color w:val="FF0000"/>
                      <w:kern w:val="21"/>
                      <w:szCs w:val="21"/>
                      <w:highlight w:val="none"/>
                      <w:lang w:val="en-US" w:eastAsia="zh-CN"/>
                    </w:rPr>
                    <w:t>-24.</w:t>
                  </w:r>
                  <w:r>
                    <w:rPr>
                      <w:rFonts w:hint="eastAsia" w:ascii="Times New Roman" w:cs="Times New Roman"/>
                      <w:snapToGrid w:val="0"/>
                      <w:color w:val="FF0000"/>
                      <w:kern w:val="21"/>
                      <w:szCs w:val="21"/>
                      <w:highlight w:val="none"/>
                      <w:lang w:val="en-US" w:eastAsia="zh-CN"/>
                    </w:rPr>
                    <w:t>84</w:t>
                  </w:r>
                </w:p>
              </w:tc>
            </w:tr>
            <w:tr w14:paraId="32CF5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3" w:type="dxa"/>
                  <w:tcBorders>
                    <w:left w:val="nil"/>
                    <w:bottom w:val="single" w:color="auto" w:sz="12" w:space="0"/>
                  </w:tcBorders>
                  <w:vAlign w:val="center"/>
                </w:tcPr>
                <w:p w14:paraId="03633C70">
                  <w:pPr>
                    <w:pStyle w:val="54"/>
                    <w:spacing w:beforeLines="0" w:afterLines="0" w:line="240" w:lineRule="auto"/>
                    <w:ind w:firstLine="0" w:firstLineChars="0"/>
                    <w:rPr>
                      <w:rFonts w:hint="eastAsia" w:ascii="Times New Roman" w:hAnsi="Times New Roman" w:eastAsia="宋体" w:cs="Times New Roman"/>
                      <w:snapToGrid w:val="0"/>
                      <w:color w:val="FF0000"/>
                      <w:kern w:val="21"/>
                      <w:szCs w:val="21"/>
                      <w:highlight w:val="none"/>
                      <w:lang w:val="en-US" w:eastAsia="zh-CN"/>
                    </w:rPr>
                  </w:pPr>
                  <w:r>
                    <w:rPr>
                      <w:rFonts w:hint="eastAsia" w:ascii="Times New Roman" w:hAnsi="Times New Roman" w:eastAsia="宋体" w:cs="Times New Roman"/>
                      <w:snapToGrid w:val="0"/>
                      <w:color w:val="FF0000"/>
                      <w:kern w:val="21"/>
                      <w:szCs w:val="21"/>
                      <w:highlight w:val="none"/>
                      <w:lang w:val="en-US" w:eastAsia="zh-CN"/>
                    </w:rPr>
                    <w:t>非甲烷总烃</w:t>
                  </w:r>
                </w:p>
              </w:tc>
              <w:tc>
                <w:tcPr>
                  <w:tcW w:w="1333" w:type="dxa"/>
                  <w:tcBorders>
                    <w:bottom w:val="single" w:color="auto" w:sz="12" w:space="0"/>
                  </w:tcBorders>
                  <w:vAlign w:val="center"/>
                </w:tcPr>
                <w:p w14:paraId="4DCB5B46">
                  <w:pPr>
                    <w:pStyle w:val="54"/>
                    <w:spacing w:beforeLines="0" w:afterLines="0" w:line="240" w:lineRule="auto"/>
                    <w:ind w:firstLine="0" w:firstLineChars="0"/>
                    <w:rPr>
                      <w:rFonts w:hint="eastAsia" w:ascii="Times New Roman" w:hAnsi="Times New Roman" w:eastAsia="宋体" w:cs="Times New Roman"/>
                      <w:snapToGrid w:val="0"/>
                      <w:color w:val="FF0000"/>
                      <w:kern w:val="21"/>
                      <w:szCs w:val="21"/>
                      <w:highlight w:val="none"/>
                      <w:lang w:val="en-US" w:eastAsia="zh-CN"/>
                    </w:rPr>
                  </w:pPr>
                  <w:r>
                    <w:rPr>
                      <w:rFonts w:hint="eastAsia" w:ascii="Times New Roman" w:hAnsi="Times New Roman" w:eastAsia="宋体" w:cs="Times New Roman"/>
                      <w:snapToGrid w:val="0"/>
                      <w:color w:val="FF0000"/>
                      <w:kern w:val="21"/>
                      <w:szCs w:val="21"/>
                      <w:highlight w:val="none"/>
                      <w:lang w:val="en-US" w:eastAsia="zh-CN"/>
                    </w:rPr>
                    <w:t>0.169</w:t>
                  </w:r>
                </w:p>
              </w:tc>
              <w:tc>
                <w:tcPr>
                  <w:tcW w:w="1333" w:type="dxa"/>
                  <w:tcBorders>
                    <w:bottom w:val="single" w:color="auto" w:sz="12" w:space="0"/>
                  </w:tcBorders>
                  <w:vAlign w:val="center"/>
                </w:tcPr>
                <w:p w14:paraId="16D49305">
                  <w:pPr>
                    <w:pStyle w:val="54"/>
                    <w:spacing w:beforeLines="0" w:afterLines="0" w:line="240" w:lineRule="auto"/>
                    <w:ind w:firstLine="0" w:firstLineChars="0"/>
                    <w:rPr>
                      <w:rFonts w:hint="default" w:ascii="Times New Roman" w:hAnsi="Times New Roman" w:eastAsia="宋体" w:cs="Times New Roman"/>
                      <w:snapToGrid w:val="0"/>
                      <w:color w:val="FF0000"/>
                      <w:kern w:val="21"/>
                      <w:szCs w:val="21"/>
                      <w:highlight w:val="none"/>
                      <w:lang w:val="en-US" w:eastAsia="zh-CN"/>
                    </w:rPr>
                  </w:pPr>
                  <w:r>
                    <w:rPr>
                      <w:rFonts w:hint="eastAsia" w:ascii="Times New Roman" w:cs="Times New Roman"/>
                      <w:snapToGrid w:val="0"/>
                      <w:color w:val="FF0000"/>
                      <w:kern w:val="21"/>
                      <w:szCs w:val="21"/>
                      <w:highlight w:val="none"/>
                      <w:lang w:val="en-US" w:eastAsia="zh-CN"/>
                    </w:rPr>
                    <w:t>0</w:t>
                  </w:r>
                </w:p>
              </w:tc>
              <w:tc>
                <w:tcPr>
                  <w:tcW w:w="1334" w:type="dxa"/>
                  <w:tcBorders>
                    <w:bottom w:val="single" w:color="auto" w:sz="12" w:space="0"/>
                  </w:tcBorders>
                  <w:vAlign w:val="center"/>
                </w:tcPr>
                <w:p w14:paraId="6486FD47">
                  <w:pPr>
                    <w:pStyle w:val="54"/>
                    <w:spacing w:beforeLines="0" w:afterLines="0" w:line="240" w:lineRule="auto"/>
                    <w:ind w:firstLine="0" w:firstLineChars="0"/>
                    <w:rPr>
                      <w:rFonts w:hint="eastAsia" w:ascii="Times New Roman" w:hAnsi="Times New Roman" w:eastAsia="宋体" w:cs="Times New Roman"/>
                      <w:snapToGrid w:val="0"/>
                      <w:color w:val="FF0000"/>
                      <w:kern w:val="21"/>
                      <w:szCs w:val="21"/>
                      <w:highlight w:val="none"/>
                      <w:lang w:val="en-US" w:eastAsia="zh-CN"/>
                    </w:rPr>
                  </w:pPr>
                  <w:r>
                    <w:rPr>
                      <w:rFonts w:hint="eastAsia" w:ascii="Times New Roman" w:cs="Times New Roman"/>
                      <w:snapToGrid w:val="0"/>
                      <w:color w:val="FF0000"/>
                      <w:kern w:val="21"/>
                      <w:szCs w:val="21"/>
                      <w:highlight w:val="none"/>
                      <w:lang w:val="en-US" w:eastAsia="zh-CN"/>
                    </w:rPr>
                    <w:t>0</w:t>
                  </w:r>
                </w:p>
              </w:tc>
              <w:tc>
                <w:tcPr>
                  <w:tcW w:w="1548" w:type="dxa"/>
                  <w:tcBorders>
                    <w:bottom w:val="single" w:color="auto" w:sz="12" w:space="0"/>
                  </w:tcBorders>
                  <w:vAlign w:val="center"/>
                </w:tcPr>
                <w:p w14:paraId="18BE300D">
                  <w:pPr>
                    <w:pStyle w:val="54"/>
                    <w:spacing w:beforeLines="0" w:afterLines="0" w:line="240" w:lineRule="auto"/>
                    <w:ind w:firstLine="0" w:firstLineChars="0"/>
                    <w:rPr>
                      <w:rFonts w:hint="default" w:ascii="Times New Roman" w:hAnsi="Times New Roman" w:eastAsia="宋体" w:cs="Times New Roman"/>
                      <w:snapToGrid w:val="0"/>
                      <w:color w:val="FF0000"/>
                      <w:kern w:val="21"/>
                      <w:szCs w:val="21"/>
                      <w:highlight w:val="none"/>
                      <w:lang w:val="en-US" w:eastAsia="zh-CN"/>
                    </w:rPr>
                  </w:pPr>
                  <w:r>
                    <w:rPr>
                      <w:rFonts w:hint="eastAsia" w:ascii="Times New Roman" w:cs="Times New Roman"/>
                      <w:snapToGrid w:val="0"/>
                      <w:color w:val="FF0000"/>
                      <w:kern w:val="21"/>
                      <w:szCs w:val="21"/>
                      <w:highlight w:val="none"/>
                      <w:lang w:val="en-US" w:eastAsia="zh-CN"/>
                    </w:rPr>
                    <w:t>0.169</w:t>
                  </w:r>
                </w:p>
              </w:tc>
              <w:tc>
                <w:tcPr>
                  <w:tcW w:w="1120" w:type="dxa"/>
                  <w:tcBorders>
                    <w:bottom w:val="single" w:color="auto" w:sz="12" w:space="0"/>
                    <w:right w:val="nil"/>
                  </w:tcBorders>
                  <w:vAlign w:val="center"/>
                </w:tcPr>
                <w:p w14:paraId="16468C71">
                  <w:pPr>
                    <w:pStyle w:val="54"/>
                    <w:spacing w:beforeLines="0" w:afterLines="0" w:line="240" w:lineRule="auto"/>
                    <w:ind w:firstLine="0" w:firstLineChars="0"/>
                    <w:rPr>
                      <w:rFonts w:hint="default" w:ascii="Times New Roman" w:hAnsi="Times New Roman" w:eastAsia="宋体" w:cs="Times New Roman"/>
                      <w:snapToGrid w:val="0"/>
                      <w:color w:val="FF0000"/>
                      <w:kern w:val="21"/>
                      <w:szCs w:val="21"/>
                      <w:highlight w:val="none"/>
                      <w:lang w:val="en-US" w:eastAsia="zh-CN"/>
                    </w:rPr>
                  </w:pPr>
                  <w:r>
                    <w:rPr>
                      <w:rFonts w:hint="eastAsia" w:ascii="Times New Roman" w:hAnsi="Times New Roman" w:eastAsia="宋体" w:cs="Times New Roman"/>
                      <w:snapToGrid w:val="0"/>
                      <w:color w:val="FF0000"/>
                      <w:kern w:val="21"/>
                      <w:szCs w:val="21"/>
                      <w:highlight w:val="none"/>
                      <w:lang w:val="en-US" w:eastAsia="zh-CN"/>
                    </w:rPr>
                    <w:t>+</w:t>
                  </w:r>
                  <w:r>
                    <w:rPr>
                      <w:rFonts w:hint="eastAsia" w:ascii="Times New Roman" w:cs="Times New Roman"/>
                      <w:snapToGrid w:val="0"/>
                      <w:color w:val="FF0000"/>
                      <w:kern w:val="21"/>
                      <w:szCs w:val="21"/>
                      <w:highlight w:val="none"/>
                      <w:lang w:val="en-US" w:eastAsia="zh-CN"/>
                    </w:rPr>
                    <w:t>0</w:t>
                  </w:r>
                </w:p>
              </w:tc>
            </w:tr>
          </w:tbl>
          <w:p w14:paraId="48A134B2">
            <w:pPr>
              <w:pStyle w:val="58"/>
              <w:autoSpaceDE w:val="0"/>
              <w:autoSpaceDN w:val="0"/>
              <w:spacing w:line="360" w:lineRule="auto"/>
              <w:ind w:left="0" w:leftChars="0" w:right="0" w:rightChars="0" w:firstLine="0" w:firstLineChars="0"/>
              <w:jc w:val="center"/>
              <w:rPr>
                <w:rFonts w:hint="eastAsia" w:ascii="Times New Roman" w:hAnsi="Times New Roman" w:cs="Times New Roman"/>
                <w:b/>
                <w:bCs/>
                <w:color w:val="FF0000"/>
                <w:sz w:val="24"/>
                <w:highlight w:val="none"/>
                <w:lang w:val="en-US" w:eastAsia="zh-CN"/>
              </w:rPr>
            </w:pPr>
          </w:p>
          <w:p w14:paraId="45CF5872">
            <w:pPr>
              <w:pStyle w:val="58"/>
              <w:autoSpaceDE w:val="0"/>
              <w:autoSpaceDN w:val="0"/>
              <w:spacing w:line="360" w:lineRule="auto"/>
              <w:ind w:left="0" w:leftChars="0" w:right="0" w:rightChars="0" w:firstLine="0" w:firstLineChars="0"/>
              <w:jc w:val="center"/>
              <w:rPr>
                <w:rFonts w:hint="eastAsia" w:ascii="Times New Roman" w:hAnsi="Times New Roman" w:cs="Times New Roman"/>
                <w:b/>
                <w:bCs/>
                <w:color w:val="FF0000"/>
                <w:sz w:val="24"/>
                <w:highlight w:val="none"/>
                <w:lang w:val="en-US" w:eastAsia="zh-CN"/>
              </w:rPr>
            </w:pPr>
          </w:p>
          <w:p w14:paraId="565AF3C0">
            <w:pPr>
              <w:pStyle w:val="58"/>
              <w:autoSpaceDE w:val="0"/>
              <w:autoSpaceDN w:val="0"/>
              <w:spacing w:line="360" w:lineRule="auto"/>
              <w:ind w:left="0" w:leftChars="0" w:right="0" w:rightChars="0" w:firstLine="0" w:firstLineChars="0"/>
              <w:jc w:val="center"/>
              <w:rPr>
                <w:rFonts w:hint="eastAsia" w:ascii="Times New Roman" w:hAnsi="Times New Roman" w:cs="Times New Roman"/>
                <w:b/>
                <w:bCs/>
                <w:color w:val="FF0000"/>
                <w:sz w:val="24"/>
                <w:highlight w:val="none"/>
                <w:lang w:val="en-US" w:eastAsia="zh-CN"/>
              </w:rPr>
            </w:pPr>
          </w:p>
          <w:p w14:paraId="407D7C74">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56F00040">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4A694805">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3FB7EA13">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691A2488">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7F0D314C">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32711BD8">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414B0534">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496EAFAF">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4CEB1D98">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557BE2C0">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2D07801A">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24EE44C4">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4F80CA72">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1792989D">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00391079">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1B66352A">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69EA34D4">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2543E3A9">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50AA9D70">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458881FA">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2909F19F">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58DD5818">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3886BC23">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1FB41F6B">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543913C8">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18088FEE">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43BDE9CA">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20C17E7A">
            <w:pPr>
              <w:pStyle w:val="58"/>
              <w:autoSpaceDE w:val="0"/>
              <w:autoSpaceDN w:val="0"/>
              <w:spacing w:line="360" w:lineRule="auto"/>
              <w:rPr>
                <w:rFonts w:hint="eastAsia" w:ascii="Times New Roman" w:hAnsi="Times New Roman" w:cs="Times New Roman"/>
                <w:color w:val="000000" w:themeColor="text1"/>
                <w:kern w:val="0"/>
                <w:szCs w:val="21"/>
                <w:lang w:val="en-US" w:eastAsia="zh-CN"/>
                <w14:textFill>
                  <w14:solidFill>
                    <w14:schemeClr w14:val="tx1"/>
                  </w14:solidFill>
                </w14:textFill>
              </w:rPr>
            </w:pPr>
          </w:p>
          <w:p w14:paraId="173DB911">
            <w:pPr>
              <w:pStyle w:val="58"/>
              <w:autoSpaceDE w:val="0"/>
              <w:autoSpaceDN w:val="0"/>
              <w:spacing w:line="360" w:lineRule="auto"/>
              <w:rPr>
                <w:rFonts w:hint="eastAsia" w:ascii="Times New Roman" w:hAnsi="Times New Roman" w:eastAsia="宋体" w:cs="Times New Roman"/>
                <w:color w:val="000000" w:themeColor="text1"/>
                <w:kern w:val="0"/>
                <w:szCs w:val="21"/>
                <w:lang w:val="en-US" w:eastAsia="zh-CN"/>
                <w14:textFill>
                  <w14:solidFill>
                    <w14:schemeClr w14:val="tx1"/>
                  </w14:solidFill>
                </w14:textFill>
              </w:rPr>
            </w:pPr>
          </w:p>
        </w:tc>
      </w:tr>
    </w:tbl>
    <w:p w14:paraId="39313954">
      <w:pPr>
        <w:pStyle w:val="24"/>
        <w:spacing w:before="0" w:beforeAutospacing="0" w:after="0" w:afterAutospacing="0" w:line="360" w:lineRule="auto"/>
        <w:jc w:val="center"/>
        <w:outlineLvl w:val="0"/>
        <w:rPr>
          <w:rFonts w:ascii="Times New Roman" w:hAnsi="Times New Roman" w:eastAsia="黑体"/>
          <w:snapToGrid w:val="0"/>
          <w:color w:val="000000" w:themeColor="text1"/>
          <w:sz w:val="30"/>
          <w:szCs w:val="30"/>
          <w:highlight w:val="yellow"/>
          <w14:textFill>
            <w14:solidFill>
              <w14:schemeClr w14:val="tx1"/>
            </w14:solidFill>
          </w14:textFill>
        </w:rPr>
      </w:pPr>
      <w:r>
        <w:rPr>
          <w:rFonts w:ascii="Times New Roman" w:hAnsi="Times New Roman" w:eastAsia="黑体"/>
          <w:snapToGrid w:val="0"/>
          <w:color w:val="000000" w:themeColor="text1"/>
          <w:sz w:val="36"/>
          <w:szCs w:val="36"/>
          <w14:textFill>
            <w14:solidFill>
              <w14:schemeClr w14:val="tx1"/>
            </w14:solidFill>
          </w14:textFill>
        </w:rPr>
        <w:br w:type="page"/>
      </w:r>
      <w:bookmarkStart w:id="25" w:name="_Toc19045"/>
      <w:r>
        <w:rPr>
          <w:rFonts w:ascii="Times New Roman" w:hAnsi="Times New Roman" w:eastAsia="黑体"/>
          <w:snapToGrid w:val="0"/>
          <w:color w:val="000000" w:themeColor="text1"/>
          <w:sz w:val="30"/>
          <w:szCs w:val="30"/>
          <w:highlight w:val="none"/>
          <w14:textFill>
            <w14:solidFill>
              <w14:schemeClr w14:val="tx1"/>
            </w14:solidFill>
          </w14:textFill>
        </w:rPr>
        <w:t>四、主要环境影响和保护措施</w:t>
      </w:r>
      <w:bookmarkEnd w:id="25"/>
    </w:p>
    <w:tbl>
      <w:tblPr>
        <w:tblStyle w:val="28"/>
        <w:tblW w:w="893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8"/>
        <w:gridCol w:w="8053"/>
      </w:tblGrid>
      <w:tr w14:paraId="09AF0C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5" w:hRule="atLeast"/>
          <w:jc w:val="center"/>
        </w:trPr>
        <w:tc>
          <w:tcPr>
            <w:tcW w:w="878" w:type="dxa"/>
            <w:tcMar>
              <w:left w:w="28" w:type="dxa"/>
              <w:right w:w="28" w:type="dxa"/>
            </w:tcMar>
            <w:vAlign w:val="center"/>
          </w:tcPr>
          <w:p w14:paraId="66D0B3B2">
            <w:pPr>
              <w:pStyle w:val="24"/>
              <w:adjustRightInd w:val="0"/>
              <w:snapToGrid w:val="0"/>
              <w:spacing w:before="0" w:beforeAutospacing="0" w:after="0" w:afterAutospacing="0"/>
              <w:jc w:val="center"/>
              <w:rPr>
                <w:rFonts w:ascii="Times New Roman" w:hAnsi="Times New Roman"/>
                <w:color w:val="000000" w:themeColor="text1"/>
                <w:kern w:val="2"/>
                <w:sz w:val="24"/>
                <w:szCs w:val="24"/>
                <w:highlight w:val="none"/>
                <w14:textFill>
                  <w14:solidFill>
                    <w14:schemeClr w14:val="tx1"/>
                  </w14:solidFill>
                </w14:textFill>
              </w:rPr>
            </w:pPr>
            <w:r>
              <w:rPr>
                <w:rFonts w:ascii="Times New Roman" w:hAnsi="Times New Roman"/>
                <w:color w:val="000000" w:themeColor="text1"/>
                <w:kern w:val="2"/>
                <w:sz w:val="24"/>
                <w:szCs w:val="24"/>
                <w:highlight w:val="none"/>
                <w14:textFill>
                  <w14:solidFill>
                    <w14:schemeClr w14:val="tx1"/>
                  </w14:solidFill>
                </w14:textFill>
              </w:rPr>
              <w:t>施工</w:t>
            </w:r>
          </w:p>
          <w:p w14:paraId="650A3CE9">
            <w:pPr>
              <w:pStyle w:val="24"/>
              <w:adjustRightInd w:val="0"/>
              <w:snapToGrid w:val="0"/>
              <w:spacing w:before="0" w:beforeAutospacing="0" w:after="0" w:afterAutospacing="0"/>
              <w:jc w:val="center"/>
              <w:rPr>
                <w:rFonts w:ascii="Times New Roman" w:hAnsi="Times New Roman"/>
                <w:color w:val="000000" w:themeColor="text1"/>
                <w:kern w:val="2"/>
                <w:sz w:val="24"/>
                <w:szCs w:val="24"/>
                <w:highlight w:val="none"/>
                <w14:textFill>
                  <w14:solidFill>
                    <w14:schemeClr w14:val="tx1"/>
                  </w14:solidFill>
                </w14:textFill>
              </w:rPr>
            </w:pPr>
            <w:r>
              <w:rPr>
                <w:rFonts w:ascii="Times New Roman" w:hAnsi="Times New Roman"/>
                <w:color w:val="000000" w:themeColor="text1"/>
                <w:kern w:val="2"/>
                <w:sz w:val="24"/>
                <w:szCs w:val="24"/>
                <w:highlight w:val="none"/>
                <w14:textFill>
                  <w14:solidFill>
                    <w14:schemeClr w14:val="tx1"/>
                  </w14:solidFill>
                </w14:textFill>
              </w:rPr>
              <w:t>期环</w:t>
            </w:r>
          </w:p>
          <w:p w14:paraId="2ECEAF46">
            <w:pPr>
              <w:pStyle w:val="24"/>
              <w:adjustRightInd w:val="0"/>
              <w:snapToGrid w:val="0"/>
              <w:spacing w:before="0" w:beforeAutospacing="0" w:after="0" w:afterAutospacing="0"/>
              <w:jc w:val="center"/>
              <w:rPr>
                <w:rFonts w:ascii="Times New Roman" w:hAnsi="Times New Roman"/>
                <w:color w:val="000000" w:themeColor="text1"/>
                <w:kern w:val="2"/>
                <w:sz w:val="24"/>
                <w:szCs w:val="24"/>
                <w:highlight w:val="none"/>
                <w14:textFill>
                  <w14:solidFill>
                    <w14:schemeClr w14:val="tx1"/>
                  </w14:solidFill>
                </w14:textFill>
              </w:rPr>
            </w:pPr>
            <w:r>
              <w:rPr>
                <w:rFonts w:ascii="Times New Roman" w:hAnsi="Times New Roman"/>
                <w:color w:val="000000" w:themeColor="text1"/>
                <w:kern w:val="2"/>
                <w:sz w:val="24"/>
                <w:szCs w:val="24"/>
                <w:highlight w:val="none"/>
                <w14:textFill>
                  <w14:solidFill>
                    <w14:schemeClr w14:val="tx1"/>
                  </w14:solidFill>
                </w14:textFill>
              </w:rPr>
              <w:t>境保</w:t>
            </w:r>
          </w:p>
          <w:p w14:paraId="6FF944AB">
            <w:pPr>
              <w:pStyle w:val="24"/>
              <w:adjustRightInd w:val="0"/>
              <w:snapToGrid w:val="0"/>
              <w:spacing w:before="0" w:beforeAutospacing="0" w:after="0" w:afterAutospacing="0"/>
              <w:jc w:val="center"/>
              <w:rPr>
                <w:rFonts w:ascii="Times New Roman" w:hAnsi="Times New Roman"/>
                <w:color w:val="000000" w:themeColor="text1"/>
                <w:kern w:val="2"/>
                <w:sz w:val="24"/>
                <w:szCs w:val="24"/>
                <w:highlight w:val="none"/>
                <w14:textFill>
                  <w14:solidFill>
                    <w14:schemeClr w14:val="tx1"/>
                  </w14:solidFill>
                </w14:textFill>
              </w:rPr>
            </w:pPr>
            <w:r>
              <w:rPr>
                <w:rFonts w:ascii="Times New Roman" w:hAnsi="Times New Roman"/>
                <w:color w:val="000000" w:themeColor="text1"/>
                <w:kern w:val="2"/>
                <w:sz w:val="24"/>
                <w:szCs w:val="24"/>
                <w:highlight w:val="none"/>
                <w14:textFill>
                  <w14:solidFill>
                    <w14:schemeClr w14:val="tx1"/>
                  </w14:solidFill>
                </w14:textFill>
              </w:rPr>
              <w:t>护措</w:t>
            </w:r>
          </w:p>
          <w:p w14:paraId="4F991878">
            <w:pPr>
              <w:pStyle w:val="24"/>
              <w:adjustRightInd w:val="0"/>
              <w:snapToGrid w:val="0"/>
              <w:spacing w:before="0" w:beforeAutospacing="0" w:after="0" w:afterAutospacing="0"/>
              <w:jc w:val="center"/>
              <w:rPr>
                <w:rFonts w:ascii="Times New Roman" w:hAnsi="Times New Roman"/>
                <w:bCs/>
                <w:color w:val="000000" w:themeColor="text1"/>
                <w:kern w:val="2"/>
                <w:sz w:val="21"/>
                <w:szCs w:val="21"/>
                <w:highlight w:val="yellow"/>
                <w14:textFill>
                  <w14:solidFill>
                    <w14:schemeClr w14:val="tx1"/>
                  </w14:solidFill>
                </w14:textFill>
              </w:rPr>
            </w:pPr>
            <w:r>
              <w:rPr>
                <w:rFonts w:ascii="Times New Roman" w:hAnsi="Times New Roman"/>
                <w:color w:val="000000" w:themeColor="text1"/>
                <w:kern w:val="2"/>
                <w:sz w:val="24"/>
                <w:szCs w:val="24"/>
                <w:highlight w:val="none"/>
                <w14:textFill>
                  <w14:solidFill>
                    <w14:schemeClr w14:val="tx1"/>
                  </w14:solidFill>
                </w14:textFill>
              </w:rPr>
              <w:t>施</w:t>
            </w:r>
          </w:p>
        </w:tc>
        <w:tc>
          <w:tcPr>
            <w:tcW w:w="8053" w:type="dxa"/>
          </w:tcPr>
          <w:p w14:paraId="3265CFB4">
            <w:pPr>
              <w:adjustRightInd w:val="0"/>
              <w:snapToGrid w:val="0"/>
              <w:spacing w:line="360" w:lineRule="auto"/>
              <w:ind w:firstLine="480" w:firstLineChars="200"/>
              <w:rPr>
                <w:bCs/>
                <w:color w:val="000000" w:themeColor="text1"/>
                <w:spacing w:val="-10"/>
                <w:szCs w:val="21"/>
                <w:highlight w:val="yellow"/>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本次施工期仅涉及</w:t>
            </w:r>
            <w:r>
              <w:rPr>
                <w:rFonts w:hint="eastAsia" w:cs="Times New Roman"/>
                <w:bCs/>
                <w:color w:val="000000" w:themeColor="text1"/>
                <w:kern w:val="2"/>
                <w:sz w:val="24"/>
                <w:szCs w:val="24"/>
                <w:highlight w:val="none"/>
                <w:lang w:val="en-US" w:eastAsia="zh-CN" w:bidi="ar-SA"/>
                <w14:textFill>
                  <w14:solidFill>
                    <w14:schemeClr w14:val="tx1"/>
                  </w14:solidFill>
                </w14:textFill>
              </w:rPr>
              <w:t>设备更换、</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初期雨水池、油烟净化器等环保工程建设，</w:t>
            </w:r>
            <w:r>
              <w:rPr>
                <w:rFonts w:hint="eastAsia" w:cs="Times New Roman"/>
                <w:bCs/>
                <w:color w:val="000000" w:themeColor="text1"/>
                <w:kern w:val="2"/>
                <w:sz w:val="24"/>
                <w:szCs w:val="24"/>
                <w:highlight w:val="none"/>
                <w:lang w:val="en-US" w:eastAsia="zh-CN" w:bidi="ar-SA"/>
                <w14:textFill>
                  <w14:solidFill>
                    <w14:schemeClr w14:val="tx1"/>
                  </w14:solidFill>
                </w14:textFill>
              </w:rPr>
              <w:t>影响较小，</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因此本次环评不再分析施工期环境影响</w:t>
            </w:r>
            <w:r>
              <w:rPr>
                <w:rFonts w:hint="eastAsia" w:cs="Times New Roman"/>
                <w:bCs/>
                <w:color w:val="000000" w:themeColor="text1"/>
                <w:kern w:val="2"/>
                <w:sz w:val="24"/>
                <w:szCs w:val="24"/>
                <w:highlight w:val="none"/>
                <w:lang w:val="en-US" w:eastAsia="zh-CN" w:bidi="ar-SA"/>
                <w14:textFill>
                  <w14:solidFill>
                    <w14:schemeClr w14:val="tx1"/>
                  </w14:solidFill>
                </w14:textFill>
              </w:rPr>
              <w:t>。</w:t>
            </w:r>
          </w:p>
        </w:tc>
      </w:tr>
      <w:tr w14:paraId="539FCD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10" w:hRule="atLeast"/>
          <w:jc w:val="center"/>
        </w:trPr>
        <w:tc>
          <w:tcPr>
            <w:tcW w:w="878" w:type="dxa"/>
            <w:tcMar>
              <w:left w:w="28" w:type="dxa"/>
              <w:right w:w="28" w:type="dxa"/>
            </w:tcMar>
            <w:vAlign w:val="center"/>
          </w:tcPr>
          <w:p w14:paraId="0D778A3E">
            <w:pPr>
              <w:adjustRightInd w:val="0"/>
              <w:snapToGrid w:val="0"/>
              <w:jc w:val="center"/>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运营</w:t>
            </w:r>
          </w:p>
          <w:p w14:paraId="12CD203A">
            <w:pPr>
              <w:adjustRightInd w:val="0"/>
              <w:snapToGrid w:val="0"/>
              <w:jc w:val="center"/>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期环</w:t>
            </w:r>
          </w:p>
          <w:p w14:paraId="42B660FD">
            <w:pPr>
              <w:adjustRightInd w:val="0"/>
              <w:snapToGrid w:val="0"/>
              <w:jc w:val="center"/>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境影</w:t>
            </w:r>
          </w:p>
          <w:p w14:paraId="2CFABC85">
            <w:pPr>
              <w:adjustRightInd w:val="0"/>
              <w:snapToGrid w:val="0"/>
              <w:jc w:val="center"/>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响和</w:t>
            </w:r>
          </w:p>
          <w:p w14:paraId="160A17AA">
            <w:pPr>
              <w:adjustRightInd w:val="0"/>
              <w:snapToGrid w:val="0"/>
              <w:jc w:val="center"/>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保护</w:t>
            </w:r>
          </w:p>
          <w:p w14:paraId="65208B57">
            <w:pPr>
              <w:adjustRightInd w:val="0"/>
              <w:snapToGrid w:val="0"/>
              <w:jc w:val="center"/>
              <w:rPr>
                <w:bCs/>
                <w:color w:val="000000" w:themeColor="text1"/>
                <w:sz w:val="24"/>
                <w:highlight w:val="yellow"/>
                <w14:textFill>
                  <w14:solidFill>
                    <w14:schemeClr w14:val="tx1"/>
                  </w14:solidFill>
                </w14:textFill>
              </w:rPr>
            </w:pPr>
            <w:r>
              <w:rPr>
                <w:bCs/>
                <w:color w:val="000000" w:themeColor="text1"/>
                <w:sz w:val="24"/>
                <w:highlight w:val="none"/>
                <w14:textFill>
                  <w14:solidFill>
                    <w14:schemeClr w14:val="tx1"/>
                  </w14:solidFill>
                </w14:textFill>
              </w:rPr>
              <w:t>措施</w:t>
            </w:r>
          </w:p>
        </w:tc>
        <w:tc>
          <w:tcPr>
            <w:tcW w:w="8053" w:type="dxa"/>
          </w:tcPr>
          <w:p w14:paraId="547C764A">
            <w:pPr>
              <w:spacing w:line="360" w:lineRule="auto"/>
              <w:ind w:firstLine="482" w:firstLineChars="200"/>
              <w:rPr>
                <w:rFonts w:hint="eastAsia" w:eastAsia="宋体"/>
                <w:b/>
                <w:color w:val="000000" w:themeColor="text1"/>
                <w:sz w:val="24"/>
                <w:highlight w:val="none"/>
                <w:lang w:eastAsia="zh-CN"/>
                <w14:textFill>
                  <w14:solidFill>
                    <w14:schemeClr w14:val="tx1"/>
                  </w14:solidFill>
                </w14:textFill>
              </w:rPr>
            </w:pPr>
            <w:r>
              <w:rPr>
                <w:b/>
                <w:color w:val="000000" w:themeColor="text1"/>
                <w:sz w:val="24"/>
                <w:highlight w:val="none"/>
                <w14:textFill>
                  <w14:solidFill>
                    <w14:schemeClr w14:val="tx1"/>
                  </w14:solidFill>
                </w14:textFill>
              </w:rPr>
              <w:t>1、</w:t>
            </w:r>
            <w:r>
              <w:rPr>
                <w:rFonts w:hint="eastAsia"/>
                <w:b/>
                <w:color w:val="000000" w:themeColor="text1"/>
                <w:sz w:val="24"/>
                <w:highlight w:val="none"/>
                <w:lang w:val="en-US" w:eastAsia="zh-CN"/>
                <w14:textFill>
                  <w14:solidFill>
                    <w14:schemeClr w14:val="tx1"/>
                  </w14:solidFill>
                </w14:textFill>
              </w:rPr>
              <w:t>废气</w:t>
            </w:r>
          </w:p>
          <w:p w14:paraId="47B90EC5">
            <w:pPr>
              <w:spacing w:line="360" w:lineRule="auto"/>
              <w:ind w:firstLine="480" w:firstLineChars="20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color w:val="000000" w:themeColor="text1"/>
                <w:kern w:val="2"/>
                <w:sz w:val="24"/>
                <w:szCs w:val="24"/>
                <w:highlight w:val="none"/>
                <w:lang w:val="en-US" w:eastAsia="zh-CN" w:bidi="ar-SA"/>
                <w14:textFill>
                  <w14:solidFill>
                    <w14:schemeClr w14:val="tx1"/>
                  </w14:solidFill>
                </w14:textFill>
              </w:rPr>
              <w:t>（1）废气污染源源强</w:t>
            </w:r>
          </w:p>
          <w:p w14:paraId="6D6A3710">
            <w:pPr>
              <w:spacing w:line="360" w:lineRule="auto"/>
              <w:ind w:firstLine="480" w:firstLineChars="200"/>
              <w:rPr>
                <w:color w:val="000000" w:themeColor="text1"/>
                <w:sz w:val="24"/>
                <w:highlight w:val="none"/>
                <w14:textFill>
                  <w14:solidFill>
                    <w14:schemeClr w14:val="tx1"/>
                  </w14:solidFill>
                </w14:textFill>
              </w:rPr>
            </w:pPr>
            <w:r>
              <w:rPr>
                <w:rFonts w:hint="eastAsia" w:ascii="Times New Roman" w:hAnsi="Times New Roman" w:eastAsia="宋体" w:cs="Times New Roman"/>
                <w:color w:val="FF0000"/>
                <w:kern w:val="2"/>
                <w:sz w:val="24"/>
                <w:szCs w:val="24"/>
                <w:highlight w:val="none"/>
                <w:lang w:val="en-US" w:eastAsia="zh-CN" w:bidi="ar-SA"/>
              </w:rPr>
              <w:t>本项目原料及</w:t>
            </w:r>
            <w:r>
              <w:rPr>
                <w:rFonts w:hint="eastAsia" w:cs="Times New Roman"/>
                <w:color w:val="FF0000"/>
                <w:kern w:val="2"/>
                <w:sz w:val="24"/>
                <w:szCs w:val="24"/>
                <w:highlight w:val="none"/>
                <w:lang w:val="en-US" w:eastAsia="zh-CN" w:bidi="ar-SA"/>
              </w:rPr>
              <w:t>精煤</w:t>
            </w:r>
            <w:r>
              <w:rPr>
                <w:rFonts w:hint="eastAsia" w:ascii="Times New Roman" w:hAnsi="Times New Roman" w:eastAsia="宋体" w:cs="Times New Roman"/>
                <w:color w:val="FF0000"/>
                <w:kern w:val="2"/>
                <w:sz w:val="24"/>
                <w:szCs w:val="24"/>
                <w:highlight w:val="none"/>
                <w:lang w:val="en-US" w:eastAsia="zh-CN" w:bidi="ar-SA"/>
              </w:rPr>
              <w:t>产品暂存均采取全封闭措施。基本不会产生风吹扬尘，由于采用全封闭设施，</w:t>
            </w:r>
            <w:r>
              <w:rPr>
                <w:rFonts w:hint="eastAsia" w:cs="Times New Roman"/>
                <w:color w:val="FF0000"/>
                <w:kern w:val="2"/>
                <w:sz w:val="24"/>
                <w:szCs w:val="24"/>
                <w:highlight w:val="none"/>
                <w:lang w:val="en-US" w:eastAsia="zh-CN" w:bidi="ar-SA"/>
              </w:rPr>
              <w:t>物料</w:t>
            </w:r>
            <w:r>
              <w:rPr>
                <w:rFonts w:hint="eastAsia" w:ascii="Times New Roman" w:hAnsi="Times New Roman" w:eastAsia="宋体" w:cs="Times New Roman"/>
                <w:color w:val="FF0000"/>
                <w:kern w:val="2"/>
                <w:sz w:val="24"/>
                <w:szCs w:val="24"/>
                <w:highlight w:val="none"/>
                <w:lang w:val="en-US" w:eastAsia="zh-CN" w:bidi="ar-SA"/>
              </w:rPr>
              <w:t>装卸均在其内部进行，并进行洒水抑尘，也不会有装卸粉尘外排。根据《污染源源强核算技术指南 锅炉》（HJ991-2018）中4.4.2.1要求“料/堆场采用全封闭型式、储罐采用密闭容器的，废气无组织源强可忽略不计。”因此本次评价对原料和精煤产品物料在暂存期间无组织粉尘排放量忽略不计。</w:t>
            </w:r>
            <w:r>
              <w:rPr>
                <w:rFonts w:hint="eastAsia" w:cs="Times New Roman"/>
                <w:color w:val="FF0000"/>
                <w:kern w:val="2"/>
                <w:sz w:val="24"/>
                <w:szCs w:val="24"/>
                <w:highlight w:val="none"/>
                <w:lang w:val="en-US" w:eastAsia="zh-CN" w:bidi="ar-SA"/>
              </w:rPr>
              <w:t>原煤运输方式为火运，精煤运输方式为汽运、火运。</w:t>
            </w:r>
            <w:r>
              <w:rPr>
                <w:rFonts w:hint="eastAsia" w:cs="Times New Roman"/>
                <w:color w:val="000000" w:themeColor="text1"/>
                <w:kern w:val="2"/>
                <w:sz w:val="24"/>
                <w:szCs w:val="24"/>
                <w:highlight w:val="none"/>
                <w:lang w:val="en-US" w:eastAsia="zh-CN" w:bidi="ar-SA"/>
                <w14:textFill>
                  <w14:solidFill>
                    <w14:schemeClr w14:val="tx1"/>
                  </w14:solidFill>
                </w14:textFill>
              </w:rPr>
              <w:t>中煤和煤泥日产日清，冬季直接运往虹焱热电，夏季外售给大唐双鸭山热电有限公司，</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因此，</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本项目运营期主要大气污染物为原料筛分、破碎过程产生的粉尘、</w:t>
            </w:r>
            <w:r>
              <w:rPr>
                <w:rFonts w:hint="eastAsia" w:cs="Times New Roman"/>
                <w:color w:val="000000" w:themeColor="text1"/>
                <w:sz w:val="24"/>
                <w:szCs w:val="24"/>
                <w:highlight w:val="none"/>
                <w:lang w:val="en-US" w:eastAsia="zh-CN"/>
                <w14:textFill>
                  <w14:solidFill>
                    <w14:schemeClr w14:val="tx1"/>
                  </w14:solidFill>
                </w14:textFill>
              </w:rPr>
              <w:t>中煤、煤泥</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输送过程产生的粉尘</w:t>
            </w:r>
            <w:r>
              <w:rPr>
                <w:rFonts w:hint="eastAsia" w:cs="Times New Roman"/>
                <w:color w:val="000000" w:themeColor="text1"/>
                <w:sz w:val="24"/>
                <w:szCs w:val="24"/>
                <w:highlight w:val="none"/>
                <w:lang w:val="en-US" w:eastAsia="zh-CN"/>
                <w14:textFill>
                  <w14:solidFill>
                    <w14:schemeClr w14:val="tx1"/>
                  </w14:solidFill>
                </w14:textFill>
              </w:rPr>
              <w:t>、</w:t>
            </w:r>
            <w:r>
              <w:rPr>
                <w:rFonts w:hint="eastAsia" w:cs="Times New Roman"/>
                <w:color w:val="FF0000"/>
                <w:sz w:val="24"/>
                <w:szCs w:val="24"/>
                <w:highlight w:val="none"/>
                <w:lang w:val="en-US" w:eastAsia="zh-CN"/>
              </w:rPr>
              <w:t>浮选过程及油类储存产生的非甲烷总烃</w:t>
            </w:r>
            <w:r>
              <w:rPr>
                <w:rFonts w:hint="eastAsia" w:cs="Times New Roman"/>
                <w:color w:val="000000" w:themeColor="text1"/>
                <w:sz w:val="24"/>
                <w:szCs w:val="24"/>
                <w:highlight w:val="none"/>
                <w:lang w:val="en-US" w:eastAsia="zh-CN"/>
                <w14:textFill>
                  <w14:solidFill>
                    <w14:schemeClr w14:val="tx1"/>
                  </w14:solidFill>
                </w14:textFill>
              </w:rPr>
              <w:t>以及食堂油烟</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6A1F0BB7">
            <w:pPr>
              <w:adjustRightInd w:val="0"/>
              <w:snapToGrid w:val="0"/>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①破碎、筛分粉尘</w:t>
            </w:r>
          </w:p>
          <w:p w14:paraId="5D239D9B">
            <w:pPr>
              <w:spacing w:line="360" w:lineRule="auto"/>
              <w:ind w:firstLine="480" w:firstLineChars="200"/>
              <w:rPr>
                <w:rFonts w:hint="default"/>
                <w:color w:val="FF0000"/>
                <w:sz w:val="24"/>
                <w:highlight w:val="none"/>
                <w:lang w:val="en-US" w:eastAsia="zh-CN"/>
              </w:rPr>
            </w:pPr>
            <w:r>
              <w:rPr>
                <w:rFonts w:hint="eastAsia"/>
                <w:color w:val="FF0000"/>
                <w:sz w:val="24"/>
                <w:highlight w:val="none"/>
                <w:lang w:val="en-US" w:eastAsia="zh-CN"/>
              </w:rPr>
              <w:t>本项目年入洗原煤300万吨，根据《逸散性工业粉尘控制技术》“第十九章 煤加工 表19-2煤加工过程逸散尘的排放因子”可知，一级破碎粉尘系数0.01kg/t-破碎料，二级破碎、筛分等过程产生的粉尘系数0.08kg/t-破碎料，合计0.09kg/t-破碎料。则本项目破碎、筛分粉尘产生量约为270t/a。破碎、筛分等工序均进行喷淋降尘，车间内洒水降尘，定期清洗地面，地面沉降粉尘按80%计，喷淋、洒水降尘去除效率按74%计，则无组织排放粉尘量14.04t/a。</w:t>
            </w:r>
          </w:p>
          <w:p w14:paraId="644CACEB">
            <w:pPr>
              <w:spacing w:line="360" w:lineRule="auto"/>
              <w:ind w:firstLine="480" w:firstLineChars="200"/>
              <w:rPr>
                <w:rFonts w:hint="default"/>
                <w:color w:val="000000" w:themeColor="text1"/>
                <w:sz w:val="24"/>
                <w:highlight w:val="yellow"/>
                <w:lang w:val="en-US"/>
                <w14:textFill>
                  <w14:solidFill>
                    <w14:schemeClr w14:val="tx1"/>
                  </w14:solidFill>
                </w14:textFill>
              </w:rPr>
            </w:pPr>
            <w:r>
              <w:rPr>
                <w:rFonts w:hint="eastAsia"/>
                <w:color w:val="FF0000"/>
                <w:sz w:val="24"/>
                <w:highlight w:val="none"/>
                <w:lang w:val="en-US" w:eastAsia="zh-CN"/>
              </w:rPr>
              <w:t>企业原有跳汰选煤工艺，生产规模为300万t/a，本次仅为选煤工艺改扩建，生产规模不变仍为300万t/a，且破碎、筛分工序部分利旧。企业原有规模已运行多年，在破碎、筛分工序采用喷淋降尘措施，厂房内洒水降尘，根据《黑龙江龙煤矿业集团有限责任公司双鸭山分公司中央选煤厂产业升级改造工程竣工环境保护验收监测报告》（2023年9月），验收监测期间，厂界无组织颗粒物监测浓度为0.088mg/m</w:t>
            </w:r>
            <w:r>
              <w:rPr>
                <w:rFonts w:hint="eastAsia"/>
                <w:color w:val="FF0000"/>
                <w:sz w:val="24"/>
                <w:highlight w:val="none"/>
                <w:vertAlign w:val="superscript"/>
                <w:lang w:val="en-US" w:eastAsia="zh-CN"/>
              </w:rPr>
              <w:t>3</w:t>
            </w:r>
            <w:r>
              <w:rPr>
                <w:rFonts w:hint="eastAsia"/>
                <w:color w:val="FF0000"/>
                <w:sz w:val="24"/>
                <w:highlight w:val="none"/>
                <w:lang w:val="en-US" w:eastAsia="zh-CN"/>
              </w:rPr>
              <w:t>~0.183mg/m</w:t>
            </w:r>
            <w:r>
              <w:rPr>
                <w:rFonts w:hint="eastAsia"/>
                <w:color w:val="FF0000"/>
                <w:sz w:val="24"/>
                <w:highlight w:val="none"/>
                <w:vertAlign w:val="superscript"/>
                <w:lang w:val="en-US" w:eastAsia="zh-CN"/>
              </w:rPr>
              <w:t>3</w:t>
            </w:r>
            <w:r>
              <w:rPr>
                <w:rFonts w:hint="eastAsia"/>
                <w:color w:val="FF0000"/>
                <w:sz w:val="24"/>
                <w:highlight w:val="none"/>
                <w:lang w:val="en-US" w:eastAsia="zh-CN"/>
              </w:rPr>
              <w:t>。颗粒物排放浓度满足《煤炭工业污染物排放标准》（GB20246-2006）无组织废气排放标准限值要求。</w:t>
            </w:r>
          </w:p>
          <w:p w14:paraId="1809C908">
            <w:pPr>
              <w:pStyle w:val="97"/>
              <w:spacing w:line="360" w:lineRule="auto"/>
              <w:ind w:firstLine="480" w:firstLineChars="200"/>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②</w:t>
            </w:r>
            <w:r>
              <w:rPr>
                <w:rFonts w:hint="eastAsia" w:eastAsia="宋体" w:cs="Times New Roman"/>
                <w:color w:val="000000" w:themeColor="text1"/>
                <w:sz w:val="24"/>
                <w:szCs w:val="24"/>
                <w:highlight w:val="none"/>
                <w:lang w:val="en-US" w:eastAsia="zh-CN"/>
                <w14:textFill>
                  <w14:solidFill>
                    <w14:schemeClr w14:val="tx1"/>
                  </w14:solidFill>
                </w14:textFill>
              </w:rPr>
              <w:t>中煤</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及</w:t>
            </w:r>
            <w:r>
              <w:rPr>
                <w:rFonts w:hint="eastAsia" w:eastAsia="宋体" w:cs="Times New Roman"/>
                <w:color w:val="000000" w:themeColor="text1"/>
                <w:sz w:val="24"/>
                <w:szCs w:val="24"/>
                <w:highlight w:val="none"/>
                <w:lang w:val="en-US" w:eastAsia="zh-CN"/>
                <w14:textFill>
                  <w14:solidFill>
                    <w14:schemeClr w14:val="tx1"/>
                  </w14:solidFill>
                </w14:textFill>
              </w:rPr>
              <w:t>煤泥堆场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粉尘</w:t>
            </w:r>
          </w:p>
          <w:p w14:paraId="2FACD37D">
            <w:pPr>
              <w:pStyle w:val="65"/>
              <w:rPr>
                <w:color w:val="000000" w:themeColor="text1"/>
                <w:highlight w:val="none"/>
                <w14:textFill>
                  <w14:solidFill>
                    <w14:schemeClr w14:val="tx1"/>
                  </w14:solidFill>
                </w14:textFill>
              </w:rPr>
            </w:pPr>
            <w:r>
              <w:rPr>
                <w:rFonts w:hint="eastAsia"/>
                <w:color w:val="FF0000"/>
                <w:highlight w:val="green"/>
                <w:lang w:val="en-US" w:eastAsia="zh-CN"/>
              </w:rPr>
              <w:t>本</w:t>
            </w:r>
            <w:r>
              <w:rPr>
                <w:color w:val="FF0000"/>
                <w:highlight w:val="green"/>
              </w:rPr>
              <w:t>项目</w:t>
            </w:r>
            <w:r>
              <w:rPr>
                <w:rFonts w:hint="eastAsia"/>
                <w:color w:val="FF0000"/>
                <w:highlight w:val="green"/>
                <w:lang w:val="en-US" w:eastAsia="zh-CN"/>
              </w:rPr>
              <w:t>中煤及煤泥日产日清，冬季直接运往虹焱热电，夏季外售给大唐双鸭山热电有限公司。本项目中煤含水率8%，煤泥含水率24%。煤泥含水率相对较高，堆存时间短，因此仅核算中煤堆存、装卸过程产生的粉尘。</w:t>
            </w:r>
          </w:p>
          <w:p w14:paraId="584294C6">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本项目中煤在装卸过程中粉尘产生情况采用《</w:t>
            </w:r>
            <w:r>
              <w:rPr>
                <w:rFonts w:hint="eastAsia" w:cs="Times New Roman"/>
                <w:color w:val="FF0000"/>
                <w:sz w:val="24"/>
                <w:szCs w:val="24"/>
                <w:highlight w:val="green"/>
                <w:lang w:val="en-US" w:eastAsia="zh-CN"/>
              </w:rPr>
              <w:fldChar w:fldCharType="begin"/>
            </w:r>
            <w:r>
              <w:rPr>
                <w:rFonts w:hint="eastAsia" w:cs="Times New Roman"/>
                <w:color w:val="FF0000"/>
                <w:sz w:val="24"/>
                <w:szCs w:val="24"/>
                <w:highlight w:val="green"/>
                <w:lang w:val="en-US" w:eastAsia="zh-CN"/>
              </w:rPr>
              <w:instrText xml:space="preserve"> HYPERLINK "http://www.mee.gov.cn/gkml/hbb/bgg/201501/W020150107594588131490.pdf" </w:instrText>
            </w:r>
            <w:r>
              <w:rPr>
                <w:rFonts w:hint="eastAsia" w:cs="Times New Roman"/>
                <w:color w:val="FF0000"/>
                <w:sz w:val="24"/>
                <w:szCs w:val="24"/>
                <w:highlight w:val="green"/>
                <w:lang w:val="en-US" w:eastAsia="zh-CN"/>
              </w:rPr>
              <w:fldChar w:fldCharType="separate"/>
            </w:r>
            <w:r>
              <w:rPr>
                <w:rFonts w:hint="eastAsia" w:cs="Times New Roman"/>
                <w:color w:val="FF0000"/>
                <w:sz w:val="24"/>
                <w:szCs w:val="24"/>
                <w:highlight w:val="green"/>
                <w:lang w:val="en-US" w:eastAsia="zh-CN"/>
              </w:rPr>
              <w:t>扬尘源颗粒物排放清单编制技术指南（试行）</w:t>
            </w:r>
            <w:r>
              <w:rPr>
                <w:rFonts w:hint="eastAsia" w:cs="Times New Roman"/>
                <w:color w:val="FF0000"/>
                <w:sz w:val="24"/>
                <w:szCs w:val="24"/>
                <w:highlight w:val="green"/>
                <w:lang w:val="en-US" w:eastAsia="zh-CN"/>
              </w:rPr>
              <w:fldChar w:fldCharType="end"/>
            </w:r>
            <w:r>
              <w:rPr>
                <w:rFonts w:hint="eastAsia" w:cs="Times New Roman"/>
                <w:color w:val="FF0000"/>
                <w:sz w:val="24"/>
                <w:szCs w:val="24"/>
                <w:highlight w:val="green"/>
                <w:lang w:val="en-US" w:eastAsia="zh-CN"/>
              </w:rPr>
              <w:t>》中堆场扬尘排放量计算方法计算。计算公式如下：</w:t>
            </w:r>
          </w:p>
          <w:p w14:paraId="34A8A6E0">
            <w:pPr>
              <w:pStyle w:val="65"/>
              <w:ind w:left="0" w:leftChars="0" w:right="0" w:rightChars="0" w:firstLine="0" w:firstLineChars="0"/>
              <w:jc w:val="center"/>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fldChar w:fldCharType="begin"/>
            </w:r>
            <w:r>
              <w:rPr>
                <w:rFonts w:hint="eastAsia" w:cs="Times New Roman"/>
                <w:color w:val="FF0000"/>
                <w:sz w:val="24"/>
                <w:szCs w:val="24"/>
                <w:highlight w:val="green"/>
                <w:lang w:val="en-US" w:eastAsia="zh-CN"/>
              </w:rPr>
              <w:instrText xml:space="preserve">INCLUDEPICTURE \d "C:\\Users\\Administrator\\AppData\\Roaming\\Tencent\\Users\\1914724654\\QQ\\WinTemp\\RichOle\\~$EE}I55P)E5MZ)%(@PSDDN.png" \* MERGEFORMATINET </w:instrText>
            </w:r>
            <w:r>
              <w:rPr>
                <w:rFonts w:hint="eastAsia" w:cs="Times New Roman"/>
                <w:color w:val="FF0000"/>
                <w:sz w:val="24"/>
                <w:szCs w:val="24"/>
                <w:highlight w:val="green"/>
                <w:lang w:val="en-US" w:eastAsia="zh-CN"/>
              </w:rPr>
              <w:fldChar w:fldCharType="separate"/>
            </w:r>
            <w:r>
              <w:rPr>
                <w:rFonts w:hint="eastAsia" w:cs="Times New Roman"/>
                <w:color w:val="FF0000"/>
                <w:sz w:val="24"/>
                <w:szCs w:val="24"/>
                <w:highlight w:val="green"/>
                <w:lang w:val="en-US" w:eastAsia="zh-CN"/>
              </w:rPr>
              <w:drawing>
                <wp:inline distT="0" distB="0" distL="114300" distR="114300">
                  <wp:extent cx="4610735" cy="828040"/>
                  <wp:effectExtent l="0" t="0" r="18415" b="10160"/>
                  <wp:docPr id="50"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 descr="IMG_256"/>
                          <pic:cNvPicPr>
                            <a:picLocks noChangeAspect="1"/>
                          </pic:cNvPicPr>
                        </pic:nvPicPr>
                        <pic:blipFill>
                          <a:blip r:embed="rId23"/>
                          <a:stretch>
                            <a:fillRect/>
                          </a:stretch>
                        </pic:blipFill>
                        <pic:spPr>
                          <a:xfrm>
                            <a:off x="0" y="0"/>
                            <a:ext cx="4610735" cy="828040"/>
                          </a:xfrm>
                          <a:prstGeom prst="rect">
                            <a:avLst/>
                          </a:prstGeom>
                          <a:noFill/>
                          <a:ln>
                            <a:noFill/>
                          </a:ln>
                        </pic:spPr>
                      </pic:pic>
                    </a:graphicData>
                  </a:graphic>
                </wp:inline>
              </w:drawing>
            </w:r>
            <w:r>
              <w:rPr>
                <w:rFonts w:hint="eastAsia" w:cs="Times New Roman"/>
                <w:color w:val="FF0000"/>
                <w:sz w:val="24"/>
                <w:szCs w:val="24"/>
                <w:highlight w:val="green"/>
                <w:lang w:val="en-US" w:eastAsia="zh-CN"/>
              </w:rPr>
              <w:fldChar w:fldCharType="end"/>
            </w:r>
          </w:p>
          <w:p w14:paraId="16CA4220">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式中：</w:t>
            </w:r>
          </w:p>
          <w:p w14:paraId="53811291">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W</w:t>
            </w:r>
            <w:r>
              <w:rPr>
                <w:rFonts w:hint="eastAsia" w:cs="Times New Roman"/>
                <w:color w:val="FF0000"/>
                <w:sz w:val="24"/>
                <w:szCs w:val="24"/>
                <w:highlight w:val="green"/>
                <w:vertAlign w:val="subscript"/>
                <w:lang w:val="en-US" w:eastAsia="zh-CN"/>
              </w:rPr>
              <w:t>Y</w:t>
            </w:r>
            <w:r>
              <w:rPr>
                <w:rFonts w:hint="eastAsia" w:cs="Times New Roman"/>
                <w:color w:val="FF0000"/>
                <w:sz w:val="24"/>
                <w:szCs w:val="24"/>
                <w:highlight w:val="green"/>
                <w:lang w:val="en-US" w:eastAsia="zh-CN"/>
              </w:rPr>
              <w:t>为堆场扬尘源中颗粒物总排放量，t/a；</w:t>
            </w:r>
          </w:p>
          <w:p w14:paraId="04FECF57">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E</w:t>
            </w:r>
            <w:r>
              <w:rPr>
                <w:rFonts w:hint="eastAsia" w:cs="Times New Roman"/>
                <w:color w:val="FF0000"/>
                <w:sz w:val="24"/>
                <w:szCs w:val="24"/>
                <w:highlight w:val="green"/>
                <w:vertAlign w:val="subscript"/>
                <w:lang w:val="en-US" w:eastAsia="zh-CN"/>
              </w:rPr>
              <w:t>h</w:t>
            </w:r>
            <w:r>
              <w:rPr>
                <w:rFonts w:hint="eastAsia" w:cs="Times New Roman"/>
                <w:color w:val="FF0000"/>
                <w:sz w:val="24"/>
                <w:szCs w:val="24"/>
                <w:highlight w:val="green"/>
                <w:lang w:val="en-US" w:eastAsia="zh-CN"/>
              </w:rPr>
              <w:t>为堆场装卸运输过程的扬尘颗粒物排放系数，kg/t；</w:t>
            </w:r>
          </w:p>
          <w:p w14:paraId="22C007A0">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m为每年料堆物料装卸总次数，本次评价取10000次；</w:t>
            </w:r>
          </w:p>
          <w:p w14:paraId="2E71E722">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G</w:t>
            </w:r>
            <w:r>
              <w:rPr>
                <w:rFonts w:hint="eastAsia" w:cs="Times New Roman"/>
                <w:color w:val="FF0000"/>
                <w:sz w:val="24"/>
                <w:szCs w:val="24"/>
                <w:highlight w:val="green"/>
                <w:vertAlign w:val="subscript"/>
                <w:lang w:val="en-US" w:eastAsia="zh-CN"/>
              </w:rPr>
              <w:t>Yi</w:t>
            </w:r>
            <w:r>
              <w:rPr>
                <w:rFonts w:hint="eastAsia" w:cs="Times New Roman"/>
                <w:color w:val="FF0000"/>
                <w:sz w:val="24"/>
                <w:szCs w:val="24"/>
                <w:highlight w:val="green"/>
                <w:lang w:val="en-US" w:eastAsia="zh-CN"/>
              </w:rPr>
              <w:t>为第i次装卸过程的物料装卸量，本次评价取自卸车载重量30t；</w:t>
            </w:r>
          </w:p>
          <w:p w14:paraId="0C10A03F">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E</w:t>
            </w:r>
            <w:r>
              <w:rPr>
                <w:rFonts w:hint="eastAsia" w:cs="Times New Roman"/>
                <w:color w:val="FF0000"/>
                <w:sz w:val="24"/>
                <w:szCs w:val="24"/>
                <w:highlight w:val="green"/>
                <w:vertAlign w:val="subscript"/>
                <w:lang w:val="en-US" w:eastAsia="zh-CN"/>
              </w:rPr>
              <w:t>w</w:t>
            </w:r>
            <w:r>
              <w:rPr>
                <w:rFonts w:hint="eastAsia" w:cs="Times New Roman"/>
                <w:color w:val="FF0000"/>
                <w:sz w:val="24"/>
                <w:szCs w:val="24"/>
                <w:highlight w:val="green"/>
                <w:lang w:val="en-US" w:eastAsia="zh-CN"/>
              </w:rPr>
              <w:t>为料堆受到风蚀作用的颗粒物排放系数，kg/m</w:t>
            </w:r>
            <w:r>
              <w:rPr>
                <w:rFonts w:hint="eastAsia" w:cs="Times New Roman"/>
                <w:color w:val="FF0000"/>
                <w:sz w:val="24"/>
                <w:szCs w:val="24"/>
                <w:highlight w:val="green"/>
                <w:vertAlign w:val="superscript"/>
                <w:lang w:val="en-US" w:eastAsia="zh-CN"/>
              </w:rPr>
              <w:t>2</w:t>
            </w:r>
            <w:r>
              <w:rPr>
                <w:rFonts w:hint="eastAsia" w:cs="Times New Roman"/>
                <w:color w:val="FF0000"/>
                <w:sz w:val="24"/>
                <w:szCs w:val="24"/>
                <w:highlight w:val="green"/>
                <w:lang w:val="en-US" w:eastAsia="zh-CN"/>
              </w:rPr>
              <w:t>；</w:t>
            </w:r>
          </w:p>
          <w:p w14:paraId="732703CF">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A</w:t>
            </w:r>
            <w:r>
              <w:rPr>
                <w:rFonts w:hint="eastAsia" w:cs="Times New Roman"/>
                <w:color w:val="FF0000"/>
                <w:sz w:val="24"/>
                <w:szCs w:val="24"/>
                <w:highlight w:val="green"/>
                <w:vertAlign w:val="subscript"/>
                <w:lang w:val="en-US" w:eastAsia="zh-CN"/>
              </w:rPr>
              <w:t>Y</w:t>
            </w:r>
            <w:r>
              <w:rPr>
                <w:rFonts w:hint="eastAsia" w:cs="Times New Roman"/>
                <w:color w:val="FF0000"/>
                <w:sz w:val="24"/>
                <w:szCs w:val="24"/>
                <w:highlight w:val="green"/>
                <w:lang w:val="en-US" w:eastAsia="zh-CN"/>
              </w:rPr>
              <w:t>为料堆表面积，本次评价取200m</w:t>
            </w:r>
            <w:r>
              <w:rPr>
                <w:rFonts w:hint="eastAsia" w:cs="Times New Roman"/>
                <w:color w:val="FF0000"/>
                <w:sz w:val="24"/>
                <w:szCs w:val="24"/>
                <w:highlight w:val="green"/>
                <w:vertAlign w:val="superscript"/>
                <w:lang w:val="en-US" w:eastAsia="zh-CN"/>
              </w:rPr>
              <w:t>2</w:t>
            </w:r>
            <w:r>
              <w:rPr>
                <w:rFonts w:hint="eastAsia" w:cs="Times New Roman"/>
                <w:color w:val="FF0000"/>
                <w:sz w:val="24"/>
                <w:szCs w:val="24"/>
                <w:highlight w:val="green"/>
                <w:lang w:val="en-US" w:eastAsia="zh-CN"/>
              </w:rPr>
              <w:t>；</w:t>
            </w:r>
          </w:p>
          <w:p w14:paraId="2CAA3836">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装卸、运输物料过程扬尘排放系数E</w:t>
            </w:r>
            <w:r>
              <w:rPr>
                <w:rFonts w:hint="eastAsia" w:cs="Times New Roman"/>
                <w:color w:val="FF0000"/>
                <w:sz w:val="24"/>
                <w:szCs w:val="24"/>
                <w:highlight w:val="green"/>
                <w:vertAlign w:val="subscript"/>
                <w:lang w:val="en-US" w:eastAsia="zh-CN"/>
              </w:rPr>
              <w:t>h</w:t>
            </w:r>
            <w:r>
              <w:rPr>
                <w:rFonts w:hint="eastAsia" w:cs="Times New Roman"/>
                <w:color w:val="FF0000"/>
                <w:sz w:val="24"/>
                <w:szCs w:val="24"/>
                <w:highlight w:val="green"/>
                <w:lang w:val="en-US" w:eastAsia="zh-CN"/>
              </w:rPr>
              <w:t>的计算方法：</w:t>
            </w:r>
          </w:p>
          <w:p w14:paraId="647D1518">
            <w:pPr>
              <w:pStyle w:val="65"/>
              <w:ind w:left="0" w:leftChars="0" w:right="0" w:rightChars="0" w:firstLine="0" w:firstLineChars="0"/>
              <w:jc w:val="center"/>
              <w:rPr>
                <w:rFonts w:hint="eastAsia" w:cs="Times New Roman"/>
                <w:color w:val="FF0000"/>
                <w:sz w:val="24"/>
                <w:szCs w:val="24"/>
                <w:highlight w:val="none"/>
                <w:lang w:val="en-US" w:eastAsia="zh-CN"/>
              </w:rPr>
            </w:pPr>
            <w:r>
              <w:rPr>
                <w:rFonts w:hint="eastAsia" w:cs="Times New Roman"/>
                <w:color w:val="FF0000"/>
                <w:sz w:val="24"/>
                <w:szCs w:val="24"/>
                <w:highlight w:val="none"/>
                <w:lang w:val="en-US" w:eastAsia="zh-CN"/>
              </w:rPr>
              <w:fldChar w:fldCharType="begin"/>
            </w:r>
            <w:r>
              <w:rPr>
                <w:rFonts w:hint="eastAsia" w:cs="Times New Roman"/>
                <w:color w:val="FF0000"/>
                <w:sz w:val="24"/>
                <w:szCs w:val="24"/>
                <w:highlight w:val="none"/>
                <w:lang w:val="en-US" w:eastAsia="zh-CN"/>
              </w:rPr>
              <w:instrText xml:space="preserve">INCLUDEPICTURE \d "C:\\Users\\Administrator\\AppData\\Roaming\\Tencent\\Users\\1914724654\\QQ\\WinTemp\\RichOle\\B5DTC6H3O8M8OZGY``(A_P2.png" \* MERGEFORMATINET </w:instrText>
            </w:r>
            <w:r>
              <w:rPr>
                <w:rFonts w:hint="eastAsia" w:cs="Times New Roman"/>
                <w:color w:val="FF0000"/>
                <w:sz w:val="24"/>
                <w:szCs w:val="24"/>
                <w:highlight w:val="none"/>
                <w:lang w:val="en-US" w:eastAsia="zh-CN"/>
              </w:rPr>
              <w:fldChar w:fldCharType="separate"/>
            </w:r>
            <w:r>
              <w:rPr>
                <w:rFonts w:hint="eastAsia" w:cs="Times New Roman"/>
                <w:color w:val="FF0000"/>
                <w:sz w:val="24"/>
                <w:szCs w:val="24"/>
                <w:highlight w:val="none"/>
                <w:lang w:val="en-US" w:eastAsia="zh-CN"/>
              </w:rPr>
              <w:drawing>
                <wp:inline distT="0" distB="0" distL="114300" distR="114300">
                  <wp:extent cx="3546475" cy="1323975"/>
                  <wp:effectExtent l="0" t="0" r="15875" b="9525"/>
                  <wp:docPr id="51"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 descr="IMG_256"/>
                          <pic:cNvPicPr>
                            <a:picLocks noChangeAspect="1"/>
                          </pic:cNvPicPr>
                        </pic:nvPicPr>
                        <pic:blipFill>
                          <a:blip r:embed="rId24"/>
                          <a:stretch>
                            <a:fillRect/>
                          </a:stretch>
                        </pic:blipFill>
                        <pic:spPr>
                          <a:xfrm>
                            <a:off x="0" y="0"/>
                            <a:ext cx="3546475" cy="1323975"/>
                          </a:xfrm>
                          <a:prstGeom prst="rect">
                            <a:avLst/>
                          </a:prstGeom>
                          <a:noFill/>
                          <a:ln>
                            <a:noFill/>
                          </a:ln>
                        </pic:spPr>
                      </pic:pic>
                    </a:graphicData>
                  </a:graphic>
                </wp:inline>
              </w:drawing>
            </w:r>
            <w:r>
              <w:rPr>
                <w:rFonts w:hint="eastAsia" w:cs="Times New Roman"/>
                <w:color w:val="FF0000"/>
                <w:sz w:val="24"/>
                <w:szCs w:val="24"/>
                <w:highlight w:val="none"/>
                <w:lang w:val="en-US" w:eastAsia="zh-CN"/>
              </w:rPr>
              <w:fldChar w:fldCharType="end"/>
            </w:r>
          </w:p>
          <w:p w14:paraId="1413E3AA">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E</w:t>
            </w:r>
            <w:r>
              <w:rPr>
                <w:rFonts w:hint="eastAsia" w:cs="Times New Roman"/>
                <w:color w:val="FF0000"/>
                <w:sz w:val="24"/>
                <w:szCs w:val="24"/>
                <w:highlight w:val="green"/>
                <w:vertAlign w:val="subscript"/>
                <w:lang w:val="en-US" w:eastAsia="zh-CN"/>
              </w:rPr>
              <w:t>h</w:t>
            </w:r>
            <w:r>
              <w:rPr>
                <w:rFonts w:hint="eastAsia" w:cs="Times New Roman"/>
                <w:color w:val="FF0000"/>
                <w:sz w:val="24"/>
                <w:szCs w:val="24"/>
                <w:highlight w:val="green"/>
                <w:lang w:val="en-US" w:eastAsia="zh-CN"/>
              </w:rPr>
              <w:t>为堆场装卸扬尘的排放系数，kg/t。</w:t>
            </w:r>
          </w:p>
          <w:p w14:paraId="6F613E2F">
            <w:pPr>
              <w:pStyle w:val="65"/>
              <w:ind w:right="0" w:rightChars="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ki为物料的粒度乘数，本次评价取TSP 0.74。</w:t>
            </w:r>
          </w:p>
          <w:p w14:paraId="43B4E757">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u为地面平均风速，本次评价取3.4m/s。</w:t>
            </w:r>
          </w:p>
          <w:p w14:paraId="2B26A92E">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M为物料含水率，本次评价取8%。</w:t>
            </w:r>
          </w:p>
          <w:p w14:paraId="50869AE6">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η为污染控制技术对扬尘的去除效率，%。</w:t>
            </w:r>
          </w:p>
          <w:p w14:paraId="0E1824F1">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堆场风蚀扬尘排放系数的计算方法：</w:t>
            </w:r>
          </w:p>
          <w:p w14:paraId="4CBDC4FC">
            <w:pPr>
              <w:pStyle w:val="65"/>
              <w:ind w:left="0" w:leftChars="0" w:right="0" w:rightChars="0" w:firstLine="0" w:firstLineChars="0"/>
              <w:jc w:val="center"/>
              <w:rPr>
                <w:rFonts w:hint="eastAsia" w:cs="Times New Roman"/>
                <w:color w:val="FF0000"/>
                <w:sz w:val="24"/>
                <w:szCs w:val="24"/>
                <w:highlight w:val="yellow"/>
                <w:lang w:val="en-US" w:eastAsia="zh-CN"/>
              </w:rPr>
            </w:pPr>
            <w:r>
              <w:rPr>
                <w:rFonts w:hint="eastAsia" w:cs="Times New Roman"/>
                <w:color w:val="FF0000"/>
                <w:sz w:val="24"/>
                <w:szCs w:val="24"/>
                <w:highlight w:val="none"/>
                <w:lang w:val="en-US" w:eastAsia="zh-CN"/>
              </w:rPr>
              <w:fldChar w:fldCharType="begin"/>
            </w:r>
            <w:r>
              <w:rPr>
                <w:rFonts w:hint="eastAsia" w:cs="Times New Roman"/>
                <w:color w:val="FF0000"/>
                <w:sz w:val="24"/>
                <w:szCs w:val="24"/>
                <w:highlight w:val="none"/>
                <w:lang w:val="en-US" w:eastAsia="zh-CN"/>
              </w:rPr>
              <w:instrText xml:space="preserve">INCLUDEPICTURE \d "C:\\Users\\Administrator\\AppData\\Roaming\\Tencent\\Users\\1914724654\\QQ\\WinTemp\\RichOle\\}AROWC8]X$]ORR[D1K57X73.png" \* MERGEFORMATINET </w:instrText>
            </w:r>
            <w:r>
              <w:rPr>
                <w:rFonts w:hint="eastAsia" w:cs="Times New Roman"/>
                <w:color w:val="FF0000"/>
                <w:sz w:val="24"/>
                <w:szCs w:val="24"/>
                <w:highlight w:val="none"/>
                <w:lang w:val="en-US" w:eastAsia="zh-CN"/>
              </w:rPr>
              <w:fldChar w:fldCharType="separate"/>
            </w:r>
            <w:r>
              <w:rPr>
                <w:rFonts w:hint="eastAsia" w:cs="Times New Roman"/>
                <w:color w:val="FF0000"/>
                <w:sz w:val="24"/>
                <w:szCs w:val="24"/>
                <w:highlight w:val="none"/>
                <w:lang w:val="en-US" w:eastAsia="zh-CN"/>
              </w:rPr>
              <w:drawing>
                <wp:inline distT="0" distB="0" distL="114300" distR="114300">
                  <wp:extent cx="4886960" cy="1890395"/>
                  <wp:effectExtent l="0" t="0" r="8890" b="14605"/>
                  <wp:docPr id="62"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descr="IMG_256"/>
                          <pic:cNvPicPr>
                            <a:picLocks noChangeAspect="1"/>
                          </pic:cNvPicPr>
                        </pic:nvPicPr>
                        <pic:blipFill>
                          <a:blip r:embed="rId25"/>
                          <a:stretch>
                            <a:fillRect/>
                          </a:stretch>
                        </pic:blipFill>
                        <pic:spPr>
                          <a:xfrm>
                            <a:off x="0" y="0"/>
                            <a:ext cx="4886960" cy="1890395"/>
                          </a:xfrm>
                          <a:prstGeom prst="rect">
                            <a:avLst/>
                          </a:prstGeom>
                          <a:noFill/>
                          <a:ln>
                            <a:noFill/>
                          </a:ln>
                        </pic:spPr>
                      </pic:pic>
                    </a:graphicData>
                  </a:graphic>
                </wp:inline>
              </w:drawing>
            </w:r>
            <w:r>
              <w:rPr>
                <w:rFonts w:hint="eastAsia" w:cs="Times New Roman"/>
                <w:color w:val="FF0000"/>
                <w:sz w:val="24"/>
                <w:szCs w:val="24"/>
                <w:highlight w:val="none"/>
                <w:lang w:val="en-US" w:eastAsia="zh-CN"/>
              </w:rPr>
              <w:fldChar w:fldCharType="end"/>
            </w:r>
          </w:p>
          <w:p w14:paraId="44F3F1C9">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E</w:t>
            </w:r>
            <w:r>
              <w:rPr>
                <w:rFonts w:hint="eastAsia" w:cs="Times New Roman"/>
                <w:color w:val="FF0000"/>
                <w:sz w:val="24"/>
                <w:szCs w:val="24"/>
                <w:highlight w:val="green"/>
                <w:vertAlign w:val="subscript"/>
                <w:lang w:val="en-US" w:eastAsia="zh-CN"/>
              </w:rPr>
              <w:t>w</w:t>
            </w:r>
            <w:r>
              <w:rPr>
                <w:rFonts w:hint="eastAsia" w:cs="Times New Roman"/>
                <w:color w:val="FF0000"/>
                <w:sz w:val="24"/>
                <w:szCs w:val="24"/>
                <w:highlight w:val="green"/>
                <w:lang w:val="en-US" w:eastAsia="zh-CN"/>
              </w:rPr>
              <w:t>为堆场风蚀扬尘的排放系数，kg/m</w:t>
            </w:r>
            <w:r>
              <w:rPr>
                <w:rFonts w:hint="eastAsia" w:cs="Times New Roman"/>
                <w:color w:val="FF0000"/>
                <w:sz w:val="24"/>
                <w:szCs w:val="24"/>
                <w:highlight w:val="green"/>
                <w:vertAlign w:val="superscript"/>
                <w:lang w:val="en-US" w:eastAsia="zh-CN"/>
              </w:rPr>
              <w:t>2</w:t>
            </w:r>
            <w:r>
              <w:rPr>
                <w:rFonts w:hint="eastAsia" w:cs="Times New Roman"/>
                <w:color w:val="FF0000"/>
                <w:sz w:val="24"/>
                <w:szCs w:val="24"/>
                <w:highlight w:val="green"/>
                <w:lang w:val="en-US" w:eastAsia="zh-CN"/>
              </w:rPr>
              <w:t>。</w:t>
            </w:r>
          </w:p>
          <w:p w14:paraId="57B4C0FF">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ki为物料的粒度乘数，本次评价取TSP 1。</w:t>
            </w:r>
          </w:p>
          <w:p w14:paraId="7048080F">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n为料堆每年受扰动的次数，本次评价取10000次。</w:t>
            </w:r>
          </w:p>
          <w:p w14:paraId="21F059F5">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Pi为第i次扰动中观测的最大风速的风蚀潜势，g/m</w:t>
            </w:r>
            <w:r>
              <w:rPr>
                <w:rFonts w:hint="eastAsia" w:cs="Times New Roman"/>
                <w:color w:val="FF0000"/>
                <w:sz w:val="24"/>
                <w:szCs w:val="24"/>
                <w:highlight w:val="green"/>
                <w:vertAlign w:val="superscript"/>
                <w:lang w:val="en-US" w:eastAsia="zh-CN"/>
              </w:rPr>
              <w:t>2</w:t>
            </w:r>
            <w:r>
              <w:rPr>
                <w:rFonts w:hint="eastAsia" w:cs="Times New Roman"/>
                <w:color w:val="FF0000"/>
                <w:sz w:val="24"/>
                <w:szCs w:val="24"/>
                <w:highlight w:val="green"/>
                <w:lang w:val="en-US" w:eastAsia="zh-CN"/>
              </w:rPr>
              <w:t>。</w:t>
            </w:r>
          </w:p>
          <w:p w14:paraId="30C957C2">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η为污染控制技术对扬尘的去除效率，%。</w:t>
            </w:r>
          </w:p>
          <w:p w14:paraId="4A00B3B9">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u*为摩擦风速，m/s。</w:t>
            </w:r>
          </w:p>
          <w:p w14:paraId="26FFC75A">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ut*为阈值摩擦风速，即起尘的临界摩擦风速，本次评价取1.02m/s。</w:t>
            </w:r>
          </w:p>
          <w:p w14:paraId="69104EF9">
            <w:pPr>
              <w:pStyle w:val="65"/>
              <w:ind w:left="0" w:leftChars="0" w:right="0" w:rightChars="0" w:firstLine="0" w:firstLineChars="0"/>
              <w:jc w:val="center"/>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drawing>
                <wp:inline distT="0" distB="0" distL="114300" distR="114300">
                  <wp:extent cx="4695825" cy="457200"/>
                  <wp:effectExtent l="0" t="0" r="9525" b="0"/>
                  <wp:docPr id="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8"/>
                          <pic:cNvPicPr>
                            <a:picLocks noChangeAspect="1"/>
                          </pic:cNvPicPr>
                        </pic:nvPicPr>
                        <pic:blipFill>
                          <a:blip r:embed="rId26"/>
                          <a:stretch>
                            <a:fillRect/>
                          </a:stretch>
                        </pic:blipFill>
                        <pic:spPr>
                          <a:xfrm>
                            <a:off x="0" y="0"/>
                            <a:ext cx="4695825" cy="457200"/>
                          </a:xfrm>
                          <a:prstGeom prst="rect">
                            <a:avLst/>
                          </a:prstGeom>
                          <a:noFill/>
                          <a:ln>
                            <a:noFill/>
                          </a:ln>
                        </pic:spPr>
                      </pic:pic>
                    </a:graphicData>
                  </a:graphic>
                </wp:inline>
              </w:drawing>
            </w:r>
          </w:p>
          <w:p w14:paraId="1B75E13B">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u</w:t>
            </w:r>
            <w:r>
              <w:rPr>
                <w:rFonts w:hint="eastAsia" w:cs="Times New Roman"/>
                <w:color w:val="FF0000"/>
                <w:sz w:val="24"/>
                <w:szCs w:val="24"/>
                <w:highlight w:val="green"/>
                <w:vertAlign w:val="subscript"/>
                <w:lang w:val="en-US" w:eastAsia="zh-CN"/>
              </w:rPr>
              <w:t>(z)</w:t>
            </w:r>
            <w:r>
              <w:rPr>
                <w:rFonts w:hint="eastAsia" w:cs="Times New Roman"/>
                <w:color w:val="FF0000"/>
                <w:sz w:val="24"/>
                <w:szCs w:val="24"/>
                <w:highlight w:val="green"/>
                <w:lang w:val="en-US" w:eastAsia="zh-CN"/>
              </w:rPr>
              <w:t>为地面风速，本次评价取3.4m/s。</w:t>
            </w:r>
          </w:p>
          <w:p w14:paraId="0950BF73">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z为地面风速检测高度，m。</w:t>
            </w:r>
          </w:p>
          <w:p w14:paraId="0A5EF7D0">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z</w:t>
            </w:r>
            <w:r>
              <w:rPr>
                <w:rFonts w:hint="eastAsia" w:cs="Times New Roman"/>
                <w:color w:val="FF0000"/>
                <w:sz w:val="24"/>
                <w:szCs w:val="24"/>
                <w:highlight w:val="green"/>
                <w:vertAlign w:val="subscript"/>
                <w:lang w:val="en-US" w:eastAsia="zh-CN"/>
              </w:rPr>
              <w:t>0</w:t>
            </w:r>
            <w:r>
              <w:rPr>
                <w:rFonts w:hint="eastAsia" w:cs="Times New Roman"/>
                <w:color w:val="FF0000"/>
                <w:sz w:val="24"/>
                <w:szCs w:val="24"/>
                <w:highlight w:val="green"/>
                <w:lang w:val="en-US" w:eastAsia="zh-CN"/>
              </w:rPr>
              <w:t>为地面粗糙度，本次评价取城市0.6m。</w:t>
            </w:r>
          </w:p>
          <w:p w14:paraId="1247DA65">
            <w:pPr>
              <w:pStyle w:val="65"/>
              <w:ind w:left="0" w:leftChars="0" w:right="0" w:rightChars="0" w:firstLine="480" w:firstLineChars="200"/>
              <w:jc w:val="both"/>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0.4为冯卡门常数，无量纲。</w:t>
            </w:r>
          </w:p>
          <w:p w14:paraId="083F7531">
            <w:pPr>
              <w:pStyle w:val="65"/>
              <w:rPr>
                <w:rFonts w:hint="eastAsia" w:cs="Times New Roman"/>
                <w:color w:val="FF0000"/>
                <w:sz w:val="24"/>
                <w:szCs w:val="24"/>
                <w:highlight w:val="green"/>
                <w:lang w:val="en-US" w:eastAsia="zh-CN"/>
              </w:rPr>
            </w:pPr>
            <w:r>
              <w:rPr>
                <w:rFonts w:hint="eastAsia" w:cs="Times New Roman"/>
                <w:color w:val="FF0000"/>
                <w:sz w:val="24"/>
                <w:szCs w:val="24"/>
                <w:highlight w:val="green"/>
                <w:lang w:val="en-US" w:eastAsia="zh-CN"/>
              </w:rPr>
              <w:t>经计算得出装卸产生扬尘量为0.12t/a。由于中煤具有一定的含水率，扬尘产生量较低，无组织粉尘排放满足《煤炭工业污染物排放标准》（GB20246-2006）准限值要求。</w:t>
            </w:r>
          </w:p>
          <w:p w14:paraId="04341A65">
            <w:pPr>
              <w:pStyle w:val="65"/>
              <w:rPr>
                <w:rFonts w:hint="default" w:cs="Times New Roman"/>
                <w:color w:val="FF0000"/>
                <w:sz w:val="24"/>
                <w:szCs w:val="24"/>
                <w:highlight w:val="none"/>
                <w:lang w:val="en-US" w:eastAsia="zh-CN"/>
              </w:rPr>
            </w:pPr>
            <w:r>
              <w:rPr>
                <w:rFonts w:hint="eastAsia" w:cs="Times New Roman"/>
                <w:color w:val="FF0000"/>
                <w:sz w:val="24"/>
                <w:szCs w:val="24"/>
                <w:highlight w:val="none"/>
                <w:lang w:val="en-US" w:eastAsia="zh-CN"/>
              </w:rPr>
              <w:t>③浮选过程废气</w:t>
            </w:r>
          </w:p>
          <w:p w14:paraId="0C4104CB">
            <w:pPr>
              <w:pStyle w:val="65"/>
              <w:rPr>
                <w:rFonts w:hint="eastAsia" w:cs="Times New Roman"/>
                <w:color w:val="000000" w:themeColor="text1"/>
                <w:sz w:val="24"/>
                <w:szCs w:val="24"/>
                <w:highlight w:val="none"/>
                <w:lang w:val="en-US" w:eastAsia="zh-CN"/>
                <w14:textFill>
                  <w14:solidFill>
                    <w14:schemeClr w14:val="tx1"/>
                  </w14:solidFill>
                </w14:textFill>
              </w:rPr>
            </w:pPr>
            <w:r>
              <w:rPr>
                <w:rFonts w:hint="eastAsia" w:cs="Times New Roman"/>
                <w:color w:val="FF0000"/>
                <w:sz w:val="24"/>
                <w:szCs w:val="24"/>
                <w:highlight w:val="none"/>
                <w:lang w:val="en-US" w:eastAsia="zh-CN"/>
              </w:rPr>
              <w:t>本项目选矿用浮选剂为黄油，在选矿中起抑制、活化、起泡、捕收等作用，是选矿生产常规使用并经国家允许生产，认证属无毒害化学品。选矿中浮选剂主要作用是改变矿物表面疏水特征，主要是物理作用过程，控制有用矿的上浮或下沉，达到优先浮选目的。捕收剂为柴油。浮选过程添加油类物质会产生一定有机废气（以非甲烷总烃计），本项目使用黄油50t/a，柴油232t/a，</w:t>
            </w:r>
            <w:r>
              <w:rPr>
                <w:rFonts w:hint="eastAsia" w:cs="Times New Roman"/>
                <w:color w:val="FF0000"/>
                <w:sz w:val="24"/>
                <w:szCs w:val="24"/>
                <w:highlight w:val="green"/>
                <w:lang w:val="en-US" w:eastAsia="zh-CN"/>
              </w:rPr>
              <w:t>参考《大气环境影响评价实用技术》（王栋成主编，中国标准出版社，2010年9月，第156页）有机废气无组织排放量的比例为0.05‰~0.5‰，本次非甲烷总烃产生量按最大0.5‰计算，则浮选过程产生的非甲烷总烃总量约为0.141t/a。</w:t>
            </w:r>
            <w:r>
              <w:rPr>
                <w:rFonts w:hint="eastAsia" w:cs="Times New Roman"/>
                <w:color w:val="FF0000"/>
                <w:sz w:val="24"/>
                <w:szCs w:val="24"/>
                <w:highlight w:val="none"/>
                <w:lang w:val="en-US" w:eastAsia="zh-CN"/>
              </w:rPr>
              <w:t>浮选工序位于主厂房五楼，通过车间通风口排放，厂内无组织非甲烷总烃排放满足《挥发性有机物无组织排放控制标准》（GB37822-2019）附录A表A.1中无组织排放限值，厂界无组织非甲烷总烃排放满足《大气污染物综合排放标准》（GB16297-1996）表2中周界外浓度最高点无组织排放标准限值要求。</w:t>
            </w:r>
          </w:p>
          <w:p w14:paraId="1F29F9B8">
            <w:pPr>
              <w:pStyle w:val="65"/>
              <w:rPr>
                <w:rFonts w:hint="default" w:cs="Times New Roman"/>
                <w:color w:val="FF0000"/>
                <w:sz w:val="24"/>
                <w:szCs w:val="24"/>
                <w:highlight w:val="none"/>
                <w:lang w:val="en-US" w:eastAsia="zh-CN"/>
              </w:rPr>
            </w:pPr>
            <w:r>
              <w:rPr>
                <w:rFonts w:hint="eastAsia" w:cs="Times New Roman"/>
                <w:color w:val="FF0000"/>
                <w:sz w:val="24"/>
                <w:szCs w:val="24"/>
                <w:highlight w:val="none"/>
                <w:lang w:val="en-US" w:eastAsia="zh-CN"/>
              </w:rPr>
              <w:t>④油罐区废气</w:t>
            </w:r>
          </w:p>
          <w:p w14:paraId="4D8D1FDE">
            <w:pPr>
              <w:pStyle w:val="65"/>
              <w:rPr>
                <w:rFonts w:hint="eastAsia" w:cs="Times New Roman"/>
                <w:color w:val="000000" w:themeColor="text1"/>
                <w:sz w:val="24"/>
                <w:szCs w:val="24"/>
                <w:highlight w:val="none"/>
                <w:lang w:val="en-US" w:eastAsia="zh-CN"/>
                <w14:textFill>
                  <w14:solidFill>
                    <w14:schemeClr w14:val="tx1"/>
                  </w14:solidFill>
                </w14:textFill>
              </w:rPr>
            </w:pPr>
            <w:r>
              <w:rPr>
                <w:rFonts w:hint="eastAsia" w:cs="Times New Roman"/>
                <w:color w:val="FF0000"/>
                <w:sz w:val="24"/>
                <w:szCs w:val="24"/>
                <w:highlight w:val="green"/>
                <w:lang w:val="en-US" w:eastAsia="zh-CN"/>
              </w:rPr>
              <w:t>本项目油罐区废气废气主要来源于储存的柴油、黄油，本项目柴油、黄油年使用量分别为232t，50t，参照《散装液态石油产品损耗》（GB11085-89）中油类的贮存损耗率0.01%的损失率计算有机废气产生量，则罐区油类贮存非甲烷总烃产生量为0.028t/a。本项目柴油装卸由中国石油公司油罐车完成，油料的装卸、运输过程中采用密闭管道和封闭接口，减少油料的空气暴露量，厂内非甲烷总烃排放满足《挥发性有机物无组织排放控制标准》（GB37822-2019）附录A表A.1中无组织排放限值要求。厂界非甲烷总烃排放满足《大气污染物综合排放标准》（GB16297-1996）标准限值要求。</w:t>
            </w:r>
          </w:p>
          <w:p w14:paraId="5E1F120C">
            <w:pPr>
              <w:pStyle w:val="65"/>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⑤食堂油烟</w:t>
            </w:r>
          </w:p>
          <w:p w14:paraId="7E3CE2E1">
            <w:pPr>
              <w:pStyle w:val="65"/>
              <w:rPr>
                <w:rFonts w:hint="default" w:ascii="Times New Roman" w:hAnsi="Times New Roman" w:eastAsia="宋体" w:cs="Times New Roman"/>
                <w:color w:val="000000" w:themeColor="text1"/>
                <w:sz w:val="24"/>
                <w:szCs w:val="24"/>
                <w:highlight w:val="red"/>
                <w:lang w:val="en-US" w:eastAsia="zh-CN"/>
                <w14:textFill>
                  <w14:solidFill>
                    <w14:schemeClr w14:val="tx1"/>
                  </w14:solidFill>
                </w14:textFill>
              </w:rPr>
            </w:pPr>
            <w:r>
              <w:rPr>
                <w:rFonts w:hint="eastAsia" w:ascii="Times New Roman" w:hAnsi="Times New Roman" w:eastAsia="宋体" w:cs="Times New Roman"/>
                <w:color w:val="FF0000"/>
                <w:sz w:val="24"/>
                <w:szCs w:val="24"/>
                <w:highlight w:val="none"/>
                <w:lang w:val="en-US" w:eastAsia="zh-CN"/>
              </w:rPr>
              <w:t>项目运行期间食堂会产生油烟，食堂设有</w:t>
            </w:r>
            <w:r>
              <w:rPr>
                <w:rFonts w:hint="eastAsia" w:cs="Times New Roman"/>
                <w:color w:val="FF0000"/>
                <w:sz w:val="24"/>
                <w:szCs w:val="24"/>
                <w:highlight w:val="none"/>
                <w:lang w:val="en-US" w:eastAsia="zh-CN"/>
              </w:rPr>
              <w:t>1</w:t>
            </w:r>
            <w:r>
              <w:rPr>
                <w:rFonts w:hint="eastAsia" w:ascii="Times New Roman" w:hAnsi="Times New Roman" w:eastAsia="宋体" w:cs="Times New Roman"/>
                <w:color w:val="FF0000"/>
                <w:sz w:val="24"/>
                <w:szCs w:val="24"/>
                <w:highlight w:val="none"/>
                <w:lang w:val="en-US" w:eastAsia="zh-CN"/>
              </w:rPr>
              <w:t>个灶头，</w:t>
            </w:r>
            <w:r>
              <w:rPr>
                <w:rFonts w:hint="eastAsia" w:cs="Times New Roman"/>
                <w:color w:val="FF0000"/>
                <w:sz w:val="24"/>
                <w:szCs w:val="24"/>
                <w:highlight w:val="none"/>
                <w:lang w:val="en-US" w:eastAsia="zh-CN"/>
              </w:rPr>
              <w:t>总排气罩面积1.6m</w:t>
            </w:r>
            <w:r>
              <w:rPr>
                <w:rFonts w:hint="eastAsia" w:cs="Times New Roman"/>
                <w:color w:val="FF0000"/>
                <w:sz w:val="24"/>
                <w:szCs w:val="24"/>
                <w:highlight w:val="none"/>
                <w:vertAlign w:val="superscript"/>
                <w:lang w:val="en-US" w:eastAsia="zh-CN"/>
              </w:rPr>
              <w:t>2</w:t>
            </w:r>
            <w:r>
              <w:rPr>
                <w:rFonts w:hint="eastAsia" w:cs="Times New Roman"/>
                <w:color w:val="FF0000"/>
                <w:sz w:val="24"/>
                <w:szCs w:val="24"/>
                <w:highlight w:val="none"/>
                <w:lang w:val="en-US" w:eastAsia="zh-CN"/>
              </w:rPr>
              <w:t>，</w:t>
            </w:r>
            <w:r>
              <w:rPr>
                <w:rFonts w:hint="eastAsia" w:ascii="Times New Roman" w:hAnsi="Times New Roman" w:eastAsia="宋体" w:cs="Times New Roman"/>
                <w:color w:val="FF0000"/>
                <w:sz w:val="24"/>
                <w:szCs w:val="24"/>
                <w:highlight w:val="none"/>
                <w:lang w:val="en-US" w:eastAsia="zh-CN"/>
              </w:rPr>
              <w:t>根据《饮食业油烟排放标准（试行）》（GB18483-2001），</w:t>
            </w:r>
            <w:r>
              <w:rPr>
                <w:rFonts w:hint="eastAsia" w:cs="Times New Roman"/>
                <w:color w:val="FF0000"/>
                <w:sz w:val="24"/>
                <w:szCs w:val="24"/>
                <w:highlight w:val="none"/>
                <w:lang w:val="en-US" w:eastAsia="zh-CN"/>
              </w:rPr>
              <w:t>基准灶头数为1.45，</w:t>
            </w:r>
            <w:r>
              <w:rPr>
                <w:rFonts w:hint="eastAsia" w:ascii="Times New Roman" w:hAnsi="Times New Roman" w:eastAsia="宋体" w:cs="Times New Roman"/>
                <w:color w:val="FF0000"/>
                <w:sz w:val="24"/>
                <w:szCs w:val="24"/>
                <w:highlight w:val="none"/>
                <w:lang w:val="en-US" w:eastAsia="zh-CN"/>
              </w:rPr>
              <w:t>属于小型饮食业单位。</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根据对居民用油情况的类比调查，目前居民人均日食用油用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量约0.03kg/人·d，本项目在食堂就餐人员为</w:t>
            </w:r>
            <w:r>
              <w:rPr>
                <w:rFonts w:hint="eastAsia" w:cs="Times New Roman"/>
                <w:color w:val="000000" w:themeColor="text1"/>
                <w:sz w:val="24"/>
                <w:szCs w:val="24"/>
                <w:highlight w:val="none"/>
                <w:lang w:val="en-US" w:eastAsia="zh-CN"/>
                <w14:textFill>
                  <w14:solidFill>
                    <w14:schemeClr w14:val="tx1"/>
                  </w14:solidFill>
                </w14:textFill>
              </w:rPr>
              <w:t>75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人，则食用油用量约</w:t>
            </w:r>
            <w:r>
              <w:rPr>
                <w:rFonts w:hint="eastAsia" w:cs="Times New Roman"/>
                <w:color w:val="000000" w:themeColor="text1"/>
                <w:sz w:val="24"/>
                <w:szCs w:val="24"/>
                <w:highlight w:val="none"/>
                <w:lang w:val="en-US" w:eastAsia="zh-CN"/>
                <w14:textFill>
                  <w14:solidFill>
                    <w14:schemeClr w14:val="tx1"/>
                  </w14:solidFill>
                </w14:textFill>
              </w:rPr>
              <w:t>2.25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kg/d，</w:t>
            </w:r>
            <w:r>
              <w:rPr>
                <w:rFonts w:hint="eastAsia" w:cs="Times New Roman"/>
                <w:color w:val="000000" w:themeColor="text1"/>
                <w:sz w:val="24"/>
                <w:szCs w:val="24"/>
                <w:highlight w:val="none"/>
                <w:lang w:val="en-US" w:eastAsia="zh-CN"/>
                <w14:textFill>
                  <w14:solidFill>
                    <w14:schemeClr w14:val="tx1"/>
                  </w14:solidFill>
                </w14:textFill>
              </w:rPr>
              <w:t>742.5kg</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/a。一般油烟挥发量占耗油量的2～4%，按</w:t>
            </w:r>
            <w:r>
              <w:rPr>
                <w:rFonts w:hint="eastAsia"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%计，油烟产生量0.0</w:t>
            </w:r>
            <w:r>
              <w:rPr>
                <w:rFonts w:hint="eastAsia" w:cs="Times New Roman"/>
                <w:color w:val="000000" w:themeColor="text1"/>
                <w:sz w:val="24"/>
                <w:szCs w:val="24"/>
                <w:highlight w:val="none"/>
                <w:lang w:val="en-US" w:eastAsia="zh-CN"/>
                <w14:textFill>
                  <w14:solidFill>
                    <w14:schemeClr w14:val="tx1"/>
                  </w14:solidFill>
                </w14:textFill>
              </w:rPr>
              <w:t>68</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kg/d，</w:t>
            </w:r>
            <w:r>
              <w:rPr>
                <w:rFonts w:hint="eastAsia" w:cs="Times New Roman"/>
                <w:color w:val="000000" w:themeColor="text1"/>
                <w:sz w:val="24"/>
                <w:szCs w:val="24"/>
                <w:highlight w:val="none"/>
                <w:lang w:val="en-US" w:eastAsia="zh-CN"/>
                <w14:textFill>
                  <w14:solidFill>
                    <w14:schemeClr w14:val="tx1"/>
                  </w14:solidFill>
                </w14:textFill>
              </w:rPr>
              <w:t>22.28kg</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/a。按每日</w:t>
            </w:r>
            <w:r>
              <w:rPr>
                <w:rFonts w:hint="eastAsia" w:cs="Times New Roman"/>
                <w:color w:val="000000" w:themeColor="text1"/>
                <w:sz w:val="24"/>
                <w:szCs w:val="24"/>
                <w:highlight w:val="none"/>
                <w:lang w:val="en-US" w:eastAsia="zh-CN"/>
                <w14:textFill>
                  <w14:solidFill>
                    <w14:schemeClr w14:val="tx1"/>
                  </w14:solidFill>
                </w14:textFill>
              </w:rPr>
              <w:t>两</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餐，每餐2小时计，则该项目油烟产生量0.0</w:t>
            </w:r>
            <w:r>
              <w:rPr>
                <w:rFonts w:hint="eastAsia" w:cs="Times New Roman"/>
                <w:color w:val="000000" w:themeColor="text1"/>
                <w:sz w:val="24"/>
                <w:szCs w:val="24"/>
                <w:highlight w:val="none"/>
                <w:lang w:val="en-US" w:eastAsia="zh-CN"/>
                <w14:textFill>
                  <w14:solidFill>
                    <w14:schemeClr w14:val="tx1"/>
                  </w14:solidFill>
                </w14:textFill>
              </w:rPr>
              <w:t>17</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kg/h。风机风量以</w:t>
            </w:r>
            <w:r>
              <w:rPr>
                <w:rFonts w:hint="eastAsia"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000m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/h计，油烟产生浓度</w:t>
            </w:r>
            <w:r>
              <w:rPr>
                <w:rFonts w:hint="eastAsia" w:cs="Times New Roman"/>
                <w:color w:val="000000" w:themeColor="text1"/>
                <w:sz w:val="24"/>
                <w:szCs w:val="24"/>
                <w:highlight w:val="none"/>
                <w:lang w:val="en-US" w:eastAsia="zh-CN"/>
                <w14:textFill>
                  <w14:solidFill>
                    <w14:schemeClr w14:val="tx1"/>
                  </w14:solidFill>
                </w14:textFill>
              </w:rPr>
              <w:t>3.40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mg/m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。为了防止油烟无组织排放，</w:t>
            </w:r>
            <w:r>
              <w:rPr>
                <w:rFonts w:hint="default" w:ascii="Times New Roman" w:hAnsi="Times New Roman" w:eastAsia="宋体" w:cs="Times New Roman"/>
                <w:color w:val="FF0000"/>
                <w:sz w:val="24"/>
                <w:szCs w:val="24"/>
                <w:highlight w:val="none"/>
                <w:lang w:val="en-US" w:eastAsia="zh-CN"/>
              </w:rPr>
              <w:t>须安装去除率60%以上的油烟净化装置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处理后的</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油烟经专用烟道引至屋顶排放，净化后排放浓度为</w:t>
            </w:r>
            <w:r>
              <w:rPr>
                <w:rFonts w:hint="eastAsia" w:cs="Times New Roman"/>
                <w:color w:val="000000" w:themeColor="text1"/>
                <w:sz w:val="24"/>
                <w:szCs w:val="24"/>
                <w:highlight w:val="none"/>
                <w:lang w:val="en-US" w:eastAsia="zh-CN"/>
                <w14:textFill>
                  <w14:solidFill>
                    <w14:schemeClr w14:val="tx1"/>
                  </w14:solidFill>
                </w14:textFill>
              </w:rPr>
              <w:t>1.36</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mg/m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，排放量为</w:t>
            </w:r>
            <w:r>
              <w:rPr>
                <w:rFonts w:hint="eastAsia" w:cs="Times New Roman"/>
                <w:color w:val="000000" w:themeColor="text1"/>
                <w:sz w:val="24"/>
                <w:szCs w:val="24"/>
                <w:highlight w:val="none"/>
                <w:lang w:val="en-US" w:eastAsia="zh-CN"/>
                <w14:textFill>
                  <w14:solidFill>
                    <w14:schemeClr w14:val="tx1"/>
                  </w14:solidFill>
                </w14:textFill>
              </w:rPr>
              <w:t>8.98</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kg/a，</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可满足《饮食业油烟排放标准（试行）》（GB18483-2001）小型饮食业单位的排放浓度2.0mg/m</w:t>
            </w:r>
            <w:r>
              <w:rPr>
                <w:rFonts w:hint="eastAsia"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的标准限值要求。</w:t>
            </w:r>
          </w:p>
          <w:p w14:paraId="6398AB42">
            <w:pPr>
              <w:pStyle w:val="65"/>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正常情况下，废气污染源源强核算结果见</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下</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表</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69982518">
            <w:pPr>
              <w:pStyle w:val="97"/>
              <w:spacing w:line="360" w:lineRule="auto"/>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 xml:space="preserve">表4-1 </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废气污染源源强核算结果</w:t>
            </w:r>
          </w:p>
          <w:tbl>
            <w:tblPr>
              <w:tblStyle w:val="29"/>
              <w:tblW w:w="794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7"/>
              <w:gridCol w:w="527"/>
              <w:gridCol w:w="487"/>
              <w:gridCol w:w="525"/>
              <w:gridCol w:w="588"/>
              <w:gridCol w:w="556"/>
              <w:gridCol w:w="525"/>
              <w:gridCol w:w="1036"/>
              <w:gridCol w:w="370"/>
              <w:gridCol w:w="525"/>
              <w:gridCol w:w="575"/>
              <w:gridCol w:w="650"/>
              <w:gridCol w:w="513"/>
              <w:gridCol w:w="492"/>
            </w:tblGrid>
            <w:tr w14:paraId="57C6FD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77" w:type="dxa"/>
                  <w:vMerge w:val="restart"/>
                  <w:tcBorders>
                    <w:tl2br w:val="nil"/>
                    <w:tr2bl w:val="nil"/>
                  </w:tcBorders>
                  <w:noWrap w:val="0"/>
                  <w:vAlign w:val="center"/>
                </w:tcPr>
                <w:p w14:paraId="5F5A8F09">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cs="Times New Roman"/>
                      <w:color w:val="000000" w:themeColor="text1"/>
                      <w:sz w:val="15"/>
                      <w:szCs w:val="15"/>
                      <w:highlight w:val="none"/>
                      <w:lang w:val="en-US" w:eastAsia="zh-CN"/>
                      <w14:textFill>
                        <w14:solidFill>
                          <w14:schemeClr w14:val="tx1"/>
                        </w14:solidFill>
                      </w14:textFill>
                    </w:rPr>
                    <w:t>污染源</w:t>
                  </w:r>
                </w:p>
              </w:tc>
              <w:tc>
                <w:tcPr>
                  <w:tcW w:w="527" w:type="dxa"/>
                  <w:vMerge w:val="restart"/>
                  <w:tcBorders>
                    <w:tl2br w:val="nil"/>
                    <w:tr2bl w:val="nil"/>
                  </w:tcBorders>
                  <w:noWrap w:val="0"/>
                  <w:vAlign w:val="center"/>
                </w:tcPr>
                <w:p w14:paraId="436DF0E6">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cs="Times New Roman"/>
                      <w:color w:val="000000" w:themeColor="text1"/>
                      <w:sz w:val="15"/>
                      <w:szCs w:val="15"/>
                      <w:highlight w:val="none"/>
                      <w:lang w:val="en-US" w:eastAsia="zh-CN"/>
                      <w14:textFill>
                        <w14:solidFill>
                          <w14:schemeClr w14:val="tx1"/>
                        </w14:solidFill>
                      </w14:textFill>
                    </w:rPr>
                    <w:t>排放方式</w:t>
                  </w:r>
                </w:p>
              </w:tc>
              <w:tc>
                <w:tcPr>
                  <w:tcW w:w="487" w:type="dxa"/>
                  <w:vMerge w:val="restart"/>
                  <w:tcBorders>
                    <w:tl2br w:val="nil"/>
                    <w:tr2bl w:val="nil"/>
                  </w:tcBorders>
                  <w:noWrap w:val="0"/>
                  <w:vAlign w:val="center"/>
                </w:tcPr>
                <w:p w14:paraId="0F95DD09">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污染物</w:t>
                  </w:r>
                </w:p>
              </w:tc>
              <w:tc>
                <w:tcPr>
                  <w:tcW w:w="2194" w:type="dxa"/>
                  <w:gridSpan w:val="4"/>
                  <w:tcBorders>
                    <w:tl2br w:val="nil"/>
                    <w:tr2bl w:val="nil"/>
                  </w:tcBorders>
                  <w:noWrap w:val="0"/>
                  <w:vAlign w:val="center"/>
                </w:tcPr>
                <w:p w14:paraId="0EBF92C6">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污染物产生</w:t>
                  </w:r>
                </w:p>
              </w:tc>
              <w:tc>
                <w:tcPr>
                  <w:tcW w:w="1406" w:type="dxa"/>
                  <w:gridSpan w:val="2"/>
                  <w:tcBorders>
                    <w:tl2br w:val="nil"/>
                    <w:tr2bl w:val="nil"/>
                  </w:tcBorders>
                  <w:noWrap w:val="0"/>
                  <w:vAlign w:val="center"/>
                </w:tcPr>
                <w:p w14:paraId="3B944A7D">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治理措施</w:t>
                  </w:r>
                </w:p>
              </w:tc>
              <w:tc>
                <w:tcPr>
                  <w:tcW w:w="2263" w:type="dxa"/>
                  <w:gridSpan w:val="4"/>
                  <w:tcBorders>
                    <w:tl2br w:val="nil"/>
                    <w:tr2bl w:val="nil"/>
                  </w:tcBorders>
                  <w:noWrap w:val="0"/>
                  <w:vAlign w:val="center"/>
                </w:tcPr>
                <w:p w14:paraId="293FC26E">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污染物排放</w:t>
                  </w:r>
                </w:p>
              </w:tc>
              <w:tc>
                <w:tcPr>
                  <w:tcW w:w="492" w:type="dxa"/>
                  <w:vMerge w:val="restart"/>
                  <w:tcBorders>
                    <w:tl2br w:val="nil"/>
                    <w:tr2bl w:val="nil"/>
                  </w:tcBorders>
                  <w:noWrap w:val="0"/>
                  <w:vAlign w:val="center"/>
                </w:tcPr>
                <w:p w14:paraId="1C3A7625">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排放时间/h</w:t>
                  </w:r>
                </w:p>
              </w:tc>
            </w:tr>
            <w:tr w14:paraId="399751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7" w:type="dxa"/>
                  <w:vMerge w:val="continue"/>
                  <w:tcBorders>
                    <w:tl2br w:val="nil"/>
                    <w:tr2bl w:val="nil"/>
                  </w:tcBorders>
                  <w:noWrap w:val="0"/>
                  <w:vAlign w:val="center"/>
                </w:tcPr>
                <w:p w14:paraId="368F7BB6">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527" w:type="dxa"/>
                  <w:vMerge w:val="continue"/>
                  <w:tcBorders>
                    <w:tl2br w:val="nil"/>
                    <w:tr2bl w:val="nil"/>
                  </w:tcBorders>
                  <w:noWrap w:val="0"/>
                  <w:vAlign w:val="center"/>
                </w:tcPr>
                <w:p w14:paraId="53E9CF33">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487" w:type="dxa"/>
                  <w:vMerge w:val="continue"/>
                  <w:tcBorders>
                    <w:tl2br w:val="nil"/>
                    <w:tr2bl w:val="nil"/>
                  </w:tcBorders>
                  <w:noWrap w:val="0"/>
                  <w:vAlign w:val="center"/>
                </w:tcPr>
                <w:p w14:paraId="022D4AB4">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525" w:type="dxa"/>
                  <w:tcBorders>
                    <w:tl2br w:val="nil"/>
                    <w:tr2bl w:val="nil"/>
                  </w:tcBorders>
                  <w:noWrap w:val="0"/>
                  <w:vAlign w:val="center"/>
                </w:tcPr>
                <w:p w14:paraId="1CD0D198">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核算方法</w:t>
                  </w:r>
                </w:p>
              </w:tc>
              <w:tc>
                <w:tcPr>
                  <w:tcW w:w="588" w:type="dxa"/>
                  <w:tcBorders>
                    <w:tl2br w:val="nil"/>
                    <w:tr2bl w:val="nil"/>
                  </w:tcBorders>
                  <w:noWrap w:val="0"/>
                  <w:vAlign w:val="center"/>
                </w:tcPr>
                <w:p w14:paraId="5221A338">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废气产生</w:t>
                  </w:r>
                </w:p>
                <w:p w14:paraId="2C28464E">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量 m</w:t>
                  </w:r>
                  <w:r>
                    <w:rPr>
                      <w:rFonts w:hint="default" w:ascii="Times New Roman" w:hAnsi="Times New Roman" w:eastAsia="宋体" w:cs="Times New Roman"/>
                      <w:color w:val="000000" w:themeColor="text1"/>
                      <w:sz w:val="15"/>
                      <w:szCs w:val="15"/>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/h</w:t>
                  </w:r>
                </w:p>
              </w:tc>
              <w:tc>
                <w:tcPr>
                  <w:tcW w:w="556" w:type="dxa"/>
                  <w:tcBorders>
                    <w:tl2br w:val="nil"/>
                    <w:tr2bl w:val="nil"/>
                  </w:tcBorders>
                  <w:noWrap w:val="0"/>
                  <w:vAlign w:val="center"/>
                </w:tcPr>
                <w:p w14:paraId="7E84B8D1">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产生浓度</w:t>
                  </w:r>
                </w:p>
                <w:p w14:paraId="1D350459">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mg/m</w:t>
                  </w:r>
                  <w:r>
                    <w:rPr>
                      <w:rFonts w:hint="default" w:ascii="Times New Roman" w:hAnsi="Times New Roman" w:eastAsia="宋体" w:cs="Times New Roman"/>
                      <w:color w:val="000000" w:themeColor="text1"/>
                      <w:sz w:val="15"/>
                      <w:szCs w:val="15"/>
                      <w:highlight w:val="none"/>
                      <w:vertAlign w:val="superscript"/>
                      <w:lang w:val="en-US" w:eastAsia="zh-CN"/>
                      <w14:textFill>
                        <w14:solidFill>
                          <w14:schemeClr w14:val="tx1"/>
                        </w14:solidFill>
                      </w14:textFill>
                    </w:rPr>
                    <w:t>3</w:t>
                  </w:r>
                </w:p>
              </w:tc>
              <w:tc>
                <w:tcPr>
                  <w:tcW w:w="525" w:type="dxa"/>
                  <w:tcBorders>
                    <w:tl2br w:val="nil"/>
                    <w:tr2bl w:val="nil"/>
                  </w:tcBorders>
                  <w:noWrap w:val="0"/>
                  <w:vAlign w:val="center"/>
                </w:tcPr>
                <w:p w14:paraId="5E01BB9F">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产生量</w:t>
                  </w:r>
                </w:p>
                <w:p w14:paraId="31DD478A">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kg/h</w:t>
                  </w:r>
                </w:p>
              </w:tc>
              <w:tc>
                <w:tcPr>
                  <w:tcW w:w="1036" w:type="dxa"/>
                  <w:tcBorders>
                    <w:tl2br w:val="nil"/>
                    <w:tr2bl w:val="nil"/>
                  </w:tcBorders>
                  <w:noWrap w:val="0"/>
                  <w:vAlign w:val="center"/>
                </w:tcPr>
                <w:p w14:paraId="30E34569">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工艺</w:t>
                  </w:r>
                </w:p>
              </w:tc>
              <w:tc>
                <w:tcPr>
                  <w:tcW w:w="370" w:type="dxa"/>
                  <w:tcBorders>
                    <w:tl2br w:val="nil"/>
                    <w:tr2bl w:val="nil"/>
                  </w:tcBorders>
                  <w:noWrap w:val="0"/>
                  <w:vAlign w:val="center"/>
                </w:tcPr>
                <w:p w14:paraId="1F792BA2">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效率</w:t>
                  </w:r>
                </w:p>
              </w:tc>
              <w:tc>
                <w:tcPr>
                  <w:tcW w:w="525" w:type="dxa"/>
                  <w:tcBorders>
                    <w:tl2br w:val="nil"/>
                    <w:tr2bl w:val="nil"/>
                  </w:tcBorders>
                  <w:noWrap w:val="0"/>
                  <w:vAlign w:val="center"/>
                </w:tcPr>
                <w:p w14:paraId="5B1EED42">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核算方法</w:t>
                  </w:r>
                </w:p>
              </w:tc>
              <w:tc>
                <w:tcPr>
                  <w:tcW w:w="575" w:type="dxa"/>
                  <w:tcBorders>
                    <w:tl2br w:val="nil"/>
                    <w:tr2bl w:val="nil"/>
                  </w:tcBorders>
                  <w:noWrap w:val="0"/>
                  <w:vAlign w:val="center"/>
                </w:tcPr>
                <w:p w14:paraId="6BFAB621">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废气</w:t>
                  </w: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排放</w:t>
                  </w: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量 m</w:t>
                  </w:r>
                  <w:r>
                    <w:rPr>
                      <w:rFonts w:hint="default" w:ascii="Times New Roman" w:hAnsi="Times New Roman" w:eastAsia="宋体" w:cs="Times New Roman"/>
                      <w:color w:val="000000" w:themeColor="text1"/>
                      <w:sz w:val="15"/>
                      <w:szCs w:val="15"/>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/h</w:t>
                  </w:r>
                </w:p>
              </w:tc>
              <w:tc>
                <w:tcPr>
                  <w:tcW w:w="650" w:type="dxa"/>
                  <w:tcBorders>
                    <w:tl2br w:val="nil"/>
                    <w:tr2bl w:val="nil"/>
                  </w:tcBorders>
                  <w:noWrap w:val="0"/>
                  <w:vAlign w:val="center"/>
                </w:tcPr>
                <w:p w14:paraId="2A147117">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排放</w:t>
                  </w: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浓度</w:t>
                  </w:r>
                </w:p>
                <w:p w14:paraId="5F22780C">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mg/m</w:t>
                  </w:r>
                  <w:r>
                    <w:rPr>
                      <w:rFonts w:hint="default" w:ascii="Times New Roman" w:hAnsi="Times New Roman" w:eastAsia="宋体" w:cs="Times New Roman"/>
                      <w:color w:val="000000" w:themeColor="text1"/>
                      <w:sz w:val="15"/>
                      <w:szCs w:val="15"/>
                      <w:highlight w:val="none"/>
                      <w:vertAlign w:val="superscript"/>
                      <w:lang w:val="en-US" w:eastAsia="zh-CN"/>
                      <w14:textFill>
                        <w14:solidFill>
                          <w14:schemeClr w14:val="tx1"/>
                        </w14:solidFill>
                      </w14:textFill>
                    </w:rPr>
                    <w:t>3</w:t>
                  </w:r>
                </w:p>
              </w:tc>
              <w:tc>
                <w:tcPr>
                  <w:tcW w:w="513" w:type="dxa"/>
                  <w:tcBorders>
                    <w:tl2br w:val="nil"/>
                    <w:tr2bl w:val="nil"/>
                  </w:tcBorders>
                  <w:noWrap w:val="0"/>
                  <w:vAlign w:val="center"/>
                </w:tcPr>
                <w:p w14:paraId="172B9F1C">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排放</w:t>
                  </w: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量</w:t>
                  </w:r>
                </w:p>
                <w:p w14:paraId="3DE96686">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kg/h</w:t>
                  </w:r>
                </w:p>
              </w:tc>
              <w:tc>
                <w:tcPr>
                  <w:tcW w:w="492" w:type="dxa"/>
                  <w:vMerge w:val="continue"/>
                  <w:tcBorders>
                    <w:tl2br w:val="nil"/>
                    <w:tr2bl w:val="nil"/>
                  </w:tcBorders>
                  <w:noWrap w:val="0"/>
                  <w:vAlign w:val="center"/>
                </w:tcPr>
                <w:p w14:paraId="5F0C7657">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r>
            <w:tr w14:paraId="47FCD2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7" w:type="dxa"/>
                  <w:tcBorders>
                    <w:tl2br w:val="nil"/>
                    <w:tr2bl w:val="nil"/>
                  </w:tcBorders>
                  <w:noWrap w:val="0"/>
                  <w:vAlign w:val="center"/>
                </w:tcPr>
                <w:p w14:paraId="57016EF0">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none"/>
                      <w:lang w:val="en-US" w:eastAsia="zh-CN"/>
                    </w:rPr>
                  </w:pPr>
                  <w:r>
                    <w:rPr>
                      <w:rFonts w:hint="eastAsia" w:cs="Times New Roman"/>
                      <w:color w:val="FF0000"/>
                      <w:sz w:val="15"/>
                      <w:szCs w:val="15"/>
                      <w:highlight w:val="none"/>
                      <w:lang w:val="en-US" w:eastAsia="zh-CN"/>
                    </w:rPr>
                    <w:t>破碎筛分工序</w:t>
                  </w:r>
                </w:p>
              </w:tc>
              <w:tc>
                <w:tcPr>
                  <w:tcW w:w="527" w:type="dxa"/>
                  <w:tcBorders>
                    <w:tl2br w:val="nil"/>
                    <w:tr2bl w:val="nil"/>
                  </w:tcBorders>
                  <w:noWrap w:val="0"/>
                  <w:vAlign w:val="center"/>
                </w:tcPr>
                <w:p w14:paraId="2EC6A5DA">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none"/>
                      <w:lang w:val="en-US" w:eastAsia="zh-CN"/>
                    </w:rPr>
                  </w:pPr>
                  <w:r>
                    <w:rPr>
                      <w:rFonts w:hint="eastAsia" w:cs="Times New Roman"/>
                      <w:color w:val="FF0000"/>
                      <w:sz w:val="15"/>
                      <w:szCs w:val="15"/>
                      <w:highlight w:val="none"/>
                      <w:lang w:val="en-US" w:eastAsia="zh-CN"/>
                    </w:rPr>
                    <w:t>无组织</w:t>
                  </w:r>
                </w:p>
              </w:tc>
              <w:tc>
                <w:tcPr>
                  <w:tcW w:w="487" w:type="dxa"/>
                  <w:tcBorders>
                    <w:tl2br w:val="nil"/>
                    <w:tr2bl w:val="nil"/>
                  </w:tcBorders>
                  <w:noWrap w:val="0"/>
                  <w:vAlign w:val="center"/>
                </w:tcPr>
                <w:p w14:paraId="384D5F1C">
                  <w:pPr>
                    <w:spacing w:line="240" w:lineRule="auto"/>
                    <w:ind w:left="0" w:leftChars="0" w:right="0" w:rightChars="0" w:firstLine="0" w:firstLineChars="0"/>
                    <w:jc w:val="center"/>
                    <w:rPr>
                      <w:rFonts w:hint="eastAsia" w:ascii="Times New Roman" w:hAnsi="Times New Roman" w:eastAsia="宋体" w:cs="Times New Roman"/>
                      <w:color w:val="FF0000"/>
                      <w:kern w:val="2"/>
                      <w:sz w:val="15"/>
                      <w:szCs w:val="15"/>
                      <w:highlight w:val="none"/>
                      <w:lang w:val="en-US" w:eastAsia="zh-CN" w:bidi="ar-SA"/>
                    </w:rPr>
                  </w:pPr>
                  <w:r>
                    <w:rPr>
                      <w:rFonts w:hint="eastAsia" w:ascii="Times New Roman" w:hAnsi="Times New Roman" w:eastAsia="宋体" w:cs="Times New Roman"/>
                      <w:color w:val="FF0000"/>
                      <w:sz w:val="15"/>
                      <w:szCs w:val="15"/>
                      <w:highlight w:val="none"/>
                      <w:lang w:val="en-US" w:eastAsia="zh-CN"/>
                    </w:rPr>
                    <w:t>TSP</w:t>
                  </w:r>
                </w:p>
              </w:tc>
              <w:tc>
                <w:tcPr>
                  <w:tcW w:w="525" w:type="dxa"/>
                  <w:tcBorders>
                    <w:tl2br w:val="nil"/>
                    <w:tr2bl w:val="nil"/>
                  </w:tcBorders>
                  <w:noWrap w:val="0"/>
                  <w:vAlign w:val="center"/>
                </w:tcPr>
                <w:p w14:paraId="00E304F0">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none"/>
                      <w:lang w:val="en-US" w:eastAsia="zh-CN"/>
                    </w:rPr>
                  </w:pPr>
                  <w:r>
                    <w:rPr>
                      <w:rFonts w:hint="eastAsia" w:cs="Times New Roman"/>
                      <w:color w:val="FF0000"/>
                      <w:sz w:val="15"/>
                      <w:szCs w:val="15"/>
                      <w:highlight w:val="none"/>
                      <w:lang w:val="en-US" w:eastAsia="zh-CN"/>
                    </w:rPr>
                    <w:t>产污系数</w:t>
                  </w:r>
                </w:p>
              </w:tc>
              <w:tc>
                <w:tcPr>
                  <w:tcW w:w="588" w:type="dxa"/>
                  <w:tcBorders>
                    <w:tl2br w:val="nil"/>
                    <w:tr2bl w:val="nil"/>
                  </w:tcBorders>
                  <w:noWrap w:val="0"/>
                  <w:vAlign w:val="center"/>
                </w:tcPr>
                <w:p w14:paraId="0C35EBDD">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none"/>
                      <w:lang w:val="en-US" w:eastAsia="zh-CN"/>
                    </w:rPr>
                  </w:pPr>
                  <w:r>
                    <w:rPr>
                      <w:rFonts w:hint="eastAsia" w:ascii="Times New Roman" w:hAnsi="Times New Roman" w:eastAsia="宋体" w:cs="Times New Roman"/>
                      <w:color w:val="FF0000"/>
                      <w:sz w:val="15"/>
                      <w:szCs w:val="15"/>
                      <w:highlight w:val="none"/>
                      <w:lang w:val="en-US" w:eastAsia="zh-CN"/>
                    </w:rPr>
                    <w:t>/</w:t>
                  </w:r>
                </w:p>
              </w:tc>
              <w:tc>
                <w:tcPr>
                  <w:tcW w:w="556" w:type="dxa"/>
                  <w:tcBorders>
                    <w:tl2br w:val="nil"/>
                    <w:tr2bl w:val="nil"/>
                  </w:tcBorders>
                  <w:noWrap w:val="0"/>
                  <w:vAlign w:val="center"/>
                </w:tcPr>
                <w:p w14:paraId="1B46A38E">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none"/>
                      <w:lang w:val="en-US" w:eastAsia="zh-CN"/>
                    </w:rPr>
                  </w:pPr>
                  <w:r>
                    <w:rPr>
                      <w:rFonts w:hint="eastAsia" w:ascii="Times New Roman" w:hAnsi="Times New Roman" w:eastAsia="宋体" w:cs="Times New Roman"/>
                      <w:color w:val="FF0000"/>
                      <w:sz w:val="15"/>
                      <w:szCs w:val="15"/>
                      <w:highlight w:val="none"/>
                      <w:lang w:val="en-US" w:eastAsia="zh-CN"/>
                    </w:rPr>
                    <w:t>/</w:t>
                  </w:r>
                </w:p>
              </w:tc>
              <w:tc>
                <w:tcPr>
                  <w:tcW w:w="525" w:type="dxa"/>
                  <w:tcBorders>
                    <w:tl2br w:val="nil"/>
                    <w:tr2bl w:val="nil"/>
                  </w:tcBorders>
                  <w:noWrap w:val="0"/>
                  <w:vAlign w:val="center"/>
                </w:tcPr>
                <w:p w14:paraId="4CA023C8">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none"/>
                      <w:lang w:val="en-US" w:eastAsia="zh-CN"/>
                    </w:rPr>
                  </w:pPr>
                  <w:r>
                    <w:rPr>
                      <w:rFonts w:hint="eastAsia" w:cs="Times New Roman"/>
                      <w:color w:val="FF0000"/>
                      <w:sz w:val="15"/>
                      <w:szCs w:val="15"/>
                      <w:highlight w:val="none"/>
                      <w:lang w:val="en-US" w:eastAsia="zh-CN"/>
                    </w:rPr>
                    <w:t>10.23</w:t>
                  </w:r>
                </w:p>
              </w:tc>
              <w:tc>
                <w:tcPr>
                  <w:tcW w:w="1036" w:type="dxa"/>
                  <w:tcBorders>
                    <w:tl2br w:val="nil"/>
                    <w:tr2bl w:val="nil"/>
                  </w:tcBorders>
                  <w:noWrap w:val="0"/>
                  <w:vAlign w:val="center"/>
                </w:tcPr>
                <w:p w14:paraId="1A106145">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none"/>
                      <w:lang w:val="en-US" w:eastAsia="zh-CN"/>
                    </w:rPr>
                  </w:pPr>
                  <w:r>
                    <w:rPr>
                      <w:rFonts w:hint="eastAsia" w:ascii="Times New Roman" w:hAnsi="Times New Roman" w:eastAsia="宋体" w:cs="Times New Roman"/>
                      <w:color w:val="FF0000"/>
                      <w:sz w:val="15"/>
                      <w:szCs w:val="15"/>
                      <w:highlight w:val="none"/>
                      <w:lang w:val="en-US" w:eastAsia="zh-CN"/>
                    </w:rPr>
                    <w:t>破碎、筛分等各产尘点进行喷淋降尘，车间内定期洒水降尘，定期冲洗车间地面</w:t>
                  </w:r>
                </w:p>
              </w:tc>
              <w:tc>
                <w:tcPr>
                  <w:tcW w:w="370" w:type="dxa"/>
                  <w:tcBorders>
                    <w:tl2br w:val="nil"/>
                    <w:tr2bl w:val="nil"/>
                  </w:tcBorders>
                  <w:noWrap w:val="0"/>
                  <w:vAlign w:val="center"/>
                </w:tcPr>
                <w:p w14:paraId="4F91EC83">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none"/>
                      <w:lang w:val="en-US" w:eastAsia="zh-CN"/>
                    </w:rPr>
                  </w:pPr>
                  <w:r>
                    <w:rPr>
                      <w:rFonts w:hint="eastAsia" w:cs="Times New Roman"/>
                      <w:color w:val="FF0000"/>
                      <w:sz w:val="15"/>
                      <w:szCs w:val="15"/>
                      <w:highlight w:val="none"/>
                      <w:lang w:val="en-US" w:eastAsia="zh-CN"/>
                    </w:rPr>
                    <w:t>74</w:t>
                  </w:r>
                  <w:r>
                    <w:rPr>
                      <w:rFonts w:hint="eastAsia" w:ascii="Times New Roman" w:hAnsi="Times New Roman" w:eastAsia="宋体" w:cs="Times New Roman"/>
                      <w:color w:val="FF0000"/>
                      <w:sz w:val="15"/>
                      <w:szCs w:val="15"/>
                      <w:highlight w:val="none"/>
                      <w:lang w:val="en-US" w:eastAsia="zh-CN"/>
                    </w:rPr>
                    <w:t>%</w:t>
                  </w:r>
                </w:p>
              </w:tc>
              <w:tc>
                <w:tcPr>
                  <w:tcW w:w="525" w:type="dxa"/>
                  <w:tcBorders>
                    <w:tl2br w:val="nil"/>
                    <w:tr2bl w:val="nil"/>
                  </w:tcBorders>
                  <w:noWrap w:val="0"/>
                  <w:vAlign w:val="center"/>
                </w:tcPr>
                <w:p w14:paraId="07E72880">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none"/>
                      <w:lang w:val="en-US" w:eastAsia="zh-CN"/>
                    </w:rPr>
                  </w:pPr>
                  <w:r>
                    <w:rPr>
                      <w:rFonts w:hint="eastAsia" w:ascii="Times New Roman" w:hAnsi="Times New Roman" w:cs="Times New Roman"/>
                      <w:color w:val="FF0000"/>
                      <w:sz w:val="15"/>
                      <w:szCs w:val="15"/>
                      <w:highlight w:val="none"/>
                      <w:lang w:val="en-US" w:eastAsia="zh-CN"/>
                    </w:rPr>
                    <w:t>产污系数</w:t>
                  </w:r>
                </w:p>
              </w:tc>
              <w:tc>
                <w:tcPr>
                  <w:tcW w:w="575" w:type="dxa"/>
                  <w:tcBorders>
                    <w:tl2br w:val="nil"/>
                    <w:tr2bl w:val="nil"/>
                  </w:tcBorders>
                  <w:noWrap w:val="0"/>
                  <w:vAlign w:val="center"/>
                </w:tcPr>
                <w:p w14:paraId="61FF7459">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none"/>
                      <w:lang w:val="en-US" w:eastAsia="zh-CN"/>
                    </w:rPr>
                  </w:pPr>
                  <w:r>
                    <w:rPr>
                      <w:rFonts w:hint="eastAsia" w:ascii="Times New Roman" w:hAnsi="Times New Roman" w:eastAsia="宋体" w:cs="Times New Roman"/>
                      <w:color w:val="FF0000"/>
                      <w:sz w:val="15"/>
                      <w:szCs w:val="15"/>
                      <w:highlight w:val="none"/>
                      <w:lang w:val="en-US" w:eastAsia="zh-CN"/>
                    </w:rPr>
                    <w:t>/</w:t>
                  </w:r>
                </w:p>
              </w:tc>
              <w:tc>
                <w:tcPr>
                  <w:tcW w:w="650" w:type="dxa"/>
                  <w:tcBorders>
                    <w:tl2br w:val="nil"/>
                    <w:tr2bl w:val="nil"/>
                  </w:tcBorders>
                  <w:noWrap w:val="0"/>
                  <w:vAlign w:val="center"/>
                </w:tcPr>
                <w:p w14:paraId="5341FEDA">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none"/>
                      <w:lang w:val="en-US" w:eastAsia="zh-CN"/>
                    </w:rPr>
                  </w:pPr>
                  <w:r>
                    <w:rPr>
                      <w:rFonts w:hint="eastAsia" w:cs="Times New Roman"/>
                      <w:color w:val="FF0000"/>
                      <w:sz w:val="15"/>
                      <w:szCs w:val="15"/>
                      <w:highlight w:val="none"/>
                      <w:lang w:val="en-US" w:eastAsia="zh-CN"/>
                    </w:rPr>
                    <w:t>/</w:t>
                  </w:r>
                </w:p>
              </w:tc>
              <w:tc>
                <w:tcPr>
                  <w:tcW w:w="513" w:type="dxa"/>
                  <w:tcBorders>
                    <w:tl2br w:val="nil"/>
                    <w:tr2bl w:val="nil"/>
                  </w:tcBorders>
                  <w:noWrap w:val="0"/>
                  <w:vAlign w:val="center"/>
                </w:tcPr>
                <w:p w14:paraId="6433357D">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none"/>
                      <w:lang w:val="en-US" w:eastAsia="zh-CN"/>
                    </w:rPr>
                  </w:pPr>
                  <w:r>
                    <w:rPr>
                      <w:rFonts w:hint="eastAsia" w:cs="Times New Roman"/>
                      <w:color w:val="FF0000"/>
                      <w:sz w:val="15"/>
                      <w:szCs w:val="15"/>
                      <w:highlight w:val="none"/>
                      <w:lang w:val="en-US" w:eastAsia="zh-CN"/>
                    </w:rPr>
                    <w:t>2.66</w:t>
                  </w:r>
                </w:p>
              </w:tc>
              <w:tc>
                <w:tcPr>
                  <w:tcW w:w="492" w:type="dxa"/>
                  <w:tcBorders>
                    <w:tl2br w:val="nil"/>
                    <w:tr2bl w:val="nil"/>
                  </w:tcBorders>
                  <w:noWrap w:val="0"/>
                  <w:vAlign w:val="center"/>
                </w:tcPr>
                <w:p w14:paraId="5D116058">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none"/>
                      <w:lang w:val="en-US" w:eastAsia="zh-CN"/>
                    </w:rPr>
                  </w:pPr>
                  <w:r>
                    <w:rPr>
                      <w:rFonts w:hint="eastAsia" w:cs="Times New Roman"/>
                      <w:color w:val="FF0000"/>
                      <w:sz w:val="15"/>
                      <w:szCs w:val="15"/>
                      <w:highlight w:val="none"/>
                      <w:lang w:val="en-US" w:eastAsia="zh-CN"/>
                    </w:rPr>
                    <w:t>5280</w:t>
                  </w:r>
                </w:p>
              </w:tc>
            </w:tr>
            <w:tr w14:paraId="07F27B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7" w:type="dxa"/>
                  <w:tcBorders>
                    <w:tl2br w:val="nil"/>
                    <w:tr2bl w:val="nil"/>
                  </w:tcBorders>
                  <w:noWrap w:val="0"/>
                  <w:vAlign w:val="center"/>
                </w:tcPr>
                <w:p w14:paraId="2873453F">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原料及产品转运、贮存</w:t>
                  </w:r>
                </w:p>
              </w:tc>
              <w:tc>
                <w:tcPr>
                  <w:tcW w:w="527" w:type="dxa"/>
                  <w:tcBorders>
                    <w:tl2br w:val="nil"/>
                    <w:tr2bl w:val="nil"/>
                  </w:tcBorders>
                  <w:noWrap w:val="0"/>
                  <w:vAlign w:val="center"/>
                </w:tcPr>
                <w:p w14:paraId="2A48AB63">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cs="Times New Roman"/>
                      <w:color w:val="000000" w:themeColor="text1"/>
                      <w:sz w:val="15"/>
                      <w:szCs w:val="15"/>
                      <w:highlight w:val="none"/>
                      <w:lang w:val="en-US" w:eastAsia="zh-CN"/>
                      <w14:textFill>
                        <w14:solidFill>
                          <w14:schemeClr w14:val="tx1"/>
                        </w14:solidFill>
                      </w14:textFill>
                    </w:rPr>
                    <w:t>无组织</w:t>
                  </w:r>
                </w:p>
              </w:tc>
              <w:tc>
                <w:tcPr>
                  <w:tcW w:w="487" w:type="dxa"/>
                  <w:tcBorders>
                    <w:tl2br w:val="nil"/>
                    <w:tr2bl w:val="nil"/>
                  </w:tcBorders>
                  <w:noWrap w:val="0"/>
                  <w:vAlign w:val="center"/>
                </w:tcPr>
                <w:p w14:paraId="0EC899C2">
                  <w:pPr>
                    <w:spacing w:line="240" w:lineRule="auto"/>
                    <w:ind w:left="0" w:leftChars="0" w:right="0" w:rightChars="0" w:firstLine="0" w:firstLineChars="0"/>
                    <w:jc w:val="center"/>
                    <w:rPr>
                      <w:rFonts w:hint="eastAsia"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TSP</w:t>
                  </w:r>
                </w:p>
              </w:tc>
              <w:tc>
                <w:tcPr>
                  <w:tcW w:w="525" w:type="dxa"/>
                  <w:tcBorders>
                    <w:tl2br w:val="nil"/>
                    <w:tr2bl w:val="nil"/>
                  </w:tcBorders>
                  <w:noWrap w:val="0"/>
                  <w:vAlign w:val="center"/>
                </w:tcPr>
                <w:p w14:paraId="52C00A15">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588" w:type="dxa"/>
                  <w:tcBorders>
                    <w:tl2br w:val="nil"/>
                    <w:tr2bl w:val="nil"/>
                  </w:tcBorders>
                  <w:noWrap w:val="0"/>
                  <w:vAlign w:val="center"/>
                </w:tcPr>
                <w:p w14:paraId="662D04B1">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556" w:type="dxa"/>
                  <w:tcBorders>
                    <w:tl2br w:val="nil"/>
                    <w:tr2bl w:val="nil"/>
                  </w:tcBorders>
                  <w:noWrap w:val="0"/>
                  <w:vAlign w:val="center"/>
                </w:tcPr>
                <w:p w14:paraId="59B90424">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525" w:type="dxa"/>
                  <w:tcBorders>
                    <w:tl2br w:val="nil"/>
                    <w:tr2bl w:val="nil"/>
                  </w:tcBorders>
                  <w:noWrap w:val="0"/>
                  <w:vAlign w:val="center"/>
                </w:tcPr>
                <w:p w14:paraId="2A63246F">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1036" w:type="dxa"/>
                  <w:tcBorders>
                    <w:tl2br w:val="nil"/>
                    <w:tr2bl w:val="nil"/>
                  </w:tcBorders>
                  <w:noWrap w:val="0"/>
                  <w:vAlign w:val="center"/>
                </w:tcPr>
                <w:p w14:paraId="07F34152">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原煤</w:t>
                  </w:r>
                  <w:r>
                    <w:rPr>
                      <w:rFonts w:hint="eastAsia" w:cs="Times New Roman"/>
                      <w:color w:val="000000" w:themeColor="text1"/>
                      <w:sz w:val="15"/>
                      <w:szCs w:val="15"/>
                      <w:highlight w:val="none"/>
                      <w:lang w:val="en-US" w:eastAsia="zh-CN"/>
                      <w14:textFill>
                        <w14:solidFill>
                          <w14:schemeClr w14:val="tx1"/>
                        </w14:solidFill>
                      </w14:textFill>
                    </w:rPr>
                    <w:t>仓</w:t>
                  </w: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、精煤</w:t>
                  </w:r>
                  <w:r>
                    <w:rPr>
                      <w:rFonts w:hint="eastAsia" w:cs="Times New Roman"/>
                      <w:color w:val="000000" w:themeColor="text1"/>
                      <w:sz w:val="15"/>
                      <w:szCs w:val="15"/>
                      <w:highlight w:val="none"/>
                      <w:lang w:val="en-US" w:eastAsia="zh-CN"/>
                      <w14:textFill>
                        <w14:solidFill>
                          <w14:schemeClr w14:val="tx1"/>
                        </w14:solidFill>
                      </w14:textFill>
                    </w:rPr>
                    <w:t>仓</w:t>
                  </w: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、矸石</w:t>
                  </w:r>
                  <w:r>
                    <w:rPr>
                      <w:rFonts w:hint="eastAsia" w:cs="Times New Roman"/>
                      <w:color w:val="000000" w:themeColor="text1"/>
                      <w:sz w:val="15"/>
                      <w:szCs w:val="15"/>
                      <w:highlight w:val="none"/>
                      <w:lang w:val="en-US" w:eastAsia="zh-CN"/>
                      <w14:textFill>
                        <w14:solidFill>
                          <w14:schemeClr w14:val="tx1"/>
                        </w14:solidFill>
                      </w14:textFill>
                    </w:rPr>
                    <w:t>仓</w:t>
                  </w: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均采取全封闭措施，定期洒水降尘</w:t>
                  </w:r>
                </w:p>
              </w:tc>
              <w:tc>
                <w:tcPr>
                  <w:tcW w:w="370" w:type="dxa"/>
                  <w:tcBorders>
                    <w:tl2br w:val="nil"/>
                    <w:tr2bl w:val="nil"/>
                  </w:tcBorders>
                  <w:noWrap w:val="0"/>
                  <w:vAlign w:val="center"/>
                </w:tcPr>
                <w:p w14:paraId="5CA82D9A">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525" w:type="dxa"/>
                  <w:tcBorders>
                    <w:tl2br w:val="nil"/>
                    <w:tr2bl w:val="nil"/>
                  </w:tcBorders>
                  <w:noWrap w:val="0"/>
                  <w:vAlign w:val="center"/>
                </w:tcPr>
                <w:p w14:paraId="6338B19B">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575" w:type="dxa"/>
                  <w:tcBorders>
                    <w:tl2br w:val="nil"/>
                    <w:tr2bl w:val="nil"/>
                  </w:tcBorders>
                  <w:noWrap w:val="0"/>
                  <w:vAlign w:val="center"/>
                </w:tcPr>
                <w:p w14:paraId="394FEBF8">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650" w:type="dxa"/>
                  <w:tcBorders>
                    <w:tl2br w:val="nil"/>
                    <w:tr2bl w:val="nil"/>
                  </w:tcBorders>
                  <w:noWrap w:val="0"/>
                  <w:vAlign w:val="center"/>
                </w:tcPr>
                <w:p w14:paraId="1F9AD49C">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513" w:type="dxa"/>
                  <w:tcBorders>
                    <w:tl2br w:val="nil"/>
                    <w:tr2bl w:val="nil"/>
                  </w:tcBorders>
                  <w:noWrap w:val="0"/>
                  <w:vAlign w:val="center"/>
                </w:tcPr>
                <w:p w14:paraId="69B76CC3">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492" w:type="dxa"/>
                  <w:tcBorders>
                    <w:tl2br w:val="nil"/>
                    <w:tr2bl w:val="nil"/>
                  </w:tcBorders>
                  <w:noWrap w:val="0"/>
                  <w:vAlign w:val="center"/>
                </w:tcPr>
                <w:p w14:paraId="35B24051">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r>
            <w:tr w14:paraId="49E10F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7" w:type="dxa"/>
                  <w:tcBorders>
                    <w:tl2br w:val="nil"/>
                    <w:tr2bl w:val="nil"/>
                  </w:tcBorders>
                  <w:noWrap w:val="0"/>
                  <w:vAlign w:val="center"/>
                </w:tcPr>
                <w:p w14:paraId="38CEA71E">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green"/>
                      <w:lang w:val="en-US" w:eastAsia="zh-CN"/>
                    </w:rPr>
                  </w:pPr>
                  <w:r>
                    <w:rPr>
                      <w:rFonts w:hint="eastAsia" w:cs="Times New Roman"/>
                      <w:color w:val="FF0000"/>
                      <w:sz w:val="15"/>
                      <w:szCs w:val="15"/>
                      <w:highlight w:val="green"/>
                      <w:lang w:val="en-US" w:eastAsia="zh-CN"/>
                    </w:rPr>
                    <w:t>中煤装卸</w:t>
                  </w:r>
                </w:p>
              </w:tc>
              <w:tc>
                <w:tcPr>
                  <w:tcW w:w="527" w:type="dxa"/>
                  <w:tcBorders>
                    <w:tl2br w:val="nil"/>
                    <w:tr2bl w:val="nil"/>
                  </w:tcBorders>
                  <w:noWrap w:val="0"/>
                  <w:vAlign w:val="center"/>
                </w:tcPr>
                <w:p w14:paraId="65159750">
                  <w:pPr>
                    <w:spacing w:line="240" w:lineRule="auto"/>
                    <w:ind w:left="0" w:leftChars="0" w:right="0" w:rightChars="0" w:firstLine="0" w:firstLineChars="0"/>
                    <w:jc w:val="center"/>
                    <w:rPr>
                      <w:rFonts w:hint="default" w:cs="Times New Roman"/>
                      <w:color w:val="FF0000"/>
                      <w:sz w:val="15"/>
                      <w:szCs w:val="15"/>
                      <w:highlight w:val="green"/>
                      <w:lang w:val="en-US" w:eastAsia="zh-CN"/>
                    </w:rPr>
                  </w:pPr>
                  <w:r>
                    <w:rPr>
                      <w:rFonts w:hint="eastAsia" w:cs="Times New Roman"/>
                      <w:color w:val="FF0000"/>
                      <w:sz w:val="15"/>
                      <w:szCs w:val="15"/>
                      <w:highlight w:val="green"/>
                      <w:lang w:val="en-US" w:eastAsia="zh-CN"/>
                    </w:rPr>
                    <w:t>无组织</w:t>
                  </w:r>
                </w:p>
              </w:tc>
              <w:tc>
                <w:tcPr>
                  <w:tcW w:w="487" w:type="dxa"/>
                  <w:tcBorders>
                    <w:tl2br w:val="nil"/>
                    <w:tr2bl w:val="nil"/>
                  </w:tcBorders>
                  <w:noWrap w:val="0"/>
                  <w:vAlign w:val="center"/>
                </w:tcPr>
                <w:p w14:paraId="1B7BC9D5">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TSP</w:t>
                  </w:r>
                </w:p>
              </w:tc>
              <w:tc>
                <w:tcPr>
                  <w:tcW w:w="525" w:type="dxa"/>
                  <w:tcBorders>
                    <w:tl2br w:val="nil"/>
                    <w:tr2bl w:val="nil"/>
                  </w:tcBorders>
                  <w:noWrap w:val="0"/>
                  <w:vAlign w:val="center"/>
                </w:tcPr>
                <w:p w14:paraId="4C5FCB19">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产污系数</w:t>
                  </w:r>
                </w:p>
              </w:tc>
              <w:tc>
                <w:tcPr>
                  <w:tcW w:w="588" w:type="dxa"/>
                  <w:tcBorders>
                    <w:tl2br w:val="nil"/>
                    <w:tr2bl w:val="nil"/>
                  </w:tcBorders>
                  <w:noWrap w:val="0"/>
                  <w:vAlign w:val="center"/>
                </w:tcPr>
                <w:p w14:paraId="177E834E">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w:t>
                  </w:r>
                </w:p>
              </w:tc>
              <w:tc>
                <w:tcPr>
                  <w:tcW w:w="556" w:type="dxa"/>
                  <w:tcBorders>
                    <w:tl2br w:val="nil"/>
                    <w:tr2bl w:val="nil"/>
                  </w:tcBorders>
                  <w:noWrap w:val="0"/>
                  <w:vAlign w:val="center"/>
                </w:tcPr>
                <w:p w14:paraId="752ADA9F">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w:t>
                  </w:r>
                </w:p>
              </w:tc>
              <w:tc>
                <w:tcPr>
                  <w:tcW w:w="525" w:type="dxa"/>
                  <w:tcBorders>
                    <w:tl2br w:val="nil"/>
                    <w:tr2bl w:val="nil"/>
                  </w:tcBorders>
                  <w:noWrap w:val="0"/>
                  <w:vAlign w:val="center"/>
                </w:tcPr>
                <w:p w14:paraId="3B04669E">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green"/>
                      <w:lang w:val="en-US" w:eastAsia="zh-CN"/>
                    </w:rPr>
                  </w:pPr>
                  <w:r>
                    <w:rPr>
                      <w:rFonts w:hint="eastAsia" w:cs="Times New Roman"/>
                      <w:color w:val="FF0000"/>
                      <w:sz w:val="15"/>
                      <w:szCs w:val="15"/>
                      <w:highlight w:val="green"/>
                      <w:lang w:val="en-US" w:eastAsia="zh-CN"/>
                    </w:rPr>
                    <w:t>0.023</w:t>
                  </w:r>
                </w:p>
              </w:tc>
              <w:tc>
                <w:tcPr>
                  <w:tcW w:w="1036" w:type="dxa"/>
                  <w:tcBorders>
                    <w:tl2br w:val="nil"/>
                    <w:tr2bl w:val="nil"/>
                  </w:tcBorders>
                  <w:noWrap w:val="0"/>
                  <w:vAlign w:val="center"/>
                </w:tcPr>
                <w:p w14:paraId="39D38BD7">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green"/>
                      <w:lang w:val="en-US" w:eastAsia="zh-CN"/>
                    </w:rPr>
                  </w:pPr>
                  <w:r>
                    <w:rPr>
                      <w:rFonts w:hint="eastAsia" w:cs="Times New Roman"/>
                      <w:color w:val="FF0000"/>
                      <w:sz w:val="15"/>
                      <w:szCs w:val="15"/>
                      <w:highlight w:val="green"/>
                      <w:lang w:val="en-US" w:eastAsia="zh-CN"/>
                    </w:rPr>
                    <w:t>/</w:t>
                  </w:r>
                </w:p>
              </w:tc>
              <w:tc>
                <w:tcPr>
                  <w:tcW w:w="370" w:type="dxa"/>
                  <w:tcBorders>
                    <w:tl2br w:val="nil"/>
                    <w:tr2bl w:val="nil"/>
                  </w:tcBorders>
                  <w:noWrap w:val="0"/>
                  <w:vAlign w:val="center"/>
                </w:tcPr>
                <w:p w14:paraId="1BB34D32">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w:t>
                  </w:r>
                </w:p>
              </w:tc>
              <w:tc>
                <w:tcPr>
                  <w:tcW w:w="525" w:type="dxa"/>
                  <w:tcBorders>
                    <w:tl2br w:val="nil"/>
                    <w:tr2bl w:val="nil"/>
                  </w:tcBorders>
                  <w:noWrap w:val="0"/>
                  <w:vAlign w:val="center"/>
                </w:tcPr>
                <w:p w14:paraId="400521C6">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w:t>
                  </w:r>
                </w:p>
              </w:tc>
              <w:tc>
                <w:tcPr>
                  <w:tcW w:w="575" w:type="dxa"/>
                  <w:tcBorders>
                    <w:tl2br w:val="nil"/>
                    <w:tr2bl w:val="nil"/>
                  </w:tcBorders>
                  <w:noWrap w:val="0"/>
                  <w:vAlign w:val="center"/>
                </w:tcPr>
                <w:p w14:paraId="74CD1C25">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w:t>
                  </w:r>
                </w:p>
              </w:tc>
              <w:tc>
                <w:tcPr>
                  <w:tcW w:w="650" w:type="dxa"/>
                  <w:tcBorders>
                    <w:tl2br w:val="nil"/>
                    <w:tr2bl w:val="nil"/>
                  </w:tcBorders>
                  <w:noWrap w:val="0"/>
                  <w:vAlign w:val="center"/>
                </w:tcPr>
                <w:p w14:paraId="55E87862">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w:t>
                  </w:r>
                </w:p>
              </w:tc>
              <w:tc>
                <w:tcPr>
                  <w:tcW w:w="513" w:type="dxa"/>
                  <w:tcBorders>
                    <w:tl2br w:val="nil"/>
                    <w:tr2bl w:val="nil"/>
                  </w:tcBorders>
                  <w:noWrap w:val="0"/>
                  <w:vAlign w:val="center"/>
                </w:tcPr>
                <w:p w14:paraId="52420BA5">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0.0</w:t>
                  </w:r>
                  <w:r>
                    <w:rPr>
                      <w:rFonts w:hint="eastAsia" w:cs="Times New Roman"/>
                      <w:color w:val="FF0000"/>
                      <w:sz w:val="15"/>
                      <w:szCs w:val="15"/>
                      <w:highlight w:val="green"/>
                      <w:lang w:val="en-US" w:eastAsia="zh-CN"/>
                    </w:rPr>
                    <w:t>23</w:t>
                  </w:r>
                </w:p>
              </w:tc>
              <w:tc>
                <w:tcPr>
                  <w:tcW w:w="492" w:type="dxa"/>
                  <w:tcBorders>
                    <w:tl2br w:val="nil"/>
                    <w:tr2bl w:val="nil"/>
                  </w:tcBorders>
                  <w:noWrap w:val="0"/>
                  <w:vAlign w:val="center"/>
                </w:tcPr>
                <w:p w14:paraId="0AF6CAB2">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green"/>
                      <w:lang w:val="en-US" w:eastAsia="zh-CN"/>
                    </w:rPr>
                  </w:pPr>
                  <w:r>
                    <w:rPr>
                      <w:rFonts w:hint="eastAsia" w:cs="Times New Roman"/>
                      <w:color w:val="FF0000"/>
                      <w:sz w:val="15"/>
                      <w:szCs w:val="15"/>
                      <w:highlight w:val="green"/>
                      <w:lang w:val="en-US" w:eastAsia="zh-CN"/>
                    </w:rPr>
                    <w:t>5280</w:t>
                  </w:r>
                </w:p>
              </w:tc>
            </w:tr>
            <w:tr w14:paraId="0241A7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7" w:type="dxa"/>
                  <w:tcBorders>
                    <w:tl2br w:val="nil"/>
                    <w:tr2bl w:val="nil"/>
                  </w:tcBorders>
                  <w:noWrap w:val="0"/>
                  <w:vAlign w:val="center"/>
                </w:tcPr>
                <w:p w14:paraId="5E4C29C0">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物料</w:t>
                  </w:r>
                  <w:r>
                    <w:rPr>
                      <w:rFonts w:hint="eastAsia" w:cs="Times New Roman"/>
                      <w:color w:val="000000" w:themeColor="text1"/>
                      <w:sz w:val="15"/>
                      <w:szCs w:val="15"/>
                      <w:highlight w:val="none"/>
                      <w:lang w:val="en-US" w:eastAsia="zh-CN"/>
                      <w14:textFill>
                        <w14:solidFill>
                          <w14:schemeClr w14:val="tx1"/>
                        </w14:solidFill>
                      </w14:textFill>
                    </w:rPr>
                    <w:t>输送</w:t>
                  </w:r>
                </w:p>
              </w:tc>
              <w:tc>
                <w:tcPr>
                  <w:tcW w:w="527" w:type="dxa"/>
                  <w:tcBorders>
                    <w:tl2br w:val="nil"/>
                    <w:tr2bl w:val="nil"/>
                  </w:tcBorders>
                  <w:noWrap w:val="0"/>
                  <w:vAlign w:val="center"/>
                </w:tcPr>
                <w:p w14:paraId="69E2B90A">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cs="Times New Roman"/>
                      <w:color w:val="000000" w:themeColor="text1"/>
                      <w:sz w:val="15"/>
                      <w:szCs w:val="15"/>
                      <w:highlight w:val="none"/>
                      <w:lang w:val="en-US" w:eastAsia="zh-CN"/>
                      <w14:textFill>
                        <w14:solidFill>
                          <w14:schemeClr w14:val="tx1"/>
                        </w14:solidFill>
                      </w14:textFill>
                    </w:rPr>
                    <w:t>无组织</w:t>
                  </w:r>
                </w:p>
              </w:tc>
              <w:tc>
                <w:tcPr>
                  <w:tcW w:w="487" w:type="dxa"/>
                  <w:tcBorders>
                    <w:tl2br w:val="nil"/>
                    <w:tr2bl w:val="nil"/>
                  </w:tcBorders>
                  <w:noWrap w:val="0"/>
                  <w:vAlign w:val="center"/>
                </w:tcPr>
                <w:p w14:paraId="11EA6A4F">
                  <w:pPr>
                    <w:spacing w:line="240" w:lineRule="auto"/>
                    <w:ind w:left="0" w:leftChars="0" w:right="0" w:rightChars="0" w:firstLine="0" w:firstLineChars="0"/>
                    <w:jc w:val="center"/>
                    <w:rPr>
                      <w:rFonts w:hint="eastAsia"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TSP</w:t>
                  </w:r>
                </w:p>
              </w:tc>
              <w:tc>
                <w:tcPr>
                  <w:tcW w:w="525" w:type="dxa"/>
                  <w:tcBorders>
                    <w:tl2br w:val="nil"/>
                    <w:tr2bl w:val="nil"/>
                  </w:tcBorders>
                  <w:noWrap w:val="0"/>
                  <w:vAlign w:val="center"/>
                </w:tcPr>
                <w:p w14:paraId="148116CB">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588" w:type="dxa"/>
                  <w:tcBorders>
                    <w:tl2br w:val="nil"/>
                    <w:tr2bl w:val="nil"/>
                  </w:tcBorders>
                  <w:noWrap w:val="0"/>
                  <w:vAlign w:val="center"/>
                </w:tcPr>
                <w:p w14:paraId="3284DBA5">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556" w:type="dxa"/>
                  <w:tcBorders>
                    <w:tl2br w:val="nil"/>
                    <w:tr2bl w:val="nil"/>
                  </w:tcBorders>
                  <w:noWrap w:val="0"/>
                  <w:vAlign w:val="center"/>
                </w:tcPr>
                <w:p w14:paraId="6C587739">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525" w:type="dxa"/>
                  <w:tcBorders>
                    <w:tl2br w:val="nil"/>
                    <w:tr2bl w:val="nil"/>
                  </w:tcBorders>
                  <w:noWrap w:val="0"/>
                  <w:vAlign w:val="center"/>
                </w:tcPr>
                <w:p w14:paraId="2374EAE0">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1036" w:type="dxa"/>
                  <w:tcBorders>
                    <w:tl2br w:val="nil"/>
                    <w:tr2bl w:val="nil"/>
                  </w:tcBorders>
                  <w:noWrap w:val="0"/>
                  <w:vAlign w:val="center"/>
                </w:tcPr>
                <w:p w14:paraId="17E452DF">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在运输过程中应采取减速行驶且运输车辆运输时车身加盖苫布，防止物料洒落</w:t>
                  </w:r>
                </w:p>
              </w:tc>
              <w:tc>
                <w:tcPr>
                  <w:tcW w:w="370" w:type="dxa"/>
                  <w:tcBorders>
                    <w:tl2br w:val="nil"/>
                    <w:tr2bl w:val="nil"/>
                  </w:tcBorders>
                  <w:noWrap w:val="0"/>
                  <w:vAlign w:val="center"/>
                </w:tcPr>
                <w:p w14:paraId="67E267FC">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525" w:type="dxa"/>
                  <w:tcBorders>
                    <w:tl2br w:val="nil"/>
                    <w:tr2bl w:val="nil"/>
                  </w:tcBorders>
                  <w:noWrap w:val="0"/>
                  <w:vAlign w:val="center"/>
                </w:tcPr>
                <w:p w14:paraId="3B121B7F">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575" w:type="dxa"/>
                  <w:tcBorders>
                    <w:tl2br w:val="nil"/>
                    <w:tr2bl w:val="nil"/>
                  </w:tcBorders>
                  <w:noWrap w:val="0"/>
                  <w:vAlign w:val="center"/>
                </w:tcPr>
                <w:p w14:paraId="355A428E">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650" w:type="dxa"/>
                  <w:tcBorders>
                    <w:tl2br w:val="nil"/>
                    <w:tr2bl w:val="nil"/>
                  </w:tcBorders>
                  <w:noWrap w:val="0"/>
                  <w:vAlign w:val="center"/>
                </w:tcPr>
                <w:p w14:paraId="211CCEE2">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513" w:type="dxa"/>
                  <w:tcBorders>
                    <w:tl2br w:val="nil"/>
                    <w:tr2bl w:val="nil"/>
                  </w:tcBorders>
                  <w:noWrap w:val="0"/>
                  <w:vAlign w:val="center"/>
                </w:tcPr>
                <w:p w14:paraId="7424491C">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492" w:type="dxa"/>
                  <w:tcBorders>
                    <w:tl2br w:val="nil"/>
                    <w:tr2bl w:val="nil"/>
                  </w:tcBorders>
                  <w:noWrap w:val="0"/>
                  <w:vAlign w:val="center"/>
                </w:tcPr>
                <w:p w14:paraId="05446585">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r>
            <w:tr w14:paraId="0DD346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7" w:type="dxa"/>
                  <w:tcBorders>
                    <w:tl2br w:val="nil"/>
                    <w:tr2bl w:val="nil"/>
                  </w:tcBorders>
                  <w:noWrap w:val="0"/>
                  <w:vAlign w:val="center"/>
                </w:tcPr>
                <w:p w14:paraId="701C6F4A">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green"/>
                      <w:lang w:val="en-US" w:eastAsia="zh-CN"/>
                    </w:rPr>
                  </w:pPr>
                  <w:r>
                    <w:rPr>
                      <w:rFonts w:hint="eastAsia" w:cs="Times New Roman"/>
                      <w:color w:val="FF0000"/>
                      <w:sz w:val="15"/>
                      <w:szCs w:val="15"/>
                      <w:highlight w:val="green"/>
                      <w:lang w:val="en-US" w:eastAsia="zh-CN"/>
                    </w:rPr>
                    <w:t>浮选</w:t>
                  </w:r>
                </w:p>
              </w:tc>
              <w:tc>
                <w:tcPr>
                  <w:tcW w:w="527" w:type="dxa"/>
                  <w:tcBorders>
                    <w:tl2br w:val="nil"/>
                    <w:tr2bl w:val="nil"/>
                  </w:tcBorders>
                  <w:noWrap w:val="0"/>
                  <w:vAlign w:val="center"/>
                </w:tcPr>
                <w:p w14:paraId="2058380C">
                  <w:pPr>
                    <w:spacing w:line="240" w:lineRule="auto"/>
                    <w:ind w:left="0" w:leftChars="0" w:right="0" w:rightChars="0" w:firstLine="0" w:firstLineChars="0"/>
                    <w:jc w:val="center"/>
                    <w:rPr>
                      <w:rFonts w:hint="default" w:cs="Times New Roman"/>
                      <w:color w:val="FF0000"/>
                      <w:sz w:val="15"/>
                      <w:szCs w:val="15"/>
                      <w:highlight w:val="green"/>
                      <w:lang w:val="en-US" w:eastAsia="zh-CN"/>
                    </w:rPr>
                  </w:pPr>
                  <w:r>
                    <w:rPr>
                      <w:rFonts w:hint="eastAsia" w:cs="Times New Roman"/>
                      <w:color w:val="FF0000"/>
                      <w:sz w:val="15"/>
                      <w:szCs w:val="15"/>
                      <w:highlight w:val="green"/>
                      <w:lang w:val="en-US" w:eastAsia="zh-CN"/>
                    </w:rPr>
                    <w:t>无组织</w:t>
                  </w:r>
                </w:p>
              </w:tc>
              <w:tc>
                <w:tcPr>
                  <w:tcW w:w="487" w:type="dxa"/>
                  <w:tcBorders>
                    <w:tl2br w:val="nil"/>
                    <w:tr2bl w:val="nil"/>
                  </w:tcBorders>
                  <w:noWrap w:val="0"/>
                  <w:vAlign w:val="center"/>
                </w:tcPr>
                <w:p w14:paraId="2B25E66D">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green"/>
                      <w:lang w:val="en-US" w:eastAsia="zh-CN"/>
                    </w:rPr>
                  </w:pPr>
                  <w:r>
                    <w:rPr>
                      <w:rFonts w:hint="eastAsia" w:cs="Times New Roman"/>
                      <w:color w:val="FF0000"/>
                      <w:sz w:val="15"/>
                      <w:szCs w:val="15"/>
                      <w:highlight w:val="green"/>
                      <w:lang w:val="en-US" w:eastAsia="zh-CN"/>
                    </w:rPr>
                    <w:t>NMHC</w:t>
                  </w:r>
                </w:p>
              </w:tc>
              <w:tc>
                <w:tcPr>
                  <w:tcW w:w="525" w:type="dxa"/>
                  <w:tcBorders>
                    <w:tl2br w:val="nil"/>
                    <w:tr2bl w:val="nil"/>
                  </w:tcBorders>
                  <w:noWrap w:val="0"/>
                  <w:vAlign w:val="center"/>
                </w:tcPr>
                <w:p w14:paraId="2C42909E">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w:t>
                  </w:r>
                </w:p>
              </w:tc>
              <w:tc>
                <w:tcPr>
                  <w:tcW w:w="588" w:type="dxa"/>
                  <w:tcBorders>
                    <w:tl2br w:val="nil"/>
                    <w:tr2bl w:val="nil"/>
                  </w:tcBorders>
                  <w:noWrap w:val="0"/>
                  <w:vAlign w:val="center"/>
                </w:tcPr>
                <w:p w14:paraId="42467CD1">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w:t>
                  </w:r>
                </w:p>
              </w:tc>
              <w:tc>
                <w:tcPr>
                  <w:tcW w:w="556" w:type="dxa"/>
                  <w:tcBorders>
                    <w:tl2br w:val="nil"/>
                    <w:tr2bl w:val="nil"/>
                  </w:tcBorders>
                  <w:noWrap w:val="0"/>
                  <w:vAlign w:val="center"/>
                </w:tcPr>
                <w:p w14:paraId="1D0AB7EF">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w:t>
                  </w:r>
                </w:p>
              </w:tc>
              <w:tc>
                <w:tcPr>
                  <w:tcW w:w="525" w:type="dxa"/>
                  <w:tcBorders>
                    <w:tl2br w:val="nil"/>
                    <w:tr2bl w:val="nil"/>
                  </w:tcBorders>
                  <w:noWrap w:val="0"/>
                  <w:vAlign w:val="center"/>
                </w:tcPr>
                <w:p w14:paraId="016ECB3A">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0</w:t>
                  </w:r>
                  <w:r>
                    <w:rPr>
                      <w:rFonts w:hint="eastAsia" w:cs="Times New Roman"/>
                      <w:color w:val="FF0000"/>
                      <w:sz w:val="15"/>
                      <w:szCs w:val="15"/>
                      <w:highlight w:val="green"/>
                      <w:lang w:val="en-US" w:eastAsia="zh-CN"/>
                    </w:rPr>
                    <w:t>.027</w:t>
                  </w:r>
                </w:p>
              </w:tc>
              <w:tc>
                <w:tcPr>
                  <w:tcW w:w="1036" w:type="dxa"/>
                  <w:tcBorders>
                    <w:tl2br w:val="nil"/>
                    <w:tr2bl w:val="nil"/>
                  </w:tcBorders>
                  <w:noWrap w:val="0"/>
                  <w:vAlign w:val="center"/>
                </w:tcPr>
                <w:p w14:paraId="58334FAF">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green"/>
                      <w:lang w:val="en-US" w:eastAsia="zh-CN"/>
                    </w:rPr>
                  </w:pPr>
                  <w:r>
                    <w:rPr>
                      <w:rFonts w:hint="eastAsia" w:cs="Times New Roman"/>
                      <w:color w:val="FF0000"/>
                      <w:sz w:val="15"/>
                      <w:szCs w:val="15"/>
                      <w:highlight w:val="green"/>
                      <w:lang w:val="en-US" w:eastAsia="zh-CN"/>
                    </w:rPr>
                    <w:t>浮选工序位于主厂房五楼，通过车间通风口排放</w:t>
                  </w:r>
                </w:p>
              </w:tc>
              <w:tc>
                <w:tcPr>
                  <w:tcW w:w="370" w:type="dxa"/>
                  <w:tcBorders>
                    <w:tl2br w:val="nil"/>
                    <w:tr2bl w:val="nil"/>
                  </w:tcBorders>
                  <w:noWrap w:val="0"/>
                  <w:vAlign w:val="center"/>
                </w:tcPr>
                <w:p w14:paraId="06B816A8">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w:t>
                  </w:r>
                </w:p>
              </w:tc>
              <w:tc>
                <w:tcPr>
                  <w:tcW w:w="525" w:type="dxa"/>
                  <w:tcBorders>
                    <w:tl2br w:val="nil"/>
                    <w:tr2bl w:val="nil"/>
                  </w:tcBorders>
                  <w:noWrap w:val="0"/>
                  <w:vAlign w:val="center"/>
                </w:tcPr>
                <w:p w14:paraId="7FEB8D05">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w:t>
                  </w:r>
                </w:p>
              </w:tc>
              <w:tc>
                <w:tcPr>
                  <w:tcW w:w="575" w:type="dxa"/>
                  <w:tcBorders>
                    <w:tl2br w:val="nil"/>
                    <w:tr2bl w:val="nil"/>
                  </w:tcBorders>
                  <w:noWrap w:val="0"/>
                  <w:vAlign w:val="center"/>
                </w:tcPr>
                <w:p w14:paraId="25D64854">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w:t>
                  </w:r>
                </w:p>
              </w:tc>
              <w:tc>
                <w:tcPr>
                  <w:tcW w:w="650" w:type="dxa"/>
                  <w:tcBorders>
                    <w:tl2br w:val="nil"/>
                    <w:tr2bl w:val="nil"/>
                  </w:tcBorders>
                  <w:noWrap w:val="0"/>
                  <w:vAlign w:val="center"/>
                </w:tcPr>
                <w:p w14:paraId="2F4C9AFF">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w:t>
                  </w:r>
                </w:p>
              </w:tc>
              <w:tc>
                <w:tcPr>
                  <w:tcW w:w="513" w:type="dxa"/>
                  <w:tcBorders>
                    <w:tl2br w:val="nil"/>
                    <w:tr2bl w:val="nil"/>
                  </w:tcBorders>
                  <w:noWrap w:val="0"/>
                  <w:vAlign w:val="center"/>
                </w:tcPr>
                <w:p w14:paraId="59711DF5">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0.</w:t>
                  </w:r>
                  <w:r>
                    <w:rPr>
                      <w:rFonts w:hint="eastAsia" w:cs="Times New Roman"/>
                      <w:color w:val="FF0000"/>
                      <w:sz w:val="15"/>
                      <w:szCs w:val="15"/>
                      <w:highlight w:val="green"/>
                      <w:lang w:val="en-US" w:eastAsia="zh-CN"/>
                    </w:rPr>
                    <w:t>027</w:t>
                  </w:r>
                </w:p>
              </w:tc>
              <w:tc>
                <w:tcPr>
                  <w:tcW w:w="492" w:type="dxa"/>
                  <w:tcBorders>
                    <w:tl2br w:val="nil"/>
                    <w:tr2bl w:val="nil"/>
                  </w:tcBorders>
                  <w:noWrap w:val="0"/>
                  <w:vAlign w:val="center"/>
                </w:tcPr>
                <w:p w14:paraId="260550CA">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5280</w:t>
                  </w:r>
                </w:p>
              </w:tc>
            </w:tr>
            <w:tr w14:paraId="185752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7" w:type="dxa"/>
                  <w:tcBorders>
                    <w:tl2br w:val="nil"/>
                    <w:tr2bl w:val="nil"/>
                  </w:tcBorders>
                  <w:noWrap w:val="0"/>
                  <w:vAlign w:val="center"/>
                </w:tcPr>
                <w:p w14:paraId="5C97A3F7">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green"/>
                      <w:lang w:val="en-US" w:eastAsia="zh-CN"/>
                    </w:rPr>
                  </w:pPr>
                  <w:r>
                    <w:rPr>
                      <w:rFonts w:hint="eastAsia" w:cs="Times New Roman"/>
                      <w:color w:val="FF0000"/>
                      <w:sz w:val="15"/>
                      <w:szCs w:val="15"/>
                      <w:highlight w:val="green"/>
                      <w:lang w:val="en-US" w:eastAsia="zh-CN"/>
                    </w:rPr>
                    <w:t>油罐区</w:t>
                  </w:r>
                </w:p>
              </w:tc>
              <w:tc>
                <w:tcPr>
                  <w:tcW w:w="527" w:type="dxa"/>
                  <w:tcBorders>
                    <w:tl2br w:val="nil"/>
                    <w:tr2bl w:val="nil"/>
                  </w:tcBorders>
                  <w:noWrap w:val="0"/>
                  <w:vAlign w:val="center"/>
                </w:tcPr>
                <w:p w14:paraId="4EC26DDF">
                  <w:pPr>
                    <w:spacing w:line="240" w:lineRule="auto"/>
                    <w:ind w:left="0" w:leftChars="0" w:right="0" w:rightChars="0" w:firstLine="0" w:firstLineChars="0"/>
                    <w:jc w:val="center"/>
                    <w:rPr>
                      <w:rFonts w:hint="default" w:cs="Times New Roman"/>
                      <w:color w:val="FF0000"/>
                      <w:sz w:val="15"/>
                      <w:szCs w:val="15"/>
                      <w:highlight w:val="green"/>
                      <w:lang w:val="en-US" w:eastAsia="zh-CN"/>
                    </w:rPr>
                  </w:pPr>
                  <w:r>
                    <w:rPr>
                      <w:rFonts w:hint="eastAsia" w:cs="Times New Roman"/>
                      <w:color w:val="FF0000"/>
                      <w:sz w:val="15"/>
                      <w:szCs w:val="15"/>
                      <w:highlight w:val="green"/>
                      <w:lang w:val="en-US" w:eastAsia="zh-CN"/>
                    </w:rPr>
                    <w:t>无组织</w:t>
                  </w:r>
                </w:p>
              </w:tc>
              <w:tc>
                <w:tcPr>
                  <w:tcW w:w="487" w:type="dxa"/>
                  <w:tcBorders>
                    <w:tl2br w:val="nil"/>
                    <w:tr2bl w:val="nil"/>
                  </w:tcBorders>
                  <w:noWrap w:val="0"/>
                  <w:vAlign w:val="center"/>
                </w:tcPr>
                <w:p w14:paraId="7F57D81F">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NMHC</w:t>
                  </w:r>
                </w:p>
              </w:tc>
              <w:tc>
                <w:tcPr>
                  <w:tcW w:w="525" w:type="dxa"/>
                  <w:tcBorders>
                    <w:tl2br w:val="nil"/>
                    <w:tr2bl w:val="nil"/>
                  </w:tcBorders>
                  <w:noWrap w:val="0"/>
                  <w:vAlign w:val="center"/>
                </w:tcPr>
                <w:p w14:paraId="7535BC45">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w:t>
                  </w:r>
                </w:p>
              </w:tc>
              <w:tc>
                <w:tcPr>
                  <w:tcW w:w="588" w:type="dxa"/>
                  <w:tcBorders>
                    <w:tl2br w:val="nil"/>
                    <w:tr2bl w:val="nil"/>
                  </w:tcBorders>
                  <w:noWrap w:val="0"/>
                  <w:vAlign w:val="center"/>
                </w:tcPr>
                <w:p w14:paraId="27DBF208">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w:t>
                  </w:r>
                </w:p>
              </w:tc>
              <w:tc>
                <w:tcPr>
                  <w:tcW w:w="556" w:type="dxa"/>
                  <w:tcBorders>
                    <w:tl2br w:val="nil"/>
                    <w:tr2bl w:val="nil"/>
                  </w:tcBorders>
                  <w:noWrap w:val="0"/>
                  <w:vAlign w:val="center"/>
                </w:tcPr>
                <w:p w14:paraId="58439121">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w:t>
                  </w:r>
                </w:p>
              </w:tc>
              <w:tc>
                <w:tcPr>
                  <w:tcW w:w="525" w:type="dxa"/>
                  <w:tcBorders>
                    <w:tl2br w:val="nil"/>
                    <w:tr2bl w:val="nil"/>
                  </w:tcBorders>
                  <w:noWrap w:val="0"/>
                  <w:vAlign w:val="center"/>
                </w:tcPr>
                <w:p w14:paraId="47C3E649">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green"/>
                      <w:lang w:val="en-US" w:eastAsia="zh-CN"/>
                    </w:rPr>
                  </w:pPr>
                  <w:r>
                    <w:rPr>
                      <w:rFonts w:hint="eastAsia" w:cs="Times New Roman"/>
                      <w:color w:val="FF0000"/>
                      <w:sz w:val="15"/>
                      <w:szCs w:val="15"/>
                      <w:highlight w:val="green"/>
                      <w:lang w:val="en-US" w:eastAsia="zh-CN"/>
                    </w:rPr>
                    <w:t>0.003</w:t>
                  </w:r>
                </w:p>
              </w:tc>
              <w:tc>
                <w:tcPr>
                  <w:tcW w:w="1036" w:type="dxa"/>
                  <w:tcBorders>
                    <w:tl2br w:val="nil"/>
                    <w:tr2bl w:val="nil"/>
                  </w:tcBorders>
                  <w:noWrap w:val="0"/>
                  <w:vAlign w:val="center"/>
                </w:tcPr>
                <w:p w14:paraId="154F24A8">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油料的装卸、运输过程中采用密闭管道和封闭接口，减少油料的空气暴露量，产生的非甲烷总烃量较少</w:t>
                  </w:r>
                </w:p>
              </w:tc>
              <w:tc>
                <w:tcPr>
                  <w:tcW w:w="370" w:type="dxa"/>
                  <w:tcBorders>
                    <w:tl2br w:val="nil"/>
                    <w:tr2bl w:val="nil"/>
                  </w:tcBorders>
                  <w:noWrap w:val="0"/>
                  <w:vAlign w:val="center"/>
                </w:tcPr>
                <w:p w14:paraId="1890F9A9">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w:t>
                  </w:r>
                </w:p>
              </w:tc>
              <w:tc>
                <w:tcPr>
                  <w:tcW w:w="525" w:type="dxa"/>
                  <w:tcBorders>
                    <w:tl2br w:val="nil"/>
                    <w:tr2bl w:val="nil"/>
                  </w:tcBorders>
                  <w:noWrap w:val="0"/>
                  <w:vAlign w:val="center"/>
                </w:tcPr>
                <w:p w14:paraId="314B3328">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w:t>
                  </w:r>
                </w:p>
              </w:tc>
              <w:tc>
                <w:tcPr>
                  <w:tcW w:w="575" w:type="dxa"/>
                  <w:tcBorders>
                    <w:tl2br w:val="nil"/>
                    <w:tr2bl w:val="nil"/>
                  </w:tcBorders>
                  <w:noWrap w:val="0"/>
                  <w:vAlign w:val="center"/>
                </w:tcPr>
                <w:p w14:paraId="610EBEC2">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w:t>
                  </w:r>
                </w:p>
              </w:tc>
              <w:tc>
                <w:tcPr>
                  <w:tcW w:w="650" w:type="dxa"/>
                  <w:tcBorders>
                    <w:tl2br w:val="nil"/>
                    <w:tr2bl w:val="nil"/>
                  </w:tcBorders>
                  <w:noWrap w:val="0"/>
                  <w:vAlign w:val="center"/>
                </w:tcPr>
                <w:p w14:paraId="49B4BF12">
                  <w:pPr>
                    <w:spacing w:line="240" w:lineRule="auto"/>
                    <w:ind w:left="0" w:leftChars="0" w:right="0" w:rightChars="0" w:firstLine="0" w:firstLineChars="0"/>
                    <w:jc w:val="center"/>
                    <w:rPr>
                      <w:rFonts w:hint="eastAsia" w:ascii="Times New Roman" w:hAnsi="Times New Roman" w:eastAsia="宋体" w:cs="Times New Roman"/>
                      <w:color w:val="FF0000"/>
                      <w:sz w:val="15"/>
                      <w:szCs w:val="15"/>
                      <w:highlight w:val="green"/>
                      <w:lang w:val="en-US" w:eastAsia="zh-CN"/>
                    </w:rPr>
                  </w:pPr>
                  <w:r>
                    <w:rPr>
                      <w:rFonts w:hint="eastAsia" w:ascii="Times New Roman" w:hAnsi="Times New Roman" w:eastAsia="宋体" w:cs="Times New Roman"/>
                      <w:color w:val="FF0000"/>
                      <w:sz w:val="15"/>
                      <w:szCs w:val="15"/>
                      <w:highlight w:val="green"/>
                      <w:lang w:val="en-US" w:eastAsia="zh-CN"/>
                    </w:rPr>
                    <w:t>/</w:t>
                  </w:r>
                </w:p>
              </w:tc>
              <w:tc>
                <w:tcPr>
                  <w:tcW w:w="513" w:type="dxa"/>
                  <w:tcBorders>
                    <w:tl2br w:val="nil"/>
                    <w:tr2bl w:val="nil"/>
                  </w:tcBorders>
                  <w:noWrap w:val="0"/>
                  <w:vAlign w:val="center"/>
                </w:tcPr>
                <w:p w14:paraId="62771E47">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green"/>
                      <w:lang w:val="en-US" w:eastAsia="zh-CN"/>
                    </w:rPr>
                  </w:pPr>
                  <w:r>
                    <w:rPr>
                      <w:rFonts w:hint="eastAsia" w:cs="Times New Roman"/>
                      <w:color w:val="FF0000"/>
                      <w:sz w:val="15"/>
                      <w:szCs w:val="15"/>
                      <w:highlight w:val="green"/>
                      <w:lang w:val="en-US" w:eastAsia="zh-CN"/>
                    </w:rPr>
                    <w:t>0.003</w:t>
                  </w:r>
                </w:p>
              </w:tc>
              <w:tc>
                <w:tcPr>
                  <w:tcW w:w="492" w:type="dxa"/>
                  <w:tcBorders>
                    <w:tl2br w:val="nil"/>
                    <w:tr2bl w:val="nil"/>
                  </w:tcBorders>
                  <w:noWrap w:val="0"/>
                  <w:vAlign w:val="center"/>
                </w:tcPr>
                <w:p w14:paraId="4A590A5B">
                  <w:pPr>
                    <w:spacing w:line="240" w:lineRule="auto"/>
                    <w:ind w:left="0" w:leftChars="0" w:right="0" w:rightChars="0" w:firstLine="0" w:firstLineChars="0"/>
                    <w:jc w:val="center"/>
                    <w:rPr>
                      <w:rFonts w:hint="default" w:ascii="Times New Roman" w:hAnsi="Times New Roman" w:eastAsia="宋体" w:cs="Times New Roman"/>
                      <w:color w:val="FF0000"/>
                      <w:sz w:val="15"/>
                      <w:szCs w:val="15"/>
                      <w:highlight w:val="green"/>
                      <w:lang w:val="en-US" w:eastAsia="zh-CN"/>
                    </w:rPr>
                  </w:pPr>
                  <w:r>
                    <w:rPr>
                      <w:rFonts w:hint="eastAsia" w:cs="Times New Roman"/>
                      <w:color w:val="FF0000"/>
                      <w:sz w:val="15"/>
                      <w:szCs w:val="15"/>
                      <w:highlight w:val="green"/>
                      <w:lang w:val="en-US" w:eastAsia="zh-CN"/>
                    </w:rPr>
                    <w:t>8760</w:t>
                  </w:r>
                </w:p>
              </w:tc>
            </w:tr>
            <w:tr w14:paraId="3584BF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7" w:type="dxa"/>
                  <w:tcBorders>
                    <w:tl2br w:val="nil"/>
                    <w:tr2bl w:val="nil"/>
                  </w:tcBorders>
                  <w:noWrap w:val="0"/>
                  <w:vAlign w:val="center"/>
                </w:tcPr>
                <w:p w14:paraId="3FBB07F5">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食堂</w:t>
                  </w:r>
                </w:p>
              </w:tc>
              <w:tc>
                <w:tcPr>
                  <w:tcW w:w="527" w:type="dxa"/>
                  <w:tcBorders>
                    <w:tl2br w:val="nil"/>
                    <w:tr2bl w:val="nil"/>
                  </w:tcBorders>
                  <w:noWrap w:val="0"/>
                  <w:vAlign w:val="center"/>
                </w:tcPr>
                <w:p w14:paraId="6F99C101">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cs="Times New Roman"/>
                      <w:color w:val="000000" w:themeColor="text1"/>
                      <w:sz w:val="15"/>
                      <w:szCs w:val="15"/>
                      <w:highlight w:val="none"/>
                      <w:lang w:val="en-US" w:eastAsia="zh-CN"/>
                      <w14:textFill>
                        <w14:solidFill>
                          <w14:schemeClr w14:val="tx1"/>
                        </w14:solidFill>
                      </w14:textFill>
                    </w:rPr>
                    <w:t>/</w:t>
                  </w:r>
                </w:p>
              </w:tc>
              <w:tc>
                <w:tcPr>
                  <w:tcW w:w="487" w:type="dxa"/>
                  <w:tcBorders>
                    <w:tl2br w:val="nil"/>
                    <w:tr2bl w:val="nil"/>
                  </w:tcBorders>
                  <w:noWrap w:val="0"/>
                  <w:vAlign w:val="center"/>
                </w:tcPr>
                <w:p w14:paraId="51AFEF10">
                  <w:pPr>
                    <w:spacing w:line="240" w:lineRule="auto"/>
                    <w:ind w:left="0" w:leftChars="0" w:right="0" w:rightChars="0" w:firstLine="0" w:firstLineChars="0"/>
                    <w:jc w:val="center"/>
                    <w:rPr>
                      <w:rFonts w:hint="eastAsia"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油烟</w:t>
                  </w:r>
                </w:p>
              </w:tc>
              <w:tc>
                <w:tcPr>
                  <w:tcW w:w="525" w:type="dxa"/>
                  <w:tcBorders>
                    <w:tl2br w:val="nil"/>
                    <w:tr2bl w:val="nil"/>
                  </w:tcBorders>
                  <w:noWrap w:val="0"/>
                  <w:vAlign w:val="center"/>
                </w:tcPr>
                <w:p w14:paraId="74C06C00">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产污系数法</w:t>
                  </w:r>
                </w:p>
              </w:tc>
              <w:tc>
                <w:tcPr>
                  <w:tcW w:w="588" w:type="dxa"/>
                  <w:tcBorders>
                    <w:tl2br w:val="nil"/>
                    <w:tr2bl w:val="nil"/>
                  </w:tcBorders>
                  <w:noWrap w:val="0"/>
                  <w:vAlign w:val="center"/>
                </w:tcPr>
                <w:p w14:paraId="04A9C08E">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cs="Times New Roman"/>
                      <w:color w:val="000000" w:themeColor="text1"/>
                      <w:sz w:val="15"/>
                      <w:szCs w:val="15"/>
                      <w:highlight w:val="none"/>
                      <w:lang w:val="en-US" w:eastAsia="zh-CN"/>
                      <w14:textFill>
                        <w14:solidFill>
                          <w14:schemeClr w14:val="tx1"/>
                        </w14:solidFill>
                      </w14:textFill>
                    </w:rPr>
                    <w:t>5</w:t>
                  </w: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000</w:t>
                  </w:r>
                </w:p>
              </w:tc>
              <w:tc>
                <w:tcPr>
                  <w:tcW w:w="556" w:type="dxa"/>
                  <w:tcBorders>
                    <w:tl2br w:val="nil"/>
                    <w:tr2bl w:val="nil"/>
                  </w:tcBorders>
                  <w:noWrap w:val="0"/>
                  <w:vAlign w:val="center"/>
                </w:tcPr>
                <w:p w14:paraId="091CEF0C">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cs="Times New Roman"/>
                      <w:color w:val="000000" w:themeColor="text1"/>
                      <w:sz w:val="15"/>
                      <w:szCs w:val="15"/>
                      <w:highlight w:val="none"/>
                      <w:lang w:val="en-US" w:eastAsia="zh-CN"/>
                      <w14:textFill>
                        <w14:solidFill>
                          <w14:schemeClr w14:val="tx1"/>
                        </w14:solidFill>
                      </w14:textFill>
                    </w:rPr>
                    <w:t>3.4</w:t>
                  </w:r>
                </w:p>
              </w:tc>
              <w:tc>
                <w:tcPr>
                  <w:tcW w:w="525" w:type="dxa"/>
                  <w:tcBorders>
                    <w:tl2br w:val="nil"/>
                    <w:tr2bl w:val="nil"/>
                  </w:tcBorders>
                  <w:noWrap w:val="0"/>
                  <w:vAlign w:val="center"/>
                </w:tcPr>
                <w:p w14:paraId="58023BA5">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0.0</w:t>
                  </w:r>
                  <w:r>
                    <w:rPr>
                      <w:rFonts w:hint="eastAsia" w:cs="Times New Roman"/>
                      <w:color w:val="000000" w:themeColor="text1"/>
                      <w:sz w:val="15"/>
                      <w:szCs w:val="15"/>
                      <w:highlight w:val="none"/>
                      <w:lang w:val="en-US" w:eastAsia="zh-CN"/>
                      <w14:textFill>
                        <w14:solidFill>
                          <w14:schemeClr w14:val="tx1"/>
                        </w14:solidFill>
                      </w14:textFill>
                    </w:rPr>
                    <w:t>17</w:t>
                  </w:r>
                </w:p>
              </w:tc>
              <w:tc>
                <w:tcPr>
                  <w:tcW w:w="1036" w:type="dxa"/>
                  <w:tcBorders>
                    <w:tl2br w:val="nil"/>
                    <w:tr2bl w:val="nil"/>
                  </w:tcBorders>
                  <w:noWrap w:val="0"/>
                  <w:vAlign w:val="center"/>
                </w:tcPr>
                <w:p w14:paraId="675EB5D9">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油烟净化器处理后的油烟经专用烟道引至屋顶排放</w:t>
                  </w:r>
                </w:p>
              </w:tc>
              <w:tc>
                <w:tcPr>
                  <w:tcW w:w="370" w:type="dxa"/>
                  <w:tcBorders>
                    <w:tl2br w:val="nil"/>
                    <w:tr2bl w:val="nil"/>
                  </w:tcBorders>
                  <w:noWrap w:val="0"/>
                  <w:vAlign w:val="center"/>
                </w:tcPr>
                <w:p w14:paraId="57B249B5">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60%</w:t>
                  </w:r>
                </w:p>
              </w:tc>
              <w:tc>
                <w:tcPr>
                  <w:tcW w:w="525" w:type="dxa"/>
                  <w:tcBorders>
                    <w:tl2br w:val="nil"/>
                    <w:tr2bl w:val="nil"/>
                  </w:tcBorders>
                  <w:noWrap w:val="0"/>
                  <w:vAlign w:val="center"/>
                </w:tcPr>
                <w:p w14:paraId="27B217CE">
                  <w:pPr>
                    <w:spacing w:line="240" w:lineRule="auto"/>
                    <w:ind w:left="0" w:leftChars="0" w:right="0" w:rightChars="0" w:firstLine="0" w:firstLineChars="0"/>
                    <w:jc w:val="cente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排污系数法</w:t>
                  </w:r>
                </w:p>
              </w:tc>
              <w:tc>
                <w:tcPr>
                  <w:tcW w:w="575" w:type="dxa"/>
                  <w:tcBorders>
                    <w:tl2br w:val="nil"/>
                    <w:tr2bl w:val="nil"/>
                  </w:tcBorders>
                  <w:noWrap w:val="0"/>
                  <w:vAlign w:val="center"/>
                </w:tcPr>
                <w:p w14:paraId="19626FA1">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cs="Times New Roman"/>
                      <w:color w:val="000000" w:themeColor="text1"/>
                      <w:sz w:val="15"/>
                      <w:szCs w:val="15"/>
                      <w:highlight w:val="none"/>
                      <w:lang w:val="en-US" w:eastAsia="zh-CN"/>
                      <w14:textFill>
                        <w14:solidFill>
                          <w14:schemeClr w14:val="tx1"/>
                        </w14:solidFill>
                      </w14:textFill>
                    </w:rPr>
                    <w:t>5</w:t>
                  </w: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000</w:t>
                  </w:r>
                </w:p>
              </w:tc>
              <w:tc>
                <w:tcPr>
                  <w:tcW w:w="650" w:type="dxa"/>
                  <w:tcBorders>
                    <w:tl2br w:val="nil"/>
                    <w:tr2bl w:val="nil"/>
                  </w:tcBorders>
                  <w:noWrap w:val="0"/>
                  <w:vAlign w:val="center"/>
                </w:tcPr>
                <w:p w14:paraId="13908179">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cs="Times New Roman"/>
                      <w:color w:val="000000" w:themeColor="text1"/>
                      <w:sz w:val="15"/>
                      <w:szCs w:val="15"/>
                      <w:highlight w:val="none"/>
                      <w:lang w:val="en-US" w:eastAsia="zh-CN"/>
                      <w14:textFill>
                        <w14:solidFill>
                          <w14:schemeClr w14:val="tx1"/>
                        </w14:solidFill>
                      </w14:textFill>
                    </w:rPr>
                    <w:t>1.36</w:t>
                  </w:r>
                </w:p>
              </w:tc>
              <w:tc>
                <w:tcPr>
                  <w:tcW w:w="513" w:type="dxa"/>
                  <w:tcBorders>
                    <w:tl2br w:val="nil"/>
                    <w:tr2bl w:val="nil"/>
                  </w:tcBorders>
                  <w:noWrap w:val="0"/>
                  <w:vAlign w:val="center"/>
                </w:tcPr>
                <w:p w14:paraId="063998AD">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0.00</w:t>
                  </w:r>
                  <w:r>
                    <w:rPr>
                      <w:rFonts w:hint="eastAsia" w:cs="Times New Roman"/>
                      <w:color w:val="000000" w:themeColor="text1"/>
                      <w:sz w:val="15"/>
                      <w:szCs w:val="15"/>
                      <w:highlight w:val="none"/>
                      <w:lang w:val="en-US" w:eastAsia="zh-CN"/>
                      <w14:textFill>
                        <w14:solidFill>
                          <w14:schemeClr w14:val="tx1"/>
                        </w14:solidFill>
                      </w14:textFill>
                    </w:rPr>
                    <w:t>68</w:t>
                  </w:r>
                </w:p>
              </w:tc>
              <w:tc>
                <w:tcPr>
                  <w:tcW w:w="492" w:type="dxa"/>
                  <w:tcBorders>
                    <w:tl2br w:val="nil"/>
                    <w:tr2bl w:val="nil"/>
                  </w:tcBorders>
                  <w:noWrap w:val="0"/>
                  <w:vAlign w:val="center"/>
                </w:tcPr>
                <w:p w14:paraId="7F0D0B27">
                  <w:pPr>
                    <w:spacing w:line="240" w:lineRule="auto"/>
                    <w:ind w:left="0" w:leftChars="0" w:right="0" w:rightChars="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cs="Times New Roman"/>
                      <w:color w:val="000000" w:themeColor="text1"/>
                      <w:sz w:val="15"/>
                      <w:szCs w:val="15"/>
                      <w:highlight w:val="none"/>
                      <w:lang w:val="en-US" w:eastAsia="zh-CN"/>
                      <w14:textFill>
                        <w14:solidFill>
                          <w14:schemeClr w14:val="tx1"/>
                        </w14:solidFill>
                      </w14:textFill>
                    </w:rPr>
                    <w:t>1320</w:t>
                  </w:r>
                </w:p>
              </w:tc>
            </w:tr>
          </w:tbl>
          <w:p w14:paraId="71A6C88F">
            <w:pPr>
              <w:pStyle w:val="106"/>
              <w:keepNext/>
              <w:ind w:firstLine="480"/>
              <w:rPr>
                <w:rFonts w:hint="default" w:ascii="Times New Roman" w:hAnsi="Times New Roman" w:cs="Times New Roman"/>
                <w:color w:val="000000" w:themeColor="text1"/>
                <w:kern w:val="0"/>
                <w:highlight w:val="none"/>
                <w:lang w:val="en-US" w:eastAsia="zh-CN"/>
                <w14:textFill>
                  <w14:solidFill>
                    <w14:schemeClr w14:val="tx1"/>
                  </w14:solidFill>
                </w14:textFill>
              </w:rPr>
            </w:pPr>
            <w:r>
              <w:rPr>
                <w:rFonts w:hint="default" w:ascii="Times New Roman" w:hAnsi="Times New Roman" w:cs="Times New Roman"/>
                <w:color w:val="000000" w:themeColor="text1"/>
                <w:kern w:val="0"/>
                <w:highlight w:val="none"/>
                <w:lang w:val="en-US" w:eastAsia="zh-CN"/>
                <w14:textFill>
                  <w14:solidFill>
                    <w14:schemeClr w14:val="tx1"/>
                  </w14:solidFill>
                </w14:textFill>
              </w:rPr>
              <w:t>非正常工况</w:t>
            </w:r>
            <w:r>
              <w:rPr>
                <w:rFonts w:hint="eastAsia" w:ascii="Times New Roman" w:hAnsi="Times New Roman" w:cs="Times New Roman"/>
                <w:color w:val="000000" w:themeColor="text1"/>
                <w:kern w:val="0"/>
                <w:highlight w:val="none"/>
                <w:lang w:val="en-US" w:eastAsia="zh-CN"/>
                <w14:textFill>
                  <w14:solidFill>
                    <w14:schemeClr w14:val="tx1"/>
                  </w14:solidFill>
                </w14:textFill>
              </w:rPr>
              <w:t>：</w:t>
            </w:r>
          </w:p>
          <w:p w14:paraId="6161D75B">
            <w:pPr>
              <w:pStyle w:val="106"/>
              <w:keepNext/>
              <w:ind w:firstLine="480"/>
              <w:rPr>
                <w:rFonts w:hint="eastAsia" w:ascii="Times New Roman" w:hAnsi="Times New Roman" w:cs="Times New Roman"/>
                <w:color w:val="000000" w:themeColor="text1"/>
                <w:kern w:val="0"/>
                <w:highlight w:val="none"/>
                <w:lang w:eastAsia="zh-CN"/>
                <w14:textFill>
                  <w14:solidFill>
                    <w14:schemeClr w14:val="tx1"/>
                  </w14:solidFill>
                </w14:textFill>
              </w:rPr>
            </w:pPr>
            <w:r>
              <w:rPr>
                <w:rFonts w:hint="eastAsia" w:ascii="Times New Roman" w:hAnsi="Times New Roman" w:cs="Times New Roman"/>
                <w:color w:val="000000" w:themeColor="text1"/>
                <w:kern w:val="0"/>
                <w:highlight w:val="none"/>
                <w:lang w:eastAsia="zh-CN"/>
                <w14:textFill>
                  <w14:solidFill>
                    <w14:schemeClr w14:val="tx1"/>
                  </w14:solidFill>
                </w14:textFill>
              </w:rPr>
              <w:t>《污染源源强核算技术指南 准则》（HJ884-2018）中指出：生产设施非正常工况是指开停炉（机）、设备检修、工艺设备运转异常等工况，污染防治（控制）设施非正常状况指达不到应有治理效率或同步运转率等情况。</w:t>
            </w:r>
          </w:p>
          <w:p w14:paraId="31EB8F50">
            <w:pPr>
              <w:pStyle w:val="106"/>
              <w:keepNext/>
              <w:ind w:firstLine="480"/>
              <w:rPr>
                <w:rFonts w:hint="default" w:ascii="Times New Roman" w:hAnsi="Times New Roman" w:cs="Times New Roman"/>
                <w:bCs/>
                <w:color w:val="000000" w:themeColor="text1"/>
                <w:spacing w:val="-10"/>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kern w:val="0"/>
                <w:highlight w:val="none"/>
                <w:lang w:eastAsia="zh-CN"/>
                <w14:textFill>
                  <w14:solidFill>
                    <w14:schemeClr w14:val="tx1"/>
                  </w14:solidFill>
                </w14:textFill>
              </w:rPr>
              <w:t>根据本项目实际情况，本项目废气排放的非正常工况主要发生在污染防治设施非正常状况，主要为</w:t>
            </w:r>
            <w:r>
              <w:rPr>
                <w:rFonts w:hint="eastAsia" w:cs="Times New Roman"/>
                <w:color w:val="000000" w:themeColor="text1"/>
                <w:kern w:val="0"/>
                <w:highlight w:val="none"/>
                <w:lang w:val="en-US" w:eastAsia="zh-CN"/>
                <w14:textFill>
                  <w14:solidFill>
                    <w14:schemeClr w14:val="tx1"/>
                  </w14:solidFill>
                </w14:textFill>
              </w:rPr>
              <w:t>油烟净化</w:t>
            </w:r>
            <w:r>
              <w:rPr>
                <w:rFonts w:hint="eastAsia" w:ascii="Times New Roman" w:hAnsi="Times New Roman" w:cs="Times New Roman"/>
                <w:color w:val="000000" w:themeColor="text1"/>
                <w:kern w:val="0"/>
                <w:highlight w:val="none"/>
                <w:lang w:val="en-US" w:eastAsia="zh-CN"/>
                <w14:textFill>
                  <w14:solidFill>
                    <w14:schemeClr w14:val="tx1"/>
                  </w14:solidFill>
                </w14:textFill>
              </w:rPr>
              <w:t>器</w:t>
            </w:r>
            <w:r>
              <w:rPr>
                <w:rFonts w:hint="eastAsia" w:ascii="Times New Roman" w:hAnsi="Times New Roman" w:cs="Times New Roman"/>
                <w:color w:val="000000" w:themeColor="text1"/>
                <w:kern w:val="0"/>
                <w:highlight w:val="none"/>
                <w:lang w:eastAsia="zh-CN"/>
                <w14:textFill>
                  <w14:solidFill>
                    <w14:schemeClr w14:val="tx1"/>
                  </w14:solidFill>
                </w14:textFill>
              </w:rPr>
              <w:t>达不到应有治理效率情况。非正常工况下，</w:t>
            </w:r>
            <w:r>
              <w:rPr>
                <w:rFonts w:hint="eastAsia" w:ascii="Times New Roman" w:hAnsi="Times New Roman" w:cs="Times New Roman"/>
                <w:color w:val="000000" w:themeColor="text1"/>
                <w:kern w:val="0"/>
                <w:highlight w:val="none"/>
                <w:lang w:val="en-US" w:eastAsia="zh-CN"/>
                <w14:textFill>
                  <w14:solidFill>
                    <w14:schemeClr w14:val="tx1"/>
                  </w14:solidFill>
                </w14:textFill>
              </w:rPr>
              <w:t>致使</w:t>
            </w:r>
            <w:r>
              <w:rPr>
                <w:rFonts w:hint="eastAsia" w:ascii="Times New Roman" w:hAnsi="Times New Roman" w:cs="Times New Roman"/>
                <w:color w:val="000000" w:themeColor="text1"/>
                <w:kern w:val="0"/>
                <w:highlight w:val="none"/>
                <w:lang w:eastAsia="zh-CN"/>
                <w14:textFill>
                  <w14:solidFill>
                    <w14:schemeClr w14:val="tx1"/>
                  </w14:solidFill>
                </w14:textFill>
              </w:rPr>
              <w:t>效率下降。本次非正常工况</w:t>
            </w:r>
            <w:r>
              <w:rPr>
                <w:rFonts w:hint="eastAsia" w:cs="Times New Roman"/>
                <w:color w:val="000000" w:themeColor="text1"/>
                <w:kern w:val="0"/>
                <w:highlight w:val="none"/>
                <w:lang w:val="en-US" w:eastAsia="zh-CN"/>
                <w14:textFill>
                  <w14:solidFill>
                    <w14:schemeClr w14:val="tx1"/>
                  </w14:solidFill>
                </w14:textFill>
              </w:rPr>
              <w:t>按最不利情况</w:t>
            </w:r>
            <w:r>
              <w:rPr>
                <w:rFonts w:hint="eastAsia" w:ascii="Times New Roman" w:hAnsi="Times New Roman" w:cs="Times New Roman"/>
                <w:color w:val="000000" w:themeColor="text1"/>
                <w:kern w:val="0"/>
                <w:highlight w:val="none"/>
                <w:lang w:eastAsia="zh-CN"/>
                <w14:textFill>
                  <w14:solidFill>
                    <w14:schemeClr w14:val="tx1"/>
                  </w14:solidFill>
                </w14:textFill>
              </w:rPr>
              <w:t>，</w:t>
            </w:r>
            <w:r>
              <w:rPr>
                <w:rFonts w:hint="eastAsia" w:cs="Times New Roman"/>
                <w:color w:val="000000" w:themeColor="text1"/>
                <w:kern w:val="0"/>
                <w:highlight w:val="none"/>
                <w:lang w:val="en-US" w:eastAsia="zh-CN"/>
                <w14:textFill>
                  <w14:solidFill>
                    <w14:schemeClr w14:val="tx1"/>
                  </w14:solidFill>
                </w14:textFill>
              </w:rPr>
              <w:t>油烟净化器</w:t>
            </w:r>
            <w:r>
              <w:rPr>
                <w:rFonts w:hint="eastAsia" w:ascii="Times New Roman" w:hAnsi="Times New Roman" w:cs="Times New Roman"/>
                <w:color w:val="000000" w:themeColor="text1"/>
                <w:kern w:val="0"/>
                <w:highlight w:val="none"/>
                <w:lang w:eastAsia="zh-CN"/>
                <w14:textFill>
                  <w14:solidFill>
                    <w14:schemeClr w14:val="tx1"/>
                  </w14:solidFill>
                </w14:textFill>
              </w:rPr>
              <w:t>效率按照</w:t>
            </w:r>
            <w:r>
              <w:rPr>
                <w:rFonts w:hint="eastAsia" w:cs="Times New Roman"/>
                <w:color w:val="000000" w:themeColor="text1"/>
                <w:kern w:val="0"/>
                <w:highlight w:val="none"/>
                <w:lang w:val="en-US" w:eastAsia="zh-CN"/>
                <w14:textFill>
                  <w14:solidFill>
                    <w14:schemeClr w14:val="tx1"/>
                  </w14:solidFill>
                </w14:textFill>
              </w:rPr>
              <w:t>0</w:t>
            </w:r>
            <w:r>
              <w:rPr>
                <w:rFonts w:hint="eastAsia" w:ascii="Times New Roman" w:hAnsi="Times New Roman" w:cs="Times New Roman"/>
                <w:color w:val="000000" w:themeColor="text1"/>
                <w:kern w:val="0"/>
                <w:highlight w:val="none"/>
                <w:lang w:eastAsia="zh-CN"/>
                <w14:textFill>
                  <w14:solidFill>
                    <w14:schemeClr w14:val="tx1"/>
                  </w14:solidFill>
                </w14:textFill>
              </w:rPr>
              <w:t>%计算。非正常工况年发生次数不超过2次，每次不超过</w:t>
            </w:r>
            <w:r>
              <w:rPr>
                <w:rFonts w:hint="eastAsia" w:ascii="Times New Roman" w:hAnsi="Times New Roman" w:cs="Times New Roman"/>
                <w:color w:val="000000" w:themeColor="text1"/>
                <w:kern w:val="0"/>
                <w:highlight w:val="none"/>
                <w:lang w:val="en-US" w:eastAsia="zh-CN"/>
                <w14:textFill>
                  <w14:solidFill>
                    <w14:schemeClr w14:val="tx1"/>
                  </w14:solidFill>
                </w14:textFill>
              </w:rPr>
              <w:t>1</w:t>
            </w:r>
            <w:r>
              <w:rPr>
                <w:rFonts w:hint="eastAsia" w:ascii="Times New Roman" w:hAnsi="Times New Roman" w:cs="Times New Roman"/>
                <w:color w:val="000000" w:themeColor="text1"/>
                <w:kern w:val="0"/>
                <w:highlight w:val="none"/>
                <w:lang w:eastAsia="zh-CN"/>
                <w14:textFill>
                  <w14:solidFill>
                    <w14:schemeClr w14:val="tx1"/>
                  </w14:solidFill>
                </w14:textFill>
              </w:rPr>
              <w:t>h。本项目大气非正常排放参数见</w:t>
            </w:r>
            <w:r>
              <w:rPr>
                <w:rFonts w:hint="eastAsia" w:ascii="Times New Roman" w:hAnsi="Times New Roman" w:cs="Times New Roman"/>
                <w:color w:val="000000" w:themeColor="text1"/>
                <w:kern w:val="0"/>
                <w:highlight w:val="none"/>
                <w:lang w:val="en-US" w:eastAsia="zh-CN"/>
                <w14:textFill>
                  <w14:solidFill>
                    <w14:schemeClr w14:val="tx1"/>
                  </w14:solidFill>
                </w14:textFill>
              </w:rPr>
              <w:t>下</w:t>
            </w:r>
            <w:r>
              <w:rPr>
                <w:rFonts w:hint="eastAsia" w:ascii="Times New Roman" w:hAnsi="Times New Roman" w:cs="Times New Roman"/>
                <w:color w:val="000000" w:themeColor="text1"/>
                <w:kern w:val="0"/>
                <w:highlight w:val="none"/>
                <w:lang w:eastAsia="zh-CN"/>
                <w14:textFill>
                  <w14:solidFill>
                    <w14:schemeClr w14:val="tx1"/>
                  </w14:solidFill>
                </w14:textFill>
              </w:rPr>
              <w:t>表。</w:t>
            </w:r>
          </w:p>
          <w:p w14:paraId="08937D9A">
            <w:pPr>
              <w:pStyle w:val="97"/>
              <w:spacing w:line="360" w:lineRule="auto"/>
              <w:jc w:val="cente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表4-</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 xml:space="preserve"> 非正常工况下废气污染物产生及排放情况</w:t>
            </w:r>
          </w:p>
          <w:tbl>
            <w:tblPr>
              <w:tblStyle w:val="29"/>
              <w:tblW w:w="800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09"/>
              <w:gridCol w:w="1232"/>
              <w:gridCol w:w="1296"/>
              <w:gridCol w:w="1587"/>
              <w:gridCol w:w="935"/>
              <w:gridCol w:w="1046"/>
            </w:tblGrid>
            <w:tr w14:paraId="26FA64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09" w:type="dxa"/>
                  <w:tcBorders>
                    <w:tl2br w:val="nil"/>
                    <w:tr2bl w:val="nil"/>
                  </w:tcBorders>
                  <w:noWrap w:val="0"/>
                  <w:vAlign w:val="center"/>
                </w:tcPr>
                <w:p w14:paraId="69A79464">
                  <w:pPr>
                    <w:spacing w:line="240" w:lineRule="auto"/>
                    <w:ind w:left="0" w:leftChars="0" w:right="0" w:rightChars="0" w:firstLine="0" w:firstLineChars="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污染源</w:t>
                  </w:r>
                </w:p>
              </w:tc>
              <w:tc>
                <w:tcPr>
                  <w:tcW w:w="1232" w:type="dxa"/>
                  <w:tcBorders>
                    <w:tl2br w:val="nil"/>
                    <w:tr2bl w:val="nil"/>
                  </w:tcBorders>
                  <w:noWrap w:val="0"/>
                  <w:vAlign w:val="center"/>
                </w:tcPr>
                <w:p w14:paraId="186B734E">
                  <w:pPr>
                    <w:spacing w:line="240" w:lineRule="auto"/>
                    <w:ind w:left="0" w:leftChars="0" w:right="0" w:rightChars="0" w:firstLine="0" w:firstLineChars="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污染物</w:t>
                  </w:r>
                </w:p>
              </w:tc>
              <w:tc>
                <w:tcPr>
                  <w:tcW w:w="1296" w:type="dxa"/>
                  <w:tcBorders>
                    <w:tl2br w:val="nil"/>
                    <w:tr2bl w:val="nil"/>
                  </w:tcBorders>
                  <w:noWrap w:val="0"/>
                  <w:vAlign w:val="center"/>
                </w:tcPr>
                <w:p w14:paraId="71B02723">
                  <w:pPr>
                    <w:spacing w:line="240" w:lineRule="auto"/>
                    <w:ind w:left="0" w:leftChars="0" w:right="0" w:rightChars="0" w:firstLine="0" w:firstLineChars="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产生速率(kg/h)</w:t>
                  </w:r>
                </w:p>
              </w:tc>
              <w:tc>
                <w:tcPr>
                  <w:tcW w:w="1587" w:type="dxa"/>
                  <w:tcBorders>
                    <w:tl2br w:val="nil"/>
                    <w:tr2bl w:val="nil"/>
                  </w:tcBorders>
                  <w:noWrap w:val="0"/>
                  <w:vAlign w:val="center"/>
                </w:tcPr>
                <w:p w14:paraId="73F24C21">
                  <w:pPr>
                    <w:spacing w:line="240" w:lineRule="auto"/>
                    <w:ind w:left="0" w:leftChars="0" w:right="0" w:rightChars="0" w:firstLine="0" w:firstLineChars="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非正常排放原因</w:t>
                  </w:r>
                </w:p>
              </w:tc>
              <w:tc>
                <w:tcPr>
                  <w:tcW w:w="935" w:type="dxa"/>
                  <w:tcBorders>
                    <w:tl2br w:val="nil"/>
                    <w:tr2bl w:val="nil"/>
                  </w:tcBorders>
                  <w:noWrap w:val="0"/>
                  <w:vAlign w:val="center"/>
                </w:tcPr>
                <w:p w14:paraId="70F530B1">
                  <w:pPr>
                    <w:spacing w:line="240" w:lineRule="auto"/>
                    <w:ind w:left="0" w:leftChars="0" w:right="0" w:rightChars="0" w:firstLine="0" w:firstLineChars="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排放速率(kg/h)</w:t>
                  </w:r>
                </w:p>
              </w:tc>
              <w:tc>
                <w:tcPr>
                  <w:tcW w:w="1046" w:type="dxa"/>
                  <w:tcBorders>
                    <w:tl2br w:val="nil"/>
                    <w:tr2bl w:val="nil"/>
                  </w:tcBorders>
                  <w:noWrap w:val="0"/>
                  <w:vAlign w:val="center"/>
                </w:tcPr>
                <w:p w14:paraId="6EF54C3C">
                  <w:pPr>
                    <w:spacing w:line="240" w:lineRule="auto"/>
                    <w:ind w:left="0" w:leftChars="0" w:right="0" w:rightChars="0" w:firstLine="0" w:firstLineChars="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单次持续时间(h)</w:t>
                  </w:r>
                </w:p>
              </w:tc>
            </w:tr>
            <w:tr w14:paraId="6B38C6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09" w:type="dxa"/>
                  <w:tcBorders>
                    <w:tl2br w:val="nil"/>
                    <w:tr2bl w:val="nil"/>
                  </w:tcBorders>
                  <w:noWrap w:val="0"/>
                  <w:vAlign w:val="center"/>
                </w:tcPr>
                <w:p w14:paraId="1430937B">
                  <w:pPr>
                    <w:spacing w:line="240" w:lineRule="auto"/>
                    <w:ind w:left="0" w:leftChars="0" w:right="0" w:rightChars="0" w:firstLine="0" w:firstLineChars="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油烟专用烟道</w:t>
                  </w:r>
                </w:p>
              </w:tc>
              <w:tc>
                <w:tcPr>
                  <w:tcW w:w="1232" w:type="dxa"/>
                  <w:tcBorders>
                    <w:tl2br w:val="nil"/>
                    <w:tr2bl w:val="nil"/>
                  </w:tcBorders>
                  <w:noWrap w:val="0"/>
                  <w:vAlign w:val="center"/>
                </w:tcPr>
                <w:p w14:paraId="6480FE71">
                  <w:pPr>
                    <w:spacing w:line="240" w:lineRule="auto"/>
                    <w:ind w:left="0" w:leftChars="0" w:right="0" w:rightChars="0" w:firstLine="0" w:firstLineChars="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油烟</w:t>
                  </w:r>
                </w:p>
              </w:tc>
              <w:tc>
                <w:tcPr>
                  <w:tcW w:w="1296" w:type="dxa"/>
                  <w:tcBorders>
                    <w:tl2br w:val="nil"/>
                    <w:tr2bl w:val="nil"/>
                  </w:tcBorders>
                  <w:noWrap w:val="0"/>
                  <w:vAlign w:val="center"/>
                </w:tcPr>
                <w:p w14:paraId="6B102A94">
                  <w:pPr>
                    <w:spacing w:line="240" w:lineRule="auto"/>
                    <w:ind w:left="0" w:leftChars="0" w:right="0" w:rightChars="0" w:firstLine="0" w:firstLineChars="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0.017</w:t>
                  </w:r>
                </w:p>
              </w:tc>
              <w:tc>
                <w:tcPr>
                  <w:tcW w:w="1587" w:type="dxa"/>
                  <w:tcBorders>
                    <w:tl2br w:val="nil"/>
                    <w:tr2bl w:val="nil"/>
                  </w:tcBorders>
                  <w:noWrap w:val="0"/>
                  <w:vAlign w:val="center"/>
                </w:tcPr>
                <w:p w14:paraId="2F014363">
                  <w:pPr>
                    <w:spacing w:line="240" w:lineRule="auto"/>
                    <w:ind w:left="0" w:leftChars="0" w:right="0" w:rightChars="0" w:firstLine="0" w:firstLineChars="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油烟净化</w:t>
                  </w: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器故障</w:t>
                  </w: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w:t>
                  </w:r>
                  <w:r>
                    <w:rPr>
                      <w:rFonts w:hint="eastAsia" w:cs="Times New Roman"/>
                      <w:color w:val="000000" w:themeColor="text1"/>
                      <w:sz w:val="18"/>
                      <w:szCs w:val="18"/>
                      <w:highlight w:val="none"/>
                      <w:lang w:val="en-US" w:eastAsia="zh-CN"/>
                      <w14:textFill>
                        <w14:solidFill>
                          <w14:schemeClr w14:val="tx1"/>
                        </w14:solidFill>
                      </w14:textFill>
                    </w:rPr>
                    <w:t>处理</w:t>
                  </w: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效率为0%</w:t>
                  </w:r>
                </w:p>
              </w:tc>
              <w:tc>
                <w:tcPr>
                  <w:tcW w:w="935" w:type="dxa"/>
                  <w:tcBorders>
                    <w:tl2br w:val="nil"/>
                    <w:tr2bl w:val="nil"/>
                  </w:tcBorders>
                  <w:noWrap w:val="0"/>
                  <w:vAlign w:val="center"/>
                </w:tcPr>
                <w:p w14:paraId="6C93A409">
                  <w:pPr>
                    <w:spacing w:line="240" w:lineRule="auto"/>
                    <w:ind w:left="0" w:leftChars="0" w:right="0" w:rightChars="0" w:firstLine="0" w:firstLineChars="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0.017</w:t>
                  </w:r>
                </w:p>
              </w:tc>
              <w:tc>
                <w:tcPr>
                  <w:tcW w:w="1046" w:type="dxa"/>
                  <w:tcBorders>
                    <w:tl2br w:val="nil"/>
                    <w:tr2bl w:val="nil"/>
                  </w:tcBorders>
                  <w:noWrap w:val="0"/>
                  <w:vAlign w:val="center"/>
                </w:tcPr>
                <w:p w14:paraId="3C3321FD">
                  <w:pPr>
                    <w:spacing w:line="240" w:lineRule="auto"/>
                    <w:ind w:left="0" w:leftChars="0" w:right="0" w:rightChars="0" w:firstLine="0" w:firstLineChars="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1</w:t>
                  </w:r>
                </w:p>
              </w:tc>
            </w:tr>
          </w:tbl>
          <w:p w14:paraId="117A3C4A">
            <w:pPr>
              <w:pStyle w:val="97"/>
              <w:spacing w:line="360" w:lineRule="auto"/>
              <w:ind w:left="0" w:leftChars="0" w:firstLine="480" w:firstLineChars="20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（2）监测要求</w:t>
            </w:r>
          </w:p>
          <w:p w14:paraId="04343C9D">
            <w:pPr>
              <w:pStyle w:val="97"/>
              <w:spacing w:line="360" w:lineRule="auto"/>
              <w:ind w:left="0" w:leftChars="0" w:firstLine="480" w:firstLineChars="20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FF0000"/>
                <w:kern w:val="2"/>
                <w:sz w:val="24"/>
                <w:szCs w:val="24"/>
                <w:highlight w:val="none"/>
                <w:lang w:val="en-US" w:eastAsia="zh-CN" w:bidi="ar-SA"/>
              </w:rPr>
              <w:t>根据《排污单位自行监测技术指南 总则》（HJ819-2017）</w:t>
            </w:r>
            <w:r>
              <w:rPr>
                <w:rFonts w:hint="eastAsia" w:eastAsia="宋体" w:cs="Times New Roman"/>
                <w:color w:val="FF0000"/>
                <w:kern w:val="2"/>
                <w:sz w:val="24"/>
                <w:szCs w:val="24"/>
                <w:highlight w:val="none"/>
                <w:lang w:val="en-US" w:eastAsia="zh-CN" w:bidi="ar-SA"/>
              </w:rPr>
              <w:t>、《煤炭工业污染物排放标准》（GB20426-2006）</w:t>
            </w:r>
            <w:r>
              <w:rPr>
                <w:rFonts w:hint="default" w:ascii="Times New Roman" w:hAnsi="Times New Roman" w:eastAsia="宋体" w:cs="Times New Roman"/>
                <w:color w:val="FF0000"/>
                <w:kern w:val="2"/>
                <w:sz w:val="24"/>
                <w:szCs w:val="24"/>
                <w:highlight w:val="none"/>
                <w:lang w:val="en-US" w:eastAsia="zh-CN" w:bidi="ar-SA"/>
              </w:rPr>
              <w:t>及项目排污特点制定，</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针对本项目排放的主要大气污染物，企业需定期委托有资质的单位进行监测，确保达标排放，减轻对周围环境的污染。具体监测计划见下表。</w:t>
            </w:r>
          </w:p>
          <w:p w14:paraId="560EDB62">
            <w:pPr>
              <w:pStyle w:val="76"/>
              <w:spacing w:line="240" w:lineRule="auto"/>
              <w:rPr>
                <w:rFonts w:eastAsia="宋体" w:cs="Times New Roman"/>
                <w:b/>
                <w:bCs w:val="0"/>
                <w:color w:val="000000" w:themeColor="text1"/>
                <w:kern w:val="2"/>
                <w:sz w:val="21"/>
                <w:szCs w:val="21"/>
                <w:highlight w:val="none"/>
                <w14:textFill>
                  <w14:solidFill>
                    <w14:schemeClr w14:val="tx1"/>
                  </w14:solidFill>
                </w14:textFill>
              </w:rPr>
            </w:pPr>
            <w:r>
              <w:rPr>
                <w:rFonts w:ascii="Times New Roman" w:hAnsi="Times New Roman" w:eastAsia="宋体" w:cs="Times New Roman"/>
                <w:b/>
                <w:bCs w:val="0"/>
                <w:color w:val="000000" w:themeColor="text1"/>
                <w:kern w:val="0"/>
                <w:sz w:val="24"/>
                <w:szCs w:val="24"/>
                <w:highlight w:val="none"/>
                <w:lang w:val="en-US" w:eastAsia="zh-CN" w:bidi="ar-SA"/>
                <w14:textFill>
                  <w14:solidFill>
                    <w14:schemeClr w14:val="tx1"/>
                  </w14:solidFill>
                </w14:textFill>
              </w:rPr>
              <w:t>表4-</w:t>
            </w:r>
            <w:r>
              <w:rPr>
                <w:rFonts w:hint="eastAsia" w:eastAsia="宋体" w:cs="Times New Roman"/>
                <w:b/>
                <w:bCs w:val="0"/>
                <w:color w:val="000000" w:themeColor="text1"/>
                <w:kern w:val="0"/>
                <w:sz w:val="24"/>
                <w:szCs w:val="24"/>
                <w:highlight w:val="none"/>
                <w:lang w:val="en-US" w:eastAsia="zh-CN" w:bidi="ar-SA"/>
                <w14:textFill>
                  <w14:solidFill>
                    <w14:schemeClr w14:val="tx1"/>
                  </w14:solidFill>
                </w14:textFill>
              </w:rPr>
              <w:t>3</w:t>
            </w:r>
            <w:r>
              <w:rPr>
                <w:rFonts w:ascii="Times New Roman" w:hAnsi="Times New Roman" w:eastAsia="宋体" w:cs="Times New Roman"/>
                <w:b/>
                <w:bCs w:val="0"/>
                <w:color w:val="000000" w:themeColor="text1"/>
                <w:kern w:val="0"/>
                <w:sz w:val="24"/>
                <w:szCs w:val="24"/>
                <w:highlight w:val="none"/>
                <w:lang w:val="en-US" w:eastAsia="zh-CN" w:bidi="ar-SA"/>
                <w14:textFill>
                  <w14:solidFill>
                    <w14:schemeClr w14:val="tx1"/>
                  </w14:solidFill>
                </w14:textFill>
              </w:rPr>
              <w:t xml:space="preserve"> 环境跟踪监测计划</w:t>
            </w:r>
          </w:p>
          <w:tbl>
            <w:tblPr>
              <w:tblStyle w:val="28"/>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7"/>
              <w:gridCol w:w="1345"/>
              <w:gridCol w:w="1455"/>
              <w:gridCol w:w="1221"/>
              <w:gridCol w:w="3045"/>
            </w:tblGrid>
            <w:tr w14:paraId="69C4C6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489" w:type="pct"/>
                  <w:tcBorders>
                    <w:tl2br w:val="nil"/>
                    <w:tr2bl w:val="nil"/>
                  </w:tcBorders>
                  <w:noWrap/>
                  <w:vAlign w:val="center"/>
                </w:tcPr>
                <w:p w14:paraId="16A1669B">
                  <w:pPr>
                    <w:jc w:val="center"/>
                    <w:rPr>
                      <w:rFonts w:ascii="Times New Roman" w:hAnsi="Times New Roman" w:cs="Times New Roman"/>
                      <w:color w:val="000000" w:themeColor="text1"/>
                      <w:szCs w:val="21"/>
                      <w:highlight w:val="none"/>
                      <w14:textFill>
                        <w14:solidFill>
                          <w14:schemeClr w14:val="tx1"/>
                        </w14:solidFill>
                      </w14:textFill>
                    </w:rPr>
                  </w:pPr>
                  <w:r>
                    <w:rPr>
                      <w:rFonts w:ascii="Times New Roman" w:hAnsi="Times New Roman" w:cs="Times New Roman"/>
                      <w:color w:val="000000" w:themeColor="text1"/>
                      <w:szCs w:val="21"/>
                      <w:highlight w:val="none"/>
                      <w14:textFill>
                        <w14:solidFill>
                          <w14:schemeClr w14:val="tx1"/>
                        </w14:solidFill>
                      </w14:textFill>
                    </w:rPr>
                    <w:t>要素</w:t>
                  </w:r>
                </w:p>
              </w:tc>
              <w:tc>
                <w:tcPr>
                  <w:tcW w:w="858" w:type="pct"/>
                  <w:tcBorders>
                    <w:tl2br w:val="nil"/>
                    <w:tr2bl w:val="nil"/>
                  </w:tcBorders>
                  <w:noWrap/>
                  <w:vAlign w:val="center"/>
                </w:tcPr>
                <w:p w14:paraId="00E6814A">
                  <w:pPr>
                    <w:jc w:val="center"/>
                    <w:rPr>
                      <w:rFonts w:ascii="Times New Roman" w:hAnsi="Times New Roman" w:cs="Times New Roman"/>
                      <w:color w:val="000000" w:themeColor="text1"/>
                      <w:szCs w:val="21"/>
                      <w:highlight w:val="none"/>
                      <w14:textFill>
                        <w14:solidFill>
                          <w14:schemeClr w14:val="tx1"/>
                        </w14:solidFill>
                      </w14:textFill>
                    </w:rPr>
                  </w:pPr>
                  <w:r>
                    <w:rPr>
                      <w:rFonts w:ascii="Times New Roman" w:hAnsi="Times New Roman" w:cs="Times New Roman"/>
                      <w:color w:val="000000" w:themeColor="text1"/>
                      <w:szCs w:val="21"/>
                      <w:highlight w:val="none"/>
                      <w14:textFill>
                        <w14:solidFill>
                          <w14:schemeClr w14:val="tx1"/>
                        </w14:solidFill>
                      </w14:textFill>
                    </w:rPr>
                    <w:t>监测因子</w:t>
                  </w:r>
                </w:p>
              </w:tc>
              <w:tc>
                <w:tcPr>
                  <w:tcW w:w="928" w:type="pct"/>
                  <w:tcBorders>
                    <w:tl2br w:val="nil"/>
                    <w:tr2bl w:val="nil"/>
                  </w:tcBorders>
                  <w:noWrap/>
                  <w:vAlign w:val="center"/>
                </w:tcPr>
                <w:p w14:paraId="1A666F70">
                  <w:pPr>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ascii="Times New Roman" w:hAnsi="Times New Roman" w:cs="Times New Roman"/>
                      <w:color w:val="000000" w:themeColor="text1"/>
                      <w:szCs w:val="21"/>
                      <w:highlight w:val="none"/>
                      <w14:textFill>
                        <w14:solidFill>
                          <w14:schemeClr w14:val="tx1"/>
                        </w14:solidFill>
                      </w14:textFill>
                    </w:rPr>
                    <w:t>监测点</w:t>
                  </w:r>
                  <w:r>
                    <w:rPr>
                      <w:rFonts w:hint="eastAsia" w:ascii="Times New Roman" w:hAnsi="Times New Roman" w:cs="Times New Roman"/>
                      <w:color w:val="000000" w:themeColor="text1"/>
                      <w:szCs w:val="21"/>
                      <w:highlight w:val="none"/>
                      <w:lang w:val="en-US" w:eastAsia="zh-CN"/>
                      <w14:textFill>
                        <w14:solidFill>
                          <w14:schemeClr w14:val="tx1"/>
                        </w14:solidFill>
                      </w14:textFill>
                    </w:rPr>
                    <w:t>位</w:t>
                  </w:r>
                </w:p>
              </w:tc>
              <w:tc>
                <w:tcPr>
                  <w:tcW w:w="779" w:type="pct"/>
                  <w:tcBorders>
                    <w:tl2br w:val="nil"/>
                    <w:tr2bl w:val="nil"/>
                  </w:tcBorders>
                  <w:noWrap/>
                  <w:vAlign w:val="center"/>
                </w:tcPr>
                <w:p w14:paraId="4907A7E9">
                  <w:pPr>
                    <w:jc w:val="center"/>
                    <w:rPr>
                      <w:rFonts w:ascii="Times New Roman" w:hAnsi="Times New Roman" w:cs="Times New Roman"/>
                      <w:color w:val="000000" w:themeColor="text1"/>
                      <w:szCs w:val="21"/>
                      <w:highlight w:val="none"/>
                      <w14:textFill>
                        <w14:solidFill>
                          <w14:schemeClr w14:val="tx1"/>
                        </w14:solidFill>
                      </w14:textFill>
                    </w:rPr>
                  </w:pPr>
                  <w:r>
                    <w:rPr>
                      <w:rFonts w:ascii="Times New Roman" w:hAnsi="Times New Roman" w:cs="Times New Roman"/>
                      <w:color w:val="000000" w:themeColor="text1"/>
                      <w:szCs w:val="21"/>
                      <w:highlight w:val="none"/>
                      <w14:textFill>
                        <w14:solidFill>
                          <w14:schemeClr w14:val="tx1"/>
                        </w14:solidFill>
                      </w14:textFill>
                    </w:rPr>
                    <w:t>监测频次</w:t>
                  </w:r>
                </w:p>
              </w:tc>
              <w:tc>
                <w:tcPr>
                  <w:tcW w:w="1943" w:type="pct"/>
                  <w:tcBorders>
                    <w:tl2br w:val="nil"/>
                    <w:tr2bl w:val="nil"/>
                  </w:tcBorders>
                  <w:noWrap/>
                  <w:vAlign w:val="center"/>
                </w:tcPr>
                <w:p w14:paraId="5E236604">
                  <w:pPr>
                    <w:jc w:val="center"/>
                    <w:rPr>
                      <w:rFonts w:ascii="Times New Roman" w:hAnsi="Times New Roman" w:cs="Times New Roman"/>
                      <w:color w:val="000000" w:themeColor="text1"/>
                      <w:szCs w:val="21"/>
                      <w:highlight w:val="none"/>
                      <w14:textFill>
                        <w14:solidFill>
                          <w14:schemeClr w14:val="tx1"/>
                        </w14:solidFill>
                      </w14:textFill>
                    </w:rPr>
                  </w:pPr>
                  <w:r>
                    <w:rPr>
                      <w:rFonts w:ascii="Times New Roman" w:hAnsi="Times New Roman" w:cs="Times New Roman"/>
                      <w:color w:val="000000" w:themeColor="text1"/>
                      <w:szCs w:val="21"/>
                      <w:highlight w:val="none"/>
                      <w14:textFill>
                        <w14:solidFill>
                          <w14:schemeClr w14:val="tx1"/>
                        </w14:solidFill>
                      </w14:textFill>
                    </w:rPr>
                    <w:t>执行标准</w:t>
                  </w:r>
                </w:p>
              </w:tc>
            </w:tr>
            <w:tr w14:paraId="080A1D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2" w:hRule="atLeast"/>
              </w:trPr>
              <w:tc>
                <w:tcPr>
                  <w:tcW w:w="489" w:type="pct"/>
                  <w:vMerge w:val="restart"/>
                  <w:tcBorders>
                    <w:tl2br w:val="nil"/>
                    <w:tr2bl w:val="nil"/>
                  </w:tcBorders>
                  <w:noWrap/>
                  <w:vAlign w:val="center"/>
                </w:tcPr>
                <w:p w14:paraId="3FB94D07">
                  <w:pPr>
                    <w:jc w:val="center"/>
                    <w:rPr>
                      <w:rFonts w:ascii="Times New Roman" w:hAnsi="Times New Roman" w:cs="Times New Roman"/>
                      <w:color w:val="000000" w:themeColor="text1"/>
                      <w:szCs w:val="21"/>
                      <w:highlight w:val="none"/>
                      <w14:textFill>
                        <w14:solidFill>
                          <w14:schemeClr w14:val="tx1"/>
                        </w14:solidFill>
                      </w14:textFill>
                    </w:rPr>
                  </w:pPr>
                  <w:r>
                    <w:rPr>
                      <w:rFonts w:ascii="Times New Roman" w:hAnsi="Times New Roman" w:cs="Times New Roman"/>
                      <w:color w:val="000000" w:themeColor="text1"/>
                      <w:szCs w:val="21"/>
                      <w:highlight w:val="none"/>
                      <w14:textFill>
                        <w14:solidFill>
                          <w14:schemeClr w14:val="tx1"/>
                        </w14:solidFill>
                      </w14:textFill>
                    </w:rPr>
                    <w:t>废气</w:t>
                  </w:r>
                </w:p>
              </w:tc>
              <w:tc>
                <w:tcPr>
                  <w:tcW w:w="858" w:type="pct"/>
                  <w:tcBorders>
                    <w:tl2br w:val="nil"/>
                    <w:tr2bl w:val="nil"/>
                  </w:tcBorders>
                  <w:shd w:val="clear" w:color="auto" w:fill="auto"/>
                  <w:noWrap/>
                  <w:vAlign w:val="center"/>
                </w:tcPr>
                <w:p w14:paraId="27A43BB7">
                  <w:pPr>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cs="Times New Roman"/>
                      <w:color w:val="000000" w:themeColor="text1"/>
                      <w:szCs w:val="21"/>
                      <w:highlight w:val="none"/>
                      <w14:textFill>
                        <w14:solidFill>
                          <w14:schemeClr w14:val="tx1"/>
                        </w14:solidFill>
                      </w14:textFill>
                    </w:rPr>
                    <w:t>颗粒物</w:t>
                  </w:r>
                </w:p>
              </w:tc>
              <w:tc>
                <w:tcPr>
                  <w:tcW w:w="928" w:type="pct"/>
                  <w:tcBorders>
                    <w:tl2br w:val="nil"/>
                    <w:tr2bl w:val="nil"/>
                  </w:tcBorders>
                  <w:shd w:val="clear" w:color="auto" w:fill="auto"/>
                  <w:noWrap/>
                  <w:vAlign w:val="center"/>
                </w:tcPr>
                <w:p w14:paraId="7850F571">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cs="Times New Roman"/>
                      <w:color w:val="FF0000"/>
                      <w:szCs w:val="21"/>
                      <w:highlight w:val="none"/>
                    </w:rPr>
                    <w:t>厂界</w:t>
                  </w:r>
                  <w:r>
                    <w:rPr>
                      <w:rFonts w:hint="eastAsia" w:cs="Times New Roman"/>
                      <w:color w:val="FF0000"/>
                      <w:szCs w:val="21"/>
                      <w:highlight w:val="none"/>
                      <w:lang w:val="en-US" w:eastAsia="zh-CN"/>
                    </w:rPr>
                    <w:t>上风向1个点、下风向3个点</w:t>
                  </w:r>
                </w:p>
              </w:tc>
              <w:tc>
                <w:tcPr>
                  <w:tcW w:w="779" w:type="pct"/>
                  <w:tcBorders>
                    <w:tl2br w:val="nil"/>
                    <w:tr2bl w:val="nil"/>
                  </w:tcBorders>
                  <w:shd w:val="clear" w:color="auto" w:fill="auto"/>
                  <w:noWrap/>
                  <w:vAlign w:val="center"/>
                </w:tcPr>
                <w:p w14:paraId="4B2DABC1">
                  <w:pPr>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cs="Times New Roman"/>
                      <w:color w:val="000000" w:themeColor="text1"/>
                      <w:szCs w:val="21"/>
                      <w:highlight w:val="none"/>
                      <w14:textFill>
                        <w14:solidFill>
                          <w14:schemeClr w14:val="tx1"/>
                        </w14:solidFill>
                      </w14:textFill>
                    </w:rPr>
                    <w:t>一次/年</w:t>
                  </w:r>
                </w:p>
              </w:tc>
              <w:tc>
                <w:tcPr>
                  <w:tcW w:w="1943" w:type="pct"/>
                  <w:tcBorders>
                    <w:tl2br w:val="nil"/>
                    <w:tr2bl w:val="nil"/>
                  </w:tcBorders>
                  <w:shd w:val="clear" w:color="auto" w:fill="auto"/>
                  <w:noWrap/>
                  <w:vAlign w:val="center"/>
                </w:tcPr>
                <w:p w14:paraId="7242E4D2">
                  <w:pPr>
                    <w:jc w:val="center"/>
                    <w:rPr>
                      <w:rFonts w:ascii="Times New Roman" w:hAnsi="Times New Roman" w:cs="Times New Roman"/>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 xml:space="preserve">《煤炭工业污染物排放标准》 </w:t>
                  </w:r>
                </w:p>
                <w:p w14:paraId="49BCD601">
                  <w:pPr>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（GB20426-2006）表5煤炭工业无组织排放限值要求</w:t>
                  </w:r>
                </w:p>
              </w:tc>
            </w:tr>
            <w:tr w14:paraId="5BBCB9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2" w:hRule="atLeast"/>
              </w:trPr>
              <w:tc>
                <w:tcPr>
                  <w:tcW w:w="489" w:type="pct"/>
                  <w:vMerge w:val="continue"/>
                  <w:tcBorders>
                    <w:tl2br w:val="nil"/>
                    <w:tr2bl w:val="nil"/>
                  </w:tcBorders>
                  <w:noWrap/>
                  <w:vAlign w:val="center"/>
                </w:tcPr>
                <w:p w14:paraId="737CE725">
                  <w:pPr>
                    <w:jc w:val="center"/>
                    <w:rPr>
                      <w:rFonts w:ascii="Times New Roman" w:hAnsi="Times New Roman" w:cs="Times New Roman"/>
                      <w:color w:val="000000" w:themeColor="text1"/>
                      <w:szCs w:val="21"/>
                      <w:highlight w:val="none"/>
                      <w14:textFill>
                        <w14:solidFill>
                          <w14:schemeClr w14:val="tx1"/>
                        </w14:solidFill>
                      </w14:textFill>
                    </w:rPr>
                  </w:pPr>
                </w:p>
              </w:tc>
              <w:tc>
                <w:tcPr>
                  <w:tcW w:w="858" w:type="pct"/>
                  <w:tcBorders>
                    <w:tl2br w:val="nil"/>
                    <w:tr2bl w:val="nil"/>
                  </w:tcBorders>
                  <w:shd w:val="clear" w:color="auto" w:fill="auto"/>
                  <w:noWrap/>
                  <w:vAlign w:val="center"/>
                </w:tcPr>
                <w:p w14:paraId="3916063B">
                  <w:pPr>
                    <w:jc w:val="center"/>
                    <w:rPr>
                      <w:rFonts w:hint="eastAsia"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非甲烷总烃</w:t>
                  </w:r>
                </w:p>
              </w:tc>
              <w:tc>
                <w:tcPr>
                  <w:tcW w:w="928" w:type="pct"/>
                  <w:tcBorders>
                    <w:tl2br w:val="nil"/>
                    <w:tr2bl w:val="nil"/>
                  </w:tcBorders>
                  <w:shd w:val="clear" w:color="auto" w:fill="auto"/>
                  <w:noWrap/>
                  <w:vAlign w:val="center"/>
                </w:tcPr>
                <w:p w14:paraId="348037A7">
                  <w:pPr>
                    <w:jc w:val="center"/>
                    <w:rPr>
                      <w:rFonts w:hint="eastAsia"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厂内车间外1个点、厂界上风向1个点、下风向3个点</w:t>
                  </w:r>
                </w:p>
              </w:tc>
              <w:tc>
                <w:tcPr>
                  <w:tcW w:w="779" w:type="pct"/>
                  <w:tcBorders>
                    <w:tl2br w:val="nil"/>
                    <w:tr2bl w:val="nil"/>
                  </w:tcBorders>
                  <w:shd w:val="clear" w:color="auto" w:fill="auto"/>
                  <w:noWrap/>
                  <w:vAlign w:val="center"/>
                </w:tcPr>
                <w:p w14:paraId="36CDBFF5">
                  <w:pPr>
                    <w:jc w:val="center"/>
                    <w:rPr>
                      <w:rFonts w:ascii="Times New Roman" w:hAnsi="Times New Roman" w:cs="Times New Roman"/>
                      <w:color w:val="FF0000"/>
                      <w:szCs w:val="21"/>
                      <w:highlight w:val="none"/>
                    </w:rPr>
                  </w:pPr>
                  <w:r>
                    <w:rPr>
                      <w:rFonts w:ascii="Times New Roman" w:hAnsi="Times New Roman" w:cs="Times New Roman"/>
                      <w:color w:val="FF0000"/>
                      <w:szCs w:val="21"/>
                      <w:highlight w:val="none"/>
                    </w:rPr>
                    <w:t>一次/年</w:t>
                  </w:r>
                </w:p>
              </w:tc>
              <w:tc>
                <w:tcPr>
                  <w:tcW w:w="1943" w:type="pct"/>
                  <w:tcBorders>
                    <w:tl2br w:val="nil"/>
                    <w:tr2bl w:val="nil"/>
                  </w:tcBorders>
                  <w:shd w:val="clear" w:color="auto" w:fill="auto"/>
                  <w:noWrap/>
                  <w:vAlign w:val="center"/>
                </w:tcPr>
                <w:p w14:paraId="65B054EB">
                  <w:pPr>
                    <w:jc w:val="center"/>
                    <w:rPr>
                      <w:rFonts w:hint="eastAsia" w:ascii="Times New Roman" w:hAnsi="Times New Roman" w:cs="Times New Roman"/>
                      <w:color w:val="FF0000"/>
                      <w:szCs w:val="21"/>
                      <w:highlight w:val="none"/>
                      <w:lang w:val="en-US" w:eastAsia="zh-CN"/>
                    </w:rPr>
                  </w:pPr>
                  <w:r>
                    <w:rPr>
                      <w:rFonts w:hint="eastAsia" w:ascii="Times New Roman" w:hAnsi="Times New Roman" w:cs="Times New Roman"/>
                      <w:color w:val="FF0000"/>
                      <w:szCs w:val="21"/>
                      <w:highlight w:val="none"/>
                      <w:lang w:val="en-US" w:eastAsia="zh-CN"/>
                    </w:rPr>
                    <w:t>厂内</w:t>
                  </w:r>
                  <w:r>
                    <w:rPr>
                      <w:rFonts w:hint="eastAsia" w:cs="Times New Roman"/>
                      <w:color w:val="FF0000"/>
                      <w:szCs w:val="21"/>
                      <w:highlight w:val="none"/>
                      <w:lang w:val="en-US" w:eastAsia="zh-CN"/>
                    </w:rPr>
                    <w:t>执行</w:t>
                  </w:r>
                  <w:r>
                    <w:rPr>
                      <w:rFonts w:hint="eastAsia" w:ascii="Times New Roman" w:hAnsi="Times New Roman" w:cs="Times New Roman"/>
                      <w:color w:val="FF0000"/>
                      <w:szCs w:val="21"/>
                      <w:highlight w:val="none"/>
                      <w:lang w:val="en-US" w:eastAsia="zh-CN"/>
                    </w:rPr>
                    <w:t>《挥发性有机物无组织排放控制标准》（GB37822-2019）附录A表A.1中无组织排放限值要求</w:t>
                  </w:r>
                  <w:r>
                    <w:rPr>
                      <w:rFonts w:hint="eastAsia" w:cs="Times New Roman"/>
                      <w:color w:val="FF0000"/>
                      <w:szCs w:val="21"/>
                      <w:highlight w:val="none"/>
                      <w:lang w:val="en-US" w:eastAsia="zh-CN"/>
                    </w:rPr>
                    <w:t>；</w:t>
                  </w:r>
                  <w:r>
                    <w:rPr>
                      <w:rFonts w:hint="eastAsia" w:ascii="Times New Roman" w:hAnsi="Times New Roman" w:cs="Times New Roman"/>
                      <w:color w:val="FF0000"/>
                      <w:szCs w:val="21"/>
                      <w:highlight w:val="none"/>
                      <w:lang w:val="en-US" w:eastAsia="zh-CN"/>
                    </w:rPr>
                    <w:t>厂界非</w:t>
                  </w:r>
                  <w:r>
                    <w:rPr>
                      <w:rFonts w:hint="eastAsia" w:cs="Times New Roman"/>
                      <w:color w:val="FF0000"/>
                      <w:szCs w:val="21"/>
                      <w:highlight w:val="none"/>
                      <w:lang w:val="en-US" w:eastAsia="zh-CN"/>
                    </w:rPr>
                    <w:t>执行</w:t>
                  </w:r>
                  <w:r>
                    <w:rPr>
                      <w:rFonts w:hint="eastAsia" w:ascii="Times New Roman" w:hAnsi="Times New Roman" w:cs="Times New Roman"/>
                      <w:color w:val="FF0000"/>
                      <w:szCs w:val="21"/>
                      <w:highlight w:val="none"/>
                      <w:lang w:val="en-US" w:eastAsia="zh-CN"/>
                    </w:rPr>
                    <w:t>《大气污染物综合排放标准》（GB16297-1996）标准限值要求</w:t>
                  </w:r>
                </w:p>
              </w:tc>
            </w:tr>
          </w:tbl>
          <w:p w14:paraId="7E3FD512">
            <w:pPr>
              <w:pStyle w:val="97"/>
              <w:spacing w:line="360" w:lineRule="auto"/>
              <w:ind w:left="0" w:leftChars="0" w:firstLine="440" w:firstLineChars="200"/>
              <w:rPr>
                <w:rFonts w:hint="default" w:ascii="Times New Roman" w:hAnsi="Times New Roman" w:cs="Times New Roman"/>
                <w:bCs/>
                <w:color w:val="000000" w:themeColor="text1"/>
                <w:spacing w:val="-10"/>
                <w:sz w:val="24"/>
                <w:szCs w:val="24"/>
                <w:highlight w:val="none"/>
                <w:lang w:val="en-US" w:eastAsia="zh-CN"/>
                <w14:textFill>
                  <w14:solidFill>
                    <w14:schemeClr w14:val="tx1"/>
                  </w14:solidFill>
                </w14:textFill>
              </w:rPr>
            </w:pPr>
            <w:r>
              <w:rPr>
                <w:rFonts w:hint="eastAsia" w:ascii="Times New Roman" w:hAnsi="Times New Roman" w:cs="Times New Roman"/>
                <w:bCs/>
                <w:color w:val="000000" w:themeColor="text1"/>
                <w:spacing w:val="-10"/>
                <w:sz w:val="24"/>
                <w:szCs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污染防治措施可行性分析</w:t>
            </w:r>
          </w:p>
          <w:p w14:paraId="37AF9022">
            <w:pPr>
              <w:pStyle w:val="97"/>
              <w:spacing w:line="360" w:lineRule="auto"/>
              <w:ind w:left="0" w:leftChars="0" w:firstLine="480" w:firstLineChars="20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本项目主厂房全封闭结构，</w:t>
            </w:r>
            <w:r>
              <w:rPr>
                <w:rFonts w:hint="eastAsia" w:eastAsia="宋体" w:cs="Times New Roman"/>
                <w:color w:val="FF0000"/>
                <w:sz w:val="24"/>
                <w:szCs w:val="24"/>
                <w:highlight w:val="none"/>
                <w:lang w:val="en-US" w:eastAsia="zh-CN"/>
              </w:rPr>
              <w:t>设置有通风口，</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车间内大部分无组织粉尘重力沉降至车间地面，</w:t>
            </w:r>
            <w:r>
              <w:rPr>
                <w:rFonts w:hint="eastAsia" w:ascii="Times New Roman" w:hAnsi="Times New Roman" w:eastAsia="宋体" w:cs="Times New Roman"/>
                <w:color w:val="FF0000"/>
                <w:sz w:val="24"/>
                <w:szCs w:val="24"/>
                <w:highlight w:val="none"/>
                <w:lang w:val="en-US" w:eastAsia="zh-CN"/>
              </w:rPr>
              <w:t>破碎、筛分</w:t>
            </w:r>
            <w:r>
              <w:rPr>
                <w:rFonts w:hint="eastAsia" w:eastAsia="宋体" w:cs="Times New Roman"/>
                <w:color w:val="FF0000"/>
                <w:sz w:val="24"/>
                <w:szCs w:val="24"/>
                <w:highlight w:val="none"/>
                <w:lang w:val="en-US" w:eastAsia="zh-CN"/>
              </w:rPr>
              <w:t>等</w:t>
            </w:r>
            <w:r>
              <w:rPr>
                <w:rFonts w:hint="eastAsia" w:ascii="Times New Roman" w:hAnsi="Times New Roman" w:eastAsia="宋体" w:cs="Times New Roman"/>
                <w:color w:val="FF0000"/>
                <w:sz w:val="24"/>
                <w:szCs w:val="24"/>
                <w:highlight w:val="none"/>
                <w:lang w:val="en-US" w:eastAsia="zh-CN"/>
              </w:rPr>
              <w:t>各产尘点</w:t>
            </w:r>
            <w:r>
              <w:rPr>
                <w:rFonts w:hint="eastAsia" w:eastAsia="宋体" w:cs="Times New Roman"/>
                <w:color w:val="FF0000"/>
                <w:sz w:val="24"/>
                <w:szCs w:val="24"/>
                <w:highlight w:val="none"/>
                <w:lang w:val="en-US" w:eastAsia="zh-CN"/>
              </w:rPr>
              <w:t>进行喷淋降尘，</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车间内定期洒水降尘，定期冲洗车间地面；原煤</w:t>
            </w:r>
            <w:r>
              <w:rPr>
                <w:rFonts w:hint="eastAsia" w:eastAsia="宋体" w:cs="Times New Roman"/>
                <w:color w:val="000000" w:themeColor="text1"/>
                <w:sz w:val="24"/>
                <w:szCs w:val="24"/>
                <w:highlight w:val="none"/>
                <w:lang w:val="en-US" w:eastAsia="zh-CN"/>
                <w14:textFill>
                  <w14:solidFill>
                    <w14:schemeClr w14:val="tx1"/>
                  </w14:solidFill>
                </w14:textFill>
              </w:rPr>
              <w:t>仓</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、精煤仓、矸石仓均采取全封闭措施</w:t>
            </w:r>
            <w:r>
              <w:rPr>
                <w:rFonts w:hint="eastAsia" w:ascii="Times New Roman" w:hAnsi="Times New Roman" w:eastAsia="宋体" w:cs="Times New Roman"/>
                <w:color w:val="FF0000"/>
                <w:sz w:val="24"/>
                <w:szCs w:val="24"/>
                <w:highlight w:val="none"/>
                <w:lang w:val="en-US" w:eastAsia="zh-CN"/>
              </w:rPr>
              <w:t>，设置有通风口，</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定期洒水降尘；</w:t>
            </w:r>
            <w:r>
              <w:rPr>
                <w:rFonts w:hint="eastAsia" w:eastAsia="宋体" w:cs="Times New Roman"/>
                <w:color w:val="FF0000"/>
                <w:sz w:val="24"/>
                <w:szCs w:val="24"/>
                <w:highlight w:val="none"/>
                <w:lang w:val="en-US" w:eastAsia="zh-CN"/>
              </w:rPr>
              <w:t>在破碎、筛分、储存过程中喷淋及洒水使物料具有一定的湿度，减少粉尘产生量；</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物料在运输过程中应采取减速行驶且运输车辆运输时车身加盖苫布，防止物料洒落；厂区定期清扫，定期洒水抑尘，保持厂区地面清洁</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color w:val="FF0000"/>
                <w:sz w:val="24"/>
                <w:szCs w:val="24"/>
                <w:highlight w:val="none"/>
                <w:lang w:val="en-US" w:eastAsia="zh-CN"/>
              </w:rPr>
              <w:t>本项目</w:t>
            </w:r>
            <w:r>
              <w:rPr>
                <w:rFonts w:hint="eastAsia" w:ascii="Times New Roman" w:hAnsi="Times New Roman" w:eastAsia="宋体" w:cs="Times New Roman"/>
                <w:color w:val="FF0000"/>
                <w:kern w:val="2"/>
                <w:sz w:val="24"/>
                <w:szCs w:val="24"/>
                <w:highlight w:val="none"/>
                <w:lang w:val="en-US" w:eastAsia="zh-CN" w:bidi="ar-SA"/>
              </w:rPr>
              <w:t>各工序采取的措施均为行业内通用措施，且为《排污许可证申请与核发技术规范 总则》（HJ942-2018）中废气污染防治措施推荐的可行技术，故本次评价提出的废气污染防治措施可行。</w:t>
            </w:r>
          </w:p>
          <w:p w14:paraId="0900067C">
            <w:pPr>
              <w:pStyle w:val="97"/>
              <w:spacing w:line="360" w:lineRule="auto"/>
              <w:ind w:left="0" w:leftChars="0" w:firstLine="440" w:firstLineChars="200"/>
              <w:rPr>
                <w:rFonts w:hint="default" w:ascii="Times New Roman" w:hAnsi="Times New Roman" w:cs="Times New Roman"/>
                <w:bCs/>
                <w:color w:val="000000" w:themeColor="text1"/>
                <w:spacing w:val="-10"/>
                <w:sz w:val="24"/>
                <w:szCs w:val="24"/>
                <w:highlight w:val="none"/>
                <w:lang w:val="en-US" w:eastAsia="zh-CN"/>
                <w14:textFill>
                  <w14:solidFill>
                    <w14:schemeClr w14:val="tx1"/>
                  </w14:solidFill>
                </w14:textFill>
              </w:rPr>
            </w:pPr>
            <w:r>
              <w:rPr>
                <w:rFonts w:hint="eastAsia" w:ascii="Times New Roman" w:hAnsi="Times New Roman" w:cs="Times New Roman"/>
                <w:bCs/>
                <w:color w:val="000000" w:themeColor="text1"/>
                <w:spacing w:val="-10"/>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废气排放的环境影响</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分析</w:t>
            </w:r>
          </w:p>
          <w:p w14:paraId="2DFD6BC3">
            <w:pPr>
              <w:pStyle w:val="97"/>
              <w:spacing w:line="360" w:lineRule="auto"/>
              <w:ind w:left="0" w:leftChars="0" w:firstLine="480" w:firstLineChars="20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本项目所在区域环境空气质量现状为达标区，500米范围环境空气保护目标为</w:t>
            </w:r>
            <w:r>
              <w:rPr>
                <w:rFonts w:hint="eastAsia" w:eastAsia="宋体" w:cs="Times New Roman"/>
                <w:color w:val="000000" w:themeColor="text1"/>
                <w:kern w:val="2"/>
                <w:sz w:val="24"/>
                <w:szCs w:val="24"/>
                <w:highlight w:val="none"/>
                <w:lang w:val="en-US" w:eastAsia="zh-CN" w:bidi="ar-SA"/>
                <w14:textFill>
                  <w14:solidFill>
                    <w14:schemeClr w14:val="tx1"/>
                  </w14:solidFill>
                </w14:textFill>
              </w:rPr>
              <w:t>长虹小区</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、隆安小区</w:t>
            </w:r>
            <w:r>
              <w:rPr>
                <w:rFonts w:hint="eastAsia"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站南小区</w:t>
            </w:r>
            <w:r>
              <w:rPr>
                <w:rFonts w:hint="eastAsia"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铁西小区</w:t>
            </w:r>
            <w:r>
              <w:rPr>
                <w:rFonts w:hint="eastAsia"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惠民新城</w:t>
            </w:r>
            <w:r>
              <w:rPr>
                <w:rFonts w:hint="eastAsia"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河畔小区住户</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本项目运营期主要大气污染物为</w:t>
            </w:r>
            <w:r>
              <w:rPr>
                <w:rFonts w:hint="eastAsia" w:eastAsia="宋体" w:cs="Times New Roman"/>
                <w:color w:val="000000" w:themeColor="text1"/>
                <w:sz w:val="24"/>
                <w:szCs w:val="24"/>
                <w:highlight w:val="none"/>
                <w:lang w:val="en-US" w:eastAsia="zh-CN"/>
                <w14:textFill>
                  <w14:solidFill>
                    <w14:schemeClr w14:val="tx1"/>
                  </w14:solidFill>
                </w14:textFill>
              </w:rPr>
              <w:t>生产</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过程产生的粉尘、物料输送过程产生的粉尘以及食堂油烟。</w:t>
            </w:r>
          </w:p>
          <w:p w14:paraId="0BB20AD4">
            <w:pPr>
              <w:pStyle w:val="97"/>
              <w:spacing w:line="360" w:lineRule="auto"/>
              <w:ind w:left="0" w:leftChars="0" w:firstLine="480" w:firstLineChars="20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本项目主厂房全封闭结构，车间内大部分无组织粉尘重力沉降至车间地面，破碎、筛分等各产尘点进行喷淋降尘，车间内定期洒水降尘，定期冲洗车间地面；原煤仓、精煤仓、矸石仓均采取全封闭措施，定期洒水降尘；物料在运输过程中应采取减速行驶且运输车辆运输时车身加盖苫布，防止物料洒落；厂区定期清扫，定期洒水抑尘，保持厂区地面清洁</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，项目运营期颗粒物排放量较小，颗粒物排放浓度可满足《煤炭工业污染物排放标准》（GB20426-2006）</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表</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5煤炭工业</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污染物</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排放限值要求</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本项目食堂油烟经油烟净化器处理后由专用烟道引至屋顶排放</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排放浓度满足《饮食业油烟排放标准（试行）》（GB18483-2001）小型标准限值要求。</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项目对周边环境影响较小，可被环境所接受。</w:t>
            </w:r>
          </w:p>
          <w:p w14:paraId="19482B1E">
            <w:pPr>
              <w:pStyle w:val="65"/>
              <w:rPr>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综上，</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项目所产生的废气对项目所在区域影响较小。</w:t>
            </w:r>
          </w:p>
          <w:p w14:paraId="4F35763A">
            <w:pPr>
              <w:spacing w:before="120" w:beforeLines="50" w:line="360" w:lineRule="auto"/>
              <w:ind w:firstLine="482" w:firstLineChars="200"/>
              <w:rPr>
                <w:rFonts w:hint="eastAsia" w:eastAsia="宋体"/>
                <w:b/>
                <w:bCs/>
                <w:color w:val="000000" w:themeColor="text1"/>
                <w:sz w:val="24"/>
                <w:highlight w:val="none"/>
                <w:lang w:eastAsia="zh-CN"/>
                <w14:textFill>
                  <w14:solidFill>
                    <w14:schemeClr w14:val="tx1"/>
                  </w14:solidFill>
                </w14:textFill>
              </w:rPr>
            </w:pPr>
            <w:r>
              <w:rPr>
                <w:b/>
                <w:bCs/>
                <w:color w:val="000000" w:themeColor="text1"/>
                <w:sz w:val="24"/>
                <w:highlight w:val="none"/>
                <w14:textFill>
                  <w14:solidFill>
                    <w14:schemeClr w14:val="tx1"/>
                  </w14:solidFill>
                </w14:textFill>
              </w:rPr>
              <w:t>2、</w:t>
            </w:r>
            <w:r>
              <w:rPr>
                <w:rFonts w:hint="eastAsia"/>
                <w:b/>
                <w:color w:val="000000" w:themeColor="text1"/>
                <w:sz w:val="24"/>
                <w:highlight w:val="none"/>
                <w:lang w:val="en-US" w:eastAsia="zh-CN"/>
                <w14:textFill>
                  <w14:solidFill>
                    <w14:schemeClr w14:val="tx1"/>
                  </w14:solidFill>
                </w14:textFill>
              </w:rPr>
              <w:t>废水</w:t>
            </w:r>
          </w:p>
          <w:p w14:paraId="0F141B91">
            <w:pPr>
              <w:pStyle w:val="22"/>
              <w:spacing w:line="360" w:lineRule="auto"/>
              <w:ind w:left="0" w:leftChars="0" w:firstLine="480" w:firstLineChars="200"/>
              <w:rPr>
                <w:b w:val="0"/>
                <w:bCs w:val="0"/>
                <w:color w:val="000000" w:themeColor="text1"/>
                <w:highlight w:val="none"/>
                <w14:textFill>
                  <w14:solidFill>
                    <w14:schemeClr w14:val="tx1"/>
                  </w14:solidFill>
                </w14:textFill>
              </w:rPr>
            </w:pPr>
            <w:r>
              <w:rPr>
                <w:rFonts w:hint="eastAsia"/>
                <w:b w:val="0"/>
                <w:bCs w:val="0"/>
                <w:color w:val="000000" w:themeColor="text1"/>
                <w:highlight w:val="none"/>
                <w:lang w:eastAsia="zh-CN"/>
                <w14:textFill>
                  <w14:solidFill>
                    <w14:schemeClr w14:val="tx1"/>
                  </w14:solidFill>
                </w14:textFill>
              </w:rPr>
              <w:t>（</w:t>
            </w:r>
            <w:r>
              <w:rPr>
                <w:rFonts w:hint="default" w:ascii="Times New Roman" w:hAnsi="Times New Roman" w:cs="Times New Roman"/>
                <w:b w:val="0"/>
                <w:bCs w:val="0"/>
                <w:color w:val="000000" w:themeColor="text1"/>
                <w:highlight w:val="none"/>
                <w14:textFill>
                  <w14:solidFill>
                    <w14:schemeClr w14:val="tx1"/>
                  </w14:solidFill>
                </w14:textFill>
              </w:rPr>
              <w:t>1</w:t>
            </w:r>
            <w:r>
              <w:rPr>
                <w:rFonts w:hint="eastAsia"/>
                <w:b w:val="0"/>
                <w:bCs w:val="0"/>
                <w:color w:val="000000" w:themeColor="text1"/>
                <w:highlight w:val="none"/>
                <w:lang w:eastAsia="zh-CN"/>
                <w14:textFill>
                  <w14:solidFill>
                    <w14:schemeClr w14:val="tx1"/>
                  </w14:solidFill>
                </w14:textFill>
              </w:rPr>
              <w:t>）</w:t>
            </w:r>
            <w:r>
              <w:rPr>
                <w:rFonts w:hint="eastAsia"/>
                <w:b w:val="0"/>
                <w:bCs w:val="0"/>
                <w:color w:val="000000" w:themeColor="text1"/>
                <w:highlight w:val="none"/>
                <w14:textFill>
                  <w14:solidFill>
                    <w14:schemeClr w14:val="tx1"/>
                  </w14:solidFill>
                </w14:textFill>
              </w:rPr>
              <w:t>废水源强核算</w:t>
            </w:r>
          </w:p>
          <w:p w14:paraId="5309DC59">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①选煤废水</w:t>
            </w:r>
          </w:p>
          <w:p w14:paraId="41C3BEAE">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洗煤废水循环使用，根据《清洁生产标准-煤炭采选业》（HJ446-2008）洗煤废水闭路循环，不外排。</w:t>
            </w:r>
          </w:p>
          <w:p w14:paraId="431BF0C9">
            <w:pPr>
              <w:pStyle w:val="65"/>
              <w:rPr>
                <w:color w:val="000000" w:themeColor="text1"/>
                <w:highlight w:val="green"/>
                <w14:textFill>
                  <w14:solidFill>
                    <w14:schemeClr w14:val="tx1"/>
                  </w14:solidFill>
                </w14:textFill>
              </w:rPr>
            </w:pPr>
            <w:r>
              <w:rPr>
                <w:rFonts w:hint="eastAsia"/>
                <w:color w:val="FF0000"/>
                <w:highlight w:val="none"/>
                <w:lang w:eastAsia="zh-CN"/>
              </w:rPr>
              <w:t>根据《煤炭洗选工程设计规范》（GB50359-2016）“选用事故煤泥水池时，其有效容积应为厂内最大一台设备有效容积的</w:t>
            </w:r>
            <w:r>
              <w:rPr>
                <w:rFonts w:hint="eastAsia"/>
                <w:color w:val="FF0000"/>
                <w:highlight w:val="none"/>
                <w:lang w:val="en-US" w:eastAsia="zh-CN"/>
              </w:rPr>
              <w:t>1.2~1.5倍</w:t>
            </w:r>
            <w:r>
              <w:rPr>
                <w:rFonts w:hint="eastAsia"/>
                <w:color w:val="FF0000"/>
                <w:highlight w:val="none"/>
                <w:lang w:eastAsia="zh-CN"/>
              </w:rPr>
              <w:t>”，</w:t>
            </w:r>
            <w:r>
              <w:rPr>
                <w:rFonts w:hint="eastAsia"/>
                <w:color w:val="FF0000"/>
                <w:highlight w:val="none"/>
                <w:lang w:val="en-US" w:eastAsia="zh-CN"/>
              </w:rPr>
              <w:t>本项目选煤废水经沉淀处理后循环使用，根据前文计算本项目洗水闭路循环系统最大循环水量821.9m</w:t>
            </w:r>
            <w:r>
              <w:rPr>
                <w:rFonts w:hint="eastAsia"/>
                <w:color w:val="FF0000"/>
                <w:highlight w:val="none"/>
                <w:vertAlign w:val="superscript"/>
                <w:lang w:val="en-US" w:eastAsia="zh-CN"/>
              </w:rPr>
              <w:t>3</w:t>
            </w:r>
            <w:r>
              <w:rPr>
                <w:rFonts w:hint="eastAsia"/>
                <w:color w:val="FF0000"/>
                <w:highlight w:val="none"/>
                <w:lang w:val="en-US" w:eastAsia="zh-CN"/>
              </w:rPr>
              <w:t>，</w:t>
            </w:r>
            <w:r>
              <w:rPr>
                <w:color w:val="FF0000"/>
                <w:highlight w:val="none"/>
              </w:rPr>
              <w:t>本项目</w:t>
            </w:r>
            <w:r>
              <w:rPr>
                <w:rFonts w:hint="eastAsia"/>
                <w:color w:val="FF0000"/>
                <w:highlight w:val="none"/>
                <w:lang w:val="en-US" w:eastAsia="zh-CN"/>
              </w:rPr>
              <w:t>现有</w:t>
            </w:r>
            <w:r>
              <w:rPr>
                <w:color w:val="FF0000"/>
                <w:highlight w:val="none"/>
              </w:rPr>
              <w:t>一座容积为</w:t>
            </w:r>
            <w:r>
              <w:rPr>
                <w:rFonts w:hint="eastAsia"/>
                <w:color w:val="FF0000"/>
                <w:highlight w:val="none"/>
                <w:lang w:val="en-US" w:eastAsia="zh-CN"/>
              </w:rPr>
              <w:t>1260</w:t>
            </w:r>
            <w:r>
              <w:rPr>
                <w:color w:val="FF0000"/>
                <w:highlight w:val="none"/>
              </w:rPr>
              <w:t>m</w:t>
            </w:r>
            <w:r>
              <w:rPr>
                <w:color w:val="FF0000"/>
                <w:highlight w:val="none"/>
                <w:vertAlign w:val="superscript"/>
              </w:rPr>
              <w:t>3</w:t>
            </w:r>
            <w:r>
              <w:rPr>
                <w:color w:val="FF0000"/>
                <w:highlight w:val="none"/>
              </w:rPr>
              <w:t>的事故池，</w:t>
            </w:r>
            <w:r>
              <w:rPr>
                <w:rFonts w:hint="eastAsia"/>
                <w:color w:val="FF0000"/>
                <w:highlight w:val="none"/>
              </w:rPr>
              <w:t>可以满足事故废水容纳需求，</w:t>
            </w:r>
            <w:r>
              <w:rPr>
                <w:color w:val="000000" w:themeColor="text1"/>
                <w:highlight w:val="none"/>
                <w14:textFill>
                  <w14:solidFill>
                    <w14:schemeClr w14:val="tx1"/>
                  </w14:solidFill>
                </w14:textFill>
              </w:rPr>
              <w:t>确保非正常状况下事故废水不下渗、不外排。</w:t>
            </w:r>
          </w:p>
          <w:p w14:paraId="69326328">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②初期雨水</w:t>
            </w:r>
          </w:p>
          <w:p w14:paraId="04C39217">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本项目</w:t>
            </w:r>
            <w:r>
              <w:rPr>
                <w:rFonts w:hint="eastAsia"/>
                <w:color w:val="000000" w:themeColor="text1"/>
                <w:sz w:val="24"/>
                <w:highlight w:val="none"/>
                <w:lang w:val="en-US" w:eastAsia="zh-CN"/>
                <w14:textFill>
                  <w14:solidFill>
                    <w14:schemeClr w14:val="tx1"/>
                  </w14:solidFill>
                </w14:textFill>
              </w:rPr>
              <w:t>在中煤、煤泥堆场附近地势低处设置1座容积200m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lang w:val="en-US" w:eastAsia="zh-CN"/>
                <w14:textFill>
                  <w14:solidFill>
                    <w14:schemeClr w14:val="tx1"/>
                  </w14:solidFill>
                </w14:textFill>
              </w:rPr>
              <w:t>初期雨水收集池</w:t>
            </w:r>
            <w:r>
              <w:rPr>
                <w:color w:val="000000" w:themeColor="text1"/>
                <w:sz w:val="24"/>
                <w:highlight w:val="none"/>
                <w14:textFill>
                  <w14:solidFill>
                    <w14:schemeClr w14:val="tx1"/>
                  </w14:solidFill>
                </w14:textFill>
              </w:rPr>
              <w:t>。</w:t>
            </w:r>
          </w:p>
          <w:p w14:paraId="487FC03C">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③生活污水</w:t>
            </w:r>
          </w:p>
          <w:p w14:paraId="398E1C18">
            <w:pPr>
              <w:tabs>
                <w:tab w:val="left" w:pos="6480"/>
              </w:tabs>
              <w:spacing w:line="360" w:lineRule="auto"/>
              <w:ind w:firstLine="480" w:firstLineChars="200"/>
              <w:rPr>
                <w:rFonts w:hint="eastAsia"/>
                <w:color w:val="000000" w:themeColor="text1"/>
                <w:sz w:val="24"/>
                <w:highlight w:val="yellow"/>
                <w:lang w:eastAsia="zh-CN"/>
                <w14:textFill>
                  <w14:solidFill>
                    <w14:schemeClr w14:val="tx1"/>
                  </w14:solidFill>
                </w14:textFill>
              </w:rPr>
            </w:pPr>
            <w:r>
              <w:rPr>
                <w:color w:val="000000" w:themeColor="text1"/>
                <w:sz w:val="24"/>
                <w:highlight w:val="none"/>
                <w14:textFill>
                  <w14:solidFill>
                    <w14:schemeClr w14:val="tx1"/>
                  </w14:solidFill>
                </w14:textFill>
              </w:rPr>
              <w:t>本项目</w:t>
            </w:r>
            <w:r>
              <w:rPr>
                <w:rFonts w:hint="eastAsia" w:ascii="Times New Roman" w:hAnsi="Times New Roman" w:cs="Times New Roman"/>
                <w:color w:val="000000" w:themeColor="text1"/>
                <w:sz w:val="24"/>
                <w:highlight w:val="none"/>
                <w:lang w:val="en-US" w:eastAsia="zh-CN"/>
                <w14:textFill>
                  <w14:solidFill>
                    <w14:schemeClr w14:val="tx1"/>
                  </w14:solidFill>
                </w14:textFill>
              </w:rPr>
              <w:t>生活污</w:t>
            </w:r>
            <w:r>
              <w:rPr>
                <w:rFonts w:hint="default" w:ascii="Times New Roman" w:hAnsi="Times New Roman" w:cs="Times New Roman"/>
                <w:color w:val="000000" w:themeColor="text1"/>
                <w:sz w:val="24"/>
                <w:highlight w:val="none"/>
                <w:lang w:val="en-US" w:eastAsia="zh-CN"/>
                <w14:textFill>
                  <w14:solidFill>
                    <w14:schemeClr w14:val="tx1"/>
                  </w14:solidFill>
                </w14:textFill>
              </w:rPr>
              <w:t>水量按用水量80%计，即</w:t>
            </w:r>
            <w:r>
              <w:rPr>
                <w:rFonts w:hint="eastAsia" w:ascii="Times New Roman" w:hAnsi="Times New Roman" w:cs="Times New Roman"/>
                <w:color w:val="000000" w:themeColor="text1"/>
                <w:sz w:val="24"/>
                <w:highlight w:val="none"/>
                <w:lang w:val="en-US" w:eastAsia="zh-CN"/>
                <w14:textFill>
                  <w14:solidFill>
                    <w14:schemeClr w14:val="tx1"/>
                  </w14:solidFill>
                </w14:textFill>
              </w:rPr>
              <w:t>15.56</w:t>
            </w:r>
            <w:r>
              <w:rPr>
                <w:rFonts w:hint="default" w:ascii="Times New Roman" w:hAnsi="Times New Roman" w:cs="Times New Roman"/>
                <w:color w:val="000000" w:themeColor="text1"/>
                <w:sz w:val="24"/>
                <w:highlight w:val="none"/>
                <w:lang w:val="en-US" w:eastAsia="zh-CN"/>
                <w14:textFill>
                  <w14:solidFill>
                    <w14:schemeClr w14:val="tx1"/>
                  </w14:solidFill>
                </w14:textFill>
              </w:rPr>
              <w:t>m</w:t>
            </w:r>
            <w:r>
              <w:rPr>
                <w:rFonts w:hint="default" w:ascii="Times New Roman" w:hAnsi="Times New Roman" w:cs="Times New Roman"/>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highlight w:val="none"/>
                <w:lang w:val="en-US" w:eastAsia="zh-CN"/>
                <w14:textFill>
                  <w14:solidFill>
                    <w14:schemeClr w14:val="tx1"/>
                  </w14:solidFill>
                </w14:textFill>
              </w:rPr>
              <w:t>/d，食堂废水设置隔油池预处理后，与其他生活污水一同排入市政管网进入双鸭山市城市污水处理厂</w:t>
            </w:r>
            <w:r>
              <w:rPr>
                <w:rFonts w:hint="eastAsia" w:ascii="宋体" w:hAnsi="宋体" w:cs="宋体"/>
                <w:color w:val="000000" w:themeColor="text1"/>
                <w:sz w:val="24"/>
                <w:highlight w:val="none"/>
                <w:lang w:val="en-US" w:eastAsia="zh-CN"/>
                <w14:textFill>
                  <w14:solidFill>
                    <w14:schemeClr w14:val="tx1"/>
                  </w14:solidFill>
                </w14:textFill>
              </w:rPr>
              <w:t>。</w:t>
            </w:r>
            <w:r>
              <w:rPr>
                <w:rFonts w:hint="eastAsia"/>
                <w:color w:val="000000" w:themeColor="text1"/>
                <w:sz w:val="24"/>
                <w:highlight w:val="none"/>
                <w14:textFill>
                  <w14:solidFill>
                    <w14:schemeClr w14:val="tx1"/>
                  </w14:solidFill>
                </w14:textFill>
              </w:rPr>
              <w:t>主要污染物浓度为：COD350mg/L、BOD</w:t>
            </w:r>
            <w:r>
              <w:rPr>
                <w:rFonts w:hint="eastAsia"/>
                <w:color w:val="000000" w:themeColor="text1"/>
                <w:sz w:val="24"/>
                <w:highlight w:val="none"/>
                <w:vertAlign w:val="subscript"/>
                <w14:textFill>
                  <w14:solidFill>
                    <w14:schemeClr w14:val="tx1"/>
                  </w14:solidFill>
                </w14:textFill>
              </w:rPr>
              <w:t>5</w:t>
            </w:r>
            <w:r>
              <w:rPr>
                <w:rFonts w:hint="eastAsia"/>
                <w:color w:val="000000" w:themeColor="text1"/>
                <w:sz w:val="24"/>
                <w:highlight w:val="none"/>
                <w14:textFill>
                  <w14:solidFill>
                    <w14:schemeClr w14:val="tx1"/>
                  </w14:solidFill>
                </w14:textFill>
              </w:rPr>
              <w:t>250mg/L、SS350mg/L、NH</w:t>
            </w:r>
            <w:r>
              <w:rPr>
                <w:rFonts w:hint="eastAsia"/>
                <w:color w:val="000000" w:themeColor="text1"/>
                <w:sz w:val="24"/>
                <w:highlight w:val="none"/>
                <w:vertAlign w:val="subscript"/>
                <w14:textFill>
                  <w14:solidFill>
                    <w14:schemeClr w14:val="tx1"/>
                  </w14:solidFill>
                </w14:textFill>
              </w:rPr>
              <w:t>3</w:t>
            </w:r>
            <w:r>
              <w:rPr>
                <w:rFonts w:hint="eastAsia"/>
                <w:color w:val="000000" w:themeColor="text1"/>
                <w:sz w:val="24"/>
                <w:highlight w:val="none"/>
                <w14:textFill>
                  <w14:solidFill>
                    <w14:schemeClr w14:val="tx1"/>
                  </w14:solidFill>
                </w14:textFill>
              </w:rPr>
              <w:t>-N30mg/L、动植物油20mg/L</w:t>
            </w:r>
            <w:r>
              <w:rPr>
                <w:rFonts w:hint="eastAsia"/>
                <w:color w:val="000000" w:themeColor="text1"/>
                <w:sz w:val="24"/>
                <w:highlight w:val="none"/>
                <w:lang w:eastAsia="zh-CN"/>
                <w14:textFill>
                  <w14:solidFill>
                    <w14:schemeClr w14:val="tx1"/>
                  </w14:solidFill>
                </w14:textFill>
              </w:rPr>
              <w:t>。</w:t>
            </w:r>
          </w:p>
          <w:p w14:paraId="3F47B0D4">
            <w:pPr>
              <w:pStyle w:val="3"/>
              <w:spacing w:before="0" w:after="0" w:line="360" w:lineRule="auto"/>
              <w:ind w:right="0"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④</w:t>
            </w:r>
            <w:r>
              <w:rPr>
                <w:rFonts w:hint="eastAsia" w:ascii="宋体" w:hAnsi="宋体" w:cs="宋体"/>
                <w:color w:val="000000" w:themeColor="text1"/>
                <w:sz w:val="24"/>
                <w:szCs w:val="24"/>
                <w:highlight w:val="none"/>
                <w:lang w:val="en-US" w:eastAsia="zh-CN"/>
                <w14:textFill>
                  <w14:solidFill>
                    <w14:schemeClr w14:val="tx1"/>
                  </w14:solidFill>
                </w14:textFill>
              </w:rPr>
              <w:t>精煤仓、矸石仓、中煤、煤泥堆场</w:t>
            </w:r>
            <w:r>
              <w:rPr>
                <w:rFonts w:hint="eastAsia" w:ascii="宋体" w:hAnsi="宋体" w:cs="宋体"/>
                <w:color w:val="000000" w:themeColor="text1"/>
                <w:sz w:val="24"/>
                <w:szCs w:val="24"/>
                <w:highlight w:val="none"/>
                <w14:textFill>
                  <w14:solidFill>
                    <w14:schemeClr w14:val="tx1"/>
                  </w14:solidFill>
                </w14:textFill>
              </w:rPr>
              <w:t>产生的</w:t>
            </w:r>
            <w:r>
              <w:rPr>
                <w:rFonts w:hint="eastAsia" w:ascii="宋体" w:hAnsi="宋体" w:cs="宋体"/>
                <w:color w:val="000000" w:themeColor="text1"/>
                <w:sz w:val="24"/>
                <w:szCs w:val="24"/>
                <w:highlight w:val="none"/>
                <w:lang w:val="en-US" w:eastAsia="zh-CN"/>
                <w14:textFill>
                  <w14:solidFill>
                    <w14:schemeClr w14:val="tx1"/>
                  </w14:solidFill>
                </w14:textFill>
              </w:rPr>
              <w:t>渗滤液</w:t>
            </w:r>
          </w:p>
          <w:p w14:paraId="0EF2FC05">
            <w:pPr>
              <w:pStyle w:val="3"/>
              <w:spacing w:before="0" w:after="0" w:line="360" w:lineRule="auto"/>
              <w:ind w:right="0" w:firstLine="480" w:firstLineChars="200"/>
              <w:rPr>
                <w:color w:val="000000" w:themeColor="text1"/>
                <w:sz w:val="24"/>
                <w:szCs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精煤仓、矸石仓、中煤、煤泥堆场产生的渗滤液约为精煤矸石中煤煤泥含水量的10%，渗滤液收集后回用于生产</w:t>
            </w:r>
            <w:r>
              <w:rPr>
                <w:rFonts w:hint="eastAsia" w:ascii="宋体" w:hAnsi="宋体" w:cs="宋体"/>
                <w:color w:val="000000" w:themeColor="text1"/>
                <w:sz w:val="24"/>
                <w:szCs w:val="24"/>
                <w:highlight w:val="none"/>
                <w14:textFill>
                  <w14:solidFill>
                    <w14:schemeClr w14:val="tx1"/>
                  </w14:solidFill>
                </w14:textFill>
              </w:rPr>
              <w:t>。</w:t>
            </w:r>
          </w:p>
          <w:p w14:paraId="0C748966">
            <w:pPr>
              <w:pStyle w:val="22"/>
              <w:spacing w:line="360" w:lineRule="auto"/>
              <w:ind w:left="0" w:leftChars="0"/>
              <w:jc w:val="center"/>
              <w:rPr>
                <w:rFonts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pPr>
            <w:r>
              <w:rPr>
                <w:rFonts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表4-</w:t>
            </w:r>
            <w:r>
              <w:rPr>
                <w:rFonts w:hint="eastAsia" w:ascii="Times New Roman" w:hAnsi="Times New Roman" w:cs="Times New Roman"/>
                <w:b/>
                <w:color w:val="000000" w:themeColor="text1"/>
                <w:kern w:val="2"/>
                <w:sz w:val="24"/>
                <w:szCs w:val="24"/>
                <w:highlight w:val="none"/>
                <w:lang w:val="en-US" w:eastAsia="zh-CN" w:bidi="ar-SA"/>
                <w14:textFill>
                  <w14:solidFill>
                    <w14:schemeClr w14:val="tx1"/>
                  </w14:solidFill>
                </w14:textFill>
              </w:rPr>
              <w:t>4</w:t>
            </w:r>
            <w:r>
              <w:rPr>
                <w:rFonts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 xml:space="preserve"> 废水污染源源强核算结果及相关参数一览表</w:t>
            </w:r>
          </w:p>
          <w:tbl>
            <w:tblPr>
              <w:tblStyle w:val="28"/>
              <w:tblW w:w="807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7"/>
              <w:gridCol w:w="780"/>
              <w:gridCol w:w="390"/>
              <w:gridCol w:w="664"/>
              <w:gridCol w:w="676"/>
              <w:gridCol w:w="830"/>
              <w:gridCol w:w="1630"/>
              <w:gridCol w:w="490"/>
              <w:gridCol w:w="701"/>
              <w:gridCol w:w="650"/>
              <w:gridCol w:w="798"/>
            </w:tblGrid>
            <w:tr w14:paraId="763277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467" w:type="dxa"/>
                  <w:vMerge w:val="restart"/>
                  <w:vAlign w:val="center"/>
                </w:tcPr>
                <w:p w14:paraId="3D2B8424">
                  <w:pPr>
                    <w:adjustRightInd w:val="0"/>
                    <w:snapToGrid w:val="0"/>
                    <w:jc w:val="center"/>
                    <w:rPr>
                      <w:b w:val="0"/>
                      <w:bCs w:val="0"/>
                      <w:color w:val="000000" w:themeColor="text1"/>
                      <w:szCs w:val="21"/>
                      <w:highlight w:val="none"/>
                      <w14:textFill>
                        <w14:solidFill>
                          <w14:schemeClr w14:val="tx1"/>
                        </w14:solidFill>
                      </w14:textFill>
                    </w:rPr>
                  </w:pPr>
                  <w:r>
                    <w:rPr>
                      <w:b w:val="0"/>
                      <w:bCs w:val="0"/>
                      <w:color w:val="000000" w:themeColor="text1"/>
                      <w:kern w:val="0"/>
                      <w:szCs w:val="21"/>
                      <w:highlight w:val="none"/>
                      <w14:textFill>
                        <w14:solidFill>
                          <w14:schemeClr w14:val="tx1"/>
                        </w14:solidFill>
                      </w14:textFill>
                    </w:rPr>
                    <w:t>污染源</w:t>
                  </w:r>
                </w:p>
              </w:tc>
              <w:tc>
                <w:tcPr>
                  <w:tcW w:w="780" w:type="dxa"/>
                  <w:vMerge w:val="restart"/>
                  <w:vAlign w:val="center"/>
                </w:tcPr>
                <w:p w14:paraId="563F4EED">
                  <w:pPr>
                    <w:adjustRightInd w:val="0"/>
                    <w:snapToGrid w:val="0"/>
                    <w:jc w:val="center"/>
                    <w:rPr>
                      <w:b w:val="0"/>
                      <w:bCs w:val="0"/>
                      <w:color w:val="000000" w:themeColor="text1"/>
                      <w:szCs w:val="21"/>
                      <w:highlight w:val="none"/>
                      <w14:textFill>
                        <w14:solidFill>
                          <w14:schemeClr w14:val="tx1"/>
                        </w14:solidFill>
                      </w14:textFill>
                    </w:rPr>
                  </w:pPr>
                  <w:r>
                    <w:rPr>
                      <w:b w:val="0"/>
                      <w:bCs w:val="0"/>
                      <w:color w:val="000000" w:themeColor="text1"/>
                      <w:kern w:val="0"/>
                      <w:szCs w:val="21"/>
                      <w:highlight w:val="none"/>
                      <w14:textFill>
                        <w14:solidFill>
                          <w14:schemeClr w14:val="tx1"/>
                        </w14:solidFill>
                      </w14:textFill>
                    </w:rPr>
                    <w:t>污染物</w:t>
                  </w:r>
                </w:p>
              </w:tc>
              <w:tc>
                <w:tcPr>
                  <w:tcW w:w="2560" w:type="dxa"/>
                  <w:gridSpan w:val="4"/>
                  <w:vAlign w:val="center"/>
                </w:tcPr>
                <w:p w14:paraId="056FD1EF">
                  <w:pPr>
                    <w:adjustRightInd w:val="0"/>
                    <w:snapToGrid w:val="0"/>
                    <w:ind w:hanging="66"/>
                    <w:jc w:val="center"/>
                    <w:rPr>
                      <w:b w:val="0"/>
                      <w:bCs w:val="0"/>
                      <w:color w:val="000000" w:themeColor="text1"/>
                      <w:szCs w:val="21"/>
                      <w:highlight w:val="none"/>
                      <w14:textFill>
                        <w14:solidFill>
                          <w14:schemeClr w14:val="tx1"/>
                        </w14:solidFill>
                      </w14:textFill>
                    </w:rPr>
                  </w:pPr>
                  <w:r>
                    <w:rPr>
                      <w:b w:val="0"/>
                      <w:bCs w:val="0"/>
                      <w:color w:val="000000" w:themeColor="text1"/>
                      <w:kern w:val="0"/>
                      <w:szCs w:val="21"/>
                      <w:highlight w:val="none"/>
                      <w14:textFill>
                        <w14:solidFill>
                          <w14:schemeClr w14:val="tx1"/>
                        </w14:solidFill>
                      </w14:textFill>
                    </w:rPr>
                    <w:t>污染物产生</w:t>
                  </w:r>
                </w:p>
              </w:tc>
              <w:tc>
                <w:tcPr>
                  <w:tcW w:w="1630" w:type="dxa"/>
                  <w:vMerge w:val="restart"/>
                  <w:vAlign w:val="center"/>
                </w:tcPr>
                <w:p w14:paraId="186A86F7">
                  <w:pPr>
                    <w:adjustRightInd w:val="0"/>
                    <w:snapToGrid w:val="0"/>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治理措施</w:t>
                  </w:r>
                </w:p>
              </w:tc>
              <w:tc>
                <w:tcPr>
                  <w:tcW w:w="2639" w:type="dxa"/>
                  <w:gridSpan w:val="4"/>
                  <w:vAlign w:val="center"/>
                </w:tcPr>
                <w:p w14:paraId="6E9D924B">
                  <w:pPr>
                    <w:adjustRightInd w:val="0"/>
                    <w:snapToGrid w:val="0"/>
                    <w:jc w:val="center"/>
                    <w:rPr>
                      <w:b w:val="0"/>
                      <w:bCs w:val="0"/>
                      <w:color w:val="000000" w:themeColor="text1"/>
                      <w:szCs w:val="21"/>
                      <w:highlight w:val="none"/>
                      <w14:textFill>
                        <w14:solidFill>
                          <w14:schemeClr w14:val="tx1"/>
                        </w14:solidFill>
                      </w14:textFill>
                    </w:rPr>
                  </w:pPr>
                  <w:r>
                    <w:rPr>
                      <w:b w:val="0"/>
                      <w:bCs w:val="0"/>
                      <w:color w:val="000000" w:themeColor="text1"/>
                      <w:kern w:val="0"/>
                      <w:szCs w:val="21"/>
                      <w:highlight w:val="none"/>
                      <w14:textFill>
                        <w14:solidFill>
                          <w14:schemeClr w14:val="tx1"/>
                        </w14:solidFill>
                      </w14:textFill>
                    </w:rPr>
                    <w:t>污染物排放</w:t>
                  </w:r>
                </w:p>
              </w:tc>
            </w:tr>
            <w:tr w14:paraId="168A00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4" w:hRule="atLeast"/>
                <w:jc w:val="center"/>
              </w:trPr>
              <w:tc>
                <w:tcPr>
                  <w:tcW w:w="467" w:type="dxa"/>
                  <w:vMerge w:val="continue"/>
                  <w:vAlign w:val="center"/>
                </w:tcPr>
                <w:p w14:paraId="3A47B16B">
                  <w:pPr>
                    <w:widowControl/>
                    <w:adjustRightInd w:val="0"/>
                    <w:snapToGrid w:val="0"/>
                    <w:jc w:val="center"/>
                    <w:rPr>
                      <w:b w:val="0"/>
                      <w:bCs w:val="0"/>
                      <w:color w:val="000000" w:themeColor="text1"/>
                      <w:szCs w:val="21"/>
                      <w:highlight w:val="none"/>
                      <w14:textFill>
                        <w14:solidFill>
                          <w14:schemeClr w14:val="tx1"/>
                        </w14:solidFill>
                      </w14:textFill>
                    </w:rPr>
                  </w:pPr>
                </w:p>
              </w:tc>
              <w:tc>
                <w:tcPr>
                  <w:tcW w:w="780" w:type="dxa"/>
                  <w:vMerge w:val="continue"/>
                  <w:vAlign w:val="center"/>
                </w:tcPr>
                <w:p w14:paraId="2B984EE3">
                  <w:pPr>
                    <w:widowControl/>
                    <w:adjustRightInd w:val="0"/>
                    <w:snapToGrid w:val="0"/>
                    <w:jc w:val="center"/>
                    <w:rPr>
                      <w:b w:val="0"/>
                      <w:bCs w:val="0"/>
                      <w:color w:val="000000" w:themeColor="text1"/>
                      <w:szCs w:val="21"/>
                      <w:highlight w:val="none"/>
                      <w14:textFill>
                        <w14:solidFill>
                          <w14:schemeClr w14:val="tx1"/>
                        </w14:solidFill>
                      </w14:textFill>
                    </w:rPr>
                  </w:pPr>
                </w:p>
              </w:tc>
              <w:tc>
                <w:tcPr>
                  <w:tcW w:w="390" w:type="dxa"/>
                  <w:vAlign w:val="center"/>
                </w:tcPr>
                <w:p w14:paraId="47887377">
                  <w:pPr>
                    <w:adjustRightInd w:val="0"/>
                    <w:snapToGrid w:val="0"/>
                    <w:jc w:val="center"/>
                    <w:rPr>
                      <w:b w:val="0"/>
                      <w:bCs w:val="0"/>
                      <w:color w:val="000000" w:themeColor="text1"/>
                      <w:kern w:val="0"/>
                      <w:szCs w:val="21"/>
                      <w:highlight w:val="none"/>
                      <w14:textFill>
                        <w14:solidFill>
                          <w14:schemeClr w14:val="tx1"/>
                        </w14:solidFill>
                      </w14:textFill>
                    </w:rPr>
                  </w:pPr>
                  <w:r>
                    <w:rPr>
                      <w:b w:val="0"/>
                      <w:bCs w:val="0"/>
                      <w:color w:val="000000" w:themeColor="text1"/>
                      <w:kern w:val="0"/>
                      <w:szCs w:val="21"/>
                      <w:highlight w:val="none"/>
                      <w14:textFill>
                        <w14:solidFill>
                          <w14:schemeClr w14:val="tx1"/>
                        </w14:solidFill>
                      </w14:textFill>
                    </w:rPr>
                    <w:t>核算</w:t>
                  </w:r>
                </w:p>
                <w:p w14:paraId="14003269">
                  <w:pPr>
                    <w:adjustRightInd w:val="0"/>
                    <w:snapToGrid w:val="0"/>
                    <w:jc w:val="center"/>
                    <w:rPr>
                      <w:b w:val="0"/>
                      <w:bCs w:val="0"/>
                      <w:color w:val="000000" w:themeColor="text1"/>
                      <w:szCs w:val="21"/>
                      <w:highlight w:val="none"/>
                      <w14:textFill>
                        <w14:solidFill>
                          <w14:schemeClr w14:val="tx1"/>
                        </w14:solidFill>
                      </w14:textFill>
                    </w:rPr>
                  </w:pPr>
                  <w:r>
                    <w:rPr>
                      <w:b w:val="0"/>
                      <w:bCs w:val="0"/>
                      <w:color w:val="000000" w:themeColor="text1"/>
                      <w:kern w:val="0"/>
                      <w:szCs w:val="21"/>
                      <w:highlight w:val="none"/>
                      <w14:textFill>
                        <w14:solidFill>
                          <w14:schemeClr w14:val="tx1"/>
                        </w14:solidFill>
                      </w14:textFill>
                    </w:rPr>
                    <w:t>法</w:t>
                  </w:r>
                </w:p>
              </w:tc>
              <w:tc>
                <w:tcPr>
                  <w:tcW w:w="664" w:type="dxa"/>
                  <w:vAlign w:val="center"/>
                </w:tcPr>
                <w:p w14:paraId="0686C6D7">
                  <w:pPr>
                    <w:adjustRightInd w:val="0"/>
                    <w:snapToGrid w:val="0"/>
                    <w:jc w:val="center"/>
                    <w:rPr>
                      <w:b w:val="0"/>
                      <w:bCs w:val="0"/>
                      <w:color w:val="000000" w:themeColor="text1"/>
                      <w:szCs w:val="21"/>
                      <w:highlight w:val="none"/>
                      <w14:textFill>
                        <w14:solidFill>
                          <w14:schemeClr w14:val="tx1"/>
                        </w14:solidFill>
                      </w14:textFill>
                    </w:rPr>
                  </w:pPr>
                  <w:r>
                    <w:rPr>
                      <w:b w:val="0"/>
                      <w:bCs w:val="0"/>
                      <w:color w:val="000000" w:themeColor="text1"/>
                      <w:kern w:val="0"/>
                      <w:szCs w:val="21"/>
                      <w:highlight w:val="none"/>
                      <w14:textFill>
                        <w14:solidFill>
                          <w14:schemeClr w14:val="tx1"/>
                        </w14:solidFill>
                      </w14:textFill>
                    </w:rPr>
                    <w:t>产生废水量m</w:t>
                  </w:r>
                  <w:r>
                    <w:rPr>
                      <w:b w:val="0"/>
                      <w:bCs w:val="0"/>
                      <w:color w:val="000000" w:themeColor="text1"/>
                      <w:kern w:val="0"/>
                      <w:szCs w:val="21"/>
                      <w:highlight w:val="none"/>
                      <w:vertAlign w:val="superscript"/>
                      <w14:textFill>
                        <w14:solidFill>
                          <w14:schemeClr w14:val="tx1"/>
                        </w14:solidFill>
                      </w14:textFill>
                    </w:rPr>
                    <w:t>3</w:t>
                  </w:r>
                  <w:r>
                    <w:rPr>
                      <w:b w:val="0"/>
                      <w:bCs w:val="0"/>
                      <w:color w:val="000000" w:themeColor="text1"/>
                      <w:kern w:val="0"/>
                      <w:szCs w:val="21"/>
                      <w:highlight w:val="none"/>
                      <w14:textFill>
                        <w14:solidFill>
                          <w14:schemeClr w14:val="tx1"/>
                        </w14:solidFill>
                      </w14:textFill>
                    </w:rPr>
                    <w:t>/a</w:t>
                  </w:r>
                </w:p>
              </w:tc>
              <w:tc>
                <w:tcPr>
                  <w:tcW w:w="676" w:type="dxa"/>
                  <w:vAlign w:val="center"/>
                </w:tcPr>
                <w:p w14:paraId="3D686D8D">
                  <w:pPr>
                    <w:adjustRightInd w:val="0"/>
                    <w:snapToGrid w:val="0"/>
                    <w:jc w:val="center"/>
                    <w:rPr>
                      <w:rFonts w:hint="eastAsia" w:eastAsia="宋体"/>
                      <w:b w:val="0"/>
                      <w:bCs w:val="0"/>
                      <w:color w:val="000000" w:themeColor="text1"/>
                      <w:szCs w:val="21"/>
                      <w:highlight w:val="none"/>
                      <w:lang w:eastAsia="zh-CN"/>
                      <w14:textFill>
                        <w14:solidFill>
                          <w14:schemeClr w14:val="tx1"/>
                        </w14:solidFill>
                      </w14:textFill>
                    </w:rPr>
                  </w:pPr>
                  <w:r>
                    <w:rPr>
                      <w:b w:val="0"/>
                      <w:bCs w:val="0"/>
                      <w:color w:val="000000" w:themeColor="text1"/>
                      <w:kern w:val="0"/>
                      <w:szCs w:val="21"/>
                      <w:highlight w:val="none"/>
                      <w14:textFill>
                        <w14:solidFill>
                          <w14:schemeClr w14:val="tx1"/>
                        </w14:solidFill>
                      </w14:textFill>
                    </w:rPr>
                    <w:t>产生浓度mg/</w:t>
                  </w:r>
                  <w:r>
                    <w:rPr>
                      <w:rFonts w:hint="eastAsia"/>
                      <w:b w:val="0"/>
                      <w:bCs w:val="0"/>
                      <w:color w:val="000000" w:themeColor="text1"/>
                      <w:kern w:val="0"/>
                      <w:szCs w:val="21"/>
                      <w:highlight w:val="none"/>
                      <w:lang w:val="en-US" w:eastAsia="zh-CN"/>
                      <w14:textFill>
                        <w14:solidFill>
                          <w14:schemeClr w14:val="tx1"/>
                        </w14:solidFill>
                      </w14:textFill>
                    </w:rPr>
                    <w:t>L</w:t>
                  </w:r>
                </w:p>
              </w:tc>
              <w:tc>
                <w:tcPr>
                  <w:tcW w:w="830" w:type="dxa"/>
                  <w:vAlign w:val="center"/>
                </w:tcPr>
                <w:p w14:paraId="5B82106E">
                  <w:pPr>
                    <w:adjustRightInd w:val="0"/>
                    <w:snapToGrid w:val="0"/>
                    <w:jc w:val="center"/>
                    <w:rPr>
                      <w:b w:val="0"/>
                      <w:bCs w:val="0"/>
                      <w:color w:val="000000" w:themeColor="text1"/>
                      <w:szCs w:val="21"/>
                      <w:highlight w:val="none"/>
                      <w14:textFill>
                        <w14:solidFill>
                          <w14:schemeClr w14:val="tx1"/>
                        </w14:solidFill>
                      </w14:textFill>
                    </w:rPr>
                  </w:pPr>
                  <w:r>
                    <w:rPr>
                      <w:b w:val="0"/>
                      <w:bCs w:val="0"/>
                      <w:color w:val="000000" w:themeColor="text1"/>
                      <w:kern w:val="0"/>
                      <w:szCs w:val="21"/>
                      <w:highlight w:val="none"/>
                      <w14:textFill>
                        <w14:solidFill>
                          <w14:schemeClr w14:val="tx1"/>
                        </w14:solidFill>
                      </w14:textFill>
                    </w:rPr>
                    <w:t>产生量t/a</w:t>
                  </w:r>
                </w:p>
              </w:tc>
              <w:tc>
                <w:tcPr>
                  <w:tcW w:w="1630" w:type="dxa"/>
                  <w:vMerge w:val="continue"/>
                  <w:vAlign w:val="center"/>
                </w:tcPr>
                <w:p w14:paraId="34CD9CF6">
                  <w:pPr>
                    <w:adjustRightInd w:val="0"/>
                    <w:snapToGrid w:val="0"/>
                    <w:jc w:val="center"/>
                    <w:rPr>
                      <w:b w:val="0"/>
                      <w:bCs w:val="0"/>
                      <w:color w:val="000000" w:themeColor="text1"/>
                      <w:szCs w:val="21"/>
                      <w:highlight w:val="none"/>
                      <w14:textFill>
                        <w14:solidFill>
                          <w14:schemeClr w14:val="tx1"/>
                        </w14:solidFill>
                      </w14:textFill>
                    </w:rPr>
                  </w:pPr>
                </w:p>
              </w:tc>
              <w:tc>
                <w:tcPr>
                  <w:tcW w:w="490" w:type="dxa"/>
                  <w:vAlign w:val="center"/>
                </w:tcPr>
                <w:p w14:paraId="72C986F7">
                  <w:pPr>
                    <w:adjustRightInd w:val="0"/>
                    <w:snapToGrid w:val="0"/>
                    <w:jc w:val="center"/>
                    <w:rPr>
                      <w:b w:val="0"/>
                      <w:bCs w:val="0"/>
                      <w:color w:val="000000" w:themeColor="text1"/>
                      <w:kern w:val="0"/>
                      <w:szCs w:val="21"/>
                      <w:highlight w:val="none"/>
                      <w14:textFill>
                        <w14:solidFill>
                          <w14:schemeClr w14:val="tx1"/>
                        </w14:solidFill>
                      </w14:textFill>
                    </w:rPr>
                  </w:pPr>
                  <w:r>
                    <w:rPr>
                      <w:b w:val="0"/>
                      <w:bCs w:val="0"/>
                      <w:color w:val="000000" w:themeColor="text1"/>
                      <w:kern w:val="0"/>
                      <w:szCs w:val="21"/>
                      <w:highlight w:val="none"/>
                      <w14:textFill>
                        <w14:solidFill>
                          <w14:schemeClr w14:val="tx1"/>
                        </w14:solidFill>
                      </w14:textFill>
                    </w:rPr>
                    <w:t>核算</w:t>
                  </w:r>
                </w:p>
                <w:p w14:paraId="63933D8A">
                  <w:pPr>
                    <w:adjustRightInd w:val="0"/>
                    <w:snapToGrid w:val="0"/>
                    <w:jc w:val="center"/>
                    <w:rPr>
                      <w:b w:val="0"/>
                      <w:bCs w:val="0"/>
                      <w:color w:val="000000" w:themeColor="text1"/>
                      <w:szCs w:val="21"/>
                      <w:highlight w:val="none"/>
                      <w14:textFill>
                        <w14:solidFill>
                          <w14:schemeClr w14:val="tx1"/>
                        </w14:solidFill>
                      </w14:textFill>
                    </w:rPr>
                  </w:pPr>
                  <w:r>
                    <w:rPr>
                      <w:b w:val="0"/>
                      <w:bCs w:val="0"/>
                      <w:color w:val="000000" w:themeColor="text1"/>
                      <w:kern w:val="0"/>
                      <w:szCs w:val="21"/>
                      <w:highlight w:val="none"/>
                      <w14:textFill>
                        <w14:solidFill>
                          <w14:schemeClr w14:val="tx1"/>
                        </w14:solidFill>
                      </w14:textFill>
                    </w:rPr>
                    <w:t>方法</w:t>
                  </w:r>
                </w:p>
              </w:tc>
              <w:tc>
                <w:tcPr>
                  <w:tcW w:w="701" w:type="dxa"/>
                  <w:vAlign w:val="center"/>
                </w:tcPr>
                <w:p w14:paraId="5E1C06A9">
                  <w:pPr>
                    <w:adjustRightInd w:val="0"/>
                    <w:snapToGrid w:val="0"/>
                    <w:jc w:val="center"/>
                    <w:rPr>
                      <w:b w:val="0"/>
                      <w:bCs w:val="0"/>
                      <w:color w:val="000000" w:themeColor="text1"/>
                      <w:szCs w:val="21"/>
                      <w:highlight w:val="none"/>
                      <w14:textFill>
                        <w14:solidFill>
                          <w14:schemeClr w14:val="tx1"/>
                        </w14:solidFill>
                      </w14:textFill>
                    </w:rPr>
                  </w:pPr>
                  <w:r>
                    <w:rPr>
                      <w:b w:val="0"/>
                      <w:bCs w:val="0"/>
                      <w:color w:val="000000" w:themeColor="text1"/>
                      <w:kern w:val="0"/>
                      <w:szCs w:val="21"/>
                      <w:highlight w:val="none"/>
                      <w14:textFill>
                        <w14:solidFill>
                          <w14:schemeClr w14:val="tx1"/>
                        </w14:solidFill>
                      </w14:textFill>
                    </w:rPr>
                    <w:t>排放废水量m</w:t>
                  </w:r>
                  <w:r>
                    <w:rPr>
                      <w:b w:val="0"/>
                      <w:bCs w:val="0"/>
                      <w:color w:val="000000" w:themeColor="text1"/>
                      <w:kern w:val="0"/>
                      <w:szCs w:val="21"/>
                      <w:highlight w:val="none"/>
                      <w:vertAlign w:val="superscript"/>
                      <w14:textFill>
                        <w14:solidFill>
                          <w14:schemeClr w14:val="tx1"/>
                        </w14:solidFill>
                      </w14:textFill>
                    </w:rPr>
                    <w:t>3</w:t>
                  </w:r>
                  <w:r>
                    <w:rPr>
                      <w:b w:val="0"/>
                      <w:bCs w:val="0"/>
                      <w:color w:val="000000" w:themeColor="text1"/>
                      <w:kern w:val="0"/>
                      <w:szCs w:val="21"/>
                      <w:highlight w:val="none"/>
                      <w14:textFill>
                        <w14:solidFill>
                          <w14:schemeClr w14:val="tx1"/>
                        </w14:solidFill>
                      </w14:textFill>
                    </w:rPr>
                    <w:t>/a</w:t>
                  </w:r>
                </w:p>
              </w:tc>
              <w:tc>
                <w:tcPr>
                  <w:tcW w:w="650" w:type="dxa"/>
                  <w:vAlign w:val="center"/>
                </w:tcPr>
                <w:p w14:paraId="5BF48A18">
                  <w:pPr>
                    <w:adjustRightInd w:val="0"/>
                    <w:snapToGrid w:val="0"/>
                    <w:jc w:val="center"/>
                    <w:rPr>
                      <w:rFonts w:hint="eastAsia" w:eastAsia="宋体"/>
                      <w:b w:val="0"/>
                      <w:bCs w:val="0"/>
                      <w:color w:val="000000" w:themeColor="text1"/>
                      <w:szCs w:val="21"/>
                      <w:highlight w:val="none"/>
                      <w:lang w:eastAsia="zh-CN"/>
                      <w14:textFill>
                        <w14:solidFill>
                          <w14:schemeClr w14:val="tx1"/>
                        </w14:solidFill>
                      </w14:textFill>
                    </w:rPr>
                  </w:pPr>
                  <w:r>
                    <w:rPr>
                      <w:b w:val="0"/>
                      <w:bCs w:val="0"/>
                      <w:color w:val="000000" w:themeColor="text1"/>
                      <w:kern w:val="0"/>
                      <w:szCs w:val="21"/>
                      <w:highlight w:val="none"/>
                      <w14:textFill>
                        <w14:solidFill>
                          <w14:schemeClr w14:val="tx1"/>
                        </w14:solidFill>
                      </w14:textFill>
                    </w:rPr>
                    <w:t>排放浓度mg/</w:t>
                  </w:r>
                  <w:r>
                    <w:rPr>
                      <w:rFonts w:hint="eastAsia"/>
                      <w:b w:val="0"/>
                      <w:bCs w:val="0"/>
                      <w:color w:val="000000" w:themeColor="text1"/>
                      <w:kern w:val="0"/>
                      <w:szCs w:val="21"/>
                      <w:highlight w:val="none"/>
                      <w:lang w:val="en-US" w:eastAsia="zh-CN"/>
                      <w14:textFill>
                        <w14:solidFill>
                          <w14:schemeClr w14:val="tx1"/>
                        </w14:solidFill>
                      </w14:textFill>
                    </w:rPr>
                    <w:t>L</w:t>
                  </w:r>
                </w:p>
              </w:tc>
              <w:tc>
                <w:tcPr>
                  <w:tcW w:w="798" w:type="dxa"/>
                  <w:vAlign w:val="center"/>
                </w:tcPr>
                <w:p w14:paraId="6838BDDC">
                  <w:pPr>
                    <w:adjustRightInd w:val="0"/>
                    <w:snapToGrid w:val="0"/>
                    <w:jc w:val="center"/>
                    <w:rPr>
                      <w:b w:val="0"/>
                      <w:bCs w:val="0"/>
                      <w:color w:val="000000" w:themeColor="text1"/>
                      <w:szCs w:val="21"/>
                      <w:highlight w:val="yellow"/>
                      <w14:textFill>
                        <w14:solidFill>
                          <w14:schemeClr w14:val="tx1"/>
                        </w14:solidFill>
                      </w14:textFill>
                    </w:rPr>
                  </w:pPr>
                  <w:r>
                    <w:rPr>
                      <w:b w:val="0"/>
                      <w:bCs w:val="0"/>
                      <w:color w:val="000000" w:themeColor="text1"/>
                      <w:kern w:val="0"/>
                      <w:szCs w:val="21"/>
                      <w:highlight w:val="none"/>
                      <w14:textFill>
                        <w14:solidFill>
                          <w14:schemeClr w14:val="tx1"/>
                        </w14:solidFill>
                      </w14:textFill>
                    </w:rPr>
                    <w:t>排放量t/a</w:t>
                  </w:r>
                </w:p>
              </w:tc>
            </w:tr>
            <w:tr w14:paraId="25F2E1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467" w:type="dxa"/>
                  <w:vMerge w:val="restart"/>
                  <w:vAlign w:val="center"/>
                </w:tcPr>
                <w:p w14:paraId="0767B71C">
                  <w:pPr>
                    <w:widowControl/>
                    <w:adjustRightInd w:val="0"/>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生活污水</w:t>
                  </w:r>
                </w:p>
              </w:tc>
              <w:tc>
                <w:tcPr>
                  <w:tcW w:w="780" w:type="dxa"/>
                  <w:vAlign w:val="center"/>
                </w:tcPr>
                <w:p w14:paraId="1E65BDDD">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COD</w:t>
                  </w:r>
                </w:p>
              </w:tc>
              <w:tc>
                <w:tcPr>
                  <w:tcW w:w="390" w:type="dxa"/>
                  <w:vMerge w:val="restart"/>
                  <w:vAlign w:val="center"/>
                </w:tcPr>
                <w:p w14:paraId="06243118">
                  <w:pPr>
                    <w:widowControl/>
                    <w:adjustRightInd w:val="0"/>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类比</w:t>
                  </w:r>
                  <w:r>
                    <w:rPr>
                      <w:rFonts w:hint="eastAsia"/>
                      <w:color w:val="000000" w:themeColor="text1"/>
                      <w:szCs w:val="21"/>
                      <w:highlight w:val="none"/>
                      <w14:textFill>
                        <w14:solidFill>
                          <w14:schemeClr w14:val="tx1"/>
                        </w14:solidFill>
                      </w14:textFill>
                    </w:rPr>
                    <w:t>法</w:t>
                  </w:r>
                </w:p>
              </w:tc>
              <w:tc>
                <w:tcPr>
                  <w:tcW w:w="664" w:type="dxa"/>
                  <w:vMerge w:val="restart"/>
                  <w:vAlign w:val="center"/>
                </w:tcPr>
                <w:p w14:paraId="73E13C9D">
                  <w:pPr>
                    <w:widowControl/>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5134.8</w:t>
                  </w:r>
                </w:p>
              </w:tc>
              <w:tc>
                <w:tcPr>
                  <w:tcW w:w="676" w:type="dxa"/>
                  <w:vAlign w:val="center"/>
                </w:tcPr>
                <w:p w14:paraId="57ED6780">
                  <w:pPr>
                    <w:adjustRightInd w:val="0"/>
                    <w:snapToGrid w:val="0"/>
                    <w:jc w:val="center"/>
                    <w:textAlignment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350</w:t>
                  </w:r>
                </w:p>
              </w:tc>
              <w:tc>
                <w:tcPr>
                  <w:tcW w:w="830" w:type="dxa"/>
                  <w:vAlign w:val="center"/>
                </w:tcPr>
                <w:p w14:paraId="33859547">
                  <w:pPr>
                    <w:adjustRightInd w:val="0"/>
                    <w:snapToGrid w:val="0"/>
                    <w:jc w:val="center"/>
                    <w:textAlignment w:val="center"/>
                    <w:rPr>
                      <w:rFonts w:hint="default" w:eastAsia="宋体"/>
                      <w:color w:val="000000" w:themeColor="text1"/>
                      <w:szCs w:val="21"/>
                      <w:highlight w:val="yellow"/>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1.797</w:t>
                  </w:r>
                </w:p>
              </w:tc>
              <w:tc>
                <w:tcPr>
                  <w:tcW w:w="1630" w:type="dxa"/>
                  <w:vMerge w:val="restart"/>
                  <w:vAlign w:val="center"/>
                </w:tcPr>
                <w:p w14:paraId="2DE0275A">
                  <w:pPr>
                    <w:widowControl/>
                    <w:adjustRightInd w:val="0"/>
                    <w:snapToGrid w:val="0"/>
                    <w:jc w:val="center"/>
                    <w:rPr>
                      <w:color w:val="000000" w:themeColor="text1"/>
                      <w:szCs w:val="21"/>
                      <w:highlight w:val="yellow"/>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食堂废水经现有隔油池处理后同其他生活污水一起排入化粪池，处理后排入市政管网，进入双鸭山市城市污水处理厂处理</w:t>
                  </w:r>
                  <w:r>
                    <w:rPr>
                      <w:rFonts w:hint="eastAsia"/>
                      <w:color w:val="000000" w:themeColor="text1"/>
                      <w:szCs w:val="21"/>
                      <w:highlight w:val="none"/>
                      <w:lang w:eastAsia="zh-CN"/>
                      <w14:textFill>
                        <w14:solidFill>
                          <w14:schemeClr w14:val="tx1"/>
                        </w14:solidFill>
                      </w14:textFill>
                    </w:rPr>
                    <w:t>。</w:t>
                  </w:r>
                </w:p>
              </w:tc>
              <w:tc>
                <w:tcPr>
                  <w:tcW w:w="490" w:type="dxa"/>
                  <w:vMerge w:val="restart"/>
                  <w:vAlign w:val="center"/>
                </w:tcPr>
                <w:p w14:paraId="487D11B3">
                  <w:pPr>
                    <w:widowControl/>
                    <w:adjustRightInd w:val="0"/>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类比法</w:t>
                  </w:r>
                </w:p>
              </w:tc>
              <w:tc>
                <w:tcPr>
                  <w:tcW w:w="701" w:type="dxa"/>
                  <w:vMerge w:val="restart"/>
                  <w:vAlign w:val="center"/>
                </w:tcPr>
                <w:p w14:paraId="453980C9">
                  <w:pPr>
                    <w:widowControl/>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5134.8</w:t>
                  </w:r>
                </w:p>
              </w:tc>
              <w:tc>
                <w:tcPr>
                  <w:tcW w:w="650" w:type="dxa"/>
                  <w:vAlign w:val="center"/>
                </w:tcPr>
                <w:p w14:paraId="722E91BA">
                  <w:pPr>
                    <w:adjustRightInd w:val="0"/>
                    <w:snapToGrid w:val="0"/>
                    <w:jc w:val="center"/>
                    <w:textAlignment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350</w:t>
                  </w:r>
                </w:p>
              </w:tc>
              <w:tc>
                <w:tcPr>
                  <w:tcW w:w="798" w:type="dxa"/>
                  <w:vAlign w:val="center"/>
                </w:tcPr>
                <w:p w14:paraId="42B6D5B5">
                  <w:pPr>
                    <w:adjustRightInd w:val="0"/>
                    <w:snapToGrid w:val="0"/>
                    <w:jc w:val="center"/>
                    <w:textAlignment w:val="center"/>
                    <w:rPr>
                      <w:color w:val="000000" w:themeColor="text1"/>
                      <w:szCs w:val="21"/>
                      <w:highlight w:val="yellow"/>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1.797</w:t>
                  </w:r>
                </w:p>
              </w:tc>
            </w:tr>
            <w:tr w14:paraId="2C4B48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467" w:type="dxa"/>
                  <w:vMerge w:val="continue"/>
                  <w:vAlign w:val="center"/>
                </w:tcPr>
                <w:p w14:paraId="359F4B60">
                  <w:pPr>
                    <w:widowControl/>
                    <w:adjustRightInd w:val="0"/>
                    <w:snapToGrid w:val="0"/>
                    <w:jc w:val="center"/>
                    <w:rPr>
                      <w:color w:val="000000" w:themeColor="text1"/>
                      <w:szCs w:val="21"/>
                      <w:highlight w:val="none"/>
                      <w14:textFill>
                        <w14:solidFill>
                          <w14:schemeClr w14:val="tx1"/>
                        </w14:solidFill>
                      </w14:textFill>
                    </w:rPr>
                  </w:pPr>
                </w:p>
              </w:tc>
              <w:tc>
                <w:tcPr>
                  <w:tcW w:w="780" w:type="dxa"/>
                  <w:vAlign w:val="center"/>
                </w:tcPr>
                <w:p w14:paraId="003A8EB3">
                  <w:pPr>
                    <w:widowControl/>
                    <w:adjustRightInd w:val="0"/>
                    <w:snapToGrid w:val="0"/>
                    <w:jc w:val="center"/>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BOD</w:t>
                  </w:r>
                  <w:r>
                    <w:rPr>
                      <w:rFonts w:hint="eastAsia"/>
                      <w:color w:val="000000" w:themeColor="text1"/>
                      <w:kern w:val="0"/>
                      <w:szCs w:val="21"/>
                      <w:highlight w:val="none"/>
                      <w:vertAlign w:val="subscript"/>
                      <w14:textFill>
                        <w14:solidFill>
                          <w14:schemeClr w14:val="tx1"/>
                        </w14:solidFill>
                      </w14:textFill>
                    </w:rPr>
                    <w:t>5</w:t>
                  </w:r>
                </w:p>
              </w:tc>
              <w:tc>
                <w:tcPr>
                  <w:tcW w:w="390" w:type="dxa"/>
                  <w:vMerge w:val="continue"/>
                  <w:vAlign w:val="center"/>
                </w:tcPr>
                <w:p w14:paraId="1CCF73E6">
                  <w:pPr>
                    <w:widowControl/>
                    <w:adjustRightInd w:val="0"/>
                    <w:snapToGrid w:val="0"/>
                    <w:jc w:val="center"/>
                    <w:rPr>
                      <w:color w:val="000000" w:themeColor="text1"/>
                      <w:szCs w:val="21"/>
                      <w:highlight w:val="none"/>
                      <w14:textFill>
                        <w14:solidFill>
                          <w14:schemeClr w14:val="tx1"/>
                        </w14:solidFill>
                      </w14:textFill>
                    </w:rPr>
                  </w:pPr>
                </w:p>
              </w:tc>
              <w:tc>
                <w:tcPr>
                  <w:tcW w:w="664" w:type="dxa"/>
                  <w:vMerge w:val="continue"/>
                  <w:vAlign w:val="center"/>
                </w:tcPr>
                <w:p w14:paraId="10FE4AB9">
                  <w:pPr>
                    <w:widowControl/>
                    <w:adjustRightInd w:val="0"/>
                    <w:snapToGrid w:val="0"/>
                    <w:jc w:val="center"/>
                    <w:rPr>
                      <w:color w:val="000000" w:themeColor="text1"/>
                      <w:szCs w:val="21"/>
                      <w:highlight w:val="none"/>
                      <w14:textFill>
                        <w14:solidFill>
                          <w14:schemeClr w14:val="tx1"/>
                        </w14:solidFill>
                      </w14:textFill>
                    </w:rPr>
                  </w:pPr>
                </w:p>
              </w:tc>
              <w:tc>
                <w:tcPr>
                  <w:tcW w:w="676" w:type="dxa"/>
                  <w:vAlign w:val="center"/>
                </w:tcPr>
                <w:p w14:paraId="66D17B04">
                  <w:pPr>
                    <w:adjustRightInd w:val="0"/>
                    <w:snapToGrid w:val="0"/>
                    <w:jc w:val="center"/>
                    <w:textAlignment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250</w:t>
                  </w:r>
                </w:p>
              </w:tc>
              <w:tc>
                <w:tcPr>
                  <w:tcW w:w="830" w:type="dxa"/>
                  <w:vAlign w:val="center"/>
                </w:tcPr>
                <w:p w14:paraId="1531621B">
                  <w:pPr>
                    <w:adjustRightInd w:val="0"/>
                    <w:snapToGrid w:val="0"/>
                    <w:jc w:val="center"/>
                    <w:textAlignment w:val="center"/>
                    <w:rPr>
                      <w:rFonts w:hint="default" w:eastAsia="宋体"/>
                      <w:color w:val="000000" w:themeColor="text1"/>
                      <w:szCs w:val="21"/>
                      <w:highlight w:val="yellow"/>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1.284</w:t>
                  </w:r>
                </w:p>
              </w:tc>
              <w:tc>
                <w:tcPr>
                  <w:tcW w:w="1630" w:type="dxa"/>
                  <w:vMerge w:val="continue"/>
                  <w:vAlign w:val="center"/>
                </w:tcPr>
                <w:p w14:paraId="687F997D">
                  <w:pPr>
                    <w:widowControl/>
                    <w:adjustRightInd w:val="0"/>
                    <w:snapToGrid w:val="0"/>
                    <w:jc w:val="center"/>
                    <w:rPr>
                      <w:color w:val="000000" w:themeColor="text1"/>
                      <w:szCs w:val="21"/>
                      <w:highlight w:val="yellow"/>
                      <w14:textFill>
                        <w14:solidFill>
                          <w14:schemeClr w14:val="tx1"/>
                        </w14:solidFill>
                      </w14:textFill>
                    </w:rPr>
                  </w:pPr>
                </w:p>
              </w:tc>
              <w:tc>
                <w:tcPr>
                  <w:tcW w:w="490" w:type="dxa"/>
                  <w:vMerge w:val="continue"/>
                  <w:vAlign w:val="center"/>
                </w:tcPr>
                <w:p w14:paraId="3FD4F738">
                  <w:pPr>
                    <w:widowControl/>
                    <w:adjustRightInd w:val="0"/>
                    <w:snapToGrid w:val="0"/>
                    <w:jc w:val="center"/>
                    <w:rPr>
                      <w:color w:val="000000" w:themeColor="text1"/>
                      <w:szCs w:val="21"/>
                      <w:highlight w:val="none"/>
                      <w14:textFill>
                        <w14:solidFill>
                          <w14:schemeClr w14:val="tx1"/>
                        </w14:solidFill>
                      </w14:textFill>
                    </w:rPr>
                  </w:pPr>
                </w:p>
              </w:tc>
              <w:tc>
                <w:tcPr>
                  <w:tcW w:w="701" w:type="dxa"/>
                  <w:vMerge w:val="continue"/>
                  <w:vAlign w:val="center"/>
                </w:tcPr>
                <w:p w14:paraId="6AFEE6EA">
                  <w:pPr>
                    <w:widowControl/>
                    <w:adjustRightInd w:val="0"/>
                    <w:snapToGrid w:val="0"/>
                    <w:jc w:val="center"/>
                    <w:rPr>
                      <w:color w:val="000000" w:themeColor="text1"/>
                      <w:szCs w:val="21"/>
                      <w:highlight w:val="none"/>
                      <w14:textFill>
                        <w14:solidFill>
                          <w14:schemeClr w14:val="tx1"/>
                        </w14:solidFill>
                      </w14:textFill>
                    </w:rPr>
                  </w:pPr>
                </w:p>
              </w:tc>
              <w:tc>
                <w:tcPr>
                  <w:tcW w:w="650" w:type="dxa"/>
                  <w:vAlign w:val="center"/>
                </w:tcPr>
                <w:p w14:paraId="1E8AA38F">
                  <w:pPr>
                    <w:adjustRightInd w:val="0"/>
                    <w:snapToGrid w:val="0"/>
                    <w:jc w:val="center"/>
                    <w:textAlignment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250</w:t>
                  </w:r>
                </w:p>
              </w:tc>
              <w:tc>
                <w:tcPr>
                  <w:tcW w:w="798" w:type="dxa"/>
                  <w:vAlign w:val="center"/>
                </w:tcPr>
                <w:p w14:paraId="0B4FCEFC">
                  <w:pPr>
                    <w:adjustRightInd w:val="0"/>
                    <w:snapToGrid w:val="0"/>
                    <w:jc w:val="center"/>
                    <w:textAlignment w:val="center"/>
                    <w:rPr>
                      <w:color w:val="000000" w:themeColor="text1"/>
                      <w:szCs w:val="21"/>
                      <w:highlight w:val="yellow"/>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1.284</w:t>
                  </w:r>
                </w:p>
              </w:tc>
            </w:tr>
            <w:tr w14:paraId="10BCFE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467" w:type="dxa"/>
                  <w:vMerge w:val="continue"/>
                  <w:vAlign w:val="center"/>
                </w:tcPr>
                <w:p w14:paraId="7180EA67">
                  <w:pPr>
                    <w:widowControl/>
                    <w:adjustRightInd w:val="0"/>
                    <w:snapToGrid w:val="0"/>
                    <w:jc w:val="center"/>
                    <w:rPr>
                      <w:color w:val="000000" w:themeColor="text1"/>
                      <w:szCs w:val="21"/>
                      <w:highlight w:val="none"/>
                      <w14:textFill>
                        <w14:solidFill>
                          <w14:schemeClr w14:val="tx1"/>
                        </w14:solidFill>
                      </w14:textFill>
                    </w:rPr>
                  </w:pPr>
                </w:p>
              </w:tc>
              <w:tc>
                <w:tcPr>
                  <w:tcW w:w="780" w:type="dxa"/>
                  <w:vAlign w:val="center"/>
                </w:tcPr>
                <w:p w14:paraId="3AFF85E1">
                  <w:pPr>
                    <w:widowControl/>
                    <w:adjustRightInd w:val="0"/>
                    <w:snapToGrid w:val="0"/>
                    <w:jc w:val="center"/>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SS</w:t>
                  </w:r>
                </w:p>
              </w:tc>
              <w:tc>
                <w:tcPr>
                  <w:tcW w:w="390" w:type="dxa"/>
                  <w:vMerge w:val="continue"/>
                  <w:vAlign w:val="center"/>
                </w:tcPr>
                <w:p w14:paraId="322188D5">
                  <w:pPr>
                    <w:widowControl/>
                    <w:adjustRightInd w:val="0"/>
                    <w:snapToGrid w:val="0"/>
                    <w:jc w:val="center"/>
                    <w:rPr>
                      <w:color w:val="000000" w:themeColor="text1"/>
                      <w:szCs w:val="21"/>
                      <w:highlight w:val="none"/>
                      <w14:textFill>
                        <w14:solidFill>
                          <w14:schemeClr w14:val="tx1"/>
                        </w14:solidFill>
                      </w14:textFill>
                    </w:rPr>
                  </w:pPr>
                </w:p>
              </w:tc>
              <w:tc>
                <w:tcPr>
                  <w:tcW w:w="664" w:type="dxa"/>
                  <w:vMerge w:val="continue"/>
                  <w:vAlign w:val="center"/>
                </w:tcPr>
                <w:p w14:paraId="1C2F7381">
                  <w:pPr>
                    <w:widowControl/>
                    <w:adjustRightInd w:val="0"/>
                    <w:snapToGrid w:val="0"/>
                    <w:jc w:val="center"/>
                    <w:rPr>
                      <w:color w:val="000000" w:themeColor="text1"/>
                      <w:szCs w:val="21"/>
                      <w:highlight w:val="none"/>
                      <w14:textFill>
                        <w14:solidFill>
                          <w14:schemeClr w14:val="tx1"/>
                        </w14:solidFill>
                      </w14:textFill>
                    </w:rPr>
                  </w:pPr>
                </w:p>
              </w:tc>
              <w:tc>
                <w:tcPr>
                  <w:tcW w:w="676" w:type="dxa"/>
                  <w:vAlign w:val="center"/>
                </w:tcPr>
                <w:p w14:paraId="0F7EF6E2">
                  <w:pPr>
                    <w:adjustRightInd w:val="0"/>
                    <w:snapToGrid w:val="0"/>
                    <w:jc w:val="center"/>
                    <w:textAlignment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350</w:t>
                  </w:r>
                </w:p>
              </w:tc>
              <w:tc>
                <w:tcPr>
                  <w:tcW w:w="830" w:type="dxa"/>
                  <w:vAlign w:val="center"/>
                </w:tcPr>
                <w:p w14:paraId="3B1B358B">
                  <w:pPr>
                    <w:adjustRightInd w:val="0"/>
                    <w:snapToGrid w:val="0"/>
                    <w:jc w:val="center"/>
                    <w:textAlignment w:val="center"/>
                    <w:rPr>
                      <w:rFonts w:hint="default" w:eastAsia="宋体"/>
                      <w:color w:val="000000" w:themeColor="text1"/>
                      <w:szCs w:val="21"/>
                      <w:highlight w:val="yellow"/>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1.797</w:t>
                  </w:r>
                </w:p>
              </w:tc>
              <w:tc>
                <w:tcPr>
                  <w:tcW w:w="1630" w:type="dxa"/>
                  <w:vMerge w:val="continue"/>
                  <w:vAlign w:val="center"/>
                </w:tcPr>
                <w:p w14:paraId="0117561B">
                  <w:pPr>
                    <w:widowControl/>
                    <w:adjustRightInd w:val="0"/>
                    <w:snapToGrid w:val="0"/>
                    <w:jc w:val="center"/>
                    <w:rPr>
                      <w:color w:val="000000" w:themeColor="text1"/>
                      <w:szCs w:val="21"/>
                      <w:highlight w:val="yellow"/>
                      <w14:textFill>
                        <w14:solidFill>
                          <w14:schemeClr w14:val="tx1"/>
                        </w14:solidFill>
                      </w14:textFill>
                    </w:rPr>
                  </w:pPr>
                </w:p>
              </w:tc>
              <w:tc>
                <w:tcPr>
                  <w:tcW w:w="490" w:type="dxa"/>
                  <w:vMerge w:val="continue"/>
                  <w:vAlign w:val="center"/>
                </w:tcPr>
                <w:p w14:paraId="67CD1D6E">
                  <w:pPr>
                    <w:widowControl/>
                    <w:adjustRightInd w:val="0"/>
                    <w:snapToGrid w:val="0"/>
                    <w:jc w:val="center"/>
                    <w:rPr>
                      <w:color w:val="000000" w:themeColor="text1"/>
                      <w:szCs w:val="21"/>
                      <w:highlight w:val="none"/>
                      <w14:textFill>
                        <w14:solidFill>
                          <w14:schemeClr w14:val="tx1"/>
                        </w14:solidFill>
                      </w14:textFill>
                    </w:rPr>
                  </w:pPr>
                </w:p>
              </w:tc>
              <w:tc>
                <w:tcPr>
                  <w:tcW w:w="701" w:type="dxa"/>
                  <w:vMerge w:val="continue"/>
                  <w:vAlign w:val="center"/>
                </w:tcPr>
                <w:p w14:paraId="2F59C552">
                  <w:pPr>
                    <w:widowControl/>
                    <w:adjustRightInd w:val="0"/>
                    <w:snapToGrid w:val="0"/>
                    <w:jc w:val="center"/>
                    <w:rPr>
                      <w:color w:val="000000" w:themeColor="text1"/>
                      <w:szCs w:val="21"/>
                      <w:highlight w:val="none"/>
                      <w14:textFill>
                        <w14:solidFill>
                          <w14:schemeClr w14:val="tx1"/>
                        </w14:solidFill>
                      </w14:textFill>
                    </w:rPr>
                  </w:pPr>
                </w:p>
              </w:tc>
              <w:tc>
                <w:tcPr>
                  <w:tcW w:w="650" w:type="dxa"/>
                  <w:vAlign w:val="center"/>
                </w:tcPr>
                <w:p w14:paraId="7A30B3DE">
                  <w:pPr>
                    <w:adjustRightInd w:val="0"/>
                    <w:snapToGrid w:val="0"/>
                    <w:jc w:val="center"/>
                    <w:textAlignment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350</w:t>
                  </w:r>
                </w:p>
              </w:tc>
              <w:tc>
                <w:tcPr>
                  <w:tcW w:w="798" w:type="dxa"/>
                  <w:vAlign w:val="center"/>
                </w:tcPr>
                <w:p w14:paraId="1F1A3622">
                  <w:pPr>
                    <w:adjustRightInd w:val="0"/>
                    <w:snapToGrid w:val="0"/>
                    <w:jc w:val="center"/>
                    <w:textAlignment w:val="center"/>
                    <w:rPr>
                      <w:color w:val="000000" w:themeColor="text1"/>
                      <w:szCs w:val="21"/>
                      <w:highlight w:val="yellow"/>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1.797</w:t>
                  </w:r>
                </w:p>
              </w:tc>
            </w:tr>
            <w:tr w14:paraId="498968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467" w:type="dxa"/>
                  <w:vMerge w:val="continue"/>
                  <w:vAlign w:val="center"/>
                </w:tcPr>
                <w:p w14:paraId="428E7550">
                  <w:pPr>
                    <w:widowControl/>
                    <w:adjustRightInd w:val="0"/>
                    <w:snapToGrid w:val="0"/>
                    <w:jc w:val="center"/>
                    <w:rPr>
                      <w:color w:val="000000" w:themeColor="text1"/>
                      <w:szCs w:val="21"/>
                      <w:highlight w:val="none"/>
                      <w14:textFill>
                        <w14:solidFill>
                          <w14:schemeClr w14:val="tx1"/>
                        </w14:solidFill>
                      </w14:textFill>
                    </w:rPr>
                  </w:pPr>
                </w:p>
              </w:tc>
              <w:tc>
                <w:tcPr>
                  <w:tcW w:w="780" w:type="dxa"/>
                  <w:vAlign w:val="center"/>
                </w:tcPr>
                <w:p w14:paraId="2795EBBD">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氨氮</w:t>
                  </w:r>
                </w:p>
              </w:tc>
              <w:tc>
                <w:tcPr>
                  <w:tcW w:w="390" w:type="dxa"/>
                  <w:vMerge w:val="continue"/>
                  <w:vAlign w:val="center"/>
                </w:tcPr>
                <w:p w14:paraId="76CE8765">
                  <w:pPr>
                    <w:widowControl/>
                    <w:adjustRightInd w:val="0"/>
                    <w:snapToGrid w:val="0"/>
                    <w:jc w:val="center"/>
                    <w:rPr>
                      <w:color w:val="000000" w:themeColor="text1"/>
                      <w:szCs w:val="21"/>
                      <w:highlight w:val="none"/>
                      <w14:textFill>
                        <w14:solidFill>
                          <w14:schemeClr w14:val="tx1"/>
                        </w14:solidFill>
                      </w14:textFill>
                    </w:rPr>
                  </w:pPr>
                </w:p>
              </w:tc>
              <w:tc>
                <w:tcPr>
                  <w:tcW w:w="664" w:type="dxa"/>
                  <w:vMerge w:val="continue"/>
                  <w:vAlign w:val="center"/>
                </w:tcPr>
                <w:p w14:paraId="563BDC93">
                  <w:pPr>
                    <w:widowControl/>
                    <w:adjustRightInd w:val="0"/>
                    <w:snapToGrid w:val="0"/>
                    <w:jc w:val="center"/>
                    <w:rPr>
                      <w:color w:val="000000" w:themeColor="text1"/>
                      <w:szCs w:val="21"/>
                      <w:highlight w:val="none"/>
                      <w14:textFill>
                        <w14:solidFill>
                          <w14:schemeClr w14:val="tx1"/>
                        </w14:solidFill>
                      </w14:textFill>
                    </w:rPr>
                  </w:pPr>
                </w:p>
              </w:tc>
              <w:tc>
                <w:tcPr>
                  <w:tcW w:w="676" w:type="dxa"/>
                  <w:vAlign w:val="center"/>
                </w:tcPr>
                <w:p w14:paraId="7ED5E7B9">
                  <w:pPr>
                    <w:adjustRightInd w:val="0"/>
                    <w:snapToGrid w:val="0"/>
                    <w:jc w:val="center"/>
                    <w:textAlignment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30</w:t>
                  </w:r>
                </w:p>
              </w:tc>
              <w:tc>
                <w:tcPr>
                  <w:tcW w:w="830" w:type="dxa"/>
                  <w:vAlign w:val="center"/>
                </w:tcPr>
                <w:p w14:paraId="748095B8">
                  <w:pPr>
                    <w:adjustRightInd w:val="0"/>
                    <w:snapToGrid w:val="0"/>
                    <w:jc w:val="center"/>
                    <w:textAlignment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14:textFill>
                        <w14:solidFill>
                          <w14:schemeClr w14:val="tx1"/>
                        </w14:solidFill>
                      </w14:textFill>
                    </w:rPr>
                    <w:t>0.</w:t>
                  </w:r>
                  <w:r>
                    <w:rPr>
                      <w:rFonts w:hint="eastAsia"/>
                      <w:color w:val="000000" w:themeColor="text1"/>
                      <w:szCs w:val="21"/>
                      <w:highlight w:val="none"/>
                      <w:lang w:val="en-US" w:eastAsia="zh-CN"/>
                      <w14:textFill>
                        <w14:solidFill>
                          <w14:schemeClr w14:val="tx1"/>
                        </w14:solidFill>
                      </w14:textFill>
                    </w:rPr>
                    <w:t>154</w:t>
                  </w:r>
                </w:p>
              </w:tc>
              <w:tc>
                <w:tcPr>
                  <w:tcW w:w="1630" w:type="dxa"/>
                  <w:vMerge w:val="continue"/>
                  <w:vAlign w:val="center"/>
                </w:tcPr>
                <w:p w14:paraId="7F177F39">
                  <w:pPr>
                    <w:widowControl/>
                    <w:adjustRightInd w:val="0"/>
                    <w:snapToGrid w:val="0"/>
                    <w:jc w:val="center"/>
                    <w:rPr>
                      <w:color w:val="000000" w:themeColor="text1"/>
                      <w:szCs w:val="21"/>
                      <w:highlight w:val="yellow"/>
                      <w14:textFill>
                        <w14:solidFill>
                          <w14:schemeClr w14:val="tx1"/>
                        </w14:solidFill>
                      </w14:textFill>
                    </w:rPr>
                  </w:pPr>
                </w:p>
              </w:tc>
              <w:tc>
                <w:tcPr>
                  <w:tcW w:w="490" w:type="dxa"/>
                  <w:vMerge w:val="continue"/>
                  <w:vAlign w:val="center"/>
                </w:tcPr>
                <w:p w14:paraId="43E723E2">
                  <w:pPr>
                    <w:widowControl/>
                    <w:adjustRightInd w:val="0"/>
                    <w:snapToGrid w:val="0"/>
                    <w:jc w:val="center"/>
                    <w:rPr>
                      <w:color w:val="000000" w:themeColor="text1"/>
                      <w:szCs w:val="21"/>
                      <w:highlight w:val="none"/>
                      <w14:textFill>
                        <w14:solidFill>
                          <w14:schemeClr w14:val="tx1"/>
                        </w14:solidFill>
                      </w14:textFill>
                    </w:rPr>
                  </w:pPr>
                </w:p>
              </w:tc>
              <w:tc>
                <w:tcPr>
                  <w:tcW w:w="701" w:type="dxa"/>
                  <w:vMerge w:val="continue"/>
                  <w:vAlign w:val="center"/>
                </w:tcPr>
                <w:p w14:paraId="6D37D625">
                  <w:pPr>
                    <w:widowControl/>
                    <w:adjustRightInd w:val="0"/>
                    <w:snapToGrid w:val="0"/>
                    <w:jc w:val="center"/>
                    <w:rPr>
                      <w:color w:val="000000" w:themeColor="text1"/>
                      <w:szCs w:val="21"/>
                      <w:highlight w:val="none"/>
                      <w14:textFill>
                        <w14:solidFill>
                          <w14:schemeClr w14:val="tx1"/>
                        </w14:solidFill>
                      </w14:textFill>
                    </w:rPr>
                  </w:pPr>
                </w:p>
              </w:tc>
              <w:tc>
                <w:tcPr>
                  <w:tcW w:w="650" w:type="dxa"/>
                  <w:vAlign w:val="center"/>
                </w:tcPr>
                <w:p w14:paraId="2BEAFD6A">
                  <w:pPr>
                    <w:adjustRightInd w:val="0"/>
                    <w:snapToGrid w:val="0"/>
                    <w:jc w:val="center"/>
                    <w:textAlignment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30</w:t>
                  </w:r>
                </w:p>
              </w:tc>
              <w:tc>
                <w:tcPr>
                  <w:tcW w:w="798" w:type="dxa"/>
                  <w:vAlign w:val="center"/>
                </w:tcPr>
                <w:p w14:paraId="35985766">
                  <w:pPr>
                    <w:adjustRightInd w:val="0"/>
                    <w:snapToGrid w:val="0"/>
                    <w:jc w:val="center"/>
                    <w:textAlignment w:val="center"/>
                    <w:rPr>
                      <w:color w:val="000000" w:themeColor="text1"/>
                      <w:szCs w:val="21"/>
                      <w:highlight w:val="yellow"/>
                      <w14:textFill>
                        <w14:solidFill>
                          <w14:schemeClr w14:val="tx1"/>
                        </w14:solidFill>
                      </w14:textFill>
                    </w:rPr>
                  </w:pPr>
                  <w:r>
                    <w:rPr>
                      <w:rFonts w:hint="eastAsia"/>
                      <w:color w:val="000000" w:themeColor="text1"/>
                      <w:szCs w:val="21"/>
                      <w:highlight w:val="none"/>
                      <w14:textFill>
                        <w14:solidFill>
                          <w14:schemeClr w14:val="tx1"/>
                        </w14:solidFill>
                      </w14:textFill>
                    </w:rPr>
                    <w:t>0.</w:t>
                  </w:r>
                  <w:r>
                    <w:rPr>
                      <w:rFonts w:hint="eastAsia"/>
                      <w:color w:val="000000" w:themeColor="text1"/>
                      <w:szCs w:val="21"/>
                      <w:highlight w:val="none"/>
                      <w:lang w:val="en-US" w:eastAsia="zh-CN"/>
                      <w14:textFill>
                        <w14:solidFill>
                          <w14:schemeClr w14:val="tx1"/>
                        </w14:solidFill>
                      </w14:textFill>
                    </w:rPr>
                    <w:t>154</w:t>
                  </w:r>
                </w:p>
              </w:tc>
            </w:tr>
            <w:tr w14:paraId="5B7F5D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67" w:type="dxa"/>
                  <w:vMerge w:val="continue"/>
                  <w:vAlign w:val="center"/>
                </w:tcPr>
                <w:p w14:paraId="5B9CB2BD">
                  <w:pPr>
                    <w:widowControl/>
                    <w:adjustRightInd w:val="0"/>
                    <w:snapToGrid w:val="0"/>
                    <w:jc w:val="center"/>
                    <w:rPr>
                      <w:color w:val="000000" w:themeColor="text1"/>
                      <w:szCs w:val="21"/>
                      <w:highlight w:val="none"/>
                      <w14:textFill>
                        <w14:solidFill>
                          <w14:schemeClr w14:val="tx1"/>
                        </w14:solidFill>
                      </w14:textFill>
                    </w:rPr>
                  </w:pPr>
                </w:p>
              </w:tc>
              <w:tc>
                <w:tcPr>
                  <w:tcW w:w="780" w:type="dxa"/>
                  <w:vAlign w:val="center"/>
                </w:tcPr>
                <w:p w14:paraId="78D4C8EF">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动植物油</w:t>
                  </w:r>
                </w:p>
              </w:tc>
              <w:tc>
                <w:tcPr>
                  <w:tcW w:w="390" w:type="dxa"/>
                  <w:vMerge w:val="continue"/>
                  <w:vAlign w:val="center"/>
                </w:tcPr>
                <w:p w14:paraId="2BF774ED">
                  <w:pPr>
                    <w:widowControl/>
                    <w:adjustRightInd w:val="0"/>
                    <w:snapToGrid w:val="0"/>
                    <w:jc w:val="center"/>
                    <w:rPr>
                      <w:color w:val="000000" w:themeColor="text1"/>
                      <w:szCs w:val="21"/>
                      <w:highlight w:val="none"/>
                      <w14:textFill>
                        <w14:solidFill>
                          <w14:schemeClr w14:val="tx1"/>
                        </w14:solidFill>
                      </w14:textFill>
                    </w:rPr>
                  </w:pPr>
                </w:p>
              </w:tc>
              <w:tc>
                <w:tcPr>
                  <w:tcW w:w="664" w:type="dxa"/>
                  <w:vMerge w:val="continue"/>
                  <w:vAlign w:val="center"/>
                </w:tcPr>
                <w:p w14:paraId="75429A8A">
                  <w:pPr>
                    <w:widowControl/>
                    <w:adjustRightInd w:val="0"/>
                    <w:snapToGrid w:val="0"/>
                    <w:jc w:val="center"/>
                    <w:rPr>
                      <w:color w:val="000000" w:themeColor="text1"/>
                      <w:szCs w:val="21"/>
                      <w:highlight w:val="none"/>
                      <w14:textFill>
                        <w14:solidFill>
                          <w14:schemeClr w14:val="tx1"/>
                        </w14:solidFill>
                      </w14:textFill>
                    </w:rPr>
                  </w:pPr>
                </w:p>
              </w:tc>
              <w:tc>
                <w:tcPr>
                  <w:tcW w:w="676" w:type="dxa"/>
                  <w:vAlign w:val="center"/>
                </w:tcPr>
                <w:p w14:paraId="65ECA76E">
                  <w:pPr>
                    <w:adjustRightInd w:val="0"/>
                    <w:snapToGrid w:val="0"/>
                    <w:jc w:val="center"/>
                    <w:textAlignment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20</w:t>
                  </w:r>
                </w:p>
              </w:tc>
              <w:tc>
                <w:tcPr>
                  <w:tcW w:w="830" w:type="dxa"/>
                  <w:vAlign w:val="center"/>
                </w:tcPr>
                <w:p w14:paraId="02A4C711">
                  <w:pPr>
                    <w:adjustRightInd w:val="0"/>
                    <w:snapToGrid w:val="0"/>
                    <w:jc w:val="center"/>
                    <w:textAlignment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14:textFill>
                        <w14:solidFill>
                          <w14:schemeClr w14:val="tx1"/>
                        </w14:solidFill>
                      </w14:textFill>
                    </w:rPr>
                    <w:t>0.</w:t>
                  </w:r>
                  <w:r>
                    <w:rPr>
                      <w:rFonts w:hint="eastAsia"/>
                      <w:color w:val="000000" w:themeColor="text1"/>
                      <w:szCs w:val="21"/>
                      <w:highlight w:val="none"/>
                      <w:lang w:val="en-US" w:eastAsia="zh-CN"/>
                      <w14:textFill>
                        <w14:solidFill>
                          <w14:schemeClr w14:val="tx1"/>
                        </w14:solidFill>
                      </w14:textFill>
                    </w:rPr>
                    <w:t>102</w:t>
                  </w:r>
                </w:p>
              </w:tc>
              <w:tc>
                <w:tcPr>
                  <w:tcW w:w="1630" w:type="dxa"/>
                  <w:vMerge w:val="continue"/>
                  <w:vAlign w:val="center"/>
                </w:tcPr>
                <w:p w14:paraId="5B38B6A3">
                  <w:pPr>
                    <w:widowControl/>
                    <w:adjustRightInd w:val="0"/>
                    <w:snapToGrid w:val="0"/>
                    <w:jc w:val="center"/>
                    <w:rPr>
                      <w:color w:val="000000" w:themeColor="text1"/>
                      <w:szCs w:val="21"/>
                      <w:highlight w:val="yellow"/>
                      <w14:textFill>
                        <w14:solidFill>
                          <w14:schemeClr w14:val="tx1"/>
                        </w14:solidFill>
                      </w14:textFill>
                    </w:rPr>
                  </w:pPr>
                </w:p>
              </w:tc>
              <w:tc>
                <w:tcPr>
                  <w:tcW w:w="490" w:type="dxa"/>
                  <w:vMerge w:val="continue"/>
                  <w:vAlign w:val="center"/>
                </w:tcPr>
                <w:p w14:paraId="7B606C1E">
                  <w:pPr>
                    <w:widowControl/>
                    <w:adjustRightInd w:val="0"/>
                    <w:snapToGrid w:val="0"/>
                    <w:jc w:val="center"/>
                    <w:rPr>
                      <w:color w:val="000000" w:themeColor="text1"/>
                      <w:szCs w:val="21"/>
                      <w:highlight w:val="none"/>
                      <w14:textFill>
                        <w14:solidFill>
                          <w14:schemeClr w14:val="tx1"/>
                        </w14:solidFill>
                      </w14:textFill>
                    </w:rPr>
                  </w:pPr>
                </w:p>
              </w:tc>
              <w:tc>
                <w:tcPr>
                  <w:tcW w:w="701" w:type="dxa"/>
                  <w:vMerge w:val="continue"/>
                  <w:vAlign w:val="center"/>
                </w:tcPr>
                <w:p w14:paraId="662520C8">
                  <w:pPr>
                    <w:widowControl/>
                    <w:adjustRightInd w:val="0"/>
                    <w:snapToGrid w:val="0"/>
                    <w:jc w:val="center"/>
                    <w:rPr>
                      <w:color w:val="000000" w:themeColor="text1"/>
                      <w:szCs w:val="21"/>
                      <w:highlight w:val="none"/>
                      <w14:textFill>
                        <w14:solidFill>
                          <w14:schemeClr w14:val="tx1"/>
                        </w14:solidFill>
                      </w14:textFill>
                    </w:rPr>
                  </w:pPr>
                </w:p>
              </w:tc>
              <w:tc>
                <w:tcPr>
                  <w:tcW w:w="650" w:type="dxa"/>
                  <w:vAlign w:val="center"/>
                </w:tcPr>
                <w:p w14:paraId="1C1AC302">
                  <w:pPr>
                    <w:adjustRightInd w:val="0"/>
                    <w:snapToGrid w:val="0"/>
                    <w:jc w:val="center"/>
                    <w:textAlignment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10</w:t>
                  </w:r>
                </w:p>
              </w:tc>
              <w:tc>
                <w:tcPr>
                  <w:tcW w:w="798" w:type="dxa"/>
                  <w:vAlign w:val="center"/>
                </w:tcPr>
                <w:p w14:paraId="5A40F719">
                  <w:pPr>
                    <w:adjustRightInd w:val="0"/>
                    <w:snapToGrid w:val="0"/>
                    <w:jc w:val="center"/>
                    <w:textAlignment w:val="center"/>
                    <w:rPr>
                      <w:rFonts w:hint="default" w:eastAsia="宋体"/>
                      <w:color w:val="000000" w:themeColor="text1"/>
                      <w:szCs w:val="21"/>
                      <w:highlight w:val="yellow"/>
                      <w:lang w:val="en-US" w:eastAsia="zh-CN"/>
                      <w14:textFill>
                        <w14:solidFill>
                          <w14:schemeClr w14:val="tx1"/>
                        </w14:solidFill>
                      </w14:textFill>
                    </w:rPr>
                  </w:pPr>
                  <w:r>
                    <w:rPr>
                      <w:rFonts w:hint="eastAsia"/>
                      <w:color w:val="000000" w:themeColor="text1"/>
                      <w:szCs w:val="21"/>
                      <w:highlight w:val="none"/>
                      <w14:textFill>
                        <w14:solidFill>
                          <w14:schemeClr w14:val="tx1"/>
                        </w14:solidFill>
                      </w14:textFill>
                    </w:rPr>
                    <w:t>0.0</w:t>
                  </w:r>
                  <w:r>
                    <w:rPr>
                      <w:rFonts w:hint="eastAsia"/>
                      <w:color w:val="000000" w:themeColor="text1"/>
                      <w:szCs w:val="21"/>
                      <w:highlight w:val="none"/>
                      <w:lang w:val="en-US" w:eastAsia="zh-CN"/>
                      <w14:textFill>
                        <w14:solidFill>
                          <w14:schemeClr w14:val="tx1"/>
                        </w14:solidFill>
                      </w14:textFill>
                    </w:rPr>
                    <w:t>51</w:t>
                  </w:r>
                </w:p>
              </w:tc>
            </w:tr>
          </w:tbl>
          <w:p w14:paraId="63DC5C05">
            <w:pPr>
              <w:spacing w:line="360" w:lineRule="auto"/>
              <w:jc w:val="center"/>
              <w:rPr>
                <w:color w:val="000000" w:themeColor="text1"/>
                <w:kern w:val="0"/>
                <w:sz w:val="24"/>
                <w:highlight w:val="none"/>
                <w14:textFill>
                  <w14:solidFill>
                    <w14:schemeClr w14:val="tx1"/>
                  </w14:solidFill>
                </w14:textFill>
              </w:rPr>
            </w:pPr>
            <w:r>
              <w:rPr>
                <w:b/>
                <w:color w:val="000000" w:themeColor="text1"/>
                <w:sz w:val="24"/>
                <w:highlight w:val="none"/>
                <w14:textFill>
                  <w14:solidFill>
                    <w14:schemeClr w14:val="tx1"/>
                  </w14:solidFill>
                </w14:textFill>
              </w:rPr>
              <w:t>表4-</w:t>
            </w:r>
            <w:r>
              <w:rPr>
                <w:rFonts w:hint="eastAsia"/>
                <w:b/>
                <w:color w:val="000000" w:themeColor="text1"/>
                <w:sz w:val="24"/>
                <w:highlight w:val="none"/>
                <w:lang w:val="en-US" w:eastAsia="zh-CN"/>
                <w14:textFill>
                  <w14:solidFill>
                    <w14:schemeClr w14:val="tx1"/>
                  </w14:solidFill>
                </w14:textFill>
              </w:rPr>
              <w:t>5</w:t>
            </w:r>
            <w:r>
              <w:rPr>
                <w:b/>
                <w:color w:val="000000" w:themeColor="text1"/>
                <w:sz w:val="24"/>
                <w:highlight w:val="none"/>
                <w14:textFill>
                  <w14:solidFill>
                    <w14:schemeClr w14:val="tx1"/>
                  </w14:solidFill>
                </w14:textFill>
              </w:rPr>
              <w:t xml:space="preserve"> 废水类别、污染物及污染治理设施信息表</w:t>
            </w:r>
          </w:p>
          <w:tbl>
            <w:tblPr>
              <w:tblStyle w:val="29"/>
              <w:tblW w:w="795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5"/>
              <w:gridCol w:w="560"/>
              <w:gridCol w:w="980"/>
              <w:gridCol w:w="1170"/>
              <w:gridCol w:w="479"/>
              <w:gridCol w:w="560"/>
              <w:gridCol w:w="896"/>
              <w:gridCol w:w="603"/>
              <w:gridCol w:w="761"/>
              <w:gridCol w:w="1547"/>
            </w:tblGrid>
            <w:tr w14:paraId="672772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249" w:type="pct"/>
                  <w:vMerge w:val="restart"/>
                  <w:tcBorders>
                    <w:tl2br w:val="nil"/>
                    <w:tr2bl w:val="nil"/>
                  </w:tcBorders>
                  <w:vAlign w:val="center"/>
                </w:tcPr>
                <w:p w14:paraId="0CB0C547">
                  <w:pPr>
                    <w:jc w:val="center"/>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t>序号</w:t>
                  </w:r>
                </w:p>
              </w:tc>
              <w:tc>
                <w:tcPr>
                  <w:tcW w:w="352" w:type="pct"/>
                  <w:vMerge w:val="restart"/>
                  <w:tcBorders>
                    <w:tl2br w:val="nil"/>
                    <w:tr2bl w:val="nil"/>
                  </w:tcBorders>
                  <w:vAlign w:val="center"/>
                </w:tcPr>
                <w:p w14:paraId="2D44CE4A">
                  <w:pPr>
                    <w:jc w:val="center"/>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t>废水类别</w:t>
                  </w:r>
                </w:p>
              </w:tc>
              <w:tc>
                <w:tcPr>
                  <w:tcW w:w="616" w:type="pct"/>
                  <w:vMerge w:val="restart"/>
                  <w:tcBorders>
                    <w:tl2br w:val="nil"/>
                    <w:tr2bl w:val="nil"/>
                  </w:tcBorders>
                  <w:vAlign w:val="center"/>
                </w:tcPr>
                <w:p w14:paraId="70A36698">
                  <w:pPr>
                    <w:jc w:val="center"/>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t>污染物种类</w:t>
                  </w:r>
                </w:p>
              </w:tc>
              <w:tc>
                <w:tcPr>
                  <w:tcW w:w="735" w:type="pct"/>
                  <w:vMerge w:val="restart"/>
                  <w:tcBorders>
                    <w:tl2br w:val="nil"/>
                    <w:tr2bl w:val="nil"/>
                  </w:tcBorders>
                  <w:vAlign w:val="center"/>
                </w:tcPr>
                <w:p w14:paraId="52433C9D">
                  <w:pPr>
                    <w:jc w:val="center"/>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t>排放规律</w:t>
                  </w:r>
                </w:p>
              </w:tc>
              <w:tc>
                <w:tcPr>
                  <w:tcW w:w="1216" w:type="pct"/>
                  <w:gridSpan w:val="3"/>
                  <w:tcBorders>
                    <w:tl2br w:val="nil"/>
                    <w:tr2bl w:val="nil"/>
                  </w:tcBorders>
                  <w:vAlign w:val="center"/>
                </w:tcPr>
                <w:p w14:paraId="229DBD8B">
                  <w:pPr>
                    <w:jc w:val="center"/>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t>污染治理设施</w:t>
                  </w:r>
                </w:p>
              </w:tc>
              <w:tc>
                <w:tcPr>
                  <w:tcW w:w="379" w:type="pct"/>
                  <w:vMerge w:val="restart"/>
                  <w:tcBorders>
                    <w:tl2br w:val="nil"/>
                    <w:tr2bl w:val="nil"/>
                  </w:tcBorders>
                  <w:vAlign w:val="center"/>
                </w:tcPr>
                <w:p w14:paraId="0E2B415C">
                  <w:pPr>
                    <w:jc w:val="center"/>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t>排放口编号</w:t>
                  </w:r>
                </w:p>
              </w:tc>
              <w:tc>
                <w:tcPr>
                  <w:tcW w:w="478" w:type="pct"/>
                  <w:vMerge w:val="restart"/>
                  <w:tcBorders>
                    <w:tl2br w:val="nil"/>
                    <w:tr2bl w:val="nil"/>
                  </w:tcBorders>
                  <w:vAlign w:val="center"/>
                </w:tcPr>
                <w:p w14:paraId="4A907900">
                  <w:pPr>
                    <w:jc w:val="center"/>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t>排放口设置是否符合要求</w:t>
                  </w:r>
                </w:p>
              </w:tc>
              <w:tc>
                <w:tcPr>
                  <w:tcW w:w="972" w:type="pct"/>
                  <w:vMerge w:val="restart"/>
                  <w:tcBorders>
                    <w:tl2br w:val="nil"/>
                    <w:tr2bl w:val="nil"/>
                  </w:tcBorders>
                  <w:vAlign w:val="center"/>
                </w:tcPr>
                <w:p w14:paraId="6E73B84B">
                  <w:pPr>
                    <w:jc w:val="center"/>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t>排放口类型</w:t>
                  </w:r>
                </w:p>
              </w:tc>
            </w:tr>
            <w:tr w14:paraId="5FFEE7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8" w:hRule="atLeast"/>
                <w:jc w:val="center"/>
              </w:trPr>
              <w:tc>
                <w:tcPr>
                  <w:tcW w:w="249" w:type="pct"/>
                  <w:vMerge w:val="continue"/>
                  <w:tcBorders>
                    <w:tl2br w:val="nil"/>
                    <w:tr2bl w:val="nil"/>
                  </w:tcBorders>
                  <w:vAlign w:val="center"/>
                </w:tcPr>
                <w:p w14:paraId="651B038C">
                  <w:pPr>
                    <w:jc w:val="center"/>
                    <w:rPr>
                      <w:b w:val="0"/>
                      <w:bCs/>
                      <w:color w:val="000000" w:themeColor="text1"/>
                      <w:szCs w:val="21"/>
                      <w:highlight w:val="none"/>
                      <w14:textFill>
                        <w14:solidFill>
                          <w14:schemeClr w14:val="tx1"/>
                        </w14:solidFill>
                      </w14:textFill>
                    </w:rPr>
                  </w:pPr>
                </w:p>
              </w:tc>
              <w:tc>
                <w:tcPr>
                  <w:tcW w:w="352" w:type="pct"/>
                  <w:vMerge w:val="continue"/>
                  <w:tcBorders>
                    <w:tl2br w:val="nil"/>
                    <w:tr2bl w:val="nil"/>
                  </w:tcBorders>
                  <w:vAlign w:val="center"/>
                </w:tcPr>
                <w:p w14:paraId="62C52367">
                  <w:pPr>
                    <w:jc w:val="center"/>
                    <w:rPr>
                      <w:b w:val="0"/>
                      <w:bCs/>
                      <w:color w:val="000000" w:themeColor="text1"/>
                      <w:szCs w:val="21"/>
                      <w:highlight w:val="none"/>
                      <w14:textFill>
                        <w14:solidFill>
                          <w14:schemeClr w14:val="tx1"/>
                        </w14:solidFill>
                      </w14:textFill>
                    </w:rPr>
                  </w:pPr>
                </w:p>
              </w:tc>
              <w:tc>
                <w:tcPr>
                  <w:tcW w:w="616" w:type="pct"/>
                  <w:vMerge w:val="continue"/>
                  <w:tcBorders>
                    <w:tl2br w:val="nil"/>
                    <w:tr2bl w:val="nil"/>
                  </w:tcBorders>
                  <w:vAlign w:val="center"/>
                </w:tcPr>
                <w:p w14:paraId="2D8AA79A">
                  <w:pPr>
                    <w:jc w:val="center"/>
                    <w:rPr>
                      <w:b w:val="0"/>
                      <w:bCs/>
                      <w:color w:val="000000" w:themeColor="text1"/>
                      <w:szCs w:val="21"/>
                      <w:highlight w:val="none"/>
                      <w14:textFill>
                        <w14:solidFill>
                          <w14:schemeClr w14:val="tx1"/>
                        </w14:solidFill>
                      </w14:textFill>
                    </w:rPr>
                  </w:pPr>
                </w:p>
              </w:tc>
              <w:tc>
                <w:tcPr>
                  <w:tcW w:w="735" w:type="pct"/>
                  <w:vMerge w:val="continue"/>
                  <w:tcBorders>
                    <w:tl2br w:val="nil"/>
                    <w:tr2bl w:val="nil"/>
                  </w:tcBorders>
                  <w:vAlign w:val="center"/>
                </w:tcPr>
                <w:p w14:paraId="2A2DF2DD">
                  <w:pPr>
                    <w:jc w:val="center"/>
                    <w:rPr>
                      <w:b w:val="0"/>
                      <w:bCs/>
                      <w:color w:val="000000" w:themeColor="text1"/>
                      <w:szCs w:val="21"/>
                      <w:highlight w:val="none"/>
                      <w14:textFill>
                        <w14:solidFill>
                          <w14:schemeClr w14:val="tx1"/>
                        </w14:solidFill>
                      </w14:textFill>
                    </w:rPr>
                  </w:pPr>
                </w:p>
              </w:tc>
              <w:tc>
                <w:tcPr>
                  <w:tcW w:w="301" w:type="pct"/>
                  <w:tcBorders>
                    <w:tl2br w:val="nil"/>
                    <w:tr2bl w:val="nil"/>
                  </w:tcBorders>
                  <w:vAlign w:val="center"/>
                </w:tcPr>
                <w:p w14:paraId="26D6367B">
                  <w:pPr>
                    <w:jc w:val="center"/>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t>污染治理设施编号</w:t>
                  </w:r>
                </w:p>
              </w:tc>
              <w:tc>
                <w:tcPr>
                  <w:tcW w:w="352" w:type="pct"/>
                  <w:tcBorders>
                    <w:tl2br w:val="nil"/>
                    <w:tr2bl w:val="nil"/>
                  </w:tcBorders>
                  <w:vAlign w:val="center"/>
                </w:tcPr>
                <w:p w14:paraId="08CA9ABA">
                  <w:pPr>
                    <w:jc w:val="center"/>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t>污染治理设施名称</w:t>
                  </w:r>
                </w:p>
              </w:tc>
              <w:tc>
                <w:tcPr>
                  <w:tcW w:w="562" w:type="pct"/>
                  <w:tcBorders>
                    <w:tl2br w:val="nil"/>
                    <w:tr2bl w:val="nil"/>
                  </w:tcBorders>
                  <w:vAlign w:val="center"/>
                </w:tcPr>
                <w:p w14:paraId="28A637F7">
                  <w:pPr>
                    <w:jc w:val="center"/>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t>污染治理设施工艺</w:t>
                  </w:r>
                </w:p>
              </w:tc>
              <w:tc>
                <w:tcPr>
                  <w:tcW w:w="379" w:type="pct"/>
                  <w:vMerge w:val="continue"/>
                  <w:tcBorders>
                    <w:tl2br w:val="nil"/>
                    <w:tr2bl w:val="nil"/>
                  </w:tcBorders>
                  <w:vAlign w:val="center"/>
                </w:tcPr>
                <w:p w14:paraId="2DE0920D">
                  <w:pPr>
                    <w:jc w:val="center"/>
                    <w:rPr>
                      <w:b w:val="0"/>
                      <w:bCs/>
                      <w:color w:val="000000" w:themeColor="text1"/>
                      <w:szCs w:val="21"/>
                      <w:highlight w:val="none"/>
                      <w14:textFill>
                        <w14:solidFill>
                          <w14:schemeClr w14:val="tx1"/>
                        </w14:solidFill>
                      </w14:textFill>
                    </w:rPr>
                  </w:pPr>
                </w:p>
              </w:tc>
              <w:tc>
                <w:tcPr>
                  <w:tcW w:w="478" w:type="pct"/>
                  <w:vMerge w:val="continue"/>
                  <w:tcBorders>
                    <w:tl2br w:val="nil"/>
                    <w:tr2bl w:val="nil"/>
                  </w:tcBorders>
                  <w:vAlign w:val="center"/>
                </w:tcPr>
                <w:p w14:paraId="7DD6D6D1">
                  <w:pPr>
                    <w:jc w:val="center"/>
                    <w:rPr>
                      <w:b w:val="0"/>
                      <w:bCs/>
                      <w:color w:val="000000" w:themeColor="text1"/>
                      <w:szCs w:val="21"/>
                      <w:highlight w:val="none"/>
                      <w14:textFill>
                        <w14:solidFill>
                          <w14:schemeClr w14:val="tx1"/>
                        </w14:solidFill>
                      </w14:textFill>
                    </w:rPr>
                  </w:pPr>
                </w:p>
              </w:tc>
              <w:tc>
                <w:tcPr>
                  <w:tcW w:w="972" w:type="pct"/>
                  <w:vMerge w:val="continue"/>
                  <w:tcBorders>
                    <w:tl2br w:val="nil"/>
                    <w:tr2bl w:val="nil"/>
                  </w:tcBorders>
                  <w:vAlign w:val="center"/>
                </w:tcPr>
                <w:p w14:paraId="4C658C38">
                  <w:pPr>
                    <w:jc w:val="center"/>
                    <w:rPr>
                      <w:b w:val="0"/>
                      <w:bCs/>
                      <w:color w:val="000000" w:themeColor="text1"/>
                      <w:szCs w:val="21"/>
                      <w:highlight w:val="none"/>
                      <w14:textFill>
                        <w14:solidFill>
                          <w14:schemeClr w14:val="tx1"/>
                        </w14:solidFill>
                      </w14:textFill>
                    </w:rPr>
                  </w:pPr>
                </w:p>
              </w:tc>
            </w:tr>
            <w:tr w14:paraId="297B91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2" w:hRule="atLeast"/>
                <w:jc w:val="center"/>
              </w:trPr>
              <w:tc>
                <w:tcPr>
                  <w:tcW w:w="249" w:type="pct"/>
                  <w:tcBorders>
                    <w:tl2br w:val="nil"/>
                    <w:tr2bl w:val="nil"/>
                  </w:tcBorders>
                  <w:vAlign w:val="center"/>
                </w:tcPr>
                <w:p w14:paraId="239997A3">
                  <w:pPr>
                    <w:jc w:val="center"/>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t>1</w:t>
                  </w:r>
                </w:p>
              </w:tc>
              <w:tc>
                <w:tcPr>
                  <w:tcW w:w="352" w:type="pct"/>
                  <w:tcBorders>
                    <w:tl2br w:val="nil"/>
                    <w:tr2bl w:val="nil"/>
                  </w:tcBorders>
                  <w:vAlign w:val="center"/>
                </w:tcPr>
                <w:p w14:paraId="032CD0EF">
                  <w:pPr>
                    <w:jc w:val="center"/>
                    <w:rPr>
                      <w:b w:val="0"/>
                      <w:bCs/>
                      <w:color w:val="000000" w:themeColor="text1"/>
                      <w:szCs w:val="21"/>
                      <w:highlight w:val="none"/>
                      <w14:textFill>
                        <w14:solidFill>
                          <w14:schemeClr w14:val="tx1"/>
                        </w14:solidFill>
                      </w14:textFill>
                    </w:rPr>
                  </w:pPr>
                  <w:r>
                    <w:rPr>
                      <w:rFonts w:hint="eastAsia"/>
                      <w:b w:val="0"/>
                      <w:bCs/>
                      <w:color w:val="000000" w:themeColor="text1"/>
                      <w:szCs w:val="21"/>
                      <w:highlight w:val="none"/>
                      <w14:textFill>
                        <w14:solidFill>
                          <w14:schemeClr w14:val="tx1"/>
                        </w14:solidFill>
                      </w14:textFill>
                    </w:rPr>
                    <w:t>生活污水</w:t>
                  </w:r>
                </w:p>
              </w:tc>
              <w:tc>
                <w:tcPr>
                  <w:tcW w:w="616" w:type="pct"/>
                  <w:tcBorders>
                    <w:tl2br w:val="nil"/>
                    <w:tr2bl w:val="nil"/>
                  </w:tcBorders>
                  <w:vAlign w:val="center"/>
                </w:tcPr>
                <w:p w14:paraId="7C145646">
                  <w:pPr>
                    <w:jc w:val="center"/>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t>COD、BOD</w:t>
                  </w:r>
                  <w:r>
                    <w:rPr>
                      <w:b w:val="0"/>
                      <w:bCs/>
                      <w:color w:val="000000" w:themeColor="text1"/>
                      <w:szCs w:val="21"/>
                      <w:highlight w:val="none"/>
                      <w:vertAlign w:val="subscript"/>
                      <w14:textFill>
                        <w14:solidFill>
                          <w14:schemeClr w14:val="tx1"/>
                        </w14:solidFill>
                      </w14:textFill>
                    </w:rPr>
                    <w:t>5</w:t>
                  </w:r>
                  <w:r>
                    <w:rPr>
                      <w:b w:val="0"/>
                      <w:bCs/>
                      <w:color w:val="000000" w:themeColor="text1"/>
                      <w:szCs w:val="21"/>
                      <w:highlight w:val="none"/>
                      <w14:textFill>
                        <w14:solidFill>
                          <w14:schemeClr w14:val="tx1"/>
                        </w14:solidFill>
                      </w14:textFill>
                    </w:rPr>
                    <w:t>、SS、氨氮、</w:t>
                  </w:r>
                  <w:r>
                    <w:rPr>
                      <w:rFonts w:hint="eastAsia"/>
                      <w:b w:val="0"/>
                      <w:bCs/>
                      <w:color w:val="000000" w:themeColor="text1"/>
                      <w:szCs w:val="21"/>
                      <w:highlight w:val="none"/>
                      <w14:textFill>
                        <w14:solidFill>
                          <w14:schemeClr w14:val="tx1"/>
                        </w14:solidFill>
                      </w14:textFill>
                    </w:rPr>
                    <w:t>动植物油</w:t>
                  </w:r>
                </w:p>
              </w:tc>
              <w:tc>
                <w:tcPr>
                  <w:tcW w:w="735" w:type="pct"/>
                  <w:tcBorders>
                    <w:tl2br w:val="nil"/>
                    <w:tr2bl w:val="nil"/>
                  </w:tcBorders>
                  <w:vAlign w:val="center"/>
                </w:tcPr>
                <w:p w14:paraId="09D103A6">
                  <w:pPr>
                    <w:ind w:left="0" w:leftChars="0" w:right="0" w:rightChars="0" w:firstLine="0" w:firstLineChars="0"/>
                    <w:jc w:val="center"/>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t>间断排放，排放期间流量不稳定且无规律，但不属于冲击型排放</w:t>
                  </w:r>
                </w:p>
              </w:tc>
              <w:tc>
                <w:tcPr>
                  <w:tcW w:w="301" w:type="pct"/>
                  <w:tcBorders>
                    <w:tl2br w:val="nil"/>
                    <w:tr2bl w:val="nil"/>
                  </w:tcBorders>
                  <w:vAlign w:val="center"/>
                </w:tcPr>
                <w:p w14:paraId="28620071">
                  <w:pPr>
                    <w:jc w:val="center"/>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t>/</w:t>
                  </w:r>
                </w:p>
              </w:tc>
              <w:tc>
                <w:tcPr>
                  <w:tcW w:w="352" w:type="pct"/>
                  <w:tcBorders>
                    <w:tl2br w:val="nil"/>
                    <w:tr2bl w:val="nil"/>
                  </w:tcBorders>
                  <w:vAlign w:val="center"/>
                </w:tcPr>
                <w:p w14:paraId="286A0FEC">
                  <w:pPr>
                    <w:jc w:val="center"/>
                    <w:rPr>
                      <w:b w:val="0"/>
                      <w:bCs/>
                      <w:color w:val="000000" w:themeColor="text1"/>
                      <w:szCs w:val="21"/>
                      <w:highlight w:val="none"/>
                      <w14:textFill>
                        <w14:solidFill>
                          <w14:schemeClr w14:val="tx1"/>
                        </w14:solidFill>
                      </w14:textFill>
                    </w:rPr>
                  </w:pPr>
                  <w:r>
                    <w:rPr>
                      <w:rFonts w:hint="eastAsia"/>
                      <w:b w:val="0"/>
                      <w:bCs/>
                      <w:color w:val="000000" w:themeColor="text1"/>
                      <w:szCs w:val="21"/>
                      <w:highlight w:val="none"/>
                      <w14:textFill>
                        <w14:solidFill>
                          <w14:schemeClr w14:val="tx1"/>
                        </w14:solidFill>
                      </w14:textFill>
                    </w:rPr>
                    <w:t>/</w:t>
                  </w:r>
                </w:p>
              </w:tc>
              <w:tc>
                <w:tcPr>
                  <w:tcW w:w="562" w:type="pct"/>
                  <w:tcBorders>
                    <w:tl2br w:val="nil"/>
                    <w:tr2bl w:val="nil"/>
                  </w:tcBorders>
                  <w:vAlign w:val="center"/>
                </w:tcPr>
                <w:p w14:paraId="25BDC029">
                  <w:pPr>
                    <w:jc w:val="center"/>
                    <w:rPr>
                      <w:rFonts w:hint="default" w:eastAsia="宋体"/>
                      <w:b w:val="0"/>
                      <w:bCs/>
                      <w:color w:val="000000" w:themeColor="text1"/>
                      <w:szCs w:val="21"/>
                      <w:highlight w:val="none"/>
                      <w:lang w:val="en-US" w:eastAsia="zh-CN"/>
                      <w14:textFill>
                        <w14:solidFill>
                          <w14:schemeClr w14:val="tx1"/>
                        </w14:solidFill>
                      </w14:textFill>
                    </w:rPr>
                  </w:pPr>
                  <w:r>
                    <w:rPr>
                      <w:rFonts w:hint="eastAsia"/>
                      <w:b w:val="0"/>
                      <w:bCs/>
                      <w:color w:val="000000" w:themeColor="text1"/>
                      <w:szCs w:val="21"/>
                      <w:highlight w:val="none"/>
                      <w:lang w:val="en-US" w:eastAsia="zh-CN"/>
                      <w14:textFill>
                        <w14:solidFill>
                          <w14:schemeClr w14:val="tx1"/>
                        </w14:solidFill>
                      </w14:textFill>
                    </w:rPr>
                    <w:t>隔油池</w:t>
                  </w:r>
                </w:p>
              </w:tc>
              <w:tc>
                <w:tcPr>
                  <w:tcW w:w="379" w:type="pct"/>
                  <w:tcBorders>
                    <w:tl2br w:val="nil"/>
                    <w:tr2bl w:val="nil"/>
                  </w:tcBorders>
                  <w:vAlign w:val="center"/>
                </w:tcPr>
                <w:p w14:paraId="5504CACB">
                  <w:pPr>
                    <w:jc w:val="center"/>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t>DW001</w:t>
                  </w:r>
                </w:p>
              </w:tc>
              <w:tc>
                <w:tcPr>
                  <w:tcW w:w="478" w:type="pct"/>
                  <w:tcBorders>
                    <w:tl2br w:val="nil"/>
                    <w:tr2bl w:val="nil"/>
                  </w:tcBorders>
                  <w:vAlign w:val="center"/>
                </w:tcPr>
                <w:p w14:paraId="6E8CB203">
                  <w:pPr>
                    <w:jc w:val="center"/>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sym w:font="Wingdings" w:char="00FE"/>
                  </w:r>
                  <w:r>
                    <w:rPr>
                      <w:b w:val="0"/>
                      <w:bCs/>
                      <w:color w:val="000000" w:themeColor="text1"/>
                      <w:szCs w:val="21"/>
                      <w:highlight w:val="none"/>
                      <w14:textFill>
                        <w14:solidFill>
                          <w14:schemeClr w14:val="tx1"/>
                        </w14:solidFill>
                      </w14:textFill>
                    </w:rPr>
                    <w:t>是</w:t>
                  </w:r>
                </w:p>
                <w:p w14:paraId="57A8A901">
                  <w:pPr>
                    <w:jc w:val="center"/>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sym w:font="Wingdings" w:char="00A8"/>
                  </w:r>
                  <w:r>
                    <w:rPr>
                      <w:b w:val="0"/>
                      <w:bCs/>
                      <w:color w:val="000000" w:themeColor="text1"/>
                      <w:szCs w:val="21"/>
                      <w:highlight w:val="none"/>
                      <w14:textFill>
                        <w14:solidFill>
                          <w14:schemeClr w14:val="tx1"/>
                        </w14:solidFill>
                      </w14:textFill>
                    </w:rPr>
                    <w:t>否</w:t>
                  </w:r>
                </w:p>
              </w:tc>
              <w:tc>
                <w:tcPr>
                  <w:tcW w:w="972" w:type="pct"/>
                  <w:tcBorders>
                    <w:tl2br w:val="nil"/>
                    <w:tr2bl w:val="nil"/>
                  </w:tcBorders>
                  <w:vAlign w:val="center"/>
                </w:tcPr>
                <w:p w14:paraId="073D0AC7">
                  <w:pPr>
                    <w:jc w:val="left"/>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sym w:font="Wingdings" w:char="00FE"/>
                  </w:r>
                  <w:r>
                    <w:rPr>
                      <w:b w:val="0"/>
                      <w:bCs/>
                      <w:color w:val="000000" w:themeColor="text1"/>
                      <w:szCs w:val="21"/>
                      <w:highlight w:val="none"/>
                      <w14:textFill>
                        <w14:solidFill>
                          <w14:schemeClr w14:val="tx1"/>
                        </w14:solidFill>
                      </w14:textFill>
                    </w:rPr>
                    <w:t>企业总排口</w:t>
                  </w:r>
                </w:p>
                <w:p w14:paraId="1199E592">
                  <w:pPr>
                    <w:jc w:val="left"/>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sym w:font="Wingdings" w:char="00A8"/>
                  </w:r>
                  <w:r>
                    <w:rPr>
                      <w:b w:val="0"/>
                      <w:bCs/>
                      <w:color w:val="000000" w:themeColor="text1"/>
                      <w:szCs w:val="21"/>
                      <w:highlight w:val="none"/>
                      <w14:textFill>
                        <w14:solidFill>
                          <w14:schemeClr w14:val="tx1"/>
                        </w14:solidFill>
                      </w14:textFill>
                    </w:rPr>
                    <w:t>雨水排放</w:t>
                  </w:r>
                </w:p>
                <w:p w14:paraId="74AA6CCA">
                  <w:pPr>
                    <w:jc w:val="left"/>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sym w:font="Wingdings" w:char="00A8"/>
                  </w:r>
                  <w:r>
                    <w:rPr>
                      <w:b w:val="0"/>
                      <w:bCs/>
                      <w:color w:val="000000" w:themeColor="text1"/>
                      <w:szCs w:val="21"/>
                      <w:highlight w:val="none"/>
                      <w14:textFill>
                        <w14:solidFill>
                          <w14:schemeClr w14:val="tx1"/>
                        </w14:solidFill>
                      </w14:textFill>
                    </w:rPr>
                    <w:t>清净下水排放</w:t>
                  </w:r>
                </w:p>
                <w:p w14:paraId="733C8AB4">
                  <w:pPr>
                    <w:jc w:val="left"/>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sym w:font="Wingdings" w:char="00A8"/>
                  </w:r>
                  <w:r>
                    <w:rPr>
                      <w:b w:val="0"/>
                      <w:bCs/>
                      <w:color w:val="000000" w:themeColor="text1"/>
                      <w:szCs w:val="21"/>
                      <w:highlight w:val="none"/>
                      <w14:textFill>
                        <w14:solidFill>
                          <w14:schemeClr w14:val="tx1"/>
                        </w14:solidFill>
                      </w14:textFill>
                    </w:rPr>
                    <w:t>温排水排放</w:t>
                  </w:r>
                </w:p>
                <w:p w14:paraId="5701328E">
                  <w:pPr>
                    <w:jc w:val="left"/>
                    <w:rPr>
                      <w:b w:val="0"/>
                      <w:bCs/>
                      <w:color w:val="000000" w:themeColor="text1"/>
                      <w:szCs w:val="21"/>
                      <w:highlight w:val="none"/>
                      <w14:textFill>
                        <w14:solidFill>
                          <w14:schemeClr w14:val="tx1"/>
                        </w14:solidFill>
                      </w14:textFill>
                    </w:rPr>
                  </w:pPr>
                  <w:r>
                    <w:rPr>
                      <w:b w:val="0"/>
                      <w:bCs/>
                      <w:color w:val="000000" w:themeColor="text1"/>
                      <w:szCs w:val="21"/>
                      <w:highlight w:val="none"/>
                      <w14:textFill>
                        <w14:solidFill>
                          <w14:schemeClr w14:val="tx1"/>
                        </w14:solidFill>
                      </w14:textFill>
                    </w:rPr>
                    <w:sym w:font="Wingdings" w:char="00A8"/>
                  </w:r>
                  <w:r>
                    <w:rPr>
                      <w:b w:val="0"/>
                      <w:bCs/>
                      <w:color w:val="000000" w:themeColor="text1"/>
                      <w:szCs w:val="21"/>
                      <w:highlight w:val="none"/>
                      <w14:textFill>
                        <w14:solidFill>
                          <w14:schemeClr w14:val="tx1"/>
                        </w14:solidFill>
                      </w14:textFill>
                    </w:rPr>
                    <w:t>车间或车间处理设施排放口</w:t>
                  </w:r>
                </w:p>
              </w:tc>
            </w:tr>
          </w:tbl>
          <w:p w14:paraId="67184004">
            <w:pPr>
              <w:spacing w:line="360" w:lineRule="auto"/>
              <w:ind w:firstLine="480" w:firstLineChars="200"/>
              <w:rPr>
                <w:b/>
                <w:bCs/>
                <w:color w:val="000000" w:themeColor="text1"/>
                <w:kern w:val="0"/>
                <w:sz w:val="24"/>
                <w:highlight w:val="none"/>
                <w14:textFill>
                  <w14:solidFill>
                    <w14:schemeClr w14:val="tx1"/>
                  </w14:solidFill>
                </w14:textFill>
              </w:rPr>
            </w:pPr>
            <w:r>
              <w:rPr>
                <w:rFonts w:hint="eastAsia"/>
                <w:b w:val="0"/>
                <w:bCs w:val="0"/>
                <w:color w:val="000000" w:themeColor="text1"/>
                <w:kern w:val="0"/>
                <w:sz w:val="24"/>
                <w:highlight w:val="none"/>
                <w14:textFill>
                  <w14:solidFill>
                    <w14:schemeClr w14:val="tx1"/>
                  </w14:solidFill>
                </w14:textFill>
              </w:rPr>
              <w:t>（2）监测计划</w:t>
            </w:r>
          </w:p>
          <w:p w14:paraId="2143AEB4">
            <w:pPr>
              <w:spacing w:line="360" w:lineRule="auto"/>
              <w:ind w:firstLine="480" w:firstLineChars="200"/>
              <w:rPr>
                <w:color w:val="000000" w:themeColor="text1"/>
                <w:kern w:val="0"/>
                <w:sz w:val="24"/>
                <w:highlight w:val="none"/>
                <w14:textFill>
                  <w14:solidFill>
                    <w14:schemeClr w14:val="tx1"/>
                  </w14:solidFill>
                </w14:textFill>
              </w:rPr>
            </w:pPr>
            <w:r>
              <w:rPr>
                <w:rFonts w:hint="eastAsia"/>
                <w:color w:val="000000" w:themeColor="text1"/>
                <w:kern w:val="0"/>
                <w:sz w:val="24"/>
                <w:highlight w:val="none"/>
                <w14:textFill>
                  <w14:solidFill>
                    <w14:schemeClr w14:val="tx1"/>
                  </w14:solidFill>
                </w14:textFill>
              </w:rPr>
              <w:t>由于本项目排放的废水主要为生活污水，故对其废水的日常监测不做要求。</w:t>
            </w:r>
          </w:p>
          <w:p w14:paraId="33E93EDE">
            <w:pPr>
              <w:pStyle w:val="97"/>
              <w:spacing w:line="360" w:lineRule="auto"/>
              <w:ind w:left="0" w:leftChars="0" w:firstLine="480" w:firstLineChars="200"/>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 xml:space="preserve">（3）环境影响分析 </w:t>
            </w:r>
          </w:p>
          <w:p w14:paraId="38258592">
            <w:pPr>
              <w:pStyle w:val="97"/>
              <w:spacing w:line="360" w:lineRule="auto"/>
              <w:ind w:left="0" w:leftChars="0" w:firstLine="480" w:firstLineChars="200"/>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洗煤废水实行一级闭路循环，不外排；抑尘废水全部蒸发；地面冲洗废水回用于生产，不外排；初期雨水经初期雨水收集池收集后回用于生产不外排；食堂废水经现有隔油池处理后同其他生活污水一起排入化粪池，处理后排入市政管网，进入双鸭山市城市污水处理厂处理。</w:t>
            </w:r>
          </w:p>
          <w:p w14:paraId="5B13972C">
            <w:pPr>
              <w:pStyle w:val="97"/>
              <w:spacing w:line="360" w:lineRule="auto"/>
              <w:ind w:left="0" w:leftChars="0" w:firstLine="480" w:firstLineChars="200"/>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双鸭山市城市污水处理厂设计处理能力为日处理污水10万立方米，日平均处理污水量约为8万立方米。采用先进的污水处理设备，厂区主体工艺采用A</w:t>
            </w:r>
            <w:r>
              <w:rPr>
                <w:rFonts w:hint="eastAsia"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/O处理工艺，经处理后的污水水质排放标准为《城镇污水处理厂污染物排放标准》（GB18918-2002）一级A标准。目前双鸭山市污水处理厂运行稳定。本项目污水量</w:t>
            </w:r>
            <w:r>
              <w:rPr>
                <w:rFonts w:hint="eastAsia" w:eastAsia="宋体" w:cs="Times New Roman"/>
                <w:color w:val="000000" w:themeColor="text1"/>
                <w:kern w:val="2"/>
                <w:sz w:val="24"/>
                <w:szCs w:val="24"/>
                <w:highlight w:val="none"/>
                <w:lang w:val="en-US" w:eastAsia="zh-CN" w:bidi="ar-SA"/>
                <w14:textFill>
                  <w14:solidFill>
                    <w14:schemeClr w14:val="tx1"/>
                  </w14:solidFill>
                </w14:textFill>
              </w:rPr>
              <w:t>15.56</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t/d，项目投运后污水处理厂负荷率不会超出承受范围，本项目依托可行。</w:t>
            </w:r>
          </w:p>
          <w:p w14:paraId="123719D0">
            <w:pPr>
              <w:pStyle w:val="97"/>
              <w:spacing w:line="360" w:lineRule="auto"/>
              <w:ind w:left="0" w:leftChars="0" w:firstLine="480" w:firstLineChars="200"/>
              <w:rPr>
                <w:rFonts w:hint="eastAsia" w:ascii="Times New Roman" w:hAnsi="Times New Roman" w:eastAsia="宋体" w:cs="Times New Roman"/>
                <w:color w:val="000000" w:themeColor="text1"/>
                <w:kern w:val="2"/>
                <w:sz w:val="24"/>
                <w:szCs w:val="24"/>
                <w:highlight w:val="yellow"/>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综上所述，采取以上措施后，本项目废水对周边水环境影响较小，可被环境所接受。</w:t>
            </w:r>
          </w:p>
          <w:p w14:paraId="3E5016ED">
            <w:pPr>
              <w:widowControl/>
              <w:spacing w:line="360" w:lineRule="auto"/>
              <w:ind w:firstLine="482" w:firstLineChars="200"/>
              <w:rPr>
                <w:bCs/>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3、</w:t>
            </w:r>
            <w:r>
              <w:rPr>
                <w:rFonts w:hint="eastAsia"/>
                <w:b/>
                <w:color w:val="000000" w:themeColor="text1"/>
                <w:sz w:val="24"/>
                <w:highlight w:val="none"/>
                <w:lang w:val="en-US" w:eastAsia="zh-CN"/>
                <w14:textFill>
                  <w14:solidFill>
                    <w14:schemeClr w14:val="tx1"/>
                  </w14:solidFill>
                </w14:textFill>
              </w:rPr>
              <w:t>噪</w:t>
            </w:r>
            <w:r>
              <w:rPr>
                <w:b/>
                <w:color w:val="000000" w:themeColor="text1"/>
                <w:sz w:val="24"/>
                <w:highlight w:val="none"/>
                <w14:textFill>
                  <w14:solidFill>
                    <w14:schemeClr w14:val="tx1"/>
                  </w14:solidFill>
                </w14:textFill>
              </w:rPr>
              <w:t>声</w:t>
            </w:r>
          </w:p>
          <w:p w14:paraId="444E48CD">
            <w:pPr>
              <w:widowControl/>
              <w:spacing w:line="360" w:lineRule="auto"/>
              <w:ind w:firstLine="480" w:firstLineChars="200"/>
              <w:rPr>
                <w:b w:val="0"/>
                <w:bCs w:val="0"/>
                <w:color w:val="000000" w:themeColor="text1"/>
                <w:sz w:val="24"/>
                <w:highlight w:val="none"/>
                <w14:textFill>
                  <w14:solidFill>
                    <w14:schemeClr w14:val="tx1"/>
                  </w14:solidFill>
                </w14:textFill>
              </w:rPr>
            </w:pPr>
            <w:r>
              <w:rPr>
                <w:b w:val="0"/>
                <w:bCs w:val="0"/>
                <w:color w:val="000000" w:themeColor="text1"/>
                <w:sz w:val="24"/>
                <w:highlight w:val="none"/>
                <w14:textFill>
                  <w14:solidFill>
                    <w14:schemeClr w14:val="tx1"/>
                  </w14:solidFill>
                </w14:textFill>
              </w:rPr>
              <w:t>（1）噪声源强核算</w:t>
            </w:r>
          </w:p>
          <w:p w14:paraId="007A520C">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本项目噪声源主要为车间设备，</w:t>
            </w:r>
            <w:r>
              <w:rPr>
                <w:rFonts w:hint="eastAsia"/>
                <w:color w:val="000000" w:themeColor="text1"/>
                <w:sz w:val="24"/>
                <w:highlight w:val="none"/>
                <w14:textFill>
                  <w14:solidFill>
                    <w14:schemeClr w14:val="tx1"/>
                  </w14:solidFill>
                </w14:textFill>
              </w:rPr>
              <w:t>主厂房位于厂区中央，存在多处噪声源，各</w:t>
            </w:r>
            <w:r>
              <w:rPr>
                <w:color w:val="000000" w:themeColor="text1"/>
                <w:sz w:val="24"/>
                <w:highlight w:val="none"/>
                <w14:textFill>
                  <w14:solidFill>
                    <w14:schemeClr w14:val="tx1"/>
                  </w14:solidFill>
                </w14:textFill>
              </w:rPr>
              <w:t>声源噪声级在</w:t>
            </w:r>
            <w:r>
              <w:rPr>
                <w:rFonts w:hint="eastAsia"/>
                <w:color w:val="000000" w:themeColor="text1"/>
                <w:sz w:val="24"/>
                <w:highlight w:val="none"/>
                <w14:textFill>
                  <w14:solidFill>
                    <w14:schemeClr w14:val="tx1"/>
                  </w14:solidFill>
                </w14:textFill>
              </w:rPr>
              <w:t>70</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9</w:t>
            </w:r>
            <w:r>
              <w:rPr>
                <w:color w:val="000000" w:themeColor="text1"/>
                <w:sz w:val="24"/>
                <w:highlight w:val="none"/>
                <w14:textFill>
                  <w14:solidFill>
                    <w14:schemeClr w14:val="tx1"/>
                  </w14:solidFill>
                </w14:textFill>
              </w:rPr>
              <w:t>0dB（A）之间。经设备基础减震、安装隔声罩和</w:t>
            </w:r>
            <w:r>
              <w:rPr>
                <w:rFonts w:hint="eastAsia"/>
                <w:color w:val="000000" w:themeColor="text1"/>
                <w:sz w:val="24"/>
                <w:highlight w:val="none"/>
                <w:lang w:val="en-US" w:eastAsia="zh-CN"/>
                <w14:textFill>
                  <w14:solidFill>
                    <w14:schemeClr w14:val="tx1"/>
                  </w14:solidFill>
                </w14:textFill>
              </w:rPr>
              <w:t>厂房</w:t>
            </w:r>
            <w:r>
              <w:rPr>
                <w:color w:val="000000" w:themeColor="text1"/>
                <w:sz w:val="24"/>
                <w:highlight w:val="none"/>
                <w14:textFill>
                  <w14:solidFill>
                    <w14:schemeClr w14:val="tx1"/>
                  </w14:solidFill>
                </w14:textFill>
              </w:rPr>
              <w:t>隔声后，车间外噪声设备的噪声值降至</w:t>
            </w:r>
            <w:r>
              <w:rPr>
                <w:rFonts w:hint="eastAsia"/>
                <w:color w:val="000000" w:themeColor="text1"/>
                <w:sz w:val="24"/>
                <w:highlight w:val="none"/>
                <w14:textFill>
                  <w14:solidFill>
                    <w14:schemeClr w14:val="tx1"/>
                  </w14:solidFill>
                </w14:textFill>
              </w:rPr>
              <w:t>50</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7</w:t>
            </w:r>
            <w:r>
              <w:rPr>
                <w:color w:val="000000" w:themeColor="text1"/>
                <w:sz w:val="24"/>
                <w:highlight w:val="none"/>
                <w14:textFill>
                  <w14:solidFill>
                    <w14:schemeClr w14:val="tx1"/>
                  </w14:solidFill>
                </w14:textFill>
              </w:rPr>
              <w:t>0dB（A）。噪声源主要为脱介筛、旋流器、磁选机</w:t>
            </w:r>
            <w:r>
              <w:rPr>
                <w:rFonts w:hint="eastAsia"/>
                <w:color w:val="000000" w:themeColor="text1"/>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破碎机、给</w:t>
            </w:r>
            <w:r>
              <w:rPr>
                <w:rFonts w:hint="eastAsia"/>
                <w:color w:val="000000" w:themeColor="text1"/>
                <w:sz w:val="24"/>
                <w:highlight w:val="none"/>
                <w:lang w:val="en-US" w:eastAsia="zh-CN"/>
                <w14:textFill>
                  <w14:solidFill>
                    <w14:schemeClr w14:val="tx1"/>
                  </w14:solidFill>
                </w14:textFill>
              </w:rPr>
              <w:t>料</w:t>
            </w:r>
            <w:r>
              <w:rPr>
                <w:rFonts w:hint="eastAsia"/>
                <w:color w:val="000000" w:themeColor="text1"/>
                <w:sz w:val="24"/>
                <w:highlight w:val="none"/>
                <w14:textFill>
                  <w14:solidFill>
                    <w14:schemeClr w14:val="tx1"/>
                  </w14:solidFill>
                </w14:textFill>
              </w:rPr>
              <w:t>机、分级筛、压滤机、</w:t>
            </w:r>
            <w:r>
              <w:rPr>
                <w:rFonts w:hint="eastAsia"/>
                <w:color w:val="000000" w:themeColor="text1"/>
                <w:sz w:val="24"/>
                <w:highlight w:val="none"/>
                <w:lang w:val="en-US" w:eastAsia="zh-CN"/>
                <w14:textFill>
                  <w14:solidFill>
                    <w14:schemeClr w14:val="tx1"/>
                  </w14:solidFill>
                </w14:textFill>
              </w:rPr>
              <w:t>浓缩机</w:t>
            </w:r>
            <w:r>
              <w:rPr>
                <w:color w:val="000000" w:themeColor="text1"/>
                <w:sz w:val="24"/>
                <w:highlight w:val="none"/>
                <w14:textFill>
                  <w14:solidFill>
                    <w14:schemeClr w14:val="tx1"/>
                  </w14:solidFill>
                </w14:textFill>
              </w:rPr>
              <w:t>等。</w:t>
            </w:r>
          </w:p>
          <w:p w14:paraId="69FF7799">
            <w:pPr>
              <w:spacing w:line="360" w:lineRule="auto"/>
              <w:jc w:val="center"/>
              <w:rPr>
                <w:b/>
                <w:bCs/>
                <w:color w:val="000000" w:themeColor="text1"/>
                <w:kern w:val="0"/>
                <w:sz w:val="24"/>
                <w:highlight w:val="none"/>
                <w:lang w:bidi="zh-CN"/>
                <w14:textFill>
                  <w14:solidFill>
                    <w14:schemeClr w14:val="tx1"/>
                  </w14:solidFill>
                </w14:textFill>
              </w:rPr>
            </w:pPr>
            <w:r>
              <w:rPr>
                <w:b/>
                <w:bCs/>
                <w:color w:val="000000" w:themeColor="text1"/>
                <w:kern w:val="0"/>
                <w:sz w:val="24"/>
                <w:highlight w:val="none"/>
                <w:lang w:bidi="zh-CN"/>
                <w14:textFill>
                  <w14:solidFill>
                    <w14:schemeClr w14:val="tx1"/>
                  </w14:solidFill>
                </w14:textFill>
              </w:rPr>
              <w:t>表4-</w:t>
            </w:r>
            <w:r>
              <w:rPr>
                <w:rFonts w:hint="eastAsia"/>
                <w:b/>
                <w:bCs/>
                <w:color w:val="000000" w:themeColor="text1"/>
                <w:kern w:val="0"/>
                <w:sz w:val="24"/>
                <w:highlight w:val="none"/>
                <w:lang w:val="en-US" w:bidi="zh-CN"/>
                <w14:textFill>
                  <w14:solidFill>
                    <w14:schemeClr w14:val="tx1"/>
                  </w14:solidFill>
                </w14:textFill>
              </w:rPr>
              <w:t>6</w:t>
            </w:r>
            <w:r>
              <w:rPr>
                <w:b/>
                <w:bCs/>
                <w:color w:val="000000" w:themeColor="text1"/>
                <w:kern w:val="0"/>
                <w:sz w:val="24"/>
                <w:highlight w:val="none"/>
                <w:lang w:bidi="zh-CN"/>
                <w14:textFill>
                  <w14:solidFill>
                    <w14:schemeClr w14:val="tx1"/>
                  </w14:solidFill>
                </w14:textFill>
              </w:rPr>
              <w:t xml:space="preserve"> 噪声污染源源强核算结果及相关参数一览表  </w:t>
            </w:r>
            <w:r>
              <w:rPr>
                <w:b/>
                <w:bCs/>
                <w:color w:val="000000" w:themeColor="text1"/>
                <w:sz w:val="24"/>
                <w:highlight w:val="none"/>
                <w14:textFill>
                  <w14:solidFill>
                    <w14:schemeClr w14:val="tx1"/>
                  </w14:solidFill>
                </w14:textFill>
              </w:rPr>
              <w:t>单位：dB(A)</w:t>
            </w:r>
          </w:p>
          <w:tbl>
            <w:tblPr>
              <w:tblStyle w:val="28"/>
              <w:tblW w:w="806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9"/>
              <w:gridCol w:w="807"/>
              <w:gridCol w:w="766"/>
              <w:gridCol w:w="496"/>
              <w:gridCol w:w="721"/>
              <w:gridCol w:w="1176"/>
              <w:gridCol w:w="683"/>
              <w:gridCol w:w="617"/>
              <w:gridCol w:w="850"/>
              <w:gridCol w:w="1065"/>
            </w:tblGrid>
            <w:tr w14:paraId="7EFE4B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879" w:type="dxa"/>
                  <w:vMerge w:val="restart"/>
                  <w:tcBorders>
                    <w:tl2br w:val="nil"/>
                    <w:tr2bl w:val="nil"/>
                  </w:tcBorders>
                  <w:vAlign w:val="center"/>
                </w:tcPr>
                <w:p w14:paraId="7194794B">
                  <w:pPr>
                    <w:jc w:val="center"/>
                    <w:rPr>
                      <w:b w:val="0"/>
                      <w:bCs w:val="0"/>
                      <w:color w:val="FF0000"/>
                      <w:szCs w:val="21"/>
                      <w:highlight w:val="green"/>
                    </w:rPr>
                  </w:pPr>
                  <w:r>
                    <w:rPr>
                      <w:b w:val="0"/>
                      <w:bCs w:val="0"/>
                      <w:color w:val="FF0000"/>
                      <w:szCs w:val="21"/>
                      <w:highlight w:val="green"/>
                    </w:rPr>
                    <w:t>设备</w:t>
                  </w:r>
                </w:p>
              </w:tc>
              <w:tc>
                <w:tcPr>
                  <w:tcW w:w="807" w:type="dxa"/>
                  <w:vMerge w:val="restart"/>
                  <w:tcBorders>
                    <w:tl2br w:val="nil"/>
                    <w:tr2bl w:val="nil"/>
                  </w:tcBorders>
                  <w:vAlign w:val="center"/>
                </w:tcPr>
                <w:p w14:paraId="70AF4A1D">
                  <w:pPr>
                    <w:jc w:val="center"/>
                    <w:rPr>
                      <w:b w:val="0"/>
                      <w:bCs w:val="0"/>
                      <w:color w:val="FF0000"/>
                      <w:szCs w:val="21"/>
                      <w:highlight w:val="green"/>
                    </w:rPr>
                  </w:pPr>
                  <w:r>
                    <w:rPr>
                      <w:b w:val="0"/>
                      <w:bCs w:val="0"/>
                      <w:color w:val="FF0000"/>
                      <w:szCs w:val="21"/>
                      <w:highlight w:val="green"/>
                    </w:rPr>
                    <w:t>数量（台）</w:t>
                  </w:r>
                </w:p>
              </w:tc>
              <w:tc>
                <w:tcPr>
                  <w:tcW w:w="766" w:type="dxa"/>
                  <w:vMerge w:val="restart"/>
                  <w:tcBorders>
                    <w:tl2br w:val="nil"/>
                    <w:tr2bl w:val="nil"/>
                  </w:tcBorders>
                  <w:vAlign w:val="center"/>
                </w:tcPr>
                <w:p w14:paraId="52FBCDDD">
                  <w:pPr>
                    <w:jc w:val="center"/>
                    <w:rPr>
                      <w:b w:val="0"/>
                      <w:bCs w:val="0"/>
                      <w:color w:val="FF0000"/>
                      <w:szCs w:val="21"/>
                      <w:highlight w:val="green"/>
                    </w:rPr>
                  </w:pPr>
                  <w:r>
                    <w:rPr>
                      <w:b w:val="0"/>
                      <w:bCs w:val="0"/>
                      <w:color w:val="FF0000"/>
                      <w:szCs w:val="21"/>
                      <w:highlight w:val="green"/>
                    </w:rPr>
                    <w:t>声源类型</w:t>
                  </w:r>
                </w:p>
              </w:tc>
              <w:tc>
                <w:tcPr>
                  <w:tcW w:w="1217" w:type="dxa"/>
                  <w:gridSpan w:val="2"/>
                  <w:tcBorders>
                    <w:tl2br w:val="nil"/>
                    <w:tr2bl w:val="nil"/>
                  </w:tcBorders>
                  <w:vAlign w:val="center"/>
                </w:tcPr>
                <w:p w14:paraId="27A3804C">
                  <w:pPr>
                    <w:jc w:val="center"/>
                    <w:rPr>
                      <w:b w:val="0"/>
                      <w:bCs w:val="0"/>
                      <w:color w:val="FF0000"/>
                      <w:szCs w:val="21"/>
                      <w:highlight w:val="green"/>
                    </w:rPr>
                  </w:pPr>
                  <w:r>
                    <w:rPr>
                      <w:b w:val="0"/>
                      <w:bCs w:val="0"/>
                      <w:color w:val="FF0000"/>
                      <w:szCs w:val="21"/>
                      <w:highlight w:val="green"/>
                    </w:rPr>
                    <w:t>噪声源强</w:t>
                  </w:r>
                </w:p>
              </w:tc>
              <w:tc>
                <w:tcPr>
                  <w:tcW w:w="1859" w:type="dxa"/>
                  <w:gridSpan w:val="2"/>
                  <w:tcBorders>
                    <w:tl2br w:val="nil"/>
                    <w:tr2bl w:val="nil"/>
                  </w:tcBorders>
                  <w:vAlign w:val="center"/>
                </w:tcPr>
                <w:p w14:paraId="79E9CD7A">
                  <w:pPr>
                    <w:jc w:val="center"/>
                    <w:rPr>
                      <w:b w:val="0"/>
                      <w:bCs w:val="0"/>
                      <w:color w:val="FF0000"/>
                      <w:szCs w:val="21"/>
                      <w:highlight w:val="green"/>
                    </w:rPr>
                  </w:pPr>
                  <w:r>
                    <w:rPr>
                      <w:b w:val="0"/>
                      <w:bCs w:val="0"/>
                      <w:color w:val="FF0000"/>
                      <w:szCs w:val="21"/>
                      <w:highlight w:val="green"/>
                    </w:rPr>
                    <w:t>降噪措施</w:t>
                  </w:r>
                </w:p>
              </w:tc>
              <w:tc>
                <w:tcPr>
                  <w:tcW w:w="1467" w:type="dxa"/>
                  <w:gridSpan w:val="2"/>
                  <w:tcBorders>
                    <w:tl2br w:val="nil"/>
                    <w:tr2bl w:val="nil"/>
                  </w:tcBorders>
                  <w:vAlign w:val="center"/>
                </w:tcPr>
                <w:p w14:paraId="1B9B95AB">
                  <w:pPr>
                    <w:jc w:val="center"/>
                    <w:rPr>
                      <w:b w:val="0"/>
                      <w:bCs w:val="0"/>
                      <w:color w:val="FF0000"/>
                      <w:szCs w:val="21"/>
                      <w:highlight w:val="green"/>
                    </w:rPr>
                  </w:pPr>
                  <w:r>
                    <w:rPr>
                      <w:b w:val="0"/>
                      <w:bCs w:val="0"/>
                      <w:color w:val="FF0000"/>
                      <w:szCs w:val="21"/>
                      <w:highlight w:val="green"/>
                    </w:rPr>
                    <w:t>排放值</w:t>
                  </w:r>
                </w:p>
              </w:tc>
              <w:tc>
                <w:tcPr>
                  <w:tcW w:w="1065" w:type="dxa"/>
                  <w:vMerge w:val="restart"/>
                  <w:tcBorders>
                    <w:tl2br w:val="nil"/>
                    <w:tr2bl w:val="nil"/>
                  </w:tcBorders>
                  <w:vAlign w:val="center"/>
                </w:tcPr>
                <w:p w14:paraId="497D4643">
                  <w:pPr>
                    <w:jc w:val="center"/>
                    <w:rPr>
                      <w:b w:val="0"/>
                      <w:bCs w:val="0"/>
                      <w:color w:val="FF0000"/>
                      <w:szCs w:val="21"/>
                      <w:highlight w:val="green"/>
                    </w:rPr>
                  </w:pPr>
                  <w:r>
                    <w:rPr>
                      <w:b w:val="0"/>
                      <w:bCs w:val="0"/>
                      <w:color w:val="FF0000"/>
                      <w:szCs w:val="21"/>
                      <w:highlight w:val="green"/>
                    </w:rPr>
                    <w:t>持续时间h</w:t>
                  </w:r>
                </w:p>
              </w:tc>
            </w:tr>
            <w:tr w14:paraId="1AA74B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9" w:type="dxa"/>
                  <w:vMerge w:val="continue"/>
                  <w:tcBorders>
                    <w:tl2br w:val="nil"/>
                    <w:tr2bl w:val="nil"/>
                  </w:tcBorders>
                  <w:vAlign w:val="center"/>
                </w:tcPr>
                <w:p w14:paraId="40222D57">
                  <w:pPr>
                    <w:jc w:val="center"/>
                    <w:rPr>
                      <w:color w:val="FF0000"/>
                      <w:szCs w:val="21"/>
                      <w:highlight w:val="green"/>
                    </w:rPr>
                  </w:pPr>
                </w:p>
              </w:tc>
              <w:tc>
                <w:tcPr>
                  <w:tcW w:w="807" w:type="dxa"/>
                  <w:vMerge w:val="continue"/>
                  <w:tcBorders>
                    <w:tl2br w:val="nil"/>
                    <w:tr2bl w:val="nil"/>
                  </w:tcBorders>
                  <w:vAlign w:val="center"/>
                </w:tcPr>
                <w:p w14:paraId="666E6DE8">
                  <w:pPr>
                    <w:jc w:val="center"/>
                    <w:rPr>
                      <w:color w:val="FF0000"/>
                      <w:szCs w:val="21"/>
                      <w:highlight w:val="green"/>
                    </w:rPr>
                  </w:pPr>
                </w:p>
              </w:tc>
              <w:tc>
                <w:tcPr>
                  <w:tcW w:w="766" w:type="dxa"/>
                  <w:vMerge w:val="continue"/>
                  <w:tcBorders>
                    <w:tl2br w:val="nil"/>
                    <w:tr2bl w:val="nil"/>
                  </w:tcBorders>
                  <w:vAlign w:val="center"/>
                </w:tcPr>
                <w:p w14:paraId="16296155">
                  <w:pPr>
                    <w:jc w:val="center"/>
                    <w:rPr>
                      <w:color w:val="FF0000"/>
                      <w:szCs w:val="21"/>
                      <w:highlight w:val="green"/>
                    </w:rPr>
                  </w:pPr>
                </w:p>
              </w:tc>
              <w:tc>
                <w:tcPr>
                  <w:tcW w:w="496" w:type="dxa"/>
                  <w:tcBorders>
                    <w:tl2br w:val="nil"/>
                    <w:tr2bl w:val="nil"/>
                  </w:tcBorders>
                  <w:vAlign w:val="center"/>
                </w:tcPr>
                <w:p w14:paraId="5087A3C0">
                  <w:pPr>
                    <w:jc w:val="center"/>
                    <w:rPr>
                      <w:b w:val="0"/>
                      <w:bCs w:val="0"/>
                      <w:color w:val="FF0000"/>
                      <w:szCs w:val="21"/>
                      <w:highlight w:val="green"/>
                    </w:rPr>
                  </w:pPr>
                  <w:r>
                    <w:rPr>
                      <w:b w:val="0"/>
                      <w:bCs w:val="0"/>
                      <w:color w:val="FF0000"/>
                      <w:szCs w:val="21"/>
                      <w:highlight w:val="green"/>
                    </w:rPr>
                    <w:t>核算方法</w:t>
                  </w:r>
                </w:p>
              </w:tc>
              <w:tc>
                <w:tcPr>
                  <w:tcW w:w="721" w:type="dxa"/>
                  <w:tcBorders>
                    <w:tl2br w:val="nil"/>
                    <w:tr2bl w:val="nil"/>
                  </w:tcBorders>
                  <w:vAlign w:val="center"/>
                </w:tcPr>
                <w:p w14:paraId="6EEDC316">
                  <w:pPr>
                    <w:jc w:val="center"/>
                    <w:rPr>
                      <w:b w:val="0"/>
                      <w:bCs w:val="0"/>
                      <w:color w:val="FF0000"/>
                      <w:szCs w:val="21"/>
                      <w:highlight w:val="green"/>
                    </w:rPr>
                  </w:pPr>
                  <w:r>
                    <w:rPr>
                      <w:b w:val="0"/>
                      <w:bCs w:val="0"/>
                      <w:color w:val="FF0000"/>
                      <w:szCs w:val="21"/>
                      <w:highlight w:val="green"/>
                    </w:rPr>
                    <w:t>噪声值</w:t>
                  </w:r>
                </w:p>
              </w:tc>
              <w:tc>
                <w:tcPr>
                  <w:tcW w:w="1176" w:type="dxa"/>
                  <w:tcBorders>
                    <w:tl2br w:val="nil"/>
                    <w:tr2bl w:val="nil"/>
                  </w:tcBorders>
                  <w:vAlign w:val="center"/>
                </w:tcPr>
                <w:p w14:paraId="04AC93E4">
                  <w:pPr>
                    <w:jc w:val="center"/>
                    <w:rPr>
                      <w:b w:val="0"/>
                      <w:bCs w:val="0"/>
                      <w:color w:val="FF0000"/>
                      <w:szCs w:val="21"/>
                      <w:highlight w:val="green"/>
                    </w:rPr>
                  </w:pPr>
                  <w:r>
                    <w:rPr>
                      <w:b w:val="0"/>
                      <w:bCs w:val="0"/>
                      <w:color w:val="FF0000"/>
                      <w:szCs w:val="21"/>
                      <w:highlight w:val="green"/>
                    </w:rPr>
                    <w:t>工艺</w:t>
                  </w:r>
                </w:p>
              </w:tc>
              <w:tc>
                <w:tcPr>
                  <w:tcW w:w="683" w:type="dxa"/>
                  <w:tcBorders>
                    <w:tl2br w:val="nil"/>
                    <w:tr2bl w:val="nil"/>
                  </w:tcBorders>
                  <w:vAlign w:val="center"/>
                </w:tcPr>
                <w:p w14:paraId="6E2569BE">
                  <w:pPr>
                    <w:jc w:val="center"/>
                    <w:rPr>
                      <w:b w:val="0"/>
                      <w:bCs w:val="0"/>
                      <w:color w:val="FF0000"/>
                      <w:szCs w:val="21"/>
                      <w:highlight w:val="green"/>
                    </w:rPr>
                  </w:pPr>
                  <w:r>
                    <w:rPr>
                      <w:b w:val="0"/>
                      <w:bCs w:val="0"/>
                      <w:color w:val="FF0000"/>
                      <w:szCs w:val="21"/>
                      <w:highlight w:val="green"/>
                    </w:rPr>
                    <w:t>降噪效果</w:t>
                  </w:r>
                </w:p>
              </w:tc>
              <w:tc>
                <w:tcPr>
                  <w:tcW w:w="617" w:type="dxa"/>
                  <w:tcBorders>
                    <w:tl2br w:val="nil"/>
                    <w:tr2bl w:val="nil"/>
                  </w:tcBorders>
                  <w:vAlign w:val="center"/>
                </w:tcPr>
                <w:p w14:paraId="3048952F">
                  <w:pPr>
                    <w:jc w:val="center"/>
                    <w:rPr>
                      <w:b w:val="0"/>
                      <w:bCs w:val="0"/>
                      <w:color w:val="FF0000"/>
                      <w:szCs w:val="21"/>
                      <w:highlight w:val="green"/>
                    </w:rPr>
                  </w:pPr>
                  <w:r>
                    <w:rPr>
                      <w:b w:val="0"/>
                      <w:bCs w:val="0"/>
                      <w:color w:val="FF0000"/>
                      <w:szCs w:val="21"/>
                      <w:highlight w:val="green"/>
                    </w:rPr>
                    <w:t>核算方法</w:t>
                  </w:r>
                </w:p>
              </w:tc>
              <w:tc>
                <w:tcPr>
                  <w:tcW w:w="850" w:type="dxa"/>
                  <w:tcBorders>
                    <w:tl2br w:val="nil"/>
                    <w:tr2bl w:val="nil"/>
                  </w:tcBorders>
                  <w:vAlign w:val="center"/>
                </w:tcPr>
                <w:p w14:paraId="6592B799">
                  <w:pPr>
                    <w:jc w:val="center"/>
                    <w:rPr>
                      <w:b w:val="0"/>
                      <w:bCs w:val="0"/>
                      <w:color w:val="FF0000"/>
                      <w:szCs w:val="21"/>
                      <w:highlight w:val="green"/>
                    </w:rPr>
                  </w:pPr>
                  <w:r>
                    <w:rPr>
                      <w:b w:val="0"/>
                      <w:bCs w:val="0"/>
                      <w:color w:val="FF0000"/>
                      <w:szCs w:val="21"/>
                      <w:highlight w:val="green"/>
                    </w:rPr>
                    <w:t>噪声值</w:t>
                  </w:r>
                </w:p>
              </w:tc>
              <w:tc>
                <w:tcPr>
                  <w:tcW w:w="1065" w:type="dxa"/>
                  <w:vMerge w:val="continue"/>
                  <w:tcBorders>
                    <w:tl2br w:val="nil"/>
                    <w:tr2bl w:val="nil"/>
                  </w:tcBorders>
                  <w:vAlign w:val="center"/>
                </w:tcPr>
                <w:p w14:paraId="312CA85A">
                  <w:pPr>
                    <w:jc w:val="center"/>
                    <w:rPr>
                      <w:color w:val="FF0000"/>
                      <w:szCs w:val="21"/>
                      <w:highlight w:val="green"/>
                    </w:rPr>
                  </w:pPr>
                </w:p>
              </w:tc>
            </w:tr>
            <w:tr w14:paraId="1A5FF1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879" w:type="dxa"/>
                  <w:tcBorders>
                    <w:tl2br w:val="nil"/>
                    <w:tr2bl w:val="nil"/>
                  </w:tcBorders>
                  <w:shd w:val="clear" w:color="auto" w:fill="auto"/>
                  <w:vAlign w:val="center"/>
                </w:tcPr>
                <w:p w14:paraId="0B98DBFA">
                  <w:pPr>
                    <w:jc w:val="center"/>
                    <w:rPr>
                      <w:rFonts w:ascii="Times New Roman" w:hAnsi="Times New Roman" w:eastAsia="宋体" w:cs="Times New Roman"/>
                      <w:i/>
                      <w:iCs/>
                      <w:color w:val="FF0000"/>
                      <w:kern w:val="2"/>
                      <w:sz w:val="21"/>
                      <w:szCs w:val="21"/>
                      <w:highlight w:val="green"/>
                      <w:lang w:val="en-US" w:eastAsia="zh-CN" w:bidi="ar-SA"/>
                    </w:rPr>
                  </w:pPr>
                  <w:r>
                    <w:rPr>
                      <w:rFonts w:hint="eastAsia"/>
                      <w:color w:val="FF0000"/>
                      <w:szCs w:val="21"/>
                      <w:highlight w:val="green"/>
                      <w:lang w:val="en-US" w:eastAsia="zh-CN"/>
                    </w:rPr>
                    <w:t>给料机</w:t>
                  </w:r>
                </w:p>
              </w:tc>
              <w:tc>
                <w:tcPr>
                  <w:tcW w:w="807" w:type="dxa"/>
                  <w:tcBorders>
                    <w:tl2br w:val="nil"/>
                    <w:tr2bl w:val="nil"/>
                  </w:tcBorders>
                  <w:shd w:val="clear" w:color="auto" w:fill="auto"/>
                  <w:vAlign w:val="center"/>
                </w:tcPr>
                <w:p w14:paraId="5C8243DD">
                  <w:pPr>
                    <w:jc w:val="center"/>
                    <w:rPr>
                      <w:rFonts w:hint="eastAsia" w:ascii="Times New Roman" w:hAnsi="Times New Roman" w:eastAsia="宋体" w:cs="Times New Roman"/>
                      <w:b w:val="0"/>
                      <w:bCs/>
                      <w:color w:val="FF0000"/>
                      <w:kern w:val="0"/>
                      <w:sz w:val="21"/>
                      <w:szCs w:val="21"/>
                      <w:highlight w:val="green"/>
                      <w:lang w:val="en-US" w:eastAsia="zh-CN" w:bidi="ar-SA"/>
                    </w:rPr>
                  </w:pPr>
                  <w:r>
                    <w:rPr>
                      <w:rFonts w:hint="eastAsia" w:ascii="Times New Roman" w:hAnsi="Times New Roman" w:eastAsia="宋体" w:cs="Times New Roman"/>
                      <w:b w:val="0"/>
                      <w:bCs/>
                      <w:color w:val="FF0000"/>
                      <w:kern w:val="0"/>
                      <w:sz w:val="21"/>
                      <w:szCs w:val="21"/>
                      <w:highlight w:val="green"/>
                      <w:lang w:val="en-US" w:eastAsia="zh-CN" w:bidi="ar-SA"/>
                    </w:rPr>
                    <w:t>3</w:t>
                  </w:r>
                </w:p>
              </w:tc>
              <w:tc>
                <w:tcPr>
                  <w:tcW w:w="766" w:type="dxa"/>
                  <w:vMerge w:val="restart"/>
                  <w:tcBorders>
                    <w:tl2br w:val="nil"/>
                    <w:tr2bl w:val="nil"/>
                  </w:tcBorders>
                  <w:shd w:val="clear" w:color="auto" w:fill="auto"/>
                  <w:vAlign w:val="center"/>
                </w:tcPr>
                <w:p w14:paraId="0C4522EF">
                  <w:pPr>
                    <w:jc w:val="center"/>
                    <w:rPr>
                      <w:color w:val="FF0000"/>
                      <w:szCs w:val="21"/>
                      <w:highlight w:val="green"/>
                    </w:rPr>
                  </w:pPr>
                  <w:r>
                    <w:rPr>
                      <w:color w:val="FF0000"/>
                      <w:szCs w:val="21"/>
                      <w:highlight w:val="green"/>
                    </w:rPr>
                    <w:t>频发</w:t>
                  </w:r>
                </w:p>
              </w:tc>
              <w:tc>
                <w:tcPr>
                  <w:tcW w:w="496" w:type="dxa"/>
                  <w:vMerge w:val="restart"/>
                  <w:tcBorders>
                    <w:tl2br w:val="nil"/>
                    <w:tr2bl w:val="nil"/>
                  </w:tcBorders>
                  <w:shd w:val="clear" w:color="auto" w:fill="auto"/>
                  <w:vAlign w:val="center"/>
                </w:tcPr>
                <w:p w14:paraId="0C826401">
                  <w:pPr>
                    <w:jc w:val="center"/>
                    <w:rPr>
                      <w:color w:val="FF0000"/>
                      <w:szCs w:val="21"/>
                      <w:highlight w:val="green"/>
                    </w:rPr>
                  </w:pPr>
                  <w:r>
                    <w:rPr>
                      <w:color w:val="FF0000"/>
                      <w:szCs w:val="21"/>
                      <w:highlight w:val="green"/>
                    </w:rPr>
                    <w:t>类比法</w:t>
                  </w:r>
                </w:p>
              </w:tc>
              <w:tc>
                <w:tcPr>
                  <w:tcW w:w="721" w:type="dxa"/>
                  <w:tcBorders>
                    <w:tl2br w:val="nil"/>
                    <w:tr2bl w:val="nil"/>
                  </w:tcBorders>
                  <w:shd w:val="clear" w:color="auto" w:fill="auto"/>
                  <w:vAlign w:val="center"/>
                </w:tcPr>
                <w:p w14:paraId="28DFD2DA">
                  <w:pPr>
                    <w:pStyle w:val="91"/>
                    <w:adjustRightInd w:val="0"/>
                    <w:snapToGrid w:val="0"/>
                    <w:spacing w:line="240" w:lineRule="auto"/>
                    <w:ind w:firstLine="0" w:firstLineChars="0"/>
                    <w:rPr>
                      <w:rFonts w:hint="eastAsia" w:ascii="Times New Roman" w:hAnsi="Times New Roman" w:eastAsia="宋体" w:cs="Times New Roman"/>
                      <w:b w:val="0"/>
                      <w:bCs/>
                      <w:color w:val="FF0000"/>
                      <w:kern w:val="0"/>
                      <w:sz w:val="21"/>
                      <w:szCs w:val="21"/>
                      <w:highlight w:val="green"/>
                      <w:lang w:val="en-US" w:eastAsia="zh-CN" w:bidi="ar-SA"/>
                    </w:rPr>
                  </w:pPr>
                  <w:r>
                    <w:rPr>
                      <w:rFonts w:hint="eastAsia" w:ascii="Times New Roman" w:hAnsi="Times New Roman" w:eastAsia="宋体" w:cs="Times New Roman"/>
                      <w:b w:val="0"/>
                      <w:bCs/>
                      <w:color w:val="FF0000"/>
                      <w:kern w:val="0"/>
                      <w:sz w:val="21"/>
                      <w:szCs w:val="21"/>
                      <w:highlight w:val="green"/>
                      <w:lang w:val="en-US" w:eastAsia="zh-CN" w:bidi="ar-SA"/>
                    </w:rPr>
                    <w:t>85</w:t>
                  </w:r>
                </w:p>
              </w:tc>
              <w:tc>
                <w:tcPr>
                  <w:tcW w:w="1176" w:type="dxa"/>
                  <w:vMerge w:val="restart"/>
                  <w:tcBorders>
                    <w:tl2br w:val="nil"/>
                    <w:tr2bl w:val="nil"/>
                  </w:tcBorders>
                  <w:shd w:val="clear" w:color="auto" w:fill="auto"/>
                  <w:vAlign w:val="center"/>
                </w:tcPr>
                <w:p w14:paraId="06D1FA8B">
                  <w:pPr>
                    <w:jc w:val="center"/>
                    <w:rPr>
                      <w:color w:val="FF0000"/>
                      <w:szCs w:val="21"/>
                      <w:highlight w:val="green"/>
                    </w:rPr>
                  </w:pPr>
                  <w:r>
                    <w:rPr>
                      <w:color w:val="FF0000"/>
                      <w:szCs w:val="21"/>
                      <w:highlight w:val="green"/>
                    </w:rPr>
                    <w:t>选用低噪声设备、设置在封闭厂房内，设备加装减振设备</w:t>
                  </w:r>
                </w:p>
              </w:tc>
              <w:tc>
                <w:tcPr>
                  <w:tcW w:w="683" w:type="dxa"/>
                  <w:vMerge w:val="restart"/>
                  <w:tcBorders>
                    <w:tl2br w:val="nil"/>
                    <w:tr2bl w:val="nil"/>
                  </w:tcBorders>
                  <w:shd w:val="clear" w:color="auto" w:fill="auto"/>
                  <w:vAlign w:val="center"/>
                </w:tcPr>
                <w:p w14:paraId="47067056">
                  <w:pPr>
                    <w:jc w:val="center"/>
                    <w:rPr>
                      <w:color w:val="FF0000"/>
                      <w:szCs w:val="21"/>
                      <w:highlight w:val="green"/>
                    </w:rPr>
                  </w:pPr>
                  <w:r>
                    <w:rPr>
                      <w:color w:val="FF0000"/>
                      <w:szCs w:val="21"/>
                      <w:highlight w:val="green"/>
                    </w:rPr>
                    <w:t>降低20</w:t>
                  </w:r>
                </w:p>
                <w:p w14:paraId="09C156FF">
                  <w:pPr>
                    <w:jc w:val="center"/>
                    <w:rPr>
                      <w:color w:val="FF0000"/>
                      <w:szCs w:val="21"/>
                      <w:highlight w:val="green"/>
                    </w:rPr>
                  </w:pPr>
                  <w:r>
                    <w:rPr>
                      <w:color w:val="FF0000"/>
                      <w:szCs w:val="21"/>
                      <w:highlight w:val="green"/>
                    </w:rPr>
                    <w:t>dB</w:t>
                  </w:r>
                </w:p>
                <w:p w14:paraId="56932432">
                  <w:pPr>
                    <w:jc w:val="center"/>
                    <w:rPr>
                      <w:color w:val="FF0000"/>
                      <w:szCs w:val="21"/>
                      <w:highlight w:val="green"/>
                    </w:rPr>
                  </w:pPr>
                  <w:r>
                    <w:rPr>
                      <w:color w:val="FF0000"/>
                      <w:spacing w:val="-6"/>
                      <w:szCs w:val="21"/>
                      <w:highlight w:val="green"/>
                    </w:rPr>
                    <w:t>(A)</w:t>
                  </w:r>
                </w:p>
              </w:tc>
              <w:tc>
                <w:tcPr>
                  <w:tcW w:w="617" w:type="dxa"/>
                  <w:vMerge w:val="restart"/>
                  <w:tcBorders>
                    <w:tl2br w:val="nil"/>
                    <w:tr2bl w:val="nil"/>
                  </w:tcBorders>
                  <w:shd w:val="clear" w:color="auto" w:fill="auto"/>
                  <w:vAlign w:val="center"/>
                </w:tcPr>
                <w:p w14:paraId="17BBE9B3">
                  <w:pPr>
                    <w:jc w:val="center"/>
                    <w:rPr>
                      <w:color w:val="FF0000"/>
                      <w:szCs w:val="21"/>
                      <w:highlight w:val="green"/>
                    </w:rPr>
                  </w:pPr>
                  <w:r>
                    <w:rPr>
                      <w:color w:val="FF0000"/>
                      <w:szCs w:val="21"/>
                      <w:highlight w:val="green"/>
                    </w:rPr>
                    <w:t>类比法</w:t>
                  </w:r>
                </w:p>
              </w:tc>
              <w:tc>
                <w:tcPr>
                  <w:tcW w:w="850" w:type="dxa"/>
                  <w:tcBorders>
                    <w:tl2br w:val="nil"/>
                    <w:tr2bl w:val="nil"/>
                  </w:tcBorders>
                  <w:shd w:val="clear" w:color="auto" w:fill="auto"/>
                  <w:vAlign w:val="center"/>
                </w:tcPr>
                <w:p w14:paraId="7F57B1AF">
                  <w:pPr>
                    <w:pStyle w:val="91"/>
                    <w:adjustRightInd w:val="0"/>
                    <w:snapToGrid w:val="0"/>
                    <w:spacing w:line="240" w:lineRule="auto"/>
                    <w:ind w:firstLine="0" w:firstLineChars="0"/>
                    <w:rPr>
                      <w:rFonts w:ascii="Times New Roman" w:hAnsi="Times New Roman" w:eastAsia="宋体" w:cs="Times New Roman"/>
                      <w:b w:val="0"/>
                      <w:bCs/>
                      <w:color w:val="FF0000"/>
                      <w:kern w:val="0"/>
                      <w:sz w:val="21"/>
                      <w:szCs w:val="21"/>
                      <w:highlight w:val="green"/>
                      <w:lang w:val="en-US" w:eastAsia="zh-CN" w:bidi="ar-SA"/>
                    </w:rPr>
                  </w:pPr>
                  <w:r>
                    <w:rPr>
                      <w:rFonts w:hint="eastAsia" w:ascii="Times New Roman" w:hAnsi="Times New Roman"/>
                      <w:b w:val="0"/>
                      <w:bCs/>
                      <w:color w:val="FF0000"/>
                      <w:sz w:val="21"/>
                      <w:highlight w:val="green"/>
                    </w:rPr>
                    <w:t>65</w:t>
                  </w:r>
                </w:p>
              </w:tc>
              <w:tc>
                <w:tcPr>
                  <w:tcW w:w="1065" w:type="dxa"/>
                  <w:vMerge w:val="restart"/>
                  <w:tcBorders>
                    <w:tl2br w:val="nil"/>
                    <w:tr2bl w:val="nil"/>
                  </w:tcBorders>
                  <w:vAlign w:val="center"/>
                </w:tcPr>
                <w:p w14:paraId="44FE6CAE">
                  <w:pPr>
                    <w:jc w:val="center"/>
                    <w:rPr>
                      <w:rFonts w:hint="default" w:eastAsia="宋体"/>
                      <w:color w:val="FF0000"/>
                      <w:szCs w:val="21"/>
                      <w:highlight w:val="green"/>
                      <w:lang w:val="en-US" w:eastAsia="zh-CN"/>
                    </w:rPr>
                  </w:pPr>
                  <w:r>
                    <w:rPr>
                      <w:rFonts w:hint="eastAsia"/>
                      <w:color w:val="FF0000"/>
                      <w:szCs w:val="21"/>
                      <w:highlight w:val="green"/>
                      <w:lang w:val="en-US" w:eastAsia="zh-CN"/>
                    </w:rPr>
                    <w:t>5280</w:t>
                  </w:r>
                </w:p>
              </w:tc>
            </w:tr>
            <w:tr w14:paraId="486481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879" w:type="dxa"/>
                  <w:tcBorders>
                    <w:tl2br w:val="nil"/>
                    <w:tr2bl w:val="nil"/>
                  </w:tcBorders>
                  <w:shd w:val="clear" w:color="auto" w:fill="auto"/>
                  <w:vAlign w:val="center"/>
                </w:tcPr>
                <w:p w14:paraId="4E6663F0">
                  <w:pPr>
                    <w:jc w:val="center"/>
                    <w:rPr>
                      <w:rFonts w:hint="eastAsia" w:ascii="Times New Roman" w:hAnsi="Times New Roman" w:eastAsia="宋体" w:cs="Times New Roman"/>
                      <w:color w:val="FF0000"/>
                      <w:kern w:val="2"/>
                      <w:sz w:val="21"/>
                      <w:szCs w:val="21"/>
                      <w:highlight w:val="green"/>
                      <w:lang w:val="en-US" w:eastAsia="zh-CN" w:bidi="ar-SA"/>
                    </w:rPr>
                  </w:pPr>
                  <w:r>
                    <w:rPr>
                      <w:color w:val="FF0000"/>
                      <w:szCs w:val="21"/>
                      <w:highlight w:val="green"/>
                    </w:rPr>
                    <w:t>旋流器</w:t>
                  </w:r>
                </w:p>
              </w:tc>
              <w:tc>
                <w:tcPr>
                  <w:tcW w:w="807" w:type="dxa"/>
                  <w:tcBorders>
                    <w:tl2br w:val="nil"/>
                    <w:tr2bl w:val="nil"/>
                  </w:tcBorders>
                  <w:shd w:val="clear" w:color="auto" w:fill="auto"/>
                  <w:vAlign w:val="center"/>
                </w:tcPr>
                <w:p w14:paraId="5D74405A">
                  <w:pPr>
                    <w:jc w:val="center"/>
                    <w:rPr>
                      <w:rFonts w:hint="eastAsia" w:ascii="Times New Roman" w:hAnsi="Times New Roman" w:eastAsia="宋体" w:cs="Times New Roman"/>
                      <w:color w:val="FF0000"/>
                      <w:kern w:val="2"/>
                      <w:sz w:val="21"/>
                      <w:szCs w:val="21"/>
                      <w:highlight w:val="green"/>
                      <w:lang w:val="en-US" w:eastAsia="zh-CN" w:bidi="zh-CN"/>
                    </w:rPr>
                  </w:pPr>
                  <w:r>
                    <w:rPr>
                      <w:rFonts w:hint="eastAsia"/>
                      <w:color w:val="FF0000"/>
                      <w:szCs w:val="21"/>
                      <w:highlight w:val="green"/>
                      <w:lang w:val="en-US" w:bidi="zh-CN"/>
                    </w:rPr>
                    <w:t>2</w:t>
                  </w:r>
                </w:p>
              </w:tc>
              <w:tc>
                <w:tcPr>
                  <w:tcW w:w="766" w:type="dxa"/>
                  <w:vMerge w:val="continue"/>
                  <w:tcBorders>
                    <w:tl2br w:val="nil"/>
                    <w:tr2bl w:val="nil"/>
                  </w:tcBorders>
                  <w:shd w:val="clear" w:color="auto" w:fill="auto"/>
                  <w:vAlign w:val="center"/>
                </w:tcPr>
                <w:p w14:paraId="03F8CC8D">
                  <w:pPr>
                    <w:jc w:val="center"/>
                    <w:rPr>
                      <w:rFonts w:hint="eastAsia" w:ascii="Times New Roman" w:hAnsi="Times New Roman" w:eastAsia="宋体" w:cs="Times New Roman"/>
                      <w:color w:val="FF0000"/>
                      <w:kern w:val="2"/>
                      <w:sz w:val="21"/>
                      <w:szCs w:val="21"/>
                      <w:highlight w:val="green"/>
                      <w:lang w:val="en-US" w:eastAsia="zh-CN" w:bidi="ar-SA"/>
                    </w:rPr>
                  </w:pPr>
                </w:p>
              </w:tc>
              <w:tc>
                <w:tcPr>
                  <w:tcW w:w="496" w:type="dxa"/>
                  <w:vMerge w:val="continue"/>
                  <w:tcBorders>
                    <w:tl2br w:val="nil"/>
                    <w:tr2bl w:val="nil"/>
                  </w:tcBorders>
                  <w:shd w:val="clear" w:color="auto" w:fill="auto"/>
                  <w:vAlign w:val="center"/>
                </w:tcPr>
                <w:p w14:paraId="4A5575F9">
                  <w:pPr>
                    <w:jc w:val="center"/>
                    <w:rPr>
                      <w:rFonts w:hint="eastAsia" w:ascii="Times New Roman" w:hAnsi="Times New Roman" w:eastAsia="宋体" w:cs="Times New Roman"/>
                      <w:color w:val="FF0000"/>
                      <w:kern w:val="2"/>
                      <w:sz w:val="21"/>
                      <w:szCs w:val="21"/>
                      <w:highlight w:val="green"/>
                      <w:lang w:val="en-US" w:eastAsia="zh-CN" w:bidi="ar-SA"/>
                    </w:rPr>
                  </w:pPr>
                </w:p>
              </w:tc>
              <w:tc>
                <w:tcPr>
                  <w:tcW w:w="721" w:type="dxa"/>
                  <w:tcBorders>
                    <w:tl2br w:val="nil"/>
                    <w:tr2bl w:val="nil"/>
                  </w:tcBorders>
                  <w:shd w:val="clear" w:color="auto" w:fill="auto"/>
                  <w:vAlign w:val="center"/>
                </w:tcPr>
                <w:p w14:paraId="005A6024">
                  <w:pPr>
                    <w:pStyle w:val="91"/>
                    <w:adjustRightInd w:val="0"/>
                    <w:snapToGrid w:val="0"/>
                    <w:spacing w:line="240" w:lineRule="auto"/>
                    <w:ind w:firstLine="0" w:firstLineChars="0"/>
                    <w:rPr>
                      <w:rFonts w:hint="eastAsia" w:ascii="Times New Roman" w:hAnsi="Times New Roman" w:eastAsia="宋体" w:cs="Times New Roman"/>
                      <w:b/>
                      <w:color w:val="FF0000"/>
                      <w:kern w:val="0"/>
                      <w:sz w:val="21"/>
                      <w:szCs w:val="21"/>
                      <w:highlight w:val="green"/>
                      <w:lang w:val="en-US" w:eastAsia="zh-CN" w:bidi="ar-SA"/>
                    </w:rPr>
                  </w:pPr>
                  <w:r>
                    <w:rPr>
                      <w:rFonts w:ascii="Times New Roman" w:hAnsi="Times New Roman"/>
                      <w:b w:val="0"/>
                      <w:bCs/>
                      <w:color w:val="FF0000"/>
                      <w:sz w:val="21"/>
                      <w:highlight w:val="green"/>
                    </w:rPr>
                    <w:t>80</w:t>
                  </w:r>
                </w:p>
              </w:tc>
              <w:tc>
                <w:tcPr>
                  <w:tcW w:w="1176" w:type="dxa"/>
                  <w:vMerge w:val="continue"/>
                  <w:tcBorders>
                    <w:tl2br w:val="nil"/>
                    <w:tr2bl w:val="nil"/>
                  </w:tcBorders>
                  <w:shd w:val="clear" w:color="auto" w:fill="auto"/>
                  <w:vAlign w:val="center"/>
                </w:tcPr>
                <w:p w14:paraId="3D94FED2">
                  <w:pPr>
                    <w:jc w:val="center"/>
                    <w:rPr>
                      <w:rFonts w:ascii="Times New Roman" w:hAnsi="Times New Roman" w:eastAsia="宋体" w:cs="Times New Roman"/>
                      <w:color w:val="FF0000"/>
                      <w:kern w:val="2"/>
                      <w:sz w:val="21"/>
                      <w:szCs w:val="21"/>
                      <w:highlight w:val="green"/>
                      <w:lang w:val="en-US" w:eastAsia="zh-CN" w:bidi="ar-SA"/>
                    </w:rPr>
                  </w:pPr>
                </w:p>
              </w:tc>
              <w:tc>
                <w:tcPr>
                  <w:tcW w:w="683" w:type="dxa"/>
                  <w:vMerge w:val="continue"/>
                  <w:tcBorders>
                    <w:tl2br w:val="nil"/>
                    <w:tr2bl w:val="nil"/>
                  </w:tcBorders>
                  <w:shd w:val="clear" w:color="auto" w:fill="auto"/>
                  <w:vAlign w:val="center"/>
                </w:tcPr>
                <w:p w14:paraId="78E36D9C">
                  <w:pPr>
                    <w:jc w:val="center"/>
                    <w:rPr>
                      <w:rFonts w:ascii="Times New Roman" w:hAnsi="Times New Roman" w:eastAsia="宋体" w:cs="Times New Roman"/>
                      <w:color w:val="FF0000"/>
                      <w:kern w:val="2"/>
                      <w:sz w:val="21"/>
                      <w:szCs w:val="21"/>
                      <w:highlight w:val="green"/>
                      <w:lang w:val="en-US" w:eastAsia="zh-CN" w:bidi="ar-SA"/>
                    </w:rPr>
                  </w:pPr>
                </w:p>
              </w:tc>
              <w:tc>
                <w:tcPr>
                  <w:tcW w:w="617" w:type="dxa"/>
                  <w:vMerge w:val="continue"/>
                  <w:tcBorders>
                    <w:tl2br w:val="nil"/>
                    <w:tr2bl w:val="nil"/>
                  </w:tcBorders>
                  <w:shd w:val="clear" w:color="auto" w:fill="auto"/>
                  <w:vAlign w:val="center"/>
                </w:tcPr>
                <w:p w14:paraId="5AF3CBDE">
                  <w:pPr>
                    <w:jc w:val="center"/>
                    <w:rPr>
                      <w:rFonts w:ascii="Times New Roman" w:hAnsi="Times New Roman" w:eastAsia="宋体" w:cs="Times New Roman"/>
                      <w:color w:val="FF0000"/>
                      <w:kern w:val="2"/>
                      <w:sz w:val="21"/>
                      <w:szCs w:val="21"/>
                      <w:highlight w:val="green"/>
                      <w:lang w:val="en-US" w:eastAsia="zh-CN" w:bidi="ar-SA"/>
                    </w:rPr>
                  </w:pPr>
                </w:p>
              </w:tc>
              <w:tc>
                <w:tcPr>
                  <w:tcW w:w="850" w:type="dxa"/>
                  <w:tcBorders>
                    <w:tl2br w:val="nil"/>
                    <w:tr2bl w:val="nil"/>
                  </w:tcBorders>
                  <w:shd w:val="clear" w:color="auto" w:fill="auto"/>
                  <w:vAlign w:val="center"/>
                </w:tcPr>
                <w:p w14:paraId="677CD698">
                  <w:pPr>
                    <w:pStyle w:val="91"/>
                    <w:adjustRightInd w:val="0"/>
                    <w:snapToGrid w:val="0"/>
                    <w:spacing w:line="240" w:lineRule="auto"/>
                    <w:ind w:firstLine="0" w:firstLineChars="0"/>
                    <w:rPr>
                      <w:rFonts w:hint="eastAsia" w:ascii="Times New Roman" w:hAnsi="Times New Roman" w:eastAsia="宋体" w:cs="Times New Roman"/>
                      <w:b/>
                      <w:color w:val="FF0000"/>
                      <w:kern w:val="0"/>
                      <w:sz w:val="21"/>
                      <w:szCs w:val="21"/>
                      <w:highlight w:val="green"/>
                      <w:lang w:val="en-US" w:eastAsia="zh-CN" w:bidi="ar-SA"/>
                    </w:rPr>
                  </w:pPr>
                  <w:r>
                    <w:rPr>
                      <w:rFonts w:ascii="Times New Roman" w:hAnsi="Times New Roman"/>
                      <w:b w:val="0"/>
                      <w:bCs/>
                      <w:color w:val="FF0000"/>
                      <w:sz w:val="21"/>
                      <w:highlight w:val="green"/>
                    </w:rPr>
                    <w:t>60</w:t>
                  </w:r>
                </w:p>
              </w:tc>
              <w:tc>
                <w:tcPr>
                  <w:tcW w:w="1065" w:type="dxa"/>
                  <w:vMerge w:val="continue"/>
                  <w:tcBorders>
                    <w:tl2br w:val="nil"/>
                    <w:tr2bl w:val="nil"/>
                  </w:tcBorders>
                  <w:vAlign w:val="center"/>
                </w:tcPr>
                <w:p w14:paraId="2EAEAE7C">
                  <w:pPr>
                    <w:jc w:val="center"/>
                    <w:rPr>
                      <w:color w:val="FF0000"/>
                      <w:szCs w:val="21"/>
                      <w:highlight w:val="green"/>
                    </w:rPr>
                  </w:pPr>
                </w:p>
              </w:tc>
            </w:tr>
            <w:tr w14:paraId="196EEE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879" w:type="dxa"/>
                  <w:tcBorders>
                    <w:tl2br w:val="nil"/>
                    <w:tr2bl w:val="nil"/>
                  </w:tcBorders>
                  <w:shd w:val="clear" w:color="auto" w:fill="auto"/>
                  <w:vAlign w:val="center"/>
                </w:tcPr>
                <w:p w14:paraId="738BB5F3">
                  <w:pPr>
                    <w:jc w:val="center"/>
                    <w:rPr>
                      <w:rFonts w:ascii="Times New Roman" w:hAnsi="Times New Roman" w:eastAsia="宋体" w:cs="Times New Roman"/>
                      <w:color w:val="FF0000"/>
                      <w:kern w:val="2"/>
                      <w:sz w:val="21"/>
                      <w:szCs w:val="21"/>
                      <w:highlight w:val="green"/>
                      <w:lang w:val="en-US" w:eastAsia="zh-CN" w:bidi="ar-SA"/>
                    </w:rPr>
                  </w:pPr>
                  <w:r>
                    <w:rPr>
                      <w:color w:val="FF0000"/>
                      <w:szCs w:val="21"/>
                      <w:highlight w:val="green"/>
                    </w:rPr>
                    <w:t>脱介筛</w:t>
                  </w:r>
                </w:p>
              </w:tc>
              <w:tc>
                <w:tcPr>
                  <w:tcW w:w="807" w:type="dxa"/>
                  <w:tcBorders>
                    <w:tl2br w:val="nil"/>
                    <w:tr2bl w:val="nil"/>
                  </w:tcBorders>
                  <w:shd w:val="clear" w:color="auto" w:fill="auto"/>
                  <w:vAlign w:val="center"/>
                </w:tcPr>
                <w:p w14:paraId="4FFEDAF5">
                  <w:pPr>
                    <w:jc w:val="center"/>
                    <w:rPr>
                      <w:rFonts w:hint="eastAsia" w:ascii="Times New Roman" w:hAnsi="Times New Roman" w:eastAsia="宋体" w:cs="Times New Roman"/>
                      <w:color w:val="FF0000"/>
                      <w:kern w:val="2"/>
                      <w:sz w:val="21"/>
                      <w:szCs w:val="21"/>
                      <w:highlight w:val="green"/>
                      <w:lang w:val="en-US" w:eastAsia="zh-CN" w:bidi="zh-CN"/>
                    </w:rPr>
                  </w:pPr>
                  <w:r>
                    <w:rPr>
                      <w:rFonts w:hint="eastAsia"/>
                      <w:color w:val="FF0000"/>
                      <w:szCs w:val="21"/>
                      <w:highlight w:val="green"/>
                      <w:lang w:val="en-US" w:bidi="zh-CN"/>
                    </w:rPr>
                    <w:t>10</w:t>
                  </w:r>
                </w:p>
              </w:tc>
              <w:tc>
                <w:tcPr>
                  <w:tcW w:w="766" w:type="dxa"/>
                  <w:vMerge w:val="continue"/>
                  <w:tcBorders>
                    <w:tl2br w:val="nil"/>
                    <w:tr2bl w:val="nil"/>
                  </w:tcBorders>
                  <w:shd w:val="clear" w:color="auto" w:fill="auto"/>
                  <w:vAlign w:val="center"/>
                </w:tcPr>
                <w:p w14:paraId="502A697A">
                  <w:pPr>
                    <w:jc w:val="center"/>
                    <w:rPr>
                      <w:rFonts w:hint="eastAsia" w:ascii="Times New Roman" w:hAnsi="Times New Roman" w:eastAsia="宋体" w:cs="Times New Roman"/>
                      <w:color w:val="FF0000"/>
                      <w:kern w:val="2"/>
                      <w:sz w:val="21"/>
                      <w:szCs w:val="21"/>
                      <w:highlight w:val="green"/>
                      <w:lang w:val="en-US" w:eastAsia="zh-CN" w:bidi="ar-SA"/>
                    </w:rPr>
                  </w:pPr>
                </w:p>
              </w:tc>
              <w:tc>
                <w:tcPr>
                  <w:tcW w:w="496" w:type="dxa"/>
                  <w:vMerge w:val="continue"/>
                  <w:tcBorders>
                    <w:tl2br w:val="nil"/>
                    <w:tr2bl w:val="nil"/>
                  </w:tcBorders>
                  <w:shd w:val="clear" w:color="auto" w:fill="auto"/>
                  <w:vAlign w:val="center"/>
                </w:tcPr>
                <w:p w14:paraId="077B220C">
                  <w:pPr>
                    <w:jc w:val="center"/>
                    <w:rPr>
                      <w:rFonts w:hint="eastAsia" w:ascii="Times New Roman" w:hAnsi="Times New Roman" w:eastAsia="宋体" w:cs="Times New Roman"/>
                      <w:color w:val="FF0000"/>
                      <w:kern w:val="2"/>
                      <w:sz w:val="21"/>
                      <w:szCs w:val="21"/>
                      <w:highlight w:val="green"/>
                      <w:lang w:val="en-US" w:eastAsia="zh-CN" w:bidi="ar-SA"/>
                    </w:rPr>
                  </w:pPr>
                </w:p>
              </w:tc>
              <w:tc>
                <w:tcPr>
                  <w:tcW w:w="721" w:type="dxa"/>
                  <w:tcBorders>
                    <w:tl2br w:val="nil"/>
                    <w:tr2bl w:val="nil"/>
                  </w:tcBorders>
                  <w:shd w:val="clear" w:color="auto" w:fill="auto"/>
                  <w:vAlign w:val="center"/>
                </w:tcPr>
                <w:p w14:paraId="57FA77E9">
                  <w:pPr>
                    <w:pStyle w:val="91"/>
                    <w:adjustRightInd w:val="0"/>
                    <w:snapToGrid w:val="0"/>
                    <w:spacing w:line="240" w:lineRule="auto"/>
                    <w:ind w:firstLine="0" w:firstLineChars="0"/>
                    <w:rPr>
                      <w:rFonts w:ascii="Times New Roman" w:hAnsi="Times New Roman"/>
                      <w:b w:val="0"/>
                      <w:bCs/>
                      <w:color w:val="FF0000"/>
                      <w:sz w:val="21"/>
                      <w:highlight w:val="green"/>
                    </w:rPr>
                  </w:pPr>
                  <w:r>
                    <w:rPr>
                      <w:rFonts w:hint="eastAsia" w:ascii="Times New Roman" w:hAnsi="Times New Roman"/>
                      <w:b w:val="0"/>
                      <w:bCs/>
                      <w:color w:val="FF0000"/>
                      <w:sz w:val="21"/>
                      <w:highlight w:val="green"/>
                      <w:lang w:val="en-US" w:eastAsia="zh-CN"/>
                    </w:rPr>
                    <w:t>85</w:t>
                  </w:r>
                </w:p>
              </w:tc>
              <w:tc>
                <w:tcPr>
                  <w:tcW w:w="1176" w:type="dxa"/>
                  <w:vMerge w:val="continue"/>
                  <w:tcBorders>
                    <w:tl2br w:val="nil"/>
                    <w:tr2bl w:val="nil"/>
                  </w:tcBorders>
                  <w:shd w:val="clear" w:color="auto" w:fill="auto"/>
                  <w:vAlign w:val="center"/>
                </w:tcPr>
                <w:p w14:paraId="04975E50">
                  <w:pPr>
                    <w:jc w:val="center"/>
                    <w:rPr>
                      <w:rFonts w:ascii="Times New Roman" w:hAnsi="Times New Roman" w:eastAsia="宋体" w:cs="Times New Roman"/>
                      <w:color w:val="FF0000"/>
                      <w:kern w:val="2"/>
                      <w:sz w:val="21"/>
                      <w:szCs w:val="21"/>
                      <w:highlight w:val="green"/>
                      <w:lang w:val="en-US" w:eastAsia="zh-CN" w:bidi="ar-SA"/>
                    </w:rPr>
                  </w:pPr>
                </w:p>
              </w:tc>
              <w:tc>
                <w:tcPr>
                  <w:tcW w:w="683" w:type="dxa"/>
                  <w:vMerge w:val="continue"/>
                  <w:tcBorders>
                    <w:tl2br w:val="nil"/>
                    <w:tr2bl w:val="nil"/>
                  </w:tcBorders>
                  <w:shd w:val="clear" w:color="auto" w:fill="auto"/>
                  <w:vAlign w:val="center"/>
                </w:tcPr>
                <w:p w14:paraId="14624975">
                  <w:pPr>
                    <w:jc w:val="center"/>
                    <w:rPr>
                      <w:rFonts w:ascii="Times New Roman" w:hAnsi="Times New Roman" w:eastAsia="宋体" w:cs="Times New Roman"/>
                      <w:color w:val="FF0000"/>
                      <w:kern w:val="2"/>
                      <w:sz w:val="21"/>
                      <w:szCs w:val="21"/>
                      <w:highlight w:val="green"/>
                      <w:lang w:val="en-US" w:eastAsia="zh-CN" w:bidi="ar-SA"/>
                    </w:rPr>
                  </w:pPr>
                </w:p>
              </w:tc>
              <w:tc>
                <w:tcPr>
                  <w:tcW w:w="617" w:type="dxa"/>
                  <w:vMerge w:val="continue"/>
                  <w:tcBorders>
                    <w:tl2br w:val="nil"/>
                    <w:tr2bl w:val="nil"/>
                  </w:tcBorders>
                  <w:shd w:val="clear" w:color="auto" w:fill="auto"/>
                  <w:vAlign w:val="center"/>
                </w:tcPr>
                <w:p w14:paraId="25DA59E9">
                  <w:pPr>
                    <w:jc w:val="center"/>
                    <w:rPr>
                      <w:rFonts w:ascii="Times New Roman" w:hAnsi="Times New Roman" w:eastAsia="宋体" w:cs="Times New Roman"/>
                      <w:color w:val="FF0000"/>
                      <w:kern w:val="2"/>
                      <w:sz w:val="21"/>
                      <w:szCs w:val="21"/>
                      <w:highlight w:val="green"/>
                      <w:lang w:val="en-US" w:eastAsia="zh-CN" w:bidi="ar-SA"/>
                    </w:rPr>
                  </w:pPr>
                </w:p>
              </w:tc>
              <w:tc>
                <w:tcPr>
                  <w:tcW w:w="850" w:type="dxa"/>
                  <w:tcBorders>
                    <w:tl2br w:val="nil"/>
                    <w:tr2bl w:val="nil"/>
                  </w:tcBorders>
                  <w:shd w:val="clear" w:color="auto" w:fill="auto"/>
                  <w:vAlign w:val="center"/>
                </w:tcPr>
                <w:p w14:paraId="7402FED4">
                  <w:pPr>
                    <w:pStyle w:val="91"/>
                    <w:adjustRightInd w:val="0"/>
                    <w:snapToGrid w:val="0"/>
                    <w:spacing w:line="240" w:lineRule="auto"/>
                    <w:ind w:firstLine="0" w:firstLineChars="0"/>
                    <w:rPr>
                      <w:rFonts w:ascii="Times New Roman" w:hAnsi="Times New Roman"/>
                      <w:b w:val="0"/>
                      <w:bCs/>
                      <w:color w:val="FF0000"/>
                      <w:sz w:val="21"/>
                      <w:highlight w:val="green"/>
                    </w:rPr>
                  </w:pPr>
                  <w:r>
                    <w:rPr>
                      <w:rFonts w:hint="eastAsia" w:ascii="Times New Roman" w:hAnsi="Times New Roman"/>
                      <w:b w:val="0"/>
                      <w:bCs/>
                      <w:color w:val="FF0000"/>
                      <w:sz w:val="21"/>
                      <w:highlight w:val="green"/>
                      <w:lang w:val="en-US" w:eastAsia="zh-CN"/>
                    </w:rPr>
                    <w:t>65</w:t>
                  </w:r>
                </w:p>
              </w:tc>
              <w:tc>
                <w:tcPr>
                  <w:tcW w:w="1065" w:type="dxa"/>
                  <w:vMerge w:val="continue"/>
                  <w:tcBorders>
                    <w:tl2br w:val="nil"/>
                    <w:tr2bl w:val="nil"/>
                  </w:tcBorders>
                  <w:vAlign w:val="center"/>
                </w:tcPr>
                <w:p w14:paraId="41285BD0">
                  <w:pPr>
                    <w:jc w:val="center"/>
                    <w:rPr>
                      <w:color w:val="FF0000"/>
                      <w:szCs w:val="21"/>
                      <w:highlight w:val="green"/>
                    </w:rPr>
                  </w:pPr>
                </w:p>
              </w:tc>
            </w:tr>
            <w:tr w14:paraId="7C3D51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879" w:type="dxa"/>
                  <w:tcBorders>
                    <w:tl2br w:val="nil"/>
                    <w:tr2bl w:val="nil"/>
                  </w:tcBorders>
                  <w:shd w:val="clear" w:color="auto" w:fill="auto"/>
                  <w:vAlign w:val="center"/>
                </w:tcPr>
                <w:p w14:paraId="5E442BBC">
                  <w:pPr>
                    <w:jc w:val="center"/>
                    <w:rPr>
                      <w:rFonts w:hint="eastAsia" w:eastAsia="宋体"/>
                      <w:color w:val="FF0000"/>
                      <w:szCs w:val="21"/>
                      <w:highlight w:val="green"/>
                      <w:lang w:val="en-US" w:eastAsia="zh-CN"/>
                    </w:rPr>
                  </w:pPr>
                  <w:r>
                    <w:rPr>
                      <w:rFonts w:hint="eastAsia"/>
                      <w:color w:val="FF0000"/>
                      <w:szCs w:val="21"/>
                      <w:highlight w:val="green"/>
                      <w:lang w:val="en-US" w:eastAsia="zh-CN"/>
                    </w:rPr>
                    <w:t>离心机</w:t>
                  </w:r>
                </w:p>
              </w:tc>
              <w:tc>
                <w:tcPr>
                  <w:tcW w:w="807" w:type="dxa"/>
                  <w:tcBorders>
                    <w:tl2br w:val="nil"/>
                    <w:tr2bl w:val="nil"/>
                  </w:tcBorders>
                  <w:shd w:val="clear" w:color="auto" w:fill="auto"/>
                  <w:vAlign w:val="center"/>
                </w:tcPr>
                <w:p w14:paraId="1483B0CF">
                  <w:pPr>
                    <w:jc w:val="center"/>
                    <w:rPr>
                      <w:rFonts w:hint="default"/>
                      <w:color w:val="FF0000"/>
                      <w:szCs w:val="21"/>
                      <w:highlight w:val="green"/>
                      <w:lang w:val="en-US" w:bidi="zh-CN"/>
                    </w:rPr>
                  </w:pPr>
                  <w:r>
                    <w:rPr>
                      <w:rFonts w:hint="eastAsia"/>
                      <w:color w:val="FF0000"/>
                      <w:szCs w:val="21"/>
                      <w:highlight w:val="green"/>
                      <w:lang w:val="en-US" w:bidi="zh-CN"/>
                    </w:rPr>
                    <w:t>6</w:t>
                  </w:r>
                </w:p>
              </w:tc>
              <w:tc>
                <w:tcPr>
                  <w:tcW w:w="766" w:type="dxa"/>
                  <w:vMerge w:val="continue"/>
                  <w:tcBorders>
                    <w:tl2br w:val="nil"/>
                    <w:tr2bl w:val="nil"/>
                  </w:tcBorders>
                  <w:shd w:val="clear" w:color="auto" w:fill="auto"/>
                  <w:vAlign w:val="center"/>
                </w:tcPr>
                <w:p w14:paraId="1748FA0A">
                  <w:pPr>
                    <w:jc w:val="center"/>
                    <w:rPr>
                      <w:rFonts w:hint="eastAsia" w:ascii="Times New Roman" w:hAnsi="Times New Roman" w:eastAsia="宋体" w:cs="Times New Roman"/>
                      <w:color w:val="FF0000"/>
                      <w:kern w:val="2"/>
                      <w:sz w:val="21"/>
                      <w:szCs w:val="21"/>
                      <w:highlight w:val="green"/>
                      <w:lang w:val="en-US" w:eastAsia="zh-CN" w:bidi="ar-SA"/>
                    </w:rPr>
                  </w:pPr>
                </w:p>
              </w:tc>
              <w:tc>
                <w:tcPr>
                  <w:tcW w:w="496" w:type="dxa"/>
                  <w:vMerge w:val="continue"/>
                  <w:tcBorders>
                    <w:tl2br w:val="nil"/>
                    <w:tr2bl w:val="nil"/>
                  </w:tcBorders>
                  <w:shd w:val="clear" w:color="auto" w:fill="auto"/>
                  <w:vAlign w:val="center"/>
                </w:tcPr>
                <w:p w14:paraId="7084E1EC">
                  <w:pPr>
                    <w:jc w:val="center"/>
                    <w:rPr>
                      <w:rFonts w:hint="eastAsia" w:ascii="Times New Roman" w:hAnsi="Times New Roman" w:eastAsia="宋体" w:cs="Times New Roman"/>
                      <w:color w:val="FF0000"/>
                      <w:kern w:val="2"/>
                      <w:sz w:val="21"/>
                      <w:szCs w:val="21"/>
                      <w:highlight w:val="green"/>
                      <w:lang w:val="en-US" w:eastAsia="zh-CN" w:bidi="ar-SA"/>
                    </w:rPr>
                  </w:pPr>
                </w:p>
              </w:tc>
              <w:tc>
                <w:tcPr>
                  <w:tcW w:w="721" w:type="dxa"/>
                  <w:tcBorders>
                    <w:tl2br w:val="nil"/>
                    <w:tr2bl w:val="nil"/>
                  </w:tcBorders>
                  <w:shd w:val="clear" w:color="auto" w:fill="auto"/>
                  <w:vAlign w:val="center"/>
                </w:tcPr>
                <w:p w14:paraId="53082C5E">
                  <w:pPr>
                    <w:pStyle w:val="91"/>
                    <w:adjustRightInd w:val="0"/>
                    <w:snapToGrid w:val="0"/>
                    <w:spacing w:line="240" w:lineRule="auto"/>
                    <w:ind w:firstLine="0" w:firstLineChars="0"/>
                    <w:rPr>
                      <w:rFonts w:hint="default" w:ascii="Times New Roman" w:hAnsi="Times New Roman"/>
                      <w:b w:val="0"/>
                      <w:bCs/>
                      <w:color w:val="FF0000"/>
                      <w:sz w:val="21"/>
                      <w:highlight w:val="green"/>
                      <w:lang w:val="en-US" w:eastAsia="zh-CN"/>
                    </w:rPr>
                  </w:pPr>
                  <w:r>
                    <w:rPr>
                      <w:rFonts w:hint="eastAsia" w:ascii="Times New Roman" w:hAnsi="Times New Roman"/>
                      <w:b w:val="0"/>
                      <w:bCs/>
                      <w:color w:val="FF0000"/>
                      <w:sz w:val="21"/>
                      <w:highlight w:val="green"/>
                      <w:lang w:val="en-US" w:eastAsia="zh-CN"/>
                    </w:rPr>
                    <w:t>80</w:t>
                  </w:r>
                </w:p>
              </w:tc>
              <w:tc>
                <w:tcPr>
                  <w:tcW w:w="1176" w:type="dxa"/>
                  <w:vMerge w:val="continue"/>
                  <w:tcBorders>
                    <w:tl2br w:val="nil"/>
                    <w:tr2bl w:val="nil"/>
                  </w:tcBorders>
                  <w:shd w:val="clear" w:color="auto" w:fill="auto"/>
                  <w:vAlign w:val="center"/>
                </w:tcPr>
                <w:p w14:paraId="1775F7E0">
                  <w:pPr>
                    <w:jc w:val="center"/>
                    <w:rPr>
                      <w:rFonts w:ascii="Times New Roman" w:hAnsi="Times New Roman" w:eastAsia="宋体" w:cs="Times New Roman"/>
                      <w:color w:val="FF0000"/>
                      <w:kern w:val="2"/>
                      <w:sz w:val="21"/>
                      <w:szCs w:val="21"/>
                      <w:highlight w:val="green"/>
                      <w:lang w:val="en-US" w:eastAsia="zh-CN" w:bidi="ar-SA"/>
                    </w:rPr>
                  </w:pPr>
                </w:p>
              </w:tc>
              <w:tc>
                <w:tcPr>
                  <w:tcW w:w="683" w:type="dxa"/>
                  <w:vMerge w:val="continue"/>
                  <w:tcBorders>
                    <w:tl2br w:val="nil"/>
                    <w:tr2bl w:val="nil"/>
                  </w:tcBorders>
                  <w:shd w:val="clear" w:color="auto" w:fill="auto"/>
                  <w:vAlign w:val="center"/>
                </w:tcPr>
                <w:p w14:paraId="30A9A985">
                  <w:pPr>
                    <w:jc w:val="center"/>
                    <w:rPr>
                      <w:rFonts w:ascii="Times New Roman" w:hAnsi="Times New Roman" w:eastAsia="宋体" w:cs="Times New Roman"/>
                      <w:color w:val="FF0000"/>
                      <w:kern w:val="2"/>
                      <w:sz w:val="21"/>
                      <w:szCs w:val="21"/>
                      <w:highlight w:val="green"/>
                      <w:lang w:val="en-US" w:eastAsia="zh-CN" w:bidi="ar-SA"/>
                    </w:rPr>
                  </w:pPr>
                </w:p>
              </w:tc>
              <w:tc>
                <w:tcPr>
                  <w:tcW w:w="617" w:type="dxa"/>
                  <w:vMerge w:val="continue"/>
                  <w:tcBorders>
                    <w:tl2br w:val="nil"/>
                    <w:tr2bl w:val="nil"/>
                  </w:tcBorders>
                  <w:shd w:val="clear" w:color="auto" w:fill="auto"/>
                  <w:vAlign w:val="center"/>
                </w:tcPr>
                <w:p w14:paraId="42626F5A">
                  <w:pPr>
                    <w:jc w:val="center"/>
                    <w:rPr>
                      <w:rFonts w:ascii="Times New Roman" w:hAnsi="Times New Roman" w:eastAsia="宋体" w:cs="Times New Roman"/>
                      <w:color w:val="FF0000"/>
                      <w:kern w:val="2"/>
                      <w:sz w:val="21"/>
                      <w:szCs w:val="21"/>
                      <w:highlight w:val="green"/>
                      <w:lang w:val="en-US" w:eastAsia="zh-CN" w:bidi="ar-SA"/>
                    </w:rPr>
                  </w:pPr>
                </w:p>
              </w:tc>
              <w:tc>
                <w:tcPr>
                  <w:tcW w:w="850" w:type="dxa"/>
                  <w:tcBorders>
                    <w:tl2br w:val="nil"/>
                    <w:tr2bl w:val="nil"/>
                  </w:tcBorders>
                  <w:shd w:val="clear" w:color="auto" w:fill="auto"/>
                  <w:vAlign w:val="center"/>
                </w:tcPr>
                <w:p w14:paraId="6DA8F4D8">
                  <w:pPr>
                    <w:pStyle w:val="91"/>
                    <w:adjustRightInd w:val="0"/>
                    <w:snapToGrid w:val="0"/>
                    <w:spacing w:line="240" w:lineRule="auto"/>
                    <w:ind w:firstLine="0" w:firstLineChars="0"/>
                    <w:rPr>
                      <w:rFonts w:hint="default" w:ascii="Times New Roman" w:hAnsi="Times New Roman"/>
                      <w:b w:val="0"/>
                      <w:bCs/>
                      <w:color w:val="FF0000"/>
                      <w:sz w:val="21"/>
                      <w:highlight w:val="green"/>
                      <w:lang w:val="en-US" w:eastAsia="zh-CN"/>
                    </w:rPr>
                  </w:pPr>
                  <w:r>
                    <w:rPr>
                      <w:rFonts w:hint="eastAsia" w:ascii="Times New Roman" w:hAnsi="Times New Roman"/>
                      <w:b w:val="0"/>
                      <w:bCs/>
                      <w:color w:val="FF0000"/>
                      <w:sz w:val="21"/>
                      <w:highlight w:val="green"/>
                      <w:lang w:val="en-US" w:eastAsia="zh-CN"/>
                    </w:rPr>
                    <w:t>60</w:t>
                  </w:r>
                </w:p>
              </w:tc>
              <w:tc>
                <w:tcPr>
                  <w:tcW w:w="1065" w:type="dxa"/>
                  <w:vMerge w:val="continue"/>
                  <w:tcBorders>
                    <w:tl2br w:val="nil"/>
                    <w:tr2bl w:val="nil"/>
                  </w:tcBorders>
                  <w:vAlign w:val="center"/>
                </w:tcPr>
                <w:p w14:paraId="06CBEC97">
                  <w:pPr>
                    <w:jc w:val="center"/>
                    <w:rPr>
                      <w:color w:val="FF0000"/>
                      <w:szCs w:val="21"/>
                      <w:highlight w:val="green"/>
                    </w:rPr>
                  </w:pPr>
                </w:p>
              </w:tc>
            </w:tr>
            <w:tr w14:paraId="38C602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879" w:type="dxa"/>
                  <w:tcBorders>
                    <w:tl2br w:val="nil"/>
                    <w:tr2bl w:val="nil"/>
                  </w:tcBorders>
                  <w:shd w:val="clear" w:color="auto" w:fill="auto"/>
                  <w:vAlign w:val="center"/>
                </w:tcPr>
                <w:p w14:paraId="066DC9A0">
                  <w:pPr>
                    <w:jc w:val="center"/>
                    <w:rPr>
                      <w:rFonts w:ascii="Times New Roman" w:hAnsi="Times New Roman" w:eastAsia="宋体" w:cs="Times New Roman"/>
                      <w:color w:val="FF0000"/>
                      <w:kern w:val="2"/>
                      <w:sz w:val="21"/>
                      <w:szCs w:val="21"/>
                      <w:highlight w:val="green"/>
                      <w:lang w:val="en-US" w:eastAsia="zh-CN" w:bidi="ar-SA"/>
                    </w:rPr>
                  </w:pPr>
                  <w:r>
                    <w:rPr>
                      <w:color w:val="FF0000"/>
                      <w:szCs w:val="21"/>
                      <w:highlight w:val="green"/>
                    </w:rPr>
                    <w:t>磁选机</w:t>
                  </w:r>
                </w:p>
              </w:tc>
              <w:tc>
                <w:tcPr>
                  <w:tcW w:w="807" w:type="dxa"/>
                  <w:tcBorders>
                    <w:tl2br w:val="nil"/>
                    <w:tr2bl w:val="nil"/>
                  </w:tcBorders>
                  <w:shd w:val="clear" w:color="auto" w:fill="auto"/>
                  <w:vAlign w:val="center"/>
                </w:tcPr>
                <w:p w14:paraId="156C0EC7">
                  <w:pPr>
                    <w:jc w:val="center"/>
                    <w:rPr>
                      <w:rFonts w:hint="default" w:ascii="Times New Roman" w:hAnsi="Times New Roman" w:eastAsia="宋体" w:cs="Times New Roman"/>
                      <w:color w:val="FF0000"/>
                      <w:kern w:val="2"/>
                      <w:sz w:val="21"/>
                      <w:szCs w:val="21"/>
                      <w:highlight w:val="green"/>
                      <w:lang w:val="en-US" w:eastAsia="zh-CN" w:bidi="zh-CN"/>
                    </w:rPr>
                  </w:pPr>
                  <w:r>
                    <w:rPr>
                      <w:rFonts w:hint="eastAsia"/>
                      <w:color w:val="FF0000"/>
                      <w:szCs w:val="21"/>
                      <w:highlight w:val="green"/>
                      <w:lang w:val="en-US" w:bidi="zh-CN"/>
                    </w:rPr>
                    <w:t>10</w:t>
                  </w:r>
                </w:p>
              </w:tc>
              <w:tc>
                <w:tcPr>
                  <w:tcW w:w="766" w:type="dxa"/>
                  <w:vMerge w:val="continue"/>
                  <w:tcBorders>
                    <w:tl2br w:val="nil"/>
                    <w:tr2bl w:val="nil"/>
                  </w:tcBorders>
                  <w:vAlign w:val="center"/>
                </w:tcPr>
                <w:p w14:paraId="5BF0B0E0">
                  <w:pPr>
                    <w:jc w:val="center"/>
                    <w:rPr>
                      <w:color w:val="FF0000"/>
                      <w:szCs w:val="21"/>
                      <w:highlight w:val="green"/>
                    </w:rPr>
                  </w:pPr>
                </w:p>
              </w:tc>
              <w:tc>
                <w:tcPr>
                  <w:tcW w:w="496" w:type="dxa"/>
                  <w:vMerge w:val="continue"/>
                  <w:tcBorders>
                    <w:tl2br w:val="nil"/>
                    <w:tr2bl w:val="nil"/>
                  </w:tcBorders>
                  <w:vAlign w:val="center"/>
                </w:tcPr>
                <w:p w14:paraId="0498A7DF">
                  <w:pPr>
                    <w:jc w:val="center"/>
                    <w:rPr>
                      <w:color w:val="FF0000"/>
                      <w:szCs w:val="21"/>
                      <w:highlight w:val="green"/>
                    </w:rPr>
                  </w:pPr>
                </w:p>
              </w:tc>
              <w:tc>
                <w:tcPr>
                  <w:tcW w:w="721" w:type="dxa"/>
                  <w:tcBorders>
                    <w:tl2br w:val="nil"/>
                    <w:tr2bl w:val="nil"/>
                  </w:tcBorders>
                  <w:vAlign w:val="center"/>
                </w:tcPr>
                <w:p w14:paraId="6F8E5C41">
                  <w:pPr>
                    <w:pStyle w:val="91"/>
                    <w:adjustRightInd w:val="0"/>
                    <w:snapToGrid w:val="0"/>
                    <w:spacing w:line="240" w:lineRule="auto"/>
                    <w:ind w:firstLine="0" w:firstLineChars="0"/>
                    <w:rPr>
                      <w:rFonts w:hint="default" w:ascii="Times New Roman" w:hAnsi="Times New Roman" w:eastAsia="宋体"/>
                      <w:color w:val="FF0000"/>
                      <w:sz w:val="21"/>
                      <w:highlight w:val="green"/>
                      <w:lang w:val="en-US" w:eastAsia="zh-CN"/>
                    </w:rPr>
                  </w:pPr>
                  <w:r>
                    <w:rPr>
                      <w:rFonts w:hint="eastAsia" w:ascii="Times New Roman" w:hAnsi="Times New Roman"/>
                      <w:b w:val="0"/>
                      <w:bCs/>
                      <w:color w:val="FF0000"/>
                      <w:sz w:val="21"/>
                      <w:highlight w:val="green"/>
                      <w:lang w:val="en-US" w:eastAsia="zh-CN"/>
                    </w:rPr>
                    <w:t>70</w:t>
                  </w:r>
                </w:p>
              </w:tc>
              <w:tc>
                <w:tcPr>
                  <w:tcW w:w="1176" w:type="dxa"/>
                  <w:vMerge w:val="continue"/>
                  <w:tcBorders>
                    <w:tl2br w:val="nil"/>
                    <w:tr2bl w:val="nil"/>
                  </w:tcBorders>
                  <w:vAlign w:val="center"/>
                </w:tcPr>
                <w:p w14:paraId="660F3093">
                  <w:pPr>
                    <w:jc w:val="center"/>
                    <w:rPr>
                      <w:color w:val="FF0000"/>
                      <w:szCs w:val="21"/>
                      <w:highlight w:val="green"/>
                    </w:rPr>
                  </w:pPr>
                </w:p>
              </w:tc>
              <w:tc>
                <w:tcPr>
                  <w:tcW w:w="683" w:type="dxa"/>
                  <w:vMerge w:val="continue"/>
                  <w:tcBorders>
                    <w:tl2br w:val="nil"/>
                    <w:tr2bl w:val="nil"/>
                  </w:tcBorders>
                  <w:vAlign w:val="center"/>
                </w:tcPr>
                <w:p w14:paraId="10D8ED54">
                  <w:pPr>
                    <w:jc w:val="center"/>
                    <w:rPr>
                      <w:color w:val="FF0000"/>
                      <w:szCs w:val="21"/>
                      <w:highlight w:val="green"/>
                    </w:rPr>
                  </w:pPr>
                </w:p>
              </w:tc>
              <w:tc>
                <w:tcPr>
                  <w:tcW w:w="617" w:type="dxa"/>
                  <w:vMerge w:val="continue"/>
                  <w:tcBorders>
                    <w:tl2br w:val="nil"/>
                    <w:tr2bl w:val="nil"/>
                  </w:tcBorders>
                  <w:vAlign w:val="center"/>
                </w:tcPr>
                <w:p w14:paraId="078FE35F">
                  <w:pPr>
                    <w:jc w:val="center"/>
                    <w:rPr>
                      <w:color w:val="FF0000"/>
                      <w:szCs w:val="21"/>
                      <w:highlight w:val="green"/>
                    </w:rPr>
                  </w:pPr>
                </w:p>
              </w:tc>
              <w:tc>
                <w:tcPr>
                  <w:tcW w:w="850" w:type="dxa"/>
                  <w:tcBorders>
                    <w:tl2br w:val="nil"/>
                    <w:tr2bl w:val="nil"/>
                  </w:tcBorders>
                  <w:vAlign w:val="center"/>
                </w:tcPr>
                <w:p w14:paraId="338703BB">
                  <w:pPr>
                    <w:pStyle w:val="91"/>
                    <w:adjustRightInd w:val="0"/>
                    <w:snapToGrid w:val="0"/>
                    <w:spacing w:line="240" w:lineRule="auto"/>
                    <w:ind w:firstLine="0" w:firstLineChars="0"/>
                    <w:rPr>
                      <w:rFonts w:hint="default" w:ascii="Times New Roman" w:hAnsi="Times New Roman" w:eastAsia="宋体"/>
                      <w:color w:val="FF0000"/>
                      <w:sz w:val="21"/>
                      <w:highlight w:val="green"/>
                      <w:lang w:val="en-US" w:eastAsia="zh-CN"/>
                    </w:rPr>
                  </w:pPr>
                  <w:r>
                    <w:rPr>
                      <w:rFonts w:hint="eastAsia" w:ascii="Times New Roman" w:hAnsi="Times New Roman"/>
                      <w:b w:val="0"/>
                      <w:bCs/>
                      <w:color w:val="FF0000"/>
                      <w:sz w:val="21"/>
                      <w:highlight w:val="green"/>
                      <w:lang w:val="en-US" w:eastAsia="zh-CN"/>
                    </w:rPr>
                    <w:t>50</w:t>
                  </w:r>
                </w:p>
              </w:tc>
              <w:tc>
                <w:tcPr>
                  <w:tcW w:w="1065" w:type="dxa"/>
                  <w:vMerge w:val="continue"/>
                  <w:tcBorders>
                    <w:tl2br w:val="nil"/>
                    <w:tr2bl w:val="nil"/>
                  </w:tcBorders>
                  <w:vAlign w:val="center"/>
                </w:tcPr>
                <w:p w14:paraId="6F074F33">
                  <w:pPr>
                    <w:jc w:val="center"/>
                    <w:rPr>
                      <w:rFonts w:hint="default" w:eastAsia="宋体"/>
                      <w:color w:val="FF0000"/>
                      <w:szCs w:val="21"/>
                      <w:highlight w:val="green"/>
                      <w:lang w:val="en-US" w:eastAsia="zh-CN"/>
                    </w:rPr>
                  </w:pPr>
                </w:p>
              </w:tc>
            </w:tr>
            <w:tr w14:paraId="5DBB4B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879" w:type="dxa"/>
                  <w:tcBorders>
                    <w:tl2br w:val="nil"/>
                    <w:tr2bl w:val="nil"/>
                  </w:tcBorders>
                  <w:vAlign w:val="center"/>
                </w:tcPr>
                <w:p w14:paraId="75903C06">
                  <w:pPr>
                    <w:jc w:val="center"/>
                    <w:rPr>
                      <w:rFonts w:hint="eastAsia" w:eastAsia="宋体"/>
                      <w:color w:val="FF0000"/>
                      <w:szCs w:val="21"/>
                      <w:highlight w:val="green"/>
                      <w:lang w:val="en-US" w:eastAsia="zh-CN"/>
                    </w:rPr>
                  </w:pPr>
                  <w:r>
                    <w:rPr>
                      <w:rFonts w:hint="eastAsia"/>
                      <w:color w:val="FF0000"/>
                      <w:szCs w:val="21"/>
                      <w:highlight w:val="green"/>
                      <w:lang w:val="en-US" w:eastAsia="zh-CN"/>
                    </w:rPr>
                    <w:t>脱水机</w:t>
                  </w:r>
                </w:p>
              </w:tc>
              <w:tc>
                <w:tcPr>
                  <w:tcW w:w="807" w:type="dxa"/>
                  <w:tcBorders>
                    <w:tl2br w:val="nil"/>
                    <w:tr2bl w:val="nil"/>
                  </w:tcBorders>
                  <w:vAlign w:val="center"/>
                </w:tcPr>
                <w:p w14:paraId="5A6213AD">
                  <w:pPr>
                    <w:jc w:val="center"/>
                    <w:rPr>
                      <w:rFonts w:hint="default"/>
                      <w:color w:val="FF0000"/>
                      <w:szCs w:val="21"/>
                      <w:highlight w:val="green"/>
                      <w:lang w:val="en-US" w:bidi="zh-CN"/>
                    </w:rPr>
                  </w:pPr>
                  <w:r>
                    <w:rPr>
                      <w:rFonts w:hint="eastAsia"/>
                      <w:color w:val="FF0000"/>
                      <w:szCs w:val="21"/>
                      <w:highlight w:val="green"/>
                      <w:lang w:val="en-US" w:bidi="zh-CN"/>
                    </w:rPr>
                    <w:t>2</w:t>
                  </w:r>
                </w:p>
              </w:tc>
              <w:tc>
                <w:tcPr>
                  <w:tcW w:w="766" w:type="dxa"/>
                  <w:vMerge w:val="continue"/>
                  <w:tcBorders>
                    <w:tl2br w:val="nil"/>
                    <w:tr2bl w:val="nil"/>
                  </w:tcBorders>
                  <w:vAlign w:val="center"/>
                </w:tcPr>
                <w:p w14:paraId="7E3A4B8E">
                  <w:pPr>
                    <w:jc w:val="center"/>
                    <w:rPr>
                      <w:color w:val="FF0000"/>
                      <w:szCs w:val="21"/>
                      <w:highlight w:val="green"/>
                    </w:rPr>
                  </w:pPr>
                </w:p>
              </w:tc>
              <w:tc>
                <w:tcPr>
                  <w:tcW w:w="496" w:type="dxa"/>
                  <w:vMerge w:val="continue"/>
                  <w:tcBorders>
                    <w:tl2br w:val="nil"/>
                    <w:tr2bl w:val="nil"/>
                  </w:tcBorders>
                  <w:vAlign w:val="center"/>
                </w:tcPr>
                <w:p w14:paraId="6CD671AD">
                  <w:pPr>
                    <w:jc w:val="center"/>
                    <w:rPr>
                      <w:color w:val="FF0000"/>
                      <w:szCs w:val="21"/>
                      <w:highlight w:val="green"/>
                    </w:rPr>
                  </w:pPr>
                </w:p>
              </w:tc>
              <w:tc>
                <w:tcPr>
                  <w:tcW w:w="721" w:type="dxa"/>
                  <w:tcBorders>
                    <w:tl2br w:val="nil"/>
                    <w:tr2bl w:val="nil"/>
                  </w:tcBorders>
                  <w:vAlign w:val="center"/>
                </w:tcPr>
                <w:p w14:paraId="28C00E71">
                  <w:pPr>
                    <w:pStyle w:val="91"/>
                    <w:adjustRightInd w:val="0"/>
                    <w:snapToGrid w:val="0"/>
                    <w:spacing w:line="240" w:lineRule="auto"/>
                    <w:ind w:firstLine="0" w:firstLineChars="0"/>
                    <w:rPr>
                      <w:rFonts w:hint="default" w:ascii="Times New Roman" w:hAnsi="Times New Roman" w:eastAsia="宋体"/>
                      <w:b w:val="0"/>
                      <w:bCs/>
                      <w:color w:val="FF0000"/>
                      <w:sz w:val="21"/>
                      <w:highlight w:val="green"/>
                      <w:lang w:val="en-US" w:eastAsia="zh-CN"/>
                    </w:rPr>
                  </w:pPr>
                  <w:r>
                    <w:rPr>
                      <w:rFonts w:hint="eastAsia" w:ascii="Times New Roman" w:hAnsi="Times New Roman"/>
                      <w:b w:val="0"/>
                      <w:bCs/>
                      <w:color w:val="FF0000"/>
                      <w:sz w:val="21"/>
                      <w:highlight w:val="green"/>
                      <w:lang w:val="en-US" w:eastAsia="zh-CN"/>
                    </w:rPr>
                    <w:t>75</w:t>
                  </w:r>
                </w:p>
              </w:tc>
              <w:tc>
                <w:tcPr>
                  <w:tcW w:w="1176" w:type="dxa"/>
                  <w:vMerge w:val="continue"/>
                  <w:tcBorders>
                    <w:tl2br w:val="nil"/>
                    <w:tr2bl w:val="nil"/>
                  </w:tcBorders>
                  <w:vAlign w:val="center"/>
                </w:tcPr>
                <w:p w14:paraId="1061FFDB">
                  <w:pPr>
                    <w:jc w:val="center"/>
                    <w:rPr>
                      <w:b w:val="0"/>
                      <w:bCs/>
                      <w:color w:val="FF0000"/>
                      <w:szCs w:val="21"/>
                      <w:highlight w:val="green"/>
                    </w:rPr>
                  </w:pPr>
                </w:p>
              </w:tc>
              <w:tc>
                <w:tcPr>
                  <w:tcW w:w="683" w:type="dxa"/>
                  <w:vMerge w:val="continue"/>
                  <w:tcBorders>
                    <w:tl2br w:val="nil"/>
                    <w:tr2bl w:val="nil"/>
                  </w:tcBorders>
                  <w:vAlign w:val="center"/>
                </w:tcPr>
                <w:p w14:paraId="47FAA746">
                  <w:pPr>
                    <w:jc w:val="center"/>
                    <w:rPr>
                      <w:b w:val="0"/>
                      <w:bCs/>
                      <w:color w:val="FF0000"/>
                      <w:szCs w:val="21"/>
                      <w:highlight w:val="green"/>
                    </w:rPr>
                  </w:pPr>
                </w:p>
              </w:tc>
              <w:tc>
                <w:tcPr>
                  <w:tcW w:w="617" w:type="dxa"/>
                  <w:vMerge w:val="continue"/>
                  <w:tcBorders>
                    <w:tl2br w:val="nil"/>
                    <w:tr2bl w:val="nil"/>
                  </w:tcBorders>
                  <w:vAlign w:val="center"/>
                </w:tcPr>
                <w:p w14:paraId="605A7B97">
                  <w:pPr>
                    <w:jc w:val="center"/>
                    <w:rPr>
                      <w:b w:val="0"/>
                      <w:bCs/>
                      <w:color w:val="FF0000"/>
                      <w:szCs w:val="21"/>
                      <w:highlight w:val="green"/>
                    </w:rPr>
                  </w:pPr>
                </w:p>
              </w:tc>
              <w:tc>
                <w:tcPr>
                  <w:tcW w:w="850" w:type="dxa"/>
                  <w:tcBorders>
                    <w:tl2br w:val="nil"/>
                    <w:tr2bl w:val="nil"/>
                  </w:tcBorders>
                  <w:vAlign w:val="center"/>
                </w:tcPr>
                <w:p w14:paraId="1B0AFE2E">
                  <w:pPr>
                    <w:pStyle w:val="91"/>
                    <w:adjustRightInd w:val="0"/>
                    <w:snapToGrid w:val="0"/>
                    <w:spacing w:line="240" w:lineRule="auto"/>
                    <w:ind w:firstLine="0" w:firstLineChars="0"/>
                    <w:rPr>
                      <w:rFonts w:hint="default" w:ascii="Times New Roman" w:hAnsi="Times New Roman" w:eastAsia="宋体"/>
                      <w:b w:val="0"/>
                      <w:bCs/>
                      <w:color w:val="FF0000"/>
                      <w:sz w:val="21"/>
                      <w:highlight w:val="green"/>
                      <w:lang w:val="en-US" w:eastAsia="zh-CN"/>
                    </w:rPr>
                  </w:pPr>
                  <w:r>
                    <w:rPr>
                      <w:rFonts w:hint="eastAsia" w:ascii="Times New Roman" w:hAnsi="Times New Roman"/>
                      <w:b w:val="0"/>
                      <w:bCs/>
                      <w:color w:val="FF0000"/>
                      <w:sz w:val="21"/>
                      <w:highlight w:val="green"/>
                      <w:lang w:val="en-US" w:eastAsia="zh-CN"/>
                    </w:rPr>
                    <w:t>55</w:t>
                  </w:r>
                </w:p>
              </w:tc>
              <w:tc>
                <w:tcPr>
                  <w:tcW w:w="1065" w:type="dxa"/>
                  <w:vMerge w:val="continue"/>
                  <w:tcBorders>
                    <w:tl2br w:val="nil"/>
                    <w:tr2bl w:val="nil"/>
                  </w:tcBorders>
                  <w:vAlign w:val="center"/>
                </w:tcPr>
                <w:p w14:paraId="37BCE5B7">
                  <w:pPr>
                    <w:jc w:val="center"/>
                    <w:rPr>
                      <w:color w:val="FF0000"/>
                      <w:szCs w:val="21"/>
                      <w:highlight w:val="green"/>
                    </w:rPr>
                  </w:pPr>
                </w:p>
              </w:tc>
            </w:tr>
            <w:tr w14:paraId="77C704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879" w:type="dxa"/>
                  <w:tcBorders>
                    <w:tl2br w:val="nil"/>
                    <w:tr2bl w:val="nil"/>
                  </w:tcBorders>
                  <w:vAlign w:val="center"/>
                </w:tcPr>
                <w:p w14:paraId="243E406A">
                  <w:pPr>
                    <w:jc w:val="center"/>
                    <w:rPr>
                      <w:rFonts w:hint="default" w:eastAsia="宋体"/>
                      <w:color w:val="FF0000"/>
                      <w:szCs w:val="21"/>
                      <w:highlight w:val="green"/>
                      <w:lang w:val="en-US" w:eastAsia="zh-CN"/>
                    </w:rPr>
                  </w:pPr>
                  <w:r>
                    <w:rPr>
                      <w:rFonts w:hint="eastAsia"/>
                      <w:color w:val="FF0000"/>
                      <w:szCs w:val="21"/>
                      <w:highlight w:val="green"/>
                      <w:lang w:val="en-US" w:eastAsia="zh-CN"/>
                    </w:rPr>
                    <w:t>浮选机</w:t>
                  </w:r>
                </w:p>
              </w:tc>
              <w:tc>
                <w:tcPr>
                  <w:tcW w:w="807" w:type="dxa"/>
                  <w:tcBorders>
                    <w:tl2br w:val="nil"/>
                    <w:tr2bl w:val="nil"/>
                  </w:tcBorders>
                  <w:vAlign w:val="center"/>
                </w:tcPr>
                <w:p w14:paraId="694CA6ED">
                  <w:pPr>
                    <w:jc w:val="center"/>
                    <w:rPr>
                      <w:rFonts w:hint="default"/>
                      <w:color w:val="FF0000"/>
                      <w:szCs w:val="21"/>
                      <w:highlight w:val="green"/>
                      <w:lang w:val="en-US" w:bidi="zh-CN"/>
                    </w:rPr>
                  </w:pPr>
                  <w:r>
                    <w:rPr>
                      <w:rFonts w:hint="eastAsia"/>
                      <w:color w:val="FF0000"/>
                      <w:szCs w:val="21"/>
                      <w:highlight w:val="green"/>
                      <w:lang w:val="en-US" w:bidi="zh-CN"/>
                    </w:rPr>
                    <w:t>4</w:t>
                  </w:r>
                </w:p>
              </w:tc>
              <w:tc>
                <w:tcPr>
                  <w:tcW w:w="766" w:type="dxa"/>
                  <w:vMerge w:val="continue"/>
                  <w:tcBorders>
                    <w:tl2br w:val="nil"/>
                    <w:tr2bl w:val="nil"/>
                  </w:tcBorders>
                  <w:vAlign w:val="center"/>
                </w:tcPr>
                <w:p w14:paraId="555FEE8B">
                  <w:pPr>
                    <w:jc w:val="center"/>
                    <w:rPr>
                      <w:color w:val="FF0000"/>
                      <w:szCs w:val="21"/>
                      <w:highlight w:val="green"/>
                    </w:rPr>
                  </w:pPr>
                </w:p>
              </w:tc>
              <w:tc>
                <w:tcPr>
                  <w:tcW w:w="496" w:type="dxa"/>
                  <w:vMerge w:val="continue"/>
                  <w:tcBorders>
                    <w:tl2br w:val="nil"/>
                    <w:tr2bl w:val="nil"/>
                  </w:tcBorders>
                  <w:vAlign w:val="center"/>
                </w:tcPr>
                <w:p w14:paraId="2A6EED83">
                  <w:pPr>
                    <w:jc w:val="center"/>
                    <w:rPr>
                      <w:color w:val="FF0000"/>
                      <w:szCs w:val="21"/>
                      <w:highlight w:val="green"/>
                    </w:rPr>
                  </w:pPr>
                </w:p>
              </w:tc>
              <w:tc>
                <w:tcPr>
                  <w:tcW w:w="721" w:type="dxa"/>
                  <w:tcBorders>
                    <w:tl2br w:val="nil"/>
                    <w:tr2bl w:val="nil"/>
                  </w:tcBorders>
                  <w:vAlign w:val="center"/>
                </w:tcPr>
                <w:p w14:paraId="5CEDCAD7">
                  <w:pPr>
                    <w:pStyle w:val="91"/>
                    <w:adjustRightInd w:val="0"/>
                    <w:snapToGrid w:val="0"/>
                    <w:spacing w:line="240" w:lineRule="auto"/>
                    <w:ind w:firstLine="0" w:firstLineChars="0"/>
                    <w:rPr>
                      <w:rFonts w:hint="default" w:ascii="Times New Roman" w:hAnsi="Times New Roman" w:eastAsia="宋体"/>
                      <w:b w:val="0"/>
                      <w:bCs/>
                      <w:color w:val="FF0000"/>
                      <w:sz w:val="21"/>
                      <w:highlight w:val="green"/>
                      <w:lang w:val="en-US" w:eastAsia="zh-CN"/>
                    </w:rPr>
                  </w:pPr>
                  <w:r>
                    <w:rPr>
                      <w:rFonts w:hint="eastAsia" w:ascii="Times New Roman" w:hAnsi="Times New Roman"/>
                      <w:b w:val="0"/>
                      <w:bCs/>
                      <w:color w:val="FF0000"/>
                      <w:sz w:val="21"/>
                      <w:highlight w:val="green"/>
                      <w:lang w:val="en-US" w:eastAsia="zh-CN"/>
                    </w:rPr>
                    <w:t>75</w:t>
                  </w:r>
                </w:p>
              </w:tc>
              <w:tc>
                <w:tcPr>
                  <w:tcW w:w="1176" w:type="dxa"/>
                  <w:vMerge w:val="continue"/>
                  <w:tcBorders>
                    <w:tl2br w:val="nil"/>
                    <w:tr2bl w:val="nil"/>
                  </w:tcBorders>
                  <w:vAlign w:val="center"/>
                </w:tcPr>
                <w:p w14:paraId="391E778A">
                  <w:pPr>
                    <w:jc w:val="center"/>
                    <w:rPr>
                      <w:b w:val="0"/>
                      <w:bCs/>
                      <w:color w:val="FF0000"/>
                      <w:szCs w:val="21"/>
                      <w:highlight w:val="green"/>
                    </w:rPr>
                  </w:pPr>
                </w:p>
              </w:tc>
              <w:tc>
                <w:tcPr>
                  <w:tcW w:w="683" w:type="dxa"/>
                  <w:vMerge w:val="continue"/>
                  <w:tcBorders>
                    <w:tl2br w:val="nil"/>
                    <w:tr2bl w:val="nil"/>
                  </w:tcBorders>
                  <w:vAlign w:val="center"/>
                </w:tcPr>
                <w:p w14:paraId="3015FAEE">
                  <w:pPr>
                    <w:jc w:val="center"/>
                    <w:rPr>
                      <w:b w:val="0"/>
                      <w:bCs/>
                      <w:color w:val="FF0000"/>
                      <w:szCs w:val="21"/>
                      <w:highlight w:val="green"/>
                    </w:rPr>
                  </w:pPr>
                </w:p>
              </w:tc>
              <w:tc>
                <w:tcPr>
                  <w:tcW w:w="617" w:type="dxa"/>
                  <w:vMerge w:val="continue"/>
                  <w:tcBorders>
                    <w:tl2br w:val="nil"/>
                    <w:tr2bl w:val="nil"/>
                  </w:tcBorders>
                  <w:vAlign w:val="center"/>
                </w:tcPr>
                <w:p w14:paraId="164FD057">
                  <w:pPr>
                    <w:jc w:val="center"/>
                    <w:rPr>
                      <w:b w:val="0"/>
                      <w:bCs/>
                      <w:color w:val="FF0000"/>
                      <w:szCs w:val="21"/>
                      <w:highlight w:val="green"/>
                    </w:rPr>
                  </w:pPr>
                </w:p>
              </w:tc>
              <w:tc>
                <w:tcPr>
                  <w:tcW w:w="850" w:type="dxa"/>
                  <w:tcBorders>
                    <w:tl2br w:val="nil"/>
                    <w:tr2bl w:val="nil"/>
                  </w:tcBorders>
                  <w:vAlign w:val="center"/>
                </w:tcPr>
                <w:p w14:paraId="177D3959">
                  <w:pPr>
                    <w:pStyle w:val="91"/>
                    <w:adjustRightInd w:val="0"/>
                    <w:snapToGrid w:val="0"/>
                    <w:spacing w:line="240" w:lineRule="auto"/>
                    <w:ind w:firstLine="0" w:firstLineChars="0"/>
                    <w:rPr>
                      <w:rFonts w:hint="default" w:ascii="Times New Roman" w:hAnsi="Times New Roman" w:eastAsia="宋体"/>
                      <w:b w:val="0"/>
                      <w:bCs/>
                      <w:color w:val="FF0000"/>
                      <w:sz w:val="21"/>
                      <w:highlight w:val="green"/>
                      <w:lang w:val="en-US" w:eastAsia="zh-CN"/>
                    </w:rPr>
                  </w:pPr>
                  <w:r>
                    <w:rPr>
                      <w:rFonts w:hint="eastAsia" w:ascii="Times New Roman" w:hAnsi="Times New Roman"/>
                      <w:b w:val="0"/>
                      <w:bCs/>
                      <w:color w:val="FF0000"/>
                      <w:sz w:val="21"/>
                      <w:highlight w:val="green"/>
                      <w:lang w:val="en-US" w:eastAsia="zh-CN"/>
                    </w:rPr>
                    <w:t>55</w:t>
                  </w:r>
                </w:p>
              </w:tc>
              <w:tc>
                <w:tcPr>
                  <w:tcW w:w="1065" w:type="dxa"/>
                  <w:vMerge w:val="continue"/>
                  <w:tcBorders>
                    <w:tl2br w:val="nil"/>
                    <w:tr2bl w:val="nil"/>
                  </w:tcBorders>
                  <w:vAlign w:val="center"/>
                </w:tcPr>
                <w:p w14:paraId="16E4C4AA">
                  <w:pPr>
                    <w:jc w:val="center"/>
                    <w:rPr>
                      <w:color w:val="FF0000"/>
                      <w:szCs w:val="21"/>
                      <w:highlight w:val="green"/>
                    </w:rPr>
                  </w:pPr>
                </w:p>
              </w:tc>
            </w:tr>
            <w:tr w14:paraId="4E50D2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879" w:type="dxa"/>
                  <w:tcBorders>
                    <w:tl2br w:val="nil"/>
                    <w:tr2bl w:val="nil"/>
                  </w:tcBorders>
                  <w:vAlign w:val="center"/>
                </w:tcPr>
                <w:p w14:paraId="35FC27D4">
                  <w:pPr>
                    <w:jc w:val="center"/>
                    <w:rPr>
                      <w:color w:val="FF0000"/>
                      <w:szCs w:val="21"/>
                      <w:highlight w:val="green"/>
                    </w:rPr>
                  </w:pPr>
                  <w:r>
                    <w:rPr>
                      <w:rFonts w:hint="eastAsia"/>
                      <w:color w:val="FF0000"/>
                      <w:szCs w:val="21"/>
                      <w:highlight w:val="green"/>
                    </w:rPr>
                    <w:t>压滤机</w:t>
                  </w:r>
                </w:p>
              </w:tc>
              <w:tc>
                <w:tcPr>
                  <w:tcW w:w="807" w:type="dxa"/>
                  <w:tcBorders>
                    <w:tl2br w:val="nil"/>
                    <w:tr2bl w:val="nil"/>
                  </w:tcBorders>
                  <w:vAlign w:val="center"/>
                </w:tcPr>
                <w:p w14:paraId="59389B35">
                  <w:pPr>
                    <w:jc w:val="center"/>
                    <w:rPr>
                      <w:rFonts w:hint="default"/>
                      <w:color w:val="FF0000"/>
                      <w:szCs w:val="21"/>
                      <w:highlight w:val="green"/>
                      <w:lang w:val="en-US" w:bidi="zh-CN"/>
                    </w:rPr>
                  </w:pPr>
                  <w:r>
                    <w:rPr>
                      <w:rFonts w:hint="eastAsia"/>
                      <w:color w:val="FF0000"/>
                      <w:szCs w:val="21"/>
                      <w:highlight w:val="green"/>
                      <w:lang w:val="en-US" w:bidi="zh-CN"/>
                    </w:rPr>
                    <w:t>10</w:t>
                  </w:r>
                </w:p>
              </w:tc>
              <w:tc>
                <w:tcPr>
                  <w:tcW w:w="766" w:type="dxa"/>
                  <w:vMerge w:val="continue"/>
                  <w:tcBorders>
                    <w:tl2br w:val="nil"/>
                    <w:tr2bl w:val="nil"/>
                  </w:tcBorders>
                  <w:vAlign w:val="center"/>
                </w:tcPr>
                <w:p w14:paraId="283BEDCD">
                  <w:pPr>
                    <w:jc w:val="center"/>
                    <w:rPr>
                      <w:color w:val="FF0000"/>
                      <w:szCs w:val="21"/>
                      <w:highlight w:val="green"/>
                    </w:rPr>
                  </w:pPr>
                </w:p>
              </w:tc>
              <w:tc>
                <w:tcPr>
                  <w:tcW w:w="496" w:type="dxa"/>
                  <w:vMerge w:val="continue"/>
                  <w:tcBorders>
                    <w:tl2br w:val="nil"/>
                    <w:tr2bl w:val="nil"/>
                  </w:tcBorders>
                  <w:vAlign w:val="center"/>
                </w:tcPr>
                <w:p w14:paraId="69A94499">
                  <w:pPr>
                    <w:jc w:val="center"/>
                    <w:rPr>
                      <w:color w:val="FF0000"/>
                      <w:szCs w:val="21"/>
                      <w:highlight w:val="green"/>
                    </w:rPr>
                  </w:pPr>
                </w:p>
              </w:tc>
              <w:tc>
                <w:tcPr>
                  <w:tcW w:w="721" w:type="dxa"/>
                  <w:tcBorders>
                    <w:tl2br w:val="nil"/>
                    <w:tr2bl w:val="nil"/>
                  </w:tcBorders>
                  <w:vAlign w:val="center"/>
                </w:tcPr>
                <w:p w14:paraId="0AC97F03">
                  <w:pPr>
                    <w:pStyle w:val="91"/>
                    <w:adjustRightInd w:val="0"/>
                    <w:snapToGrid w:val="0"/>
                    <w:spacing w:line="240" w:lineRule="auto"/>
                    <w:ind w:firstLine="0" w:firstLineChars="0"/>
                    <w:rPr>
                      <w:rFonts w:ascii="Times New Roman" w:hAnsi="Times New Roman"/>
                      <w:b w:val="0"/>
                      <w:bCs/>
                      <w:color w:val="FF0000"/>
                      <w:sz w:val="21"/>
                      <w:highlight w:val="green"/>
                    </w:rPr>
                  </w:pPr>
                  <w:r>
                    <w:rPr>
                      <w:rFonts w:hint="eastAsia" w:ascii="Times New Roman" w:hAnsi="Times New Roman"/>
                      <w:b w:val="0"/>
                      <w:bCs/>
                      <w:color w:val="FF0000"/>
                      <w:sz w:val="21"/>
                      <w:highlight w:val="green"/>
                    </w:rPr>
                    <w:t>85</w:t>
                  </w:r>
                </w:p>
              </w:tc>
              <w:tc>
                <w:tcPr>
                  <w:tcW w:w="1176" w:type="dxa"/>
                  <w:vMerge w:val="continue"/>
                  <w:tcBorders>
                    <w:tl2br w:val="nil"/>
                    <w:tr2bl w:val="nil"/>
                  </w:tcBorders>
                  <w:vAlign w:val="center"/>
                </w:tcPr>
                <w:p w14:paraId="703F270B">
                  <w:pPr>
                    <w:jc w:val="center"/>
                    <w:rPr>
                      <w:color w:val="FF0000"/>
                      <w:szCs w:val="21"/>
                      <w:highlight w:val="green"/>
                    </w:rPr>
                  </w:pPr>
                </w:p>
              </w:tc>
              <w:tc>
                <w:tcPr>
                  <w:tcW w:w="683" w:type="dxa"/>
                  <w:vMerge w:val="continue"/>
                  <w:tcBorders>
                    <w:tl2br w:val="nil"/>
                    <w:tr2bl w:val="nil"/>
                  </w:tcBorders>
                  <w:vAlign w:val="center"/>
                </w:tcPr>
                <w:p w14:paraId="53C4AA28">
                  <w:pPr>
                    <w:jc w:val="center"/>
                    <w:rPr>
                      <w:color w:val="FF0000"/>
                      <w:szCs w:val="21"/>
                      <w:highlight w:val="green"/>
                    </w:rPr>
                  </w:pPr>
                </w:p>
              </w:tc>
              <w:tc>
                <w:tcPr>
                  <w:tcW w:w="617" w:type="dxa"/>
                  <w:vMerge w:val="continue"/>
                  <w:tcBorders>
                    <w:tl2br w:val="nil"/>
                    <w:tr2bl w:val="nil"/>
                  </w:tcBorders>
                  <w:vAlign w:val="center"/>
                </w:tcPr>
                <w:p w14:paraId="1DAE4B0D">
                  <w:pPr>
                    <w:jc w:val="center"/>
                    <w:rPr>
                      <w:color w:val="FF0000"/>
                      <w:szCs w:val="21"/>
                      <w:highlight w:val="green"/>
                    </w:rPr>
                  </w:pPr>
                </w:p>
              </w:tc>
              <w:tc>
                <w:tcPr>
                  <w:tcW w:w="850" w:type="dxa"/>
                  <w:tcBorders>
                    <w:tl2br w:val="nil"/>
                    <w:tr2bl w:val="nil"/>
                  </w:tcBorders>
                  <w:vAlign w:val="center"/>
                </w:tcPr>
                <w:p w14:paraId="099F9FE6">
                  <w:pPr>
                    <w:pStyle w:val="91"/>
                    <w:adjustRightInd w:val="0"/>
                    <w:snapToGrid w:val="0"/>
                    <w:spacing w:line="240" w:lineRule="auto"/>
                    <w:ind w:firstLine="0" w:firstLineChars="0"/>
                    <w:rPr>
                      <w:rFonts w:hint="default" w:ascii="Times New Roman" w:hAnsi="Times New Roman" w:eastAsia="宋体"/>
                      <w:b w:val="0"/>
                      <w:bCs/>
                      <w:color w:val="FF0000"/>
                      <w:sz w:val="21"/>
                      <w:highlight w:val="green"/>
                      <w:lang w:val="en-US" w:eastAsia="zh-CN"/>
                    </w:rPr>
                  </w:pPr>
                  <w:r>
                    <w:rPr>
                      <w:rFonts w:hint="eastAsia" w:ascii="Times New Roman" w:hAnsi="Times New Roman"/>
                      <w:b w:val="0"/>
                      <w:bCs/>
                      <w:color w:val="FF0000"/>
                      <w:sz w:val="21"/>
                      <w:highlight w:val="green"/>
                      <w:lang w:val="en-US" w:eastAsia="zh-CN"/>
                    </w:rPr>
                    <w:t>65</w:t>
                  </w:r>
                </w:p>
              </w:tc>
              <w:tc>
                <w:tcPr>
                  <w:tcW w:w="1065" w:type="dxa"/>
                  <w:vMerge w:val="continue"/>
                  <w:tcBorders>
                    <w:tl2br w:val="nil"/>
                    <w:tr2bl w:val="nil"/>
                  </w:tcBorders>
                  <w:vAlign w:val="center"/>
                </w:tcPr>
                <w:p w14:paraId="18DF68CB">
                  <w:pPr>
                    <w:jc w:val="center"/>
                    <w:rPr>
                      <w:color w:val="FF0000"/>
                      <w:szCs w:val="21"/>
                      <w:highlight w:val="green"/>
                    </w:rPr>
                  </w:pPr>
                </w:p>
              </w:tc>
            </w:tr>
            <w:tr w14:paraId="43D7FA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879" w:type="dxa"/>
                  <w:tcBorders>
                    <w:tl2br w:val="nil"/>
                    <w:tr2bl w:val="nil"/>
                  </w:tcBorders>
                  <w:shd w:val="clear" w:color="auto" w:fill="auto"/>
                  <w:vAlign w:val="center"/>
                </w:tcPr>
                <w:p w14:paraId="0D95E491">
                  <w:pPr>
                    <w:jc w:val="center"/>
                    <w:rPr>
                      <w:rFonts w:ascii="Times New Roman" w:hAnsi="Times New Roman" w:eastAsia="宋体" w:cs="Times New Roman"/>
                      <w:color w:val="FF0000"/>
                      <w:kern w:val="2"/>
                      <w:sz w:val="21"/>
                      <w:szCs w:val="21"/>
                      <w:highlight w:val="green"/>
                      <w:lang w:val="en-US" w:eastAsia="zh-CN" w:bidi="ar-SA"/>
                    </w:rPr>
                  </w:pPr>
                  <w:r>
                    <w:rPr>
                      <w:rFonts w:hint="eastAsia"/>
                      <w:color w:val="FF0000"/>
                      <w:szCs w:val="21"/>
                      <w:highlight w:val="green"/>
                    </w:rPr>
                    <w:t>破碎机</w:t>
                  </w:r>
                </w:p>
              </w:tc>
              <w:tc>
                <w:tcPr>
                  <w:tcW w:w="807" w:type="dxa"/>
                  <w:tcBorders>
                    <w:tl2br w:val="nil"/>
                    <w:tr2bl w:val="nil"/>
                  </w:tcBorders>
                  <w:shd w:val="clear" w:color="auto" w:fill="auto"/>
                  <w:vAlign w:val="center"/>
                </w:tcPr>
                <w:p w14:paraId="105BB113">
                  <w:pPr>
                    <w:jc w:val="center"/>
                    <w:rPr>
                      <w:rFonts w:hint="eastAsia" w:ascii="Times New Roman" w:hAnsi="Times New Roman" w:eastAsia="宋体" w:cs="Times New Roman"/>
                      <w:color w:val="FF0000"/>
                      <w:kern w:val="2"/>
                      <w:sz w:val="21"/>
                      <w:szCs w:val="21"/>
                      <w:highlight w:val="green"/>
                      <w:lang w:val="en-US" w:eastAsia="zh-CN" w:bidi="zh-CN"/>
                    </w:rPr>
                  </w:pPr>
                  <w:r>
                    <w:rPr>
                      <w:rFonts w:hint="eastAsia"/>
                      <w:color w:val="FF0000"/>
                      <w:szCs w:val="21"/>
                      <w:highlight w:val="green"/>
                      <w:lang w:val="en-US" w:bidi="zh-CN"/>
                    </w:rPr>
                    <w:t>2</w:t>
                  </w:r>
                </w:p>
              </w:tc>
              <w:tc>
                <w:tcPr>
                  <w:tcW w:w="766" w:type="dxa"/>
                  <w:vMerge w:val="continue"/>
                  <w:tcBorders>
                    <w:tl2br w:val="nil"/>
                    <w:tr2bl w:val="nil"/>
                  </w:tcBorders>
                  <w:vAlign w:val="center"/>
                </w:tcPr>
                <w:p w14:paraId="55481C21">
                  <w:pPr>
                    <w:jc w:val="center"/>
                    <w:rPr>
                      <w:rFonts w:hint="eastAsia" w:ascii="Times New Roman" w:hAnsi="Times New Roman" w:eastAsia="宋体" w:cs="Times New Roman"/>
                      <w:b w:val="0"/>
                      <w:bCs/>
                      <w:color w:val="FF0000"/>
                      <w:kern w:val="0"/>
                      <w:sz w:val="21"/>
                      <w:szCs w:val="21"/>
                      <w:highlight w:val="green"/>
                      <w:lang w:val="en-US" w:eastAsia="zh-CN" w:bidi="ar-SA"/>
                    </w:rPr>
                  </w:pPr>
                </w:p>
              </w:tc>
              <w:tc>
                <w:tcPr>
                  <w:tcW w:w="496" w:type="dxa"/>
                  <w:vMerge w:val="continue"/>
                  <w:tcBorders>
                    <w:tl2br w:val="nil"/>
                    <w:tr2bl w:val="nil"/>
                  </w:tcBorders>
                  <w:vAlign w:val="center"/>
                </w:tcPr>
                <w:p w14:paraId="54E55730">
                  <w:pPr>
                    <w:jc w:val="center"/>
                    <w:rPr>
                      <w:rFonts w:hint="eastAsia" w:ascii="Times New Roman" w:hAnsi="Times New Roman" w:eastAsia="宋体" w:cs="Times New Roman"/>
                      <w:b w:val="0"/>
                      <w:bCs/>
                      <w:color w:val="FF0000"/>
                      <w:kern w:val="0"/>
                      <w:sz w:val="21"/>
                      <w:szCs w:val="21"/>
                      <w:highlight w:val="green"/>
                      <w:lang w:val="en-US" w:eastAsia="zh-CN" w:bidi="ar-SA"/>
                    </w:rPr>
                  </w:pPr>
                </w:p>
              </w:tc>
              <w:tc>
                <w:tcPr>
                  <w:tcW w:w="721" w:type="dxa"/>
                  <w:tcBorders>
                    <w:tl2br w:val="nil"/>
                    <w:tr2bl w:val="nil"/>
                  </w:tcBorders>
                  <w:vAlign w:val="center"/>
                </w:tcPr>
                <w:p w14:paraId="1D334ABB">
                  <w:pPr>
                    <w:pStyle w:val="91"/>
                    <w:adjustRightInd w:val="0"/>
                    <w:snapToGrid w:val="0"/>
                    <w:spacing w:line="240" w:lineRule="auto"/>
                    <w:ind w:firstLine="0" w:firstLineChars="0"/>
                    <w:rPr>
                      <w:rFonts w:hint="eastAsia" w:ascii="Times New Roman" w:hAnsi="Times New Roman" w:eastAsia="宋体" w:cs="Times New Roman"/>
                      <w:b w:val="0"/>
                      <w:bCs/>
                      <w:color w:val="FF0000"/>
                      <w:kern w:val="0"/>
                      <w:sz w:val="21"/>
                      <w:szCs w:val="21"/>
                      <w:highlight w:val="green"/>
                      <w:lang w:val="en-US" w:eastAsia="zh-CN" w:bidi="ar-SA"/>
                    </w:rPr>
                  </w:pPr>
                  <w:r>
                    <w:rPr>
                      <w:rFonts w:hint="eastAsia" w:ascii="Times New Roman" w:hAnsi="Times New Roman"/>
                      <w:b w:val="0"/>
                      <w:bCs/>
                      <w:color w:val="FF0000"/>
                      <w:sz w:val="21"/>
                      <w:highlight w:val="green"/>
                    </w:rPr>
                    <w:t>90</w:t>
                  </w:r>
                </w:p>
              </w:tc>
              <w:tc>
                <w:tcPr>
                  <w:tcW w:w="1176" w:type="dxa"/>
                  <w:vMerge w:val="continue"/>
                  <w:tcBorders>
                    <w:tl2br w:val="nil"/>
                    <w:tr2bl w:val="nil"/>
                  </w:tcBorders>
                  <w:vAlign w:val="center"/>
                </w:tcPr>
                <w:p w14:paraId="7013C890">
                  <w:pPr>
                    <w:jc w:val="center"/>
                    <w:rPr>
                      <w:color w:val="FF0000"/>
                      <w:szCs w:val="21"/>
                      <w:highlight w:val="green"/>
                    </w:rPr>
                  </w:pPr>
                </w:p>
              </w:tc>
              <w:tc>
                <w:tcPr>
                  <w:tcW w:w="683" w:type="dxa"/>
                  <w:vMerge w:val="continue"/>
                  <w:tcBorders>
                    <w:tl2br w:val="nil"/>
                    <w:tr2bl w:val="nil"/>
                  </w:tcBorders>
                  <w:vAlign w:val="center"/>
                </w:tcPr>
                <w:p w14:paraId="125D4B90">
                  <w:pPr>
                    <w:jc w:val="center"/>
                    <w:rPr>
                      <w:color w:val="FF0000"/>
                      <w:szCs w:val="21"/>
                      <w:highlight w:val="green"/>
                    </w:rPr>
                  </w:pPr>
                </w:p>
              </w:tc>
              <w:tc>
                <w:tcPr>
                  <w:tcW w:w="617" w:type="dxa"/>
                  <w:vMerge w:val="continue"/>
                  <w:tcBorders>
                    <w:tl2br w:val="nil"/>
                    <w:tr2bl w:val="nil"/>
                  </w:tcBorders>
                  <w:vAlign w:val="center"/>
                </w:tcPr>
                <w:p w14:paraId="38DCED2E">
                  <w:pPr>
                    <w:jc w:val="center"/>
                    <w:rPr>
                      <w:color w:val="FF0000"/>
                      <w:szCs w:val="21"/>
                      <w:highlight w:val="green"/>
                    </w:rPr>
                  </w:pPr>
                </w:p>
              </w:tc>
              <w:tc>
                <w:tcPr>
                  <w:tcW w:w="850" w:type="dxa"/>
                  <w:tcBorders>
                    <w:tl2br w:val="nil"/>
                    <w:tr2bl w:val="nil"/>
                  </w:tcBorders>
                  <w:vAlign w:val="center"/>
                </w:tcPr>
                <w:p w14:paraId="4B276C07">
                  <w:pPr>
                    <w:pStyle w:val="91"/>
                    <w:adjustRightInd w:val="0"/>
                    <w:snapToGrid w:val="0"/>
                    <w:spacing w:line="240" w:lineRule="auto"/>
                    <w:ind w:firstLine="0" w:firstLineChars="0"/>
                    <w:rPr>
                      <w:rFonts w:ascii="Times New Roman" w:hAnsi="Times New Roman"/>
                      <w:b w:val="0"/>
                      <w:bCs/>
                      <w:color w:val="FF0000"/>
                      <w:sz w:val="21"/>
                      <w:highlight w:val="green"/>
                    </w:rPr>
                  </w:pPr>
                  <w:r>
                    <w:rPr>
                      <w:rFonts w:hint="eastAsia" w:ascii="Times New Roman" w:hAnsi="Times New Roman"/>
                      <w:b w:val="0"/>
                      <w:bCs/>
                      <w:color w:val="FF0000"/>
                      <w:sz w:val="21"/>
                      <w:highlight w:val="green"/>
                    </w:rPr>
                    <w:t>70</w:t>
                  </w:r>
                </w:p>
              </w:tc>
              <w:tc>
                <w:tcPr>
                  <w:tcW w:w="1065" w:type="dxa"/>
                  <w:vMerge w:val="continue"/>
                  <w:tcBorders>
                    <w:tl2br w:val="nil"/>
                    <w:tr2bl w:val="nil"/>
                  </w:tcBorders>
                  <w:vAlign w:val="center"/>
                </w:tcPr>
                <w:p w14:paraId="7AD2669E">
                  <w:pPr>
                    <w:jc w:val="center"/>
                    <w:rPr>
                      <w:color w:val="FF0000"/>
                      <w:szCs w:val="21"/>
                      <w:highlight w:val="green"/>
                    </w:rPr>
                  </w:pPr>
                </w:p>
              </w:tc>
            </w:tr>
            <w:tr w14:paraId="14CCE9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879" w:type="dxa"/>
                  <w:tcBorders>
                    <w:tl2br w:val="nil"/>
                    <w:tr2bl w:val="nil"/>
                  </w:tcBorders>
                  <w:vAlign w:val="center"/>
                </w:tcPr>
                <w:p w14:paraId="6DE1DBFE">
                  <w:pPr>
                    <w:jc w:val="center"/>
                    <w:rPr>
                      <w:color w:val="FF0000"/>
                      <w:szCs w:val="21"/>
                      <w:highlight w:val="green"/>
                    </w:rPr>
                  </w:pPr>
                  <w:r>
                    <w:rPr>
                      <w:rFonts w:hint="eastAsia"/>
                      <w:color w:val="FF0000"/>
                      <w:szCs w:val="21"/>
                      <w:highlight w:val="green"/>
                    </w:rPr>
                    <w:t>分级筛</w:t>
                  </w:r>
                </w:p>
              </w:tc>
              <w:tc>
                <w:tcPr>
                  <w:tcW w:w="807" w:type="dxa"/>
                  <w:tcBorders>
                    <w:tl2br w:val="nil"/>
                    <w:tr2bl w:val="nil"/>
                  </w:tcBorders>
                  <w:vAlign w:val="center"/>
                </w:tcPr>
                <w:p w14:paraId="0A3C4A7F">
                  <w:pPr>
                    <w:jc w:val="center"/>
                    <w:rPr>
                      <w:color w:val="FF0000"/>
                      <w:szCs w:val="21"/>
                      <w:highlight w:val="green"/>
                      <w:lang w:bidi="zh-CN"/>
                    </w:rPr>
                  </w:pPr>
                  <w:r>
                    <w:rPr>
                      <w:rFonts w:hint="eastAsia"/>
                      <w:color w:val="FF0000"/>
                      <w:szCs w:val="21"/>
                      <w:highlight w:val="green"/>
                      <w:lang w:val="en-US" w:bidi="zh-CN"/>
                    </w:rPr>
                    <w:t>2</w:t>
                  </w:r>
                </w:p>
              </w:tc>
              <w:tc>
                <w:tcPr>
                  <w:tcW w:w="766" w:type="dxa"/>
                  <w:vMerge w:val="continue"/>
                  <w:tcBorders>
                    <w:tl2br w:val="nil"/>
                    <w:tr2bl w:val="nil"/>
                  </w:tcBorders>
                  <w:vAlign w:val="center"/>
                </w:tcPr>
                <w:p w14:paraId="36B2C311">
                  <w:pPr>
                    <w:jc w:val="center"/>
                    <w:rPr>
                      <w:color w:val="FF0000"/>
                      <w:szCs w:val="21"/>
                      <w:highlight w:val="green"/>
                    </w:rPr>
                  </w:pPr>
                </w:p>
              </w:tc>
              <w:tc>
                <w:tcPr>
                  <w:tcW w:w="496" w:type="dxa"/>
                  <w:vMerge w:val="continue"/>
                  <w:tcBorders>
                    <w:tl2br w:val="nil"/>
                    <w:tr2bl w:val="nil"/>
                  </w:tcBorders>
                  <w:vAlign w:val="center"/>
                </w:tcPr>
                <w:p w14:paraId="03CE9F46">
                  <w:pPr>
                    <w:jc w:val="center"/>
                    <w:rPr>
                      <w:color w:val="FF0000"/>
                      <w:szCs w:val="21"/>
                      <w:highlight w:val="green"/>
                    </w:rPr>
                  </w:pPr>
                </w:p>
              </w:tc>
              <w:tc>
                <w:tcPr>
                  <w:tcW w:w="721" w:type="dxa"/>
                  <w:tcBorders>
                    <w:tl2br w:val="nil"/>
                    <w:tr2bl w:val="nil"/>
                  </w:tcBorders>
                  <w:vAlign w:val="center"/>
                </w:tcPr>
                <w:p w14:paraId="2F0AA485">
                  <w:pPr>
                    <w:pStyle w:val="91"/>
                    <w:adjustRightInd w:val="0"/>
                    <w:snapToGrid w:val="0"/>
                    <w:spacing w:line="240" w:lineRule="auto"/>
                    <w:ind w:firstLine="0" w:firstLineChars="0"/>
                    <w:rPr>
                      <w:rFonts w:hint="default" w:ascii="Times New Roman" w:hAnsi="Times New Roman"/>
                      <w:b w:val="0"/>
                      <w:bCs/>
                      <w:color w:val="FF0000"/>
                      <w:sz w:val="21"/>
                      <w:highlight w:val="green"/>
                      <w:lang w:val="en-US"/>
                    </w:rPr>
                  </w:pPr>
                  <w:r>
                    <w:rPr>
                      <w:rFonts w:hint="eastAsia" w:ascii="Times New Roman" w:hAnsi="Times New Roman"/>
                      <w:b w:val="0"/>
                      <w:bCs/>
                      <w:color w:val="FF0000"/>
                      <w:sz w:val="21"/>
                      <w:highlight w:val="green"/>
                      <w:lang w:val="en-US" w:eastAsia="zh-CN"/>
                    </w:rPr>
                    <w:t>85</w:t>
                  </w:r>
                </w:p>
              </w:tc>
              <w:tc>
                <w:tcPr>
                  <w:tcW w:w="1176" w:type="dxa"/>
                  <w:vMerge w:val="continue"/>
                  <w:tcBorders>
                    <w:tl2br w:val="nil"/>
                    <w:tr2bl w:val="nil"/>
                  </w:tcBorders>
                  <w:vAlign w:val="center"/>
                </w:tcPr>
                <w:p w14:paraId="0FEC0486">
                  <w:pPr>
                    <w:jc w:val="center"/>
                    <w:rPr>
                      <w:color w:val="FF0000"/>
                      <w:szCs w:val="21"/>
                      <w:highlight w:val="green"/>
                    </w:rPr>
                  </w:pPr>
                </w:p>
              </w:tc>
              <w:tc>
                <w:tcPr>
                  <w:tcW w:w="683" w:type="dxa"/>
                  <w:vMerge w:val="continue"/>
                  <w:tcBorders>
                    <w:tl2br w:val="nil"/>
                    <w:tr2bl w:val="nil"/>
                  </w:tcBorders>
                  <w:vAlign w:val="center"/>
                </w:tcPr>
                <w:p w14:paraId="1ED979B6">
                  <w:pPr>
                    <w:jc w:val="center"/>
                    <w:rPr>
                      <w:color w:val="FF0000"/>
                      <w:szCs w:val="21"/>
                      <w:highlight w:val="green"/>
                    </w:rPr>
                  </w:pPr>
                </w:p>
              </w:tc>
              <w:tc>
                <w:tcPr>
                  <w:tcW w:w="617" w:type="dxa"/>
                  <w:vMerge w:val="continue"/>
                  <w:tcBorders>
                    <w:tl2br w:val="nil"/>
                    <w:tr2bl w:val="nil"/>
                  </w:tcBorders>
                  <w:vAlign w:val="center"/>
                </w:tcPr>
                <w:p w14:paraId="43D1EBE2">
                  <w:pPr>
                    <w:jc w:val="center"/>
                    <w:rPr>
                      <w:color w:val="FF0000"/>
                      <w:szCs w:val="21"/>
                      <w:highlight w:val="green"/>
                    </w:rPr>
                  </w:pPr>
                </w:p>
              </w:tc>
              <w:tc>
                <w:tcPr>
                  <w:tcW w:w="850" w:type="dxa"/>
                  <w:tcBorders>
                    <w:tl2br w:val="nil"/>
                    <w:tr2bl w:val="nil"/>
                  </w:tcBorders>
                  <w:vAlign w:val="center"/>
                </w:tcPr>
                <w:p w14:paraId="3E389726">
                  <w:pPr>
                    <w:pStyle w:val="91"/>
                    <w:adjustRightInd w:val="0"/>
                    <w:snapToGrid w:val="0"/>
                    <w:spacing w:line="240" w:lineRule="auto"/>
                    <w:ind w:firstLine="0" w:firstLineChars="0"/>
                    <w:rPr>
                      <w:rFonts w:hint="default" w:ascii="Times New Roman" w:hAnsi="Times New Roman" w:eastAsia="宋体"/>
                      <w:b w:val="0"/>
                      <w:bCs/>
                      <w:color w:val="FF0000"/>
                      <w:sz w:val="21"/>
                      <w:highlight w:val="green"/>
                      <w:lang w:val="en-US" w:eastAsia="zh-CN"/>
                    </w:rPr>
                  </w:pPr>
                  <w:r>
                    <w:rPr>
                      <w:rFonts w:hint="eastAsia" w:ascii="Times New Roman" w:hAnsi="Times New Roman"/>
                      <w:b w:val="0"/>
                      <w:bCs/>
                      <w:color w:val="FF0000"/>
                      <w:sz w:val="21"/>
                      <w:highlight w:val="green"/>
                      <w:lang w:val="en-US" w:eastAsia="zh-CN"/>
                    </w:rPr>
                    <w:t>65</w:t>
                  </w:r>
                </w:p>
              </w:tc>
              <w:tc>
                <w:tcPr>
                  <w:tcW w:w="1065" w:type="dxa"/>
                  <w:vMerge w:val="continue"/>
                  <w:tcBorders>
                    <w:tl2br w:val="nil"/>
                    <w:tr2bl w:val="nil"/>
                  </w:tcBorders>
                  <w:vAlign w:val="center"/>
                </w:tcPr>
                <w:p w14:paraId="3C8045CE">
                  <w:pPr>
                    <w:jc w:val="center"/>
                    <w:rPr>
                      <w:color w:val="FF0000"/>
                      <w:szCs w:val="21"/>
                      <w:highlight w:val="green"/>
                    </w:rPr>
                  </w:pPr>
                </w:p>
              </w:tc>
            </w:tr>
            <w:tr w14:paraId="683470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879" w:type="dxa"/>
                  <w:tcBorders>
                    <w:tl2br w:val="nil"/>
                    <w:tr2bl w:val="nil"/>
                  </w:tcBorders>
                  <w:shd w:val="clear" w:color="auto" w:fill="auto"/>
                  <w:vAlign w:val="center"/>
                </w:tcPr>
                <w:p w14:paraId="79C8B88D">
                  <w:pPr>
                    <w:jc w:val="center"/>
                    <w:rPr>
                      <w:rFonts w:ascii="Times New Roman" w:hAnsi="Times New Roman" w:eastAsia="宋体" w:cs="Times New Roman"/>
                      <w:color w:val="FF0000"/>
                      <w:kern w:val="2"/>
                      <w:sz w:val="21"/>
                      <w:szCs w:val="21"/>
                      <w:highlight w:val="green"/>
                      <w:lang w:val="en-US" w:eastAsia="zh-CN" w:bidi="ar-SA"/>
                    </w:rPr>
                  </w:pPr>
                  <w:r>
                    <w:rPr>
                      <w:rFonts w:hint="eastAsia"/>
                      <w:color w:val="FF0000"/>
                      <w:szCs w:val="21"/>
                      <w:highlight w:val="green"/>
                    </w:rPr>
                    <w:t>浓缩机</w:t>
                  </w:r>
                </w:p>
              </w:tc>
              <w:tc>
                <w:tcPr>
                  <w:tcW w:w="807" w:type="dxa"/>
                  <w:tcBorders>
                    <w:tl2br w:val="nil"/>
                    <w:tr2bl w:val="nil"/>
                  </w:tcBorders>
                  <w:shd w:val="clear" w:color="auto" w:fill="auto"/>
                  <w:vAlign w:val="center"/>
                </w:tcPr>
                <w:p w14:paraId="311C8B9B">
                  <w:pPr>
                    <w:jc w:val="center"/>
                    <w:rPr>
                      <w:rFonts w:ascii="Times New Roman" w:hAnsi="Times New Roman" w:eastAsia="宋体" w:cs="Times New Roman"/>
                      <w:color w:val="FF0000"/>
                      <w:kern w:val="2"/>
                      <w:sz w:val="21"/>
                      <w:szCs w:val="21"/>
                      <w:highlight w:val="green"/>
                      <w:lang w:val="en-US" w:eastAsia="zh-CN" w:bidi="zh-CN"/>
                    </w:rPr>
                  </w:pPr>
                  <w:r>
                    <w:rPr>
                      <w:rFonts w:hint="eastAsia"/>
                      <w:color w:val="FF0000"/>
                      <w:szCs w:val="21"/>
                      <w:highlight w:val="green"/>
                      <w:lang w:val="en-US" w:bidi="zh-CN"/>
                    </w:rPr>
                    <w:t>2</w:t>
                  </w:r>
                </w:p>
              </w:tc>
              <w:tc>
                <w:tcPr>
                  <w:tcW w:w="766" w:type="dxa"/>
                  <w:vMerge w:val="continue"/>
                  <w:tcBorders>
                    <w:tl2br w:val="nil"/>
                    <w:tr2bl w:val="nil"/>
                  </w:tcBorders>
                  <w:vAlign w:val="center"/>
                </w:tcPr>
                <w:p w14:paraId="7DF1A851">
                  <w:pPr>
                    <w:jc w:val="center"/>
                    <w:rPr>
                      <w:color w:val="FF0000"/>
                      <w:szCs w:val="21"/>
                      <w:highlight w:val="green"/>
                    </w:rPr>
                  </w:pPr>
                </w:p>
              </w:tc>
              <w:tc>
                <w:tcPr>
                  <w:tcW w:w="496" w:type="dxa"/>
                  <w:vMerge w:val="continue"/>
                  <w:tcBorders>
                    <w:tl2br w:val="nil"/>
                    <w:tr2bl w:val="nil"/>
                  </w:tcBorders>
                  <w:vAlign w:val="center"/>
                </w:tcPr>
                <w:p w14:paraId="489BAE4F">
                  <w:pPr>
                    <w:jc w:val="center"/>
                    <w:rPr>
                      <w:color w:val="FF0000"/>
                      <w:szCs w:val="21"/>
                      <w:highlight w:val="green"/>
                    </w:rPr>
                  </w:pPr>
                </w:p>
              </w:tc>
              <w:tc>
                <w:tcPr>
                  <w:tcW w:w="721" w:type="dxa"/>
                  <w:tcBorders>
                    <w:tl2br w:val="nil"/>
                    <w:tr2bl w:val="nil"/>
                  </w:tcBorders>
                  <w:vAlign w:val="center"/>
                </w:tcPr>
                <w:p w14:paraId="3EE5ED7C">
                  <w:pPr>
                    <w:pStyle w:val="91"/>
                    <w:adjustRightInd w:val="0"/>
                    <w:snapToGrid w:val="0"/>
                    <w:spacing w:line="240" w:lineRule="auto"/>
                    <w:ind w:firstLine="0" w:firstLineChars="0"/>
                    <w:rPr>
                      <w:rFonts w:ascii="Times New Roman" w:hAnsi="Times New Roman"/>
                      <w:b w:val="0"/>
                      <w:bCs/>
                      <w:color w:val="FF0000"/>
                      <w:sz w:val="21"/>
                      <w:highlight w:val="green"/>
                    </w:rPr>
                  </w:pPr>
                  <w:r>
                    <w:rPr>
                      <w:rFonts w:hint="eastAsia" w:ascii="Times New Roman" w:hAnsi="Times New Roman"/>
                      <w:b w:val="0"/>
                      <w:bCs/>
                      <w:color w:val="FF0000"/>
                      <w:sz w:val="21"/>
                      <w:highlight w:val="green"/>
                    </w:rPr>
                    <w:t>80</w:t>
                  </w:r>
                </w:p>
              </w:tc>
              <w:tc>
                <w:tcPr>
                  <w:tcW w:w="1176" w:type="dxa"/>
                  <w:vMerge w:val="continue"/>
                  <w:tcBorders>
                    <w:tl2br w:val="nil"/>
                    <w:tr2bl w:val="nil"/>
                  </w:tcBorders>
                  <w:vAlign w:val="center"/>
                </w:tcPr>
                <w:p w14:paraId="650856BA">
                  <w:pPr>
                    <w:jc w:val="center"/>
                    <w:rPr>
                      <w:color w:val="FF0000"/>
                      <w:szCs w:val="21"/>
                      <w:highlight w:val="green"/>
                    </w:rPr>
                  </w:pPr>
                </w:p>
              </w:tc>
              <w:tc>
                <w:tcPr>
                  <w:tcW w:w="683" w:type="dxa"/>
                  <w:vMerge w:val="continue"/>
                  <w:tcBorders>
                    <w:tl2br w:val="nil"/>
                    <w:tr2bl w:val="nil"/>
                  </w:tcBorders>
                  <w:vAlign w:val="center"/>
                </w:tcPr>
                <w:p w14:paraId="0619D76E">
                  <w:pPr>
                    <w:jc w:val="center"/>
                    <w:rPr>
                      <w:color w:val="FF0000"/>
                      <w:szCs w:val="21"/>
                      <w:highlight w:val="green"/>
                    </w:rPr>
                  </w:pPr>
                </w:p>
              </w:tc>
              <w:tc>
                <w:tcPr>
                  <w:tcW w:w="617" w:type="dxa"/>
                  <w:vMerge w:val="continue"/>
                  <w:tcBorders>
                    <w:tl2br w:val="nil"/>
                    <w:tr2bl w:val="nil"/>
                  </w:tcBorders>
                  <w:vAlign w:val="center"/>
                </w:tcPr>
                <w:p w14:paraId="50636554">
                  <w:pPr>
                    <w:jc w:val="center"/>
                    <w:rPr>
                      <w:color w:val="FF0000"/>
                      <w:szCs w:val="21"/>
                      <w:highlight w:val="green"/>
                    </w:rPr>
                  </w:pPr>
                </w:p>
              </w:tc>
              <w:tc>
                <w:tcPr>
                  <w:tcW w:w="850" w:type="dxa"/>
                  <w:tcBorders>
                    <w:tl2br w:val="nil"/>
                    <w:tr2bl w:val="nil"/>
                  </w:tcBorders>
                  <w:vAlign w:val="center"/>
                </w:tcPr>
                <w:p w14:paraId="205FE447">
                  <w:pPr>
                    <w:pStyle w:val="91"/>
                    <w:adjustRightInd w:val="0"/>
                    <w:snapToGrid w:val="0"/>
                    <w:spacing w:line="240" w:lineRule="auto"/>
                    <w:ind w:firstLine="0" w:firstLineChars="0"/>
                    <w:rPr>
                      <w:rFonts w:ascii="Times New Roman" w:hAnsi="Times New Roman"/>
                      <w:b w:val="0"/>
                      <w:bCs/>
                      <w:color w:val="FF0000"/>
                      <w:sz w:val="21"/>
                      <w:highlight w:val="green"/>
                    </w:rPr>
                  </w:pPr>
                  <w:r>
                    <w:rPr>
                      <w:rFonts w:hint="eastAsia" w:ascii="Times New Roman" w:hAnsi="Times New Roman"/>
                      <w:b w:val="0"/>
                      <w:bCs/>
                      <w:color w:val="FF0000"/>
                      <w:sz w:val="21"/>
                      <w:highlight w:val="green"/>
                    </w:rPr>
                    <w:t>60</w:t>
                  </w:r>
                </w:p>
              </w:tc>
              <w:tc>
                <w:tcPr>
                  <w:tcW w:w="1065" w:type="dxa"/>
                  <w:vMerge w:val="continue"/>
                  <w:tcBorders>
                    <w:tl2br w:val="nil"/>
                    <w:tr2bl w:val="nil"/>
                  </w:tcBorders>
                  <w:vAlign w:val="center"/>
                </w:tcPr>
                <w:p w14:paraId="6AC4E0D1">
                  <w:pPr>
                    <w:jc w:val="center"/>
                    <w:rPr>
                      <w:color w:val="FF0000"/>
                      <w:szCs w:val="21"/>
                      <w:highlight w:val="green"/>
                    </w:rPr>
                  </w:pPr>
                </w:p>
              </w:tc>
            </w:tr>
            <w:tr w14:paraId="276649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879" w:type="dxa"/>
                  <w:tcBorders>
                    <w:tl2br w:val="nil"/>
                    <w:tr2bl w:val="nil"/>
                  </w:tcBorders>
                  <w:vAlign w:val="center"/>
                </w:tcPr>
                <w:p w14:paraId="6B4649B6">
                  <w:pPr>
                    <w:jc w:val="center"/>
                    <w:rPr>
                      <w:rFonts w:hint="eastAsia" w:eastAsia="宋体"/>
                      <w:color w:val="FF0000"/>
                      <w:szCs w:val="21"/>
                      <w:highlight w:val="green"/>
                      <w:lang w:val="en-US" w:eastAsia="zh-CN"/>
                    </w:rPr>
                  </w:pPr>
                  <w:r>
                    <w:rPr>
                      <w:rFonts w:hint="eastAsia"/>
                      <w:color w:val="FF0000"/>
                      <w:szCs w:val="21"/>
                      <w:highlight w:val="green"/>
                      <w:lang w:val="en-US" w:eastAsia="zh-CN"/>
                    </w:rPr>
                    <w:t>弧形筛</w:t>
                  </w:r>
                </w:p>
              </w:tc>
              <w:tc>
                <w:tcPr>
                  <w:tcW w:w="807" w:type="dxa"/>
                  <w:tcBorders>
                    <w:tl2br w:val="nil"/>
                    <w:tr2bl w:val="nil"/>
                  </w:tcBorders>
                  <w:vAlign w:val="center"/>
                </w:tcPr>
                <w:p w14:paraId="7EF75B1E">
                  <w:pPr>
                    <w:jc w:val="center"/>
                    <w:rPr>
                      <w:rFonts w:hint="default"/>
                      <w:color w:val="FF0000"/>
                      <w:szCs w:val="21"/>
                      <w:highlight w:val="green"/>
                      <w:lang w:val="en-US" w:bidi="zh-CN"/>
                    </w:rPr>
                  </w:pPr>
                  <w:r>
                    <w:rPr>
                      <w:rFonts w:hint="eastAsia"/>
                      <w:color w:val="FF0000"/>
                      <w:szCs w:val="21"/>
                      <w:highlight w:val="green"/>
                      <w:lang w:val="en-US" w:bidi="zh-CN"/>
                    </w:rPr>
                    <w:t>6</w:t>
                  </w:r>
                </w:p>
              </w:tc>
              <w:tc>
                <w:tcPr>
                  <w:tcW w:w="766" w:type="dxa"/>
                  <w:vMerge w:val="continue"/>
                  <w:tcBorders>
                    <w:tl2br w:val="nil"/>
                    <w:tr2bl w:val="nil"/>
                  </w:tcBorders>
                  <w:vAlign w:val="center"/>
                </w:tcPr>
                <w:p w14:paraId="5404B0DB">
                  <w:pPr>
                    <w:jc w:val="center"/>
                    <w:rPr>
                      <w:color w:val="FF0000"/>
                      <w:szCs w:val="21"/>
                      <w:highlight w:val="green"/>
                    </w:rPr>
                  </w:pPr>
                </w:p>
              </w:tc>
              <w:tc>
                <w:tcPr>
                  <w:tcW w:w="496" w:type="dxa"/>
                  <w:vMerge w:val="continue"/>
                  <w:tcBorders>
                    <w:tl2br w:val="nil"/>
                    <w:tr2bl w:val="nil"/>
                  </w:tcBorders>
                  <w:vAlign w:val="center"/>
                </w:tcPr>
                <w:p w14:paraId="0A1CA765">
                  <w:pPr>
                    <w:jc w:val="center"/>
                    <w:rPr>
                      <w:color w:val="FF0000"/>
                      <w:szCs w:val="21"/>
                      <w:highlight w:val="green"/>
                    </w:rPr>
                  </w:pPr>
                </w:p>
              </w:tc>
              <w:tc>
                <w:tcPr>
                  <w:tcW w:w="721" w:type="dxa"/>
                  <w:tcBorders>
                    <w:tl2br w:val="nil"/>
                    <w:tr2bl w:val="nil"/>
                  </w:tcBorders>
                  <w:vAlign w:val="center"/>
                </w:tcPr>
                <w:p w14:paraId="1D06B3E1">
                  <w:pPr>
                    <w:pStyle w:val="91"/>
                    <w:adjustRightInd w:val="0"/>
                    <w:snapToGrid w:val="0"/>
                    <w:spacing w:line="240" w:lineRule="auto"/>
                    <w:ind w:firstLine="0" w:firstLineChars="0"/>
                    <w:rPr>
                      <w:rFonts w:hint="default" w:ascii="Times New Roman" w:hAnsi="Times New Roman" w:eastAsia="宋体"/>
                      <w:b w:val="0"/>
                      <w:bCs/>
                      <w:color w:val="FF0000"/>
                      <w:sz w:val="21"/>
                      <w:highlight w:val="green"/>
                      <w:lang w:val="en-US" w:eastAsia="zh-CN"/>
                    </w:rPr>
                  </w:pPr>
                  <w:r>
                    <w:rPr>
                      <w:rFonts w:hint="eastAsia" w:ascii="Times New Roman" w:hAnsi="Times New Roman"/>
                      <w:b w:val="0"/>
                      <w:bCs/>
                      <w:color w:val="FF0000"/>
                      <w:sz w:val="21"/>
                      <w:highlight w:val="green"/>
                      <w:lang w:val="en-US" w:eastAsia="zh-CN"/>
                    </w:rPr>
                    <w:t>80</w:t>
                  </w:r>
                </w:p>
              </w:tc>
              <w:tc>
                <w:tcPr>
                  <w:tcW w:w="1176" w:type="dxa"/>
                  <w:vMerge w:val="continue"/>
                  <w:tcBorders>
                    <w:tl2br w:val="nil"/>
                    <w:tr2bl w:val="nil"/>
                  </w:tcBorders>
                  <w:vAlign w:val="center"/>
                </w:tcPr>
                <w:p w14:paraId="39FF977A">
                  <w:pPr>
                    <w:jc w:val="center"/>
                    <w:rPr>
                      <w:color w:val="FF0000"/>
                      <w:szCs w:val="21"/>
                      <w:highlight w:val="green"/>
                    </w:rPr>
                  </w:pPr>
                </w:p>
              </w:tc>
              <w:tc>
                <w:tcPr>
                  <w:tcW w:w="683" w:type="dxa"/>
                  <w:vMerge w:val="continue"/>
                  <w:tcBorders>
                    <w:tl2br w:val="nil"/>
                    <w:tr2bl w:val="nil"/>
                  </w:tcBorders>
                  <w:vAlign w:val="center"/>
                </w:tcPr>
                <w:p w14:paraId="759086CF">
                  <w:pPr>
                    <w:jc w:val="center"/>
                    <w:rPr>
                      <w:color w:val="FF0000"/>
                      <w:szCs w:val="21"/>
                      <w:highlight w:val="green"/>
                    </w:rPr>
                  </w:pPr>
                </w:p>
              </w:tc>
              <w:tc>
                <w:tcPr>
                  <w:tcW w:w="617" w:type="dxa"/>
                  <w:vMerge w:val="continue"/>
                  <w:tcBorders>
                    <w:tl2br w:val="nil"/>
                    <w:tr2bl w:val="nil"/>
                  </w:tcBorders>
                  <w:vAlign w:val="center"/>
                </w:tcPr>
                <w:p w14:paraId="2FAB8F29">
                  <w:pPr>
                    <w:jc w:val="center"/>
                    <w:rPr>
                      <w:color w:val="FF0000"/>
                      <w:szCs w:val="21"/>
                      <w:highlight w:val="green"/>
                    </w:rPr>
                  </w:pPr>
                </w:p>
              </w:tc>
              <w:tc>
                <w:tcPr>
                  <w:tcW w:w="850" w:type="dxa"/>
                  <w:tcBorders>
                    <w:tl2br w:val="nil"/>
                    <w:tr2bl w:val="nil"/>
                  </w:tcBorders>
                  <w:vAlign w:val="center"/>
                </w:tcPr>
                <w:p w14:paraId="107B635A">
                  <w:pPr>
                    <w:pStyle w:val="91"/>
                    <w:adjustRightInd w:val="0"/>
                    <w:snapToGrid w:val="0"/>
                    <w:spacing w:line="240" w:lineRule="auto"/>
                    <w:ind w:firstLine="0" w:firstLineChars="0"/>
                    <w:rPr>
                      <w:rFonts w:hint="default" w:ascii="Times New Roman" w:hAnsi="Times New Roman" w:eastAsia="宋体"/>
                      <w:b w:val="0"/>
                      <w:bCs/>
                      <w:color w:val="FF0000"/>
                      <w:sz w:val="21"/>
                      <w:highlight w:val="green"/>
                      <w:lang w:val="en-US" w:eastAsia="zh-CN"/>
                    </w:rPr>
                  </w:pPr>
                  <w:r>
                    <w:rPr>
                      <w:rFonts w:hint="eastAsia" w:ascii="Times New Roman" w:hAnsi="Times New Roman"/>
                      <w:b w:val="0"/>
                      <w:bCs/>
                      <w:color w:val="FF0000"/>
                      <w:sz w:val="21"/>
                      <w:highlight w:val="green"/>
                      <w:lang w:val="en-US" w:eastAsia="zh-CN"/>
                    </w:rPr>
                    <w:t>60</w:t>
                  </w:r>
                </w:p>
              </w:tc>
              <w:tc>
                <w:tcPr>
                  <w:tcW w:w="1065" w:type="dxa"/>
                  <w:vMerge w:val="continue"/>
                  <w:tcBorders>
                    <w:tl2br w:val="nil"/>
                    <w:tr2bl w:val="nil"/>
                  </w:tcBorders>
                  <w:vAlign w:val="center"/>
                </w:tcPr>
                <w:p w14:paraId="4FFAB57E">
                  <w:pPr>
                    <w:jc w:val="center"/>
                    <w:rPr>
                      <w:color w:val="FF0000"/>
                      <w:szCs w:val="21"/>
                      <w:highlight w:val="green"/>
                    </w:rPr>
                  </w:pPr>
                </w:p>
              </w:tc>
            </w:tr>
          </w:tbl>
          <w:p w14:paraId="72876294">
            <w:pPr>
              <w:pStyle w:val="74"/>
              <w:ind w:firstLine="482"/>
              <w:rPr>
                <w:b w:val="0"/>
                <w:bCs w:val="0"/>
                <w:color w:val="000000" w:themeColor="text1"/>
                <w:kern w:val="2"/>
                <w:sz w:val="24"/>
                <w:szCs w:val="24"/>
                <w:highlight w:val="none"/>
                <w14:textFill>
                  <w14:solidFill>
                    <w14:schemeClr w14:val="tx1"/>
                  </w14:solidFill>
                </w14:textFill>
              </w:rPr>
            </w:pPr>
            <w:r>
              <w:rPr>
                <w:b w:val="0"/>
                <w:bCs w:val="0"/>
                <w:color w:val="000000" w:themeColor="text1"/>
                <w:sz w:val="24"/>
                <w:szCs w:val="24"/>
                <w:highlight w:val="none"/>
                <w14:textFill>
                  <w14:solidFill>
                    <w14:schemeClr w14:val="tx1"/>
                  </w14:solidFill>
                </w14:textFill>
              </w:rPr>
              <w:t>（2）噪声防治措施分析</w:t>
            </w:r>
          </w:p>
          <w:p w14:paraId="13FA7966">
            <w:pPr>
              <w:pStyle w:val="77"/>
              <w:spacing w:line="360" w:lineRule="auto"/>
              <w:ind w:firstLine="480" w:firstLineChars="200"/>
              <w:textAlignment w:val="center"/>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建设单位对噪声污染拟采取以下措施进行防治：</w:t>
            </w:r>
          </w:p>
          <w:p w14:paraId="7790E7A7">
            <w:pPr>
              <w:pStyle w:val="77"/>
              <w:spacing w:line="360" w:lineRule="auto"/>
              <w:ind w:firstLine="480" w:firstLineChars="200"/>
              <w:textAlignment w:val="center"/>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①在设备选型时优先选用低噪声设备；</w:t>
            </w:r>
          </w:p>
          <w:p w14:paraId="3D000C30">
            <w:pPr>
              <w:pStyle w:val="77"/>
              <w:spacing w:line="360" w:lineRule="auto"/>
              <w:ind w:firstLine="480" w:firstLineChars="200"/>
              <w:textAlignment w:val="center"/>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②将高噪声</w:t>
            </w:r>
            <w:r>
              <w:rPr>
                <w:rFonts w:hint="eastAsia"/>
                <w:color w:val="000000" w:themeColor="text1"/>
                <w:sz w:val="24"/>
                <w:szCs w:val="24"/>
                <w:highlight w:val="none"/>
                <w:lang w:eastAsia="zh-CN"/>
                <w14:textFill>
                  <w14:solidFill>
                    <w14:schemeClr w14:val="tx1"/>
                  </w14:solidFill>
                </w14:textFill>
              </w:rPr>
              <w:t>设施</w:t>
            </w:r>
            <w:r>
              <w:rPr>
                <w:color w:val="000000" w:themeColor="text1"/>
                <w:sz w:val="24"/>
                <w:szCs w:val="24"/>
                <w:highlight w:val="none"/>
                <w14:textFill>
                  <w14:solidFill>
                    <w14:schemeClr w14:val="tx1"/>
                  </w14:solidFill>
                </w14:textFill>
              </w:rPr>
              <w:t>尽量</w:t>
            </w:r>
            <w:r>
              <w:rPr>
                <w:rFonts w:hint="eastAsia"/>
                <w:color w:val="000000" w:themeColor="text1"/>
                <w:sz w:val="24"/>
                <w:szCs w:val="24"/>
                <w:highlight w:val="none"/>
                <w:lang w:eastAsia="zh-CN"/>
                <w14:textFill>
                  <w14:solidFill>
                    <w14:schemeClr w14:val="tx1"/>
                  </w14:solidFill>
                </w14:textFill>
              </w:rPr>
              <w:t>安置在</w:t>
            </w:r>
            <w:r>
              <w:rPr>
                <w:color w:val="000000" w:themeColor="text1"/>
                <w:sz w:val="24"/>
                <w:szCs w:val="24"/>
                <w:highlight w:val="none"/>
                <w14:textFill>
                  <w14:solidFill>
                    <w14:schemeClr w14:val="tx1"/>
                  </w14:solidFill>
                </w14:textFill>
              </w:rPr>
              <w:t>远离厂界一侧并采用封闭门窗的隔音措施，安装底座加设橡胶隔振垫，以进一步降低噪声影响，设备振动级的衰减量可达20dB(A)；</w:t>
            </w:r>
          </w:p>
          <w:p w14:paraId="31E88E15">
            <w:pPr>
              <w:pStyle w:val="77"/>
              <w:spacing w:line="360" w:lineRule="auto"/>
              <w:ind w:firstLine="480" w:firstLineChars="200"/>
              <w:textAlignment w:val="center"/>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③通过设备在建筑物合理布置设备，利用距离、隔墙等条件，减小厂界噪声；</w:t>
            </w:r>
          </w:p>
          <w:p w14:paraId="5BBD5206">
            <w:pPr>
              <w:pStyle w:val="77"/>
              <w:spacing w:line="360" w:lineRule="auto"/>
              <w:ind w:firstLine="480" w:firstLineChars="200"/>
              <w:textAlignment w:val="center"/>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④在生产管理控制中保持设备良好运转状态，</w:t>
            </w:r>
            <w:r>
              <w:rPr>
                <w:rFonts w:hint="eastAsia"/>
                <w:color w:val="000000" w:themeColor="text1"/>
                <w:sz w:val="24"/>
                <w:szCs w:val="24"/>
                <w:highlight w:val="none"/>
                <w:lang w:eastAsia="zh-CN"/>
                <w14:textFill>
                  <w14:solidFill>
                    <w14:schemeClr w14:val="tx1"/>
                  </w14:solidFill>
                </w14:textFill>
              </w:rPr>
              <w:t>减少</w:t>
            </w:r>
            <w:r>
              <w:rPr>
                <w:color w:val="000000" w:themeColor="text1"/>
                <w:sz w:val="24"/>
                <w:szCs w:val="24"/>
                <w:highlight w:val="none"/>
                <w14:textFill>
                  <w14:solidFill>
                    <w14:schemeClr w14:val="tx1"/>
                  </w14:solidFill>
                </w14:textFill>
              </w:rPr>
              <w:t>不正常运行噪声。</w:t>
            </w:r>
          </w:p>
          <w:p w14:paraId="30B9E5B0">
            <w:pPr>
              <w:spacing w:line="360" w:lineRule="auto"/>
              <w:ind w:firstLine="480" w:firstLineChars="200"/>
              <w:rPr>
                <w:b w:val="0"/>
                <w:bCs/>
                <w:color w:val="000000" w:themeColor="text1"/>
                <w:sz w:val="24"/>
                <w:highlight w:val="none"/>
                <w14:textFill>
                  <w14:solidFill>
                    <w14:schemeClr w14:val="tx1"/>
                  </w14:solidFill>
                </w14:textFill>
              </w:rPr>
            </w:pPr>
            <w:r>
              <w:rPr>
                <w:b w:val="0"/>
                <w:bCs/>
                <w:color w:val="000000" w:themeColor="text1"/>
                <w:sz w:val="24"/>
                <w:highlight w:val="none"/>
                <w14:textFill>
                  <w14:solidFill>
                    <w14:schemeClr w14:val="tx1"/>
                  </w14:solidFill>
                </w14:textFill>
              </w:rPr>
              <w:t>（3）预测结果及噪声达标排放分析</w:t>
            </w:r>
          </w:p>
          <w:p w14:paraId="610A0336">
            <w:pPr>
              <w:pStyle w:val="90"/>
              <w:tabs>
                <w:tab w:val="left" w:pos="5805"/>
              </w:tabs>
              <w:spacing w:line="360" w:lineRule="auto"/>
              <w:ind w:firstLine="480"/>
              <w:rPr>
                <w:rFonts w:cs="Times New Roman"/>
                <w:color w:val="000000" w:themeColor="text1"/>
                <w:spacing w:val="0"/>
                <w:kern w:val="21"/>
                <w:highlight w:val="none"/>
                <w14:textFill>
                  <w14:solidFill>
                    <w14:schemeClr w14:val="tx1"/>
                  </w14:solidFill>
                </w14:textFill>
              </w:rPr>
            </w:pPr>
            <w:r>
              <w:rPr>
                <w:rFonts w:cs="Times New Roman"/>
                <w:color w:val="000000" w:themeColor="text1"/>
                <w:spacing w:val="0"/>
                <w:kern w:val="21"/>
                <w:highlight w:val="none"/>
                <w14:textFill>
                  <w14:solidFill>
                    <w14:schemeClr w14:val="tx1"/>
                  </w14:solidFill>
                </w14:textFill>
              </w:rPr>
              <w:t>主要依据发生设备的噪声类比调查结果及参考资料的数据。噪声通过建筑外墙的平均衰减量是考虑了室内发声源所发出的噪声主要频率在透过墙体、门、窗时的不同衰减，再考虑了对相似类比调查结果而定的。噪声在室外空间的传播衰减只考虑噪声随距离的衰减。</w:t>
            </w:r>
          </w:p>
          <w:p w14:paraId="264525F4">
            <w:pPr>
              <w:pStyle w:val="62"/>
              <w:spacing w:beforeLines="0" w:afterLines="0"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根据拟建项目设备声源特征和声学环境的特点，视设备声源为点源，声场为半自由声场，依据《环境影响评价技术导则 声环境》</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HJ2.4-2021</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，选用点声源衰减预测模式预测厂界噪声，具体见下表。</w:t>
            </w:r>
          </w:p>
          <w:p w14:paraId="7F0F6EE3">
            <w:pPr>
              <w:spacing w:line="360" w:lineRule="auto"/>
              <w:ind w:firstLine="480"/>
              <w:textAlignment w:val="baseline"/>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点声源衰减模式：</w:t>
            </w:r>
          </w:p>
          <w:p w14:paraId="7E58C967">
            <w:pPr>
              <w:spacing w:line="360" w:lineRule="auto"/>
              <w:jc w:val="center"/>
              <w:textAlignment w:val="baseline"/>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L</w:t>
            </w:r>
            <w:r>
              <w:rPr>
                <w:color w:val="000000" w:themeColor="text1"/>
                <w:sz w:val="24"/>
                <w:highlight w:val="none"/>
                <w:vertAlign w:val="subscript"/>
                <w14:textFill>
                  <w14:solidFill>
                    <w14:schemeClr w14:val="tx1"/>
                  </w14:solidFill>
                </w14:textFill>
              </w:rPr>
              <w:t>p</w:t>
            </w:r>
            <w:r>
              <w:rPr>
                <w:color w:val="000000" w:themeColor="text1"/>
                <w:sz w:val="24"/>
                <w:highlight w:val="none"/>
                <w14:textFill>
                  <w14:solidFill>
                    <w14:schemeClr w14:val="tx1"/>
                  </w14:solidFill>
                </w14:textFill>
              </w:rPr>
              <w:t>（r）= L</w:t>
            </w:r>
            <w:r>
              <w:rPr>
                <w:color w:val="000000" w:themeColor="text1"/>
                <w:sz w:val="24"/>
                <w:highlight w:val="none"/>
                <w:vertAlign w:val="subscript"/>
                <w14:textFill>
                  <w14:solidFill>
                    <w14:schemeClr w14:val="tx1"/>
                  </w14:solidFill>
                </w14:textFill>
              </w:rPr>
              <w:t>p</w:t>
            </w:r>
            <w:r>
              <w:rPr>
                <w:color w:val="000000" w:themeColor="text1"/>
                <w:sz w:val="24"/>
                <w:highlight w:val="none"/>
                <w14:textFill>
                  <w14:solidFill>
                    <w14:schemeClr w14:val="tx1"/>
                  </w14:solidFill>
                </w14:textFill>
              </w:rPr>
              <w:t>（r</w:t>
            </w:r>
            <w:r>
              <w:rPr>
                <w:color w:val="000000" w:themeColor="text1"/>
                <w:sz w:val="24"/>
                <w:highlight w:val="none"/>
                <w:vertAlign w:val="subscript"/>
                <w14:textFill>
                  <w14:solidFill>
                    <w14:schemeClr w14:val="tx1"/>
                  </w14:solidFill>
                </w14:textFill>
              </w:rPr>
              <w:t>0</w:t>
            </w:r>
            <w:r>
              <w:rPr>
                <w:color w:val="000000" w:themeColor="text1"/>
                <w:sz w:val="24"/>
                <w:highlight w:val="none"/>
                <w14:textFill>
                  <w14:solidFill>
                    <w14:schemeClr w14:val="tx1"/>
                  </w14:solidFill>
                </w14:textFill>
              </w:rPr>
              <w:t>）-20lg（r/r</w:t>
            </w:r>
            <w:r>
              <w:rPr>
                <w:color w:val="000000" w:themeColor="text1"/>
                <w:sz w:val="24"/>
                <w:highlight w:val="none"/>
                <w:vertAlign w:val="subscript"/>
                <w14:textFill>
                  <w14:solidFill>
                    <w14:schemeClr w14:val="tx1"/>
                  </w14:solidFill>
                </w14:textFill>
              </w:rPr>
              <w:t>0</w:t>
            </w:r>
            <w:r>
              <w:rPr>
                <w:color w:val="000000" w:themeColor="text1"/>
                <w:sz w:val="24"/>
                <w:highlight w:val="none"/>
                <w14:textFill>
                  <w14:solidFill>
                    <w14:schemeClr w14:val="tx1"/>
                  </w14:solidFill>
                </w14:textFill>
              </w:rPr>
              <w:t>）</w:t>
            </w:r>
          </w:p>
          <w:p w14:paraId="5B47BEA9">
            <w:pPr>
              <w:spacing w:line="360" w:lineRule="auto"/>
              <w:ind w:left="2160" w:hanging="2160" w:hangingChars="900"/>
              <w:textAlignment w:val="baseline"/>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 xml:space="preserve">          式中：L</w:t>
            </w:r>
            <w:r>
              <w:rPr>
                <w:color w:val="000000" w:themeColor="text1"/>
                <w:sz w:val="24"/>
                <w:highlight w:val="none"/>
                <w:vertAlign w:val="subscript"/>
                <w14:textFill>
                  <w14:solidFill>
                    <w14:schemeClr w14:val="tx1"/>
                  </w14:solidFill>
                </w14:textFill>
              </w:rPr>
              <w:t>p</w:t>
            </w:r>
            <w:r>
              <w:rPr>
                <w:color w:val="000000" w:themeColor="text1"/>
                <w:sz w:val="24"/>
                <w:highlight w:val="none"/>
                <w14:textFill>
                  <w14:solidFill>
                    <w14:schemeClr w14:val="tx1"/>
                  </w14:solidFill>
                </w14:textFill>
              </w:rPr>
              <w:t>（r）——距噪声源r</w:t>
            </w:r>
            <w:r>
              <w:rPr>
                <w:color w:val="000000" w:themeColor="text1"/>
                <w:sz w:val="24"/>
                <w:highlight w:val="none"/>
                <w:vertAlign w:val="subscript"/>
                <w14:textFill>
                  <w14:solidFill>
                    <w14:schemeClr w14:val="tx1"/>
                  </w14:solidFill>
                </w14:textFill>
              </w:rPr>
              <w:t>0</w:t>
            </w:r>
            <w:r>
              <w:rPr>
                <w:color w:val="000000" w:themeColor="text1"/>
                <w:sz w:val="24"/>
                <w:highlight w:val="none"/>
                <w14:textFill>
                  <w14:solidFill>
                    <w14:schemeClr w14:val="tx1"/>
                  </w14:solidFill>
                </w14:textFill>
              </w:rPr>
              <w:t>处预测点的A声级（dB(A)）；</w:t>
            </w:r>
          </w:p>
          <w:p w14:paraId="15B25F31">
            <w:pPr>
              <w:spacing w:line="360" w:lineRule="auto"/>
              <w:ind w:left="239" w:leftChars="114" w:firstLine="1680" w:firstLineChars="700"/>
              <w:textAlignment w:val="baseline"/>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L</w:t>
            </w:r>
            <w:r>
              <w:rPr>
                <w:color w:val="000000" w:themeColor="text1"/>
                <w:sz w:val="24"/>
                <w:highlight w:val="none"/>
                <w:vertAlign w:val="subscript"/>
                <w14:textFill>
                  <w14:solidFill>
                    <w14:schemeClr w14:val="tx1"/>
                  </w14:solidFill>
                </w14:textFill>
              </w:rPr>
              <w:t>p</w:t>
            </w:r>
            <w:r>
              <w:rPr>
                <w:color w:val="000000" w:themeColor="text1"/>
                <w:sz w:val="24"/>
                <w:highlight w:val="none"/>
                <w14:textFill>
                  <w14:solidFill>
                    <w14:schemeClr w14:val="tx1"/>
                  </w14:solidFill>
                </w14:textFill>
              </w:rPr>
              <w:t>(r</w:t>
            </w:r>
            <w:r>
              <w:rPr>
                <w:color w:val="000000" w:themeColor="text1"/>
                <w:sz w:val="24"/>
                <w:highlight w:val="none"/>
                <w:vertAlign w:val="subscript"/>
                <w14:textFill>
                  <w14:solidFill>
                    <w14:schemeClr w14:val="tx1"/>
                  </w14:solidFill>
                </w14:textFill>
              </w:rPr>
              <w:t>0</w:t>
            </w:r>
            <w:r>
              <w:rPr>
                <w:color w:val="000000" w:themeColor="text1"/>
                <w:sz w:val="24"/>
                <w:highlight w:val="none"/>
                <w14:textFill>
                  <w14:solidFill>
                    <w14:schemeClr w14:val="tx1"/>
                  </w14:solidFill>
                </w14:textFill>
              </w:rPr>
              <w:t>) ——点声源的A声级（dB(A)）；</w:t>
            </w:r>
          </w:p>
          <w:p w14:paraId="33A55C31">
            <w:pPr>
              <w:spacing w:line="360" w:lineRule="auto"/>
              <w:ind w:left="239" w:leftChars="114" w:firstLine="1680" w:firstLineChars="700"/>
              <w:textAlignment w:val="baseline"/>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r ——点声源至预测点的距离（m）。</w:t>
            </w:r>
          </w:p>
          <w:p w14:paraId="0A1C0236">
            <w:pPr>
              <w:autoSpaceDE w:val="0"/>
              <w:autoSpaceDN w:val="0"/>
              <w:spacing w:line="360" w:lineRule="auto"/>
              <w:jc w:val="center"/>
              <w:textAlignment w:val="bottom"/>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表4-</w:t>
            </w:r>
            <w:r>
              <w:rPr>
                <w:rFonts w:hint="eastAsia"/>
                <w:b/>
                <w:bCs/>
                <w:color w:val="000000" w:themeColor="text1"/>
                <w:sz w:val="24"/>
                <w:highlight w:val="none"/>
                <w:lang w:val="en-US" w:eastAsia="zh-CN"/>
                <w14:textFill>
                  <w14:solidFill>
                    <w14:schemeClr w14:val="tx1"/>
                  </w14:solidFill>
                </w14:textFill>
              </w:rPr>
              <w:t>7</w:t>
            </w:r>
            <w:r>
              <w:rPr>
                <w:b/>
                <w:bCs/>
                <w:color w:val="000000" w:themeColor="text1"/>
                <w:sz w:val="24"/>
                <w:highlight w:val="none"/>
                <w14:textFill>
                  <w14:solidFill>
                    <w14:schemeClr w14:val="tx1"/>
                  </w14:solidFill>
                </w14:textFill>
              </w:rPr>
              <w:t xml:space="preserve"> 噪声预测结果表  单位：dB(A)</w:t>
            </w:r>
          </w:p>
          <w:tbl>
            <w:tblPr>
              <w:tblStyle w:val="29"/>
              <w:tblW w:w="78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711"/>
              <w:gridCol w:w="711"/>
              <w:gridCol w:w="711"/>
              <w:gridCol w:w="711"/>
              <w:gridCol w:w="711"/>
              <w:gridCol w:w="711"/>
              <w:gridCol w:w="711"/>
              <w:gridCol w:w="718"/>
              <w:gridCol w:w="713"/>
            </w:tblGrid>
            <w:tr w14:paraId="5699C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420" w:type="dxa"/>
                  <w:vMerge w:val="restart"/>
                  <w:tcBorders>
                    <w:top w:val="single" w:color="auto" w:sz="12" w:space="0"/>
                    <w:bottom w:val="single" w:color="auto" w:sz="4" w:space="0"/>
                    <w:right w:val="single" w:color="auto" w:sz="4" w:space="0"/>
                  </w:tcBorders>
                  <w:vAlign w:val="center"/>
                </w:tcPr>
                <w:p w14:paraId="5C9978BB">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预测点位</w:t>
                  </w:r>
                </w:p>
              </w:tc>
              <w:tc>
                <w:tcPr>
                  <w:tcW w:w="1422" w:type="dxa"/>
                  <w:gridSpan w:val="2"/>
                  <w:tcBorders>
                    <w:top w:val="single" w:color="auto" w:sz="12" w:space="0"/>
                    <w:left w:val="single" w:color="auto" w:sz="4" w:space="0"/>
                    <w:bottom w:val="single" w:color="auto" w:sz="4" w:space="0"/>
                    <w:right w:val="single" w:color="auto" w:sz="4" w:space="0"/>
                  </w:tcBorders>
                  <w:vAlign w:val="center"/>
                </w:tcPr>
                <w:p w14:paraId="738CBB48">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噪声背景值/</w:t>
                  </w:r>
                  <w:r>
                    <w:rPr>
                      <w:color w:val="000000" w:themeColor="text1"/>
                      <w:sz w:val="21"/>
                      <w:szCs w:val="21"/>
                      <w:highlight w:val="none"/>
                      <w14:textFill>
                        <w14:solidFill>
                          <w14:schemeClr w14:val="tx1"/>
                        </w14:solidFill>
                      </w14:textFill>
                    </w:rPr>
                    <w:t>dB(A)</w:t>
                  </w:r>
                </w:p>
              </w:tc>
              <w:tc>
                <w:tcPr>
                  <w:tcW w:w="1422" w:type="dxa"/>
                  <w:gridSpan w:val="2"/>
                  <w:tcBorders>
                    <w:top w:val="single" w:color="auto" w:sz="12" w:space="0"/>
                    <w:left w:val="single" w:color="auto" w:sz="4" w:space="0"/>
                    <w:bottom w:val="single" w:color="auto" w:sz="4" w:space="0"/>
                    <w:right w:val="single" w:color="000000" w:sz="4" w:space="0"/>
                  </w:tcBorders>
                  <w:vAlign w:val="center"/>
                </w:tcPr>
                <w:p w14:paraId="69DD1227">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噪声标准/dB(A)</w:t>
                  </w:r>
                </w:p>
              </w:tc>
              <w:tc>
                <w:tcPr>
                  <w:tcW w:w="1422" w:type="dxa"/>
                  <w:gridSpan w:val="2"/>
                  <w:tcBorders>
                    <w:top w:val="single" w:color="auto" w:sz="12" w:space="0"/>
                    <w:left w:val="single" w:color="000000" w:sz="4" w:space="0"/>
                    <w:bottom w:val="single" w:color="auto" w:sz="4" w:space="0"/>
                    <w:right w:val="single" w:color="auto" w:sz="4" w:space="0"/>
                  </w:tcBorders>
                  <w:vAlign w:val="center"/>
                </w:tcPr>
                <w:p w14:paraId="10067050">
                  <w:pPr>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噪声贡献值/dB(A)</w:t>
                  </w:r>
                </w:p>
              </w:tc>
              <w:tc>
                <w:tcPr>
                  <w:tcW w:w="1429" w:type="dxa"/>
                  <w:gridSpan w:val="2"/>
                  <w:tcBorders>
                    <w:top w:val="single" w:color="auto" w:sz="12" w:space="0"/>
                    <w:left w:val="single" w:color="auto" w:sz="4" w:space="0"/>
                    <w:bottom w:val="single" w:color="auto" w:sz="4" w:space="0"/>
                    <w:right w:val="single" w:color="000000" w:sz="4" w:space="0"/>
                  </w:tcBorders>
                  <w:vAlign w:val="center"/>
                </w:tcPr>
                <w:p w14:paraId="6F7108C0">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噪声预测值/dB(A)</w:t>
                  </w:r>
                </w:p>
              </w:tc>
              <w:tc>
                <w:tcPr>
                  <w:tcW w:w="713" w:type="dxa"/>
                  <w:vMerge w:val="restart"/>
                  <w:tcBorders>
                    <w:top w:val="single" w:color="auto" w:sz="12" w:space="0"/>
                    <w:left w:val="single" w:color="000000" w:sz="4" w:space="0"/>
                    <w:right w:val="nil"/>
                  </w:tcBorders>
                  <w:vAlign w:val="center"/>
                </w:tcPr>
                <w:p w14:paraId="5E2767D4">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达标情况</w:t>
                  </w:r>
                </w:p>
              </w:tc>
            </w:tr>
            <w:tr w14:paraId="6E7A7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420" w:type="dxa"/>
                  <w:vMerge w:val="continue"/>
                  <w:tcBorders>
                    <w:top w:val="single" w:color="auto" w:sz="4" w:space="0"/>
                    <w:left w:val="nil"/>
                    <w:bottom w:val="single" w:color="auto" w:sz="4" w:space="0"/>
                    <w:right w:val="single" w:color="auto" w:sz="4" w:space="0"/>
                  </w:tcBorders>
                  <w:vAlign w:val="center"/>
                </w:tcPr>
                <w:p w14:paraId="51D172DF">
                  <w:pPr>
                    <w:jc w:val="center"/>
                    <w:rPr>
                      <w:color w:val="000000" w:themeColor="text1"/>
                      <w:sz w:val="21"/>
                      <w:szCs w:val="21"/>
                      <w:highlight w:val="none"/>
                      <w14:textFill>
                        <w14:solidFill>
                          <w14:schemeClr w14:val="tx1"/>
                        </w14:solidFill>
                      </w14:textFill>
                    </w:rPr>
                  </w:pPr>
                </w:p>
              </w:tc>
              <w:tc>
                <w:tcPr>
                  <w:tcW w:w="711" w:type="dxa"/>
                  <w:tcBorders>
                    <w:top w:val="single" w:color="auto" w:sz="4" w:space="0"/>
                    <w:left w:val="single" w:color="auto" w:sz="4" w:space="0"/>
                    <w:bottom w:val="single" w:color="auto" w:sz="4" w:space="0"/>
                    <w:right w:val="single" w:color="auto" w:sz="4" w:space="0"/>
                  </w:tcBorders>
                  <w:vAlign w:val="center"/>
                </w:tcPr>
                <w:p w14:paraId="62EEE6EE">
                  <w:pPr>
                    <w:ind w:left="0" w:leftChars="0" w:right="0" w:rightChars="0"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昼间</w:t>
                  </w:r>
                </w:p>
              </w:tc>
              <w:tc>
                <w:tcPr>
                  <w:tcW w:w="711" w:type="dxa"/>
                  <w:tcBorders>
                    <w:top w:val="single" w:color="auto" w:sz="4" w:space="0"/>
                    <w:left w:val="single" w:color="auto" w:sz="4" w:space="0"/>
                    <w:bottom w:val="single" w:color="auto" w:sz="4" w:space="0"/>
                    <w:right w:val="single" w:color="auto" w:sz="4" w:space="0"/>
                  </w:tcBorders>
                  <w:vAlign w:val="center"/>
                </w:tcPr>
                <w:p w14:paraId="4D82C25A">
                  <w:pPr>
                    <w:ind w:left="0" w:leftChars="0" w:right="0" w:rightChars="0"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夜间</w:t>
                  </w:r>
                </w:p>
              </w:tc>
              <w:tc>
                <w:tcPr>
                  <w:tcW w:w="711" w:type="dxa"/>
                  <w:tcBorders>
                    <w:top w:val="single" w:color="auto" w:sz="4" w:space="0"/>
                    <w:left w:val="single" w:color="auto" w:sz="4" w:space="0"/>
                    <w:bottom w:val="single" w:color="auto" w:sz="4" w:space="0"/>
                    <w:right w:val="single" w:color="000000" w:sz="4" w:space="0"/>
                  </w:tcBorders>
                  <w:vAlign w:val="center"/>
                </w:tcPr>
                <w:p w14:paraId="79C358A3">
                  <w:pPr>
                    <w:ind w:left="0" w:leftChars="0" w:right="0" w:rightChars="0"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昼间</w:t>
                  </w:r>
                </w:p>
              </w:tc>
              <w:tc>
                <w:tcPr>
                  <w:tcW w:w="711" w:type="dxa"/>
                  <w:tcBorders>
                    <w:top w:val="single" w:color="auto" w:sz="4" w:space="0"/>
                    <w:left w:val="single" w:color="000000" w:sz="4" w:space="0"/>
                    <w:bottom w:val="single" w:color="auto" w:sz="4" w:space="0"/>
                    <w:right w:val="single" w:color="000000" w:sz="4" w:space="0"/>
                  </w:tcBorders>
                  <w:vAlign w:val="center"/>
                </w:tcPr>
                <w:p w14:paraId="51F0A617">
                  <w:pPr>
                    <w:ind w:left="0" w:leftChars="0" w:right="0" w:rightChars="0"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夜间</w:t>
                  </w:r>
                </w:p>
              </w:tc>
              <w:tc>
                <w:tcPr>
                  <w:tcW w:w="711" w:type="dxa"/>
                  <w:tcBorders>
                    <w:top w:val="single" w:color="auto" w:sz="4" w:space="0"/>
                    <w:left w:val="single" w:color="000000" w:sz="4" w:space="0"/>
                    <w:bottom w:val="single" w:color="auto" w:sz="4" w:space="0"/>
                    <w:right w:val="single" w:color="000000" w:sz="4" w:space="0"/>
                  </w:tcBorders>
                  <w:vAlign w:val="center"/>
                </w:tcPr>
                <w:p w14:paraId="0C22F8E2">
                  <w:pPr>
                    <w:ind w:left="0" w:leftChars="0" w:right="0" w:rightChars="0"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昼间</w:t>
                  </w:r>
                </w:p>
              </w:tc>
              <w:tc>
                <w:tcPr>
                  <w:tcW w:w="711" w:type="dxa"/>
                  <w:tcBorders>
                    <w:top w:val="single" w:color="auto" w:sz="4" w:space="0"/>
                    <w:left w:val="single" w:color="000000" w:sz="4" w:space="0"/>
                    <w:bottom w:val="single" w:color="auto" w:sz="4" w:space="0"/>
                    <w:right w:val="single" w:color="auto" w:sz="4" w:space="0"/>
                  </w:tcBorders>
                  <w:vAlign w:val="center"/>
                </w:tcPr>
                <w:p w14:paraId="08CCD6D7">
                  <w:pPr>
                    <w:ind w:left="0" w:leftChars="0" w:right="0" w:rightChars="0"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夜间</w:t>
                  </w:r>
                </w:p>
              </w:tc>
              <w:tc>
                <w:tcPr>
                  <w:tcW w:w="711" w:type="dxa"/>
                  <w:tcBorders>
                    <w:top w:val="single" w:color="auto" w:sz="4" w:space="0"/>
                    <w:left w:val="single" w:color="auto" w:sz="4" w:space="0"/>
                    <w:bottom w:val="single" w:color="auto" w:sz="4" w:space="0"/>
                    <w:right w:val="single" w:color="000000" w:sz="4" w:space="0"/>
                  </w:tcBorders>
                  <w:vAlign w:val="center"/>
                </w:tcPr>
                <w:p w14:paraId="1AB532E1">
                  <w:pPr>
                    <w:ind w:left="0" w:leftChars="0" w:right="0" w:rightChars="0"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昼间</w:t>
                  </w:r>
                </w:p>
              </w:tc>
              <w:tc>
                <w:tcPr>
                  <w:tcW w:w="718" w:type="dxa"/>
                  <w:tcBorders>
                    <w:top w:val="single" w:color="auto" w:sz="4" w:space="0"/>
                    <w:left w:val="single" w:color="000000" w:sz="4" w:space="0"/>
                    <w:bottom w:val="single" w:color="auto" w:sz="4" w:space="0"/>
                    <w:right w:val="single" w:color="000000" w:sz="4" w:space="0"/>
                  </w:tcBorders>
                  <w:vAlign w:val="center"/>
                </w:tcPr>
                <w:p w14:paraId="7CB5A8B0">
                  <w:pPr>
                    <w:ind w:left="0" w:leftChars="0" w:right="0" w:rightChars="0"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夜间</w:t>
                  </w:r>
                </w:p>
              </w:tc>
              <w:tc>
                <w:tcPr>
                  <w:tcW w:w="713" w:type="dxa"/>
                  <w:vMerge w:val="continue"/>
                  <w:tcBorders>
                    <w:left w:val="single" w:color="000000" w:sz="4" w:space="0"/>
                    <w:bottom w:val="single" w:color="auto" w:sz="4" w:space="0"/>
                    <w:right w:val="nil"/>
                  </w:tcBorders>
                </w:tcPr>
                <w:p w14:paraId="0F8F1125">
                  <w:pPr>
                    <w:jc w:val="center"/>
                    <w:rPr>
                      <w:color w:val="000000" w:themeColor="text1"/>
                      <w:sz w:val="21"/>
                      <w:szCs w:val="21"/>
                      <w:highlight w:val="none"/>
                      <w14:textFill>
                        <w14:solidFill>
                          <w14:schemeClr w14:val="tx1"/>
                        </w14:solidFill>
                      </w14:textFill>
                    </w:rPr>
                  </w:pPr>
                </w:p>
              </w:tc>
            </w:tr>
            <w:tr w14:paraId="4AC2D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Borders>
                    <w:top w:val="single" w:color="auto" w:sz="4" w:space="0"/>
                    <w:left w:val="nil"/>
                    <w:bottom w:val="single" w:color="auto" w:sz="4" w:space="0"/>
                    <w:right w:val="single" w:color="auto" w:sz="4" w:space="0"/>
                  </w:tcBorders>
                  <w:vAlign w:val="center"/>
                </w:tcPr>
                <w:p w14:paraId="0F15D6C8">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厂界</w:t>
                  </w:r>
                  <w:r>
                    <w:rPr>
                      <w:color w:val="000000" w:themeColor="text1"/>
                      <w:sz w:val="21"/>
                      <w:szCs w:val="21"/>
                      <w:highlight w:val="none"/>
                      <w14:textFill>
                        <w14:solidFill>
                          <w14:schemeClr w14:val="tx1"/>
                        </w14:solidFill>
                      </w14:textFill>
                    </w:rPr>
                    <w:t>东侧</w:t>
                  </w:r>
                </w:p>
              </w:tc>
              <w:tc>
                <w:tcPr>
                  <w:tcW w:w="711" w:type="dxa"/>
                  <w:tcBorders>
                    <w:top w:val="single" w:color="auto" w:sz="4" w:space="0"/>
                    <w:left w:val="single" w:color="auto" w:sz="4" w:space="0"/>
                    <w:bottom w:val="single" w:color="auto" w:sz="4" w:space="0"/>
                    <w:right w:val="single" w:color="auto" w:sz="4" w:space="0"/>
                  </w:tcBorders>
                  <w:vAlign w:val="center"/>
                </w:tcPr>
                <w:p w14:paraId="3F3459C7">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51.6</w:t>
                  </w:r>
                </w:p>
              </w:tc>
              <w:tc>
                <w:tcPr>
                  <w:tcW w:w="711" w:type="dxa"/>
                  <w:tcBorders>
                    <w:top w:val="single" w:color="auto" w:sz="4" w:space="0"/>
                    <w:left w:val="single" w:color="auto" w:sz="4" w:space="0"/>
                    <w:bottom w:val="single" w:color="auto" w:sz="4" w:space="0"/>
                    <w:right w:val="single" w:color="auto" w:sz="4" w:space="0"/>
                  </w:tcBorders>
                  <w:vAlign w:val="center"/>
                </w:tcPr>
                <w:p w14:paraId="48DCB080">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46.9</w:t>
                  </w:r>
                </w:p>
              </w:tc>
              <w:tc>
                <w:tcPr>
                  <w:tcW w:w="711" w:type="dxa"/>
                  <w:tcBorders>
                    <w:top w:val="single" w:color="auto" w:sz="4" w:space="0"/>
                    <w:left w:val="single" w:color="auto" w:sz="4" w:space="0"/>
                    <w:bottom w:val="single" w:color="auto" w:sz="4" w:space="0"/>
                    <w:right w:val="single" w:color="000000" w:sz="4" w:space="0"/>
                  </w:tcBorders>
                  <w:vAlign w:val="center"/>
                </w:tcPr>
                <w:p w14:paraId="53B2036B">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65</w:t>
                  </w:r>
                </w:p>
              </w:tc>
              <w:tc>
                <w:tcPr>
                  <w:tcW w:w="711" w:type="dxa"/>
                  <w:tcBorders>
                    <w:top w:val="single" w:color="auto" w:sz="4" w:space="0"/>
                    <w:left w:val="single" w:color="000000" w:sz="4" w:space="0"/>
                    <w:bottom w:val="single" w:color="auto" w:sz="4" w:space="0"/>
                    <w:right w:val="single" w:color="000000" w:sz="4" w:space="0"/>
                  </w:tcBorders>
                  <w:vAlign w:val="center"/>
                </w:tcPr>
                <w:p w14:paraId="5CE639D7">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55</w:t>
                  </w:r>
                </w:p>
              </w:tc>
              <w:tc>
                <w:tcPr>
                  <w:tcW w:w="711" w:type="dxa"/>
                  <w:tcBorders>
                    <w:top w:val="single" w:color="auto" w:sz="4" w:space="0"/>
                    <w:left w:val="single" w:color="000000" w:sz="4" w:space="0"/>
                    <w:bottom w:val="single" w:color="auto" w:sz="4" w:space="0"/>
                    <w:right w:val="single" w:color="000000" w:sz="4" w:space="0"/>
                  </w:tcBorders>
                  <w:vAlign w:val="center"/>
                </w:tcPr>
                <w:p w14:paraId="66B8F77E">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20.1</w:t>
                  </w:r>
                </w:p>
              </w:tc>
              <w:tc>
                <w:tcPr>
                  <w:tcW w:w="711" w:type="dxa"/>
                  <w:tcBorders>
                    <w:top w:val="single" w:color="auto" w:sz="4" w:space="0"/>
                    <w:left w:val="single" w:color="000000" w:sz="4" w:space="0"/>
                    <w:bottom w:val="single" w:color="auto" w:sz="4" w:space="0"/>
                    <w:right w:val="single" w:color="auto" w:sz="4" w:space="0"/>
                  </w:tcBorders>
                  <w:vAlign w:val="center"/>
                </w:tcPr>
                <w:p w14:paraId="18F65869">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14.7</w:t>
                  </w:r>
                </w:p>
              </w:tc>
              <w:tc>
                <w:tcPr>
                  <w:tcW w:w="711" w:type="dxa"/>
                  <w:tcBorders>
                    <w:top w:val="single" w:color="auto" w:sz="4" w:space="0"/>
                    <w:left w:val="single" w:color="auto" w:sz="4" w:space="0"/>
                    <w:bottom w:val="single" w:color="auto" w:sz="4" w:space="0"/>
                    <w:right w:val="single" w:color="000000" w:sz="4" w:space="0"/>
                  </w:tcBorders>
                  <w:vAlign w:val="center"/>
                </w:tcPr>
                <w:p w14:paraId="7CB79622">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w:t>
                  </w:r>
                </w:p>
              </w:tc>
              <w:tc>
                <w:tcPr>
                  <w:tcW w:w="718" w:type="dxa"/>
                  <w:tcBorders>
                    <w:top w:val="single" w:color="auto" w:sz="4" w:space="0"/>
                    <w:left w:val="single" w:color="000000" w:sz="4" w:space="0"/>
                    <w:bottom w:val="single" w:color="auto" w:sz="4" w:space="0"/>
                    <w:right w:val="single" w:color="000000" w:sz="4" w:space="0"/>
                  </w:tcBorders>
                  <w:vAlign w:val="center"/>
                </w:tcPr>
                <w:p w14:paraId="356E4AB6">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w:t>
                  </w:r>
                </w:p>
              </w:tc>
              <w:tc>
                <w:tcPr>
                  <w:tcW w:w="713" w:type="dxa"/>
                  <w:tcBorders>
                    <w:top w:val="single" w:color="auto" w:sz="4" w:space="0"/>
                    <w:left w:val="single" w:color="000000" w:sz="4" w:space="0"/>
                    <w:bottom w:val="single" w:color="auto" w:sz="4" w:space="0"/>
                    <w:right w:val="nil"/>
                  </w:tcBorders>
                  <w:shd w:val="clear" w:color="auto" w:fill="auto"/>
                  <w:vAlign w:val="center"/>
                </w:tcPr>
                <w:p w14:paraId="39E400CB">
                  <w:pPr>
                    <w:jc w:val="center"/>
                    <w:rPr>
                      <w:rFonts w:ascii="Times New Roman" w:hAnsi="Times New Roman" w:eastAsia="宋体" w:cs="Times New Roman"/>
                      <w:color w:val="FF0000"/>
                      <w:kern w:val="2"/>
                      <w:sz w:val="21"/>
                      <w:szCs w:val="21"/>
                      <w:highlight w:val="green"/>
                      <w:lang w:val="en-US" w:eastAsia="zh-CN" w:bidi="ar-SA"/>
                    </w:rPr>
                  </w:pPr>
                  <w:r>
                    <w:rPr>
                      <w:color w:val="FF0000"/>
                      <w:sz w:val="21"/>
                      <w:szCs w:val="21"/>
                      <w:highlight w:val="green"/>
                    </w:rPr>
                    <w:t>达标</w:t>
                  </w:r>
                </w:p>
              </w:tc>
            </w:tr>
            <w:tr w14:paraId="3F165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Borders>
                    <w:top w:val="single" w:color="auto" w:sz="4" w:space="0"/>
                    <w:left w:val="nil"/>
                    <w:bottom w:val="single" w:color="auto" w:sz="4" w:space="0"/>
                    <w:right w:val="single" w:color="auto" w:sz="4" w:space="0"/>
                  </w:tcBorders>
                  <w:vAlign w:val="center"/>
                </w:tcPr>
                <w:p w14:paraId="0E987F83">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厂界</w:t>
                  </w:r>
                  <w:r>
                    <w:rPr>
                      <w:color w:val="000000" w:themeColor="text1"/>
                      <w:sz w:val="21"/>
                      <w:szCs w:val="21"/>
                      <w:highlight w:val="none"/>
                      <w14:textFill>
                        <w14:solidFill>
                          <w14:schemeClr w14:val="tx1"/>
                        </w14:solidFill>
                      </w14:textFill>
                    </w:rPr>
                    <w:t>南侧</w:t>
                  </w:r>
                </w:p>
              </w:tc>
              <w:tc>
                <w:tcPr>
                  <w:tcW w:w="711" w:type="dxa"/>
                  <w:tcBorders>
                    <w:top w:val="single" w:color="auto" w:sz="4" w:space="0"/>
                    <w:left w:val="single" w:color="auto" w:sz="4" w:space="0"/>
                    <w:bottom w:val="single" w:color="auto" w:sz="4" w:space="0"/>
                    <w:right w:val="single" w:color="auto" w:sz="4" w:space="0"/>
                  </w:tcBorders>
                  <w:vAlign w:val="center"/>
                </w:tcPr>
                <w:p w14:paraId="347B0045">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50.2</w:t>
                  </w:r>
                </w:p>
              </w:tc>
              <w:tc>
                <w:tcPr>
                  <w:tcW w:w="711" w:type="dxa"/>
                  <w:tcBorders>
                    <w:top w:val="single" w:color="auto" w:sz="4" w:space="0"/>
                    <w:left w:val="single" w:color="auto" w:sz="4" w:space="0"/>
                    <w:bottom w:val="single" w:color="auto" w:sz="4" w:space="0"/>
                    <w:right w:val="single" w:color="auto" w:sz="4" w:space="0"/>
                  </w:tcBorders>
                  <w:vAlign w:val="center"/>
                </w:tcPr>
                <w:p w14:paraId="67939558">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46.3</w:t>
                  </w:r>
                </w:p>
              </w:tc>
              <w:tc>
                <w:tcPr>
                  <w:tcW w:w="711" w:type="dxa"/>
                  <w:tcBorders>
                    <w:top w:val="single" w:color="auto" w:sz="4" w:space="0"/>
                    <w:left w:val="single" w:color="auto" w:sz="4" w:space="0"/>
                    <w:bottom w:val="single" w:color="auto" w:sz="4" w:space="0"/>
                    <w:right w:val="single" w:color="000000" w:sz="4" w:space="0"/>
                  </w:tcBorders>
                  <w:vAlign w:val="center"/>
                </w:tcPr>
                <w:p w14:paraId="5F11E204">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65</w:t>
                  </w:r>
                </w:p>
              </w:tc>
              <w:tc>
                <w:tcPr>
                  <w:tcW w:w="711" w:type="dxa"/>
                  <w:tcBorders>
                    <w:top w:val="single" w:color="auto" w:sz="4" w:space="0"/>
                    <w:left w:val="single" w:color="000000" w:sz="4" w:space="0"/>
                    <w:bottom w:val="single" w:color="auto" w:sz="4" w:space="0"/>
                    <w:right w:val="single" w:color="000000" w:sz="4" w:space="0"/>
                  </w:tcBorders>
                  <w:vAlign w:val="center"/>
                </w:tcPr>
                <w:p w14:paraId="0F03B810">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55</w:t>
                  </w:r>
                </w:p>
              </w:tc>
              <w:tc>
                <w:tcPr>
                  <w:tcW w:w="711" w:type="dxa"/>
                  <w:tcBorders>
                    <w:top w:val="single" w:color="auto" w:sz="4" w:space="0"/>
                    <w:left w:val="single" w:color="000000" w:sz="4" w:space="0"/>
                    <w:bottom w:val="single" w:color="auto" w:sz="4" w:space="0"/>
                    <w:right w:val="single" w:color="000000" w:sz="4" w:space="0"/>
                  </w:tcBorders>
                  <w:vAlign w:val="center"/>
                </w:tcPr>
                <w:p w14:paraId="1B901205">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29.7</w:t>
                  </w:r>
                </w:p>
              </w:tc>
              <w:tc>
                <w:tcPr>
                  <w:tcW w:w="711" w:type="dxa"/>
                  <w:tcBorders>
                    <w:top w:val="single" w:color="auto" w:sz="4" w:space="0"/>
                    <w:left w:val="single" w:color="000000" w:sz="4" w:space="0"/>
                    <w:bottom w:val="single" w:color="auto" w:sz="4" w:space="0"/>
                    <w:right w:val="single" w:color="auto" w:sz="4" w:space="0"/>
                  </w:tcBorders>
                  <w:vAlign w:val="center"/>
                </w:tcPr>
                <w:p w14:paraId="3DB9B390">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24.2</w:t>
                  </w:r>
                </w:p>
              </w:tc>
              <w:tc>
                <w:tcPr>
                  <w:tcW w:w="711" w:type="dxa"/>
                  <w:tcBorders>
                    <w:top w:val="single" w:color="auto" w:sz="4" w:space="0"/>
                    <w:left w:val="single" w:color="auto" w:sz="4" w:space="0"/>
                    <w:bottom w:val="single" w:color="auto" w:sz="4" w:space="0"/>
                    <w:right w:val="single" w:color="000000" w:sz="4" w:space="0"/>
                  </w:tcBorders>
                  <w:vAlign w:val="center"/>
                </w:tcPr>
                <w:p w14:paraId="7C719BF5">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w:t>
                  </w:r>
                </w:p>
              </w:tc>
              <w:tc>
                <w:tcPr>
                  <w:tcW w:w="718" w:type="dxa"/>
                  <w:tcBorders>
                    <w:top w:val="single" w:color="auto" w:sz="4" w:space="0"/>
                    <w:left w:val="single" w:color="000000" w:sz="4" w:space="0"/>
                    <w:bottom w:val="single" w:color="auto" w:sz="4" w:space="0"/>
                    <w:right w:val="single" w:color="000000" w:sz="4" w:space="0"/>
                  </w:tcBorders>
                  <w:vAlign w:val="center"/>
                </w:tcPr>
                <w:p w14:paraId="7086C7B1">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w:t>
                  </w:r>
                </w:p>
              </w:tc>
              <w:tc>
                <w:tcPr>
                  <w:tcW w:w="713" w:type="dxa"/>
                  <w:tcBorders>
                    <w:top w:val="single" w:color="auto" w:sz="4" w:space="0"/>
                    <w:left w:val="single" w:color="000000" w:sz="4" w:space="0"/>
                    <w:bottom w:val="single" w:color="auto" w:sz="4" w:space="0"/>
                    <w:right w:val="nil"/>
                  </w:tcBorders>
                  <w:shd w:val="clear" w:color="auto" w:fill="auto"/>
                  <w:vAlign w:val="center"/>
                </w:tcPr>
                <w:p w14:paraId="1A0D5ABA">
                  <w:pPr>
                    <w:jc w:val="center"/>
                    <w:rPr>
                      <w:rFonts w:ascii="Times New Roman" w:hAnsi="Times New Roman" w:eastAsia="宋体" w:cs="Times New Roman"/>
                      <w:color w:val="FF0000"/>
                      <w:kern w:val="2"/>
                      <w:sz w:val="21"/>
                      <w:szCs w:val="21"/>
                      <w:highlight w:val="green"/>
                      <w:lang w:val="en-US" w:eastAsia="zh-CN" w:bidi="ar-SA"/>
                    </w:rPr>
                  </w:pPr>
                  <w:r>
                    <w:rPr>
                      <w:color w:val="FF0000"/>
                      <w:sz w:val="21"/>
                      <w:szCs w:val="21"/>
                      <w:highlight w:val="green"/>
                    </w:rPr>
                    <w:t>达标</w:t>
                  </w:r>
                </w:p>
              </w:tc>
            </w:tr>
            <w:tr w14:paraId="12BB4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Borders>
                    <w:top w:val="single" w:color="auto" w:sz="4" w:space="0"/>
                    <w:left w:val="nil"/>
                    <w:bottom w:val="single" w:color="auto" w:sz="4" w:space="0"/>
                    <w:right w:val="single" w:color="auto" w:sz="4" w:space="0"/>
                  </w:tcBorders>
                  <w:vAlign w:val="center"/>
                </w:tcPr>
                <w:p w14:paraId="49282693">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厂界</w:t>
                  </w:r>
                  <w:r>
                    <w:rPr>
                      <w:color w:val="000000" w:themeColor="text1"/>
                      <w:sz w:val="21"/>
                      <w:szCs w:val="21"/>
                      <w:highlight w:val="none"/>
                      <w14:textFill>
                        <w14:solidFill>
                          <w14:schemeClr w14:val="tx1"/>
                        </w14:solidFill>
                      </w14:textFill>
                    </w:rPr>
                    <w:t>西侧</w:t>
                  </w:r>
                </w:p>
              </w:tc>
              <w:tc>
                <w:tcPr>
                  <w:tcW w:w="711" w:type="dxa"/>
                  <w:tcBorders>
                    <w:top w:val="single" w:color="auto" w:sz="4" w:space="0"/>
                    <w:left w:val="single" w:color="auto" w:sz="4" w:space="0"/>
                    <w:bottom w:val="single" w:color="auto" w:sz="4" w:space="0"/>
                    <w:right w:val="single" w:color="auto" w:sz="4" w:space="0"/>
                  </w:tcBorders>
                  <w:vAlign w:val="center"/>
                </w:tcPr>
                <w:p w14:paraId="0553FB40">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50.9</w:t>
                  </w:r>
                </w:p>
              </w:tc>
              <w:tc>
                <w:tcPr>
                  <w:tcW w:w="711" w:type="dxa"/>
                  <w:tcBorders>
                    <w:top w:val="single" w:color="auto" w:sz="4" w:space="0"/>
                    <w:left w:val="single" w:color="auto" w:sz="4" w:space="0"/>
                    <w:bottom w:val="single" w:color="auto" w:sz="4" w:space="0"/>
                    <w:right w:val="single" w:color="auto" w:sz="4" w:space="0"/>
                  </w:tcBorders>
                  <w:vAlign w:val="center"/>
                </w:tcPr>
                <w:p w14:paraId="2720C0EB">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45.1</w:t>
                  </w:r>
                </w:p>
              </w:tc>
              <w:tc>
                <w:tcPr>
                  <w:tcW w:w="711" w:type="dxa"/>
                  <w:tcBorders>
                    <w:top w:val="single" w:color="auto" w:sz="4" w:space="0"/>
                    <w:left w:val="single" w:color="auto" w:sz="4" w:space="0"/>
                    <w:bottom w:val="single" w:color="auto" w:sz="4" w:space="0"/>
                    <w:right w:val="single" w:color="000000" w:sz="4" w:space="0"/>
                  </w:tcBorders>
                  <w:vAlign w:val="center"/>
                </w:tcPr>
                <w:p w14:paraId="258FFDE0">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65</w:t>
                  </w:r>
                </w:p>
              </w:tc>
              <w:tc>
                <w:tcPr>
                  <w:tcW w:w="711" w:type="dxa"/>
                  <w:tcBorders>
                    <w:top w:val="single" w:color="auto" w:sz="4" w:space="0"/>
                    <w:left w:val="single" w:color="000000" w:sz="4" w:space="0"/>
                    <w:bottom w:val="single" w:color="auto" w:sz="4" w:space="0"/>
                    <w:right w:val="single" w:color="000000" w:sz="4" w:space="0"/>
                  </w:tcBorders>
                  <w:vAlign w:val="center"/>
                </w:tcPr>
                <w:p w14:paraId="16FC2BFA">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55</w:t>
                  </w:r>
                </w:p>
              </w:tc>
              <w:tc>
                <w:tcPr>
                  <w:tcW w:w="711" w:type="dxa"/>
                  <w:tcBorders>
                    <w:top w:val="single" w:color="auto" w:sz="4" w:space="0"/>
                    <w:left w:val="single" w:color="000000" w:sz="4" w:space="0"/>
                    <w:bottom w:val="single" w:color="auto" w:sz="4" w:space="0"/>
                    <w:right w:val="single" w:color="000000" w:sz="4" w:space="0"/>
                  </w:tcBorders>
                  <w:vAlign w:val="center"/>
                </w:tcPr>
                <w:p w14:paraId="7CF63DC5">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26.0</w:t>
                  </w:r>
                </w:p>
              </w:tc>
              <w:tc>
                <w:tcPr>
                  <w:tcW w:w="711" w:type="dxa"/>
                  <w:tcBorders>
                    <w:top w:val="single" w:color="auto" w:sz="4" w:space="0"/>
                    <w:left w:val="single" w:color="000000" w:sz="4" w:space="0"/>
                    <w:bottom w:val="single" w:color="auto" w:sz="4" w:space="0"/>
                    <w:right w:val="single" w:color="auto" w:sz="4" w:space="0"/>
                  </w:tcBorders>
                  <w:vAlign w:val="center"/>
                </w:tcPr>
                <w:p w14:paraId="6DF77E4B">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20.5</w:t>
                  </w:r>
                </w:p>
              </w:tc>
              <w:tc>
                <w:tcPr>
                  <w:tcW w:w="711" w:type="dxa"/>
                  <w:tcBorders>
                    <w:top w:val="single" w:color="auto" w:sz="4" w:space="0"/>
                    <w:left w:val="single" w:color="auto" w:sz="4" w:space="0"/>
                    <w:bottom w:val="single" w:color="auto" w:sz="4" w:space="0"/>
                    <w:right w:val="single" w:color="000000" w:sz="4" w:space="0"/>
                  </w:tcBorders>
                  <w:vAlign w:val="center"/>
                </w:tcPr>
                <w:p w14:paraId="4FB77C1A">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w:t>
                  </w:r>
                </w:p>
              </w:tc>
              <w:tc>
                <w:tcPr>
                  <w:tcW w:w="718" w:type="dxa"/>
                  <w:tcBorders>
                    <w:top w:val="single" w:color="auto" w:sz="4" w:space="0"/>
                    <w:left w:val="single" w:color="000000" w:sz="4" w:space="0"/>
                    <w:bottom w:val="single" w:color="auto" w:sz="4" w:space="0"/>
                    <w:right w:val="single" w:color="000000" w:sz="4" w:space="0"/>
                  </w:tcBorders>
                  <w:vAlign w:val="center"/>
                </w:tcPr>
                <w:p w14:paraId="4AE3BA11">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w:t>
                  </w:r>
                </w:p>
              </w:tc>
              <w:tc>
                <w:tcPr>
                  <w:tcW w:w="713" w:type="dxa"/>
                  <w:tcBorders>
                    <w:top w:val="single" w:color="auto" w:sz="4" w:space="0"/>
                    <w:left w:val="single" w:color="000000" w:sz="4" w:space="0"/>
                    <w:bottom w:val="single" w:color="auto" w:sz="4" w:space="0"/>
                    <w:right w:val="nil"/>
                  </w:tcBorders>
                  <w:shd w:val="clear" w:color="auto" w:fill="auto"/>
                  <w:vAlign w:val="center"/>
                </w:tcPr>
                <w:p w14:paraId="26332D00">
                  <w:pPr>
                    <w:jc w:val="center"/>
                    <w:rPr>
                      <w:rFonts w:ascii="Times New Roman" w:hAnsi="Times New Roman" w:eastAsia="宋体" w:cs="Times New Roman"/>
                      <w:color w:val="FF0000"/>
                      <w:kern w:val="2"/>
                      <w:sz w:val="21"/>
                      <w:szCs w:val="21"/>
                      <w:highlight w:val="green"/>
                      <w:lang w:val="en-US" w:eastAsia="zh-CN" w:bidi="ar-SA"/>
                    </w:rPr>
                  </w:pPr>
                  <w:r>
                    <w:rPr>
                      <w:color w:val="FF0000"/>
                      <w:sz w:val="21"/>
                      <w:szCs w:val="21"/>
                      <w:highlight w:val="green"/>
                    </w:rPr>
                    <w:t>达标</w:t>
                  </w:r>
                </w:p>
              </w:tc>
            </w:tr>
            <w:tr w14:paraId="2BB56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420" w:type="dxa"/>
                  <w:tcBorders>
                    <w:top w:val="single" w:color="auto" w:sz="4" w:space="0"/>
                    <w:left w:val="nil"/>
                    <w:bottom w:val="single" w:color="auto" w:sz="4" w:space="0"/>
                    <w:right w:val="single" w:color="auto" w:sz="4" w:space="0"/>
                  </w:tcBorders>
                  <w:vAlign w:val="center"/>
                </w:tcPr>
                <w:p w14:paraId="671789DF">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厂界</w:t>
                  </w:r>
                  <w:r>
                    <w:rPr>
                      <w:color w:val="000000" w:themeColor="text1"/>
                      <w:sz w:val="21"/>
                      <w:szCs w:val="21"/>
                      <w:highlight w:val="none"/>
                      <w14:textFill>
                        <w14:solidFill>
                          <w14:schemeClr w14:val="tx1"/>
                        </w14:solidFill>
                      </w14:textFill>
                    </w:rPr>
                    <w:t>北侧</w:t>
                  </w:r>
                </w:p>
              </w:tc>
              <w:tc>
                <w:tcPr>
                  <w:tcW w:w="711" w:type="dxa"/>
                  <w:tcBorders>
                    <w:top w:val="single" w:color="auto" w:sz="4" w:space="0"/>
                    <w:left w:val="single" w:color="auto" w:sz="4" w:space="0"/>
                    <w:bottom w:val="single" w:color="auto" w:sz="4" w:space="0"/>
                    <w:right w:val="single" w:color="auto" w:sz="4" w:space="0"/>
                  </w:tcBorders>
                  <w:vAlign w:val="center"/>
                </w:tcPr>
                <w:p w14:paraId="3AFC19EE">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49.1</w:t>
                  </w:r>
                </w:p>
              </w:tc>
              <w:tc>
                <w:tcPr>
                  <w:tcW w:w="711" w:type="dxa"/>
                  <w:tcBorders>
                    <w:top w:val="single" w:color="auto" w:sz="4" w:space="0"/>
                    <w:left w:val="single" w:color="auto" w:sz="4" w:space="0"/>
                    <w:bottom w:val="single" w:color="auto" w:sz="4" w:space="0"/>
                    <w:right w:val="single" w:color="auto" w:sz="4" w:space="0"/>
                  </w:tcBorders>
                  <w:vAlign w:val="center"/>
                </w:tcPr>
                <w:p w14:paraId="13EE8E1A">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45.8</w:t>
                  </w:r>
                </w:p>
              </w:tc>
              <w:tc>
                <w:tcPr>
                  <w:tcW w:w="711" w:type="dxa"/>
                  <w:tcBorders>
                    <w:top w:val="single" w:color="auto" w:sz="4" w:space="0"/>
                    <w:left w:val="single" w:color="auto" w:sz="4" w:space="0"/>
                    <w:bottom w:val="single" w:color="auto" w:sz="4" w:space="0"/>
                    <w:right w:val="single" w:color="000000" w:sz="4" w:space="0"/>
                  </w:tcBorders>
                  <w:vAlign w:val="center"/>
                </w:tcPr>
                <w:p w14:paraId="221B4E2D">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65</w:t>
                  </w:r>
                </w:p>
              </w:tc>
              <w:tc>
                <w:tcPr>
                  <w:tcW w:w="711" w:type="dxa"/>
                  <w:tcBorders>
                    <w:top w:val="single" w:color="auto" w:sz="4" w:space="0"/>
                    <w:left w:val="single" w:color="000000" w:sz="4" w:space="0"/>
                    <w:bottom w:val="single" w:color="auto" w:sz="4" w:space="0"/>
                    <w:right w:val="single" w:color="000000" w:sz="4" w:space="0"/>
                  </w:tcBorders>
                  <w:vAlign w:val="center"/>
                </w:tcPr>
                <w:p w14:paraId="3CCA8895">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55</w:t>
                  </w:r>
                </w:p>
              </w:tc>
              <w:tc>
                <w:tcPr>
                  <w:tcW w:w="711" w:type="dxa"/>
                  <w:tcBorders>
                    <w:top w:val="single" w:color="auto" w:sz="4" w:space="0"/>
                    <w:left w:val="single" w:color="000000" w:sz="4" w:space="0"/>
                    <w:bottom w:val="single" w:color="auto" w:sz="4" w:space="0"/>
                    <w:right w:val="single" w:color="000000" w:sz="4" w:space="0"/>
                  </w:tcBorders>
                  <w:vAlign w:val="center"/>
                </w:tcPr>
                <w:p w14:paraId="7FC08233">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29.0</w:t>
                  </w:r>
                </w:p>
              </w:tc>
              <w:tc>
                <w:tcPr>
                  <w:tcW w:w="711" w:type="dxa"/>
                  <w:tcBorders>
                    <w:top w:val="single" w:color="auto" w:sz="4" w:space="0"/>
                    <w:left w:val="single" w:color="000000" w:sz="4" w:space="0"/>
                    <w:bottom w:val="single" w:color="auto" w:sz="4" w:space="0"/>
                    <w:right w:val="single" w:color="auto" w:sz="4" w:space="0"/>
                  </w:tcBorders>
                  <w:vAlign w:val="center"/>
                </w:tcPr>
                <w:p w14:paraId="0C44D1D6">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23.6</w:t>
                  </w:r>
                </w:p>
              </w:tc>
              <w:tc>
                <w:tcPr>
                  <w:tcW w:w="711" w:type="dxa"/>
                  <w:tcBorders>
                    <w:top w:val="single" w:color="auto" w:sz="4" w:space="0"/>
                    <w:left w:val="single" w:color="auto" w:sz="4" w:space="0"/>
                    <w:bottom w:val="single" w:color="auto" w:sz="4" w:space="0"/>
                    <w:right w:val="single" w:color="000000" w:sz="4" w:space="0"/>
                  </w:tcBorders>
                  <w:vAlign w:val="center"/>
                </w:tcPr>
                <w:p w14:paraId="1C3C7988">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w:t>
                  </w:r>
                </w:p>
              </w:tc>
              <w:tc>
                <w:tcPr>
                  <w:tcW w:w="718" w:type="dxa"/>
                  <w:tcBorders>
                    <w:top w:val="single" w:color="auto" w:sz="4" w:space="0"/>
                    <w:left w:val="single" w:color="000000" w:sz="4" w:space="0"/>
                    <w:bottom w:val="single" w:color="auto" w:sz="4" w:space="0"/>
                    <w:right w:val="single" w:color="000000" w:sz="4" w:space="0"/>
                  </w:tcBorders>
                  <w:vAlign w:val="center"/>
                </w:tcPr>
                <w:p w14:paraId="7B60869B">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w:t>
                  </w:r>
                </w:p>
              </w:tc>
              <w:tc>
                <w:tcPr>
                  <w:tcW w:w="713" w:type="dxa"/>
                  <w:tcBorders>
                    <w:top w:val="single" w:color="auto" w:sz="4" w:space="0"/>
                    <w:left w:val="single" w:color="000000" w:sz="4" w:space="0"/>
                    <w:bottom w:val="single" w:color="auto" w:sz="4" w:space="0"/>
                    <w:right w:val="nil"/>
                  </w:tcBorders>
                  <w:shd w:val="clear" w:color="auto" w:fill="auto"/>
                  <w:vAlign w:val="center"/>
                </w:tcPr>
                <w:p w14:paraId="31CE486F">
                  <w:pPr>
                    <w:jc w:val="center"/>
                    <w:rPr>
                      <w:rFonts w:ascii="Times New Roman" w:hAnsi="Times New Roman" w:eastAsia="宋体" w:cs="Times New Roman"/>
                      <w:color w:val="FF0000"/>
                      <w:kern w:val="2"/>
                      <w:sz w:val="21"/>
                      <w:szCs w:val="21"/>
                      <w:highlight w:val="green"/>
                      <w:lang w:val="en-US" w:eastAsia="zh-CN" w:bidi="ar-SA"/>
                    </w:rPr>
                  </w:pPr>
                  <w:r>
                    <w:rPr>
                      <w:color w:val="FF0000"/>
                      <w:sz w:val="21"/>
                      <w:szCs w:val="21"/>
                      <w:highlight w:val="green"/>
                    </w:rPr>
                    <w:t>达标</w:t>
                  </w:r>
                </w:p>
              </w:tc>
            </w:tr>
            <w:tr w14:paraId="61711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Borders>
                    <w:top w:val="single" w:color="auto" w:sz="4" w:space="0"/>
                    <w:left w:val="nil"/>
                    <w:bottom w:val="single" w:color="auto" w:sz="4" w:space="0"/>
                    <w:right w:val="single" w:color="auto" w:sz="4" w:space="0"/>
                  </w:tcBorders>
                  <w:vAlign w:val="center"/>
                </w:tcPr>
                <w:p w14:paraId="79B1BF19">
                  <w:pPr>
                    <w:spacing w:line="240" w:lineRule="auto"/>
                    <w:ind w:left="0" w:leftChars="0" w:right="0" w:rightChars="0" w:firstLine="0" w:firstLineChars="0"/>
                    <w:jc w:val="center"/>
                    <w:rPr>
                      <w:rFonts w:hint="eastAsia" w:eastAsia="宋体"/>
                      <w:color w:val="FF0000"/>
                      <w:sz w:val="21"/>
                      <w:szCs w:val="21"/>
                      <w:highlight w:val="red"/>
                      <w:lang w:val="en-US" w:eastAsia="zh-CN"/>
                    </w:rPr>
                  </w:pPr>
                  <w:r>
                    <w:rPr>
                      <w:rFonts w:hint="eastAsia" w:ascii="Times New Roman" w:hAnsi="Times New Roman" w:eastAsia="宋体" w:cs="Times New Roman"/>
                      <w:color w:val="FF0000"/>
                      <w:sz w:val="21"/>
                      <w:szCs w:val="21"/>
                      <w:highlight w:val="none"/>
                      <w:lang w:val="en-US" w:eastAsia="zh-CN"/>
                    </w:rPr>
                    <w:t>惠民新城</w:t>
                  </w:r>
                  <w:r>
                    <w:rPr>
                      <w:rFonts w:hint="eastAsia" w:cs="Times New Roman"/>
                      <w:color w:val="FF0000"/>
                      <w:sz w:val="21"/>
                      <w:szCs w:val="21"/>
                      <w:highlight w:val="none"/>
                      <w:lang w:val="en-US" w:eastAsia="zh-CN"/>
                    </w:rPr>
                    <w:t>6号楼1层</w:t>
                  </w:r>
                </w:p>
              </w:tc>
              <w:tc>
                <w:tcPr>
                  <w:tcW w:w="711" w:type="dxa"/>
                  <w:tcBorders>
                    <w:top w:val="single" w:color="auto" w:sz="4" w:space="0"/>
                    <w:left w:val="single" w:color="auto" w:sz="4" w:space="0"/>
                    <w:bottom w:val="single" w:color="auto" w:sz="4" w:space="0"/>
                    <w:right w:val="single" w:color="auto" w:sz="4" w:space="0"/>
                  </w:tcBorders>
                  <w:shd w:val="clear" w:color="auto" w:fill="auto"/>
                  <w:vAlign w:val="center"/>
                </w:tcPr>
                <w:p w14:paraId="6B5F7462">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FF0000"/>
                      <w:kern w:val="2"/>
                      <w:sz w:val="21"/>
                      <w:szCs w:val="21"/>
                      <w:highlight w:val="red"/>
                      <w:lang w:val="en-US" w:eastAsia="zh-CN" w:bidi="ar-SA"/>
                    </w:rPr>
                  </w:pPr>
                  <w:r>
                    <w:rPr>
                      <w:rFonts w:hint="eastAsia" w:eastAsia="黑体" w:cs="Times New Roman"/>
                      <w:i w:val="0"/>
                      <w:color w:val="FF0000"/>
                      <w:kern w:val="0"/>
                      <w:sz w:val="21"/>
                      <w:szCs w:val="21"/>
                      <w:highlight w:val="none"/>
                      <w:u w:val="none"/>
                      <w:lang w:val="en-US" w:eastAsia="zh-CN" w:bidi="ar-SA"/>
                    </w:rPr>
                    <w:t>48.2</w:t>
                  </w:r>
                </w:p>
              </w:tc>
              <w:tc>
                <w:tcPr>
                  <w:tcW w:w="711" w:type="dxa"/>
                  <w:tcBorders>
                    <w:top w:val="single" w:color="auto" w:sz="4" w:space="0"/>
                    <w:left w:val="single" w:color="auto" w:sz="4" w:space="0"/>
                    <w:bottom w:val="single" w:color="auto" w:sz="4" w:space="0"/>
                    <w:right w:val="single" w:color="auto" w:sz="4" w:space="0"/>
                  </w:tcBorders>
                  <w:shd w:val="clear" w:color="auto" w:fill="auto"/>
                  <w:vAlign w:val="center"/>
                </w:tcPr>
                <w:p w14:paraId="2941273A">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FF0000"/>
                      <w:kern w:val="2"/>
                      <w:sz w:val="21"/>
                      <w:szCs w:val="21"/>
                      <w:highlight w:val="red"/>
                      <w:lang w:val="en-US" w:eastAsia="zh-CN" w:bidi="ar-SA"/>
                    </w:rPr>
                  </w:pPr>
                  <w:r>
                    <w:rPr>
                      <w:rFonts w:hint="eastAsia" w:eastAsia="黑体" w:cs="Times New Roman"/>
                      <w:color w:val="FF0000"/>
                      <w:kern w:val="2"/>
                      <w:sz w:val="21"/>
                      <w:szCs w:val="21"/>
                      <w:highlight w:val="none"/>
                      <w:lang w:val="en-US" w:eastAsia="zh-CN" w:bidi="ar-SA"/>
                    </w:rPr>
                    <w:t>41.9</w:t>
                  </w:r>
                </w:p>
              </w:tc>
              <w:tc>
                <w:tcPr>
                  <w:tcW w:w="711" w:type="dxa"/>
                  <w:tcBorders>
                    <w:top w:val="single" w:color="auto" w:sz="4" w:space="0"/>
                    <w:left w:val="single" w:color="auto" w:sz="4" w:space="0"/>
                    <w:bottom w:val="single" w:color="auto" w:sz="4" w:space="0"/>
                    <w:right w:val="single" w:color="000000" w:sz="4" w:space="0"/>
                  </w:tcBorders>
                  <w:vAlign w:val="center"/>
                </w:tcPr>
                <w:p w14:paraId="5EDBC218">
                  <w:pPr>
                    <w:jc w:val="center"/>
                    <w:rPr>
                      <w:rFonts w:hint="default" w:eastAsia="宋体"/>
                      <w:color w:val="FF0000"/>
                      <w:sz w:val="21"/>
                      <w:szCs w:val="21"/>
                      <w:highlight w:val="none"/>
                      <w:lang w:val="en-US" w:eastAsia="zh-CN"/>
                    </w:rPr>
                  </w:pPr>
                  <w:r>
                    <w:rPr>
                      <w:rFonts w:hint="eastAsia"/>
                      <w:color w:val="FF0000"/>
                      <w:sz w:val="21"/>
                      <w:szCs w:val="21"/>
                      <w:highlight w:val="none"/>
                      <w:lang w:val="en-US" w:eastAsia="zh-CN"/>
                    </w:rPr>
                    <w:t>55</w:t>
                  </w:r>
                </w:p>
              </w:tc>
              <w:tc>
                <w:tcPr>
                  <w:tcW w:w="711" w:type="dxa"/>
                  <w:tcBorders>
                    <w:top w:val="single" w:color="auto" w:sz="4" w:space="0"/>
                    <w:left w:val="single" w:color="000000" w:sz="4" w:space="0"/>
                    <w:bottom w:val="single" w:color="auto" w:sz="4" w:space="0"/>
                    <w:right w:val="single" w:color="000000" w:sz="4" w:space="0"/>
                  </w:tcBorders>
                  <w:vAlign w:val="center"/>
                </w:tcPr>
                <w:p w14:paraId="5DEEC33A">
                  <w:pPr>
                    <w:jc w:val="center"/>
                    <w:rPr>
                      <w:rFonts w:hint="default" w:eastAsia="宋体"/>
                      <w:color w:val="FF0000"/>
                      <w:sz w:val="21"/>
                      <w:szCs w:val="21"/>
                      <w:highlight w:val="none"/>
                      <w:lang w:val="en-US" w:eastAsia="zh-CN"/>
                    </w:rPr>
                  </w:pPr>
                  <w:r>
                    <w:rPr>
                      <w:rFonts w:hint="eastAsia"/>
                      <w:color w:val="FF0000"/>
                      <w:sz w:val="21"/>
                      <w:szCs w:val="21"/>
                      <w:highlight w:val="none"/>
                      <w:lang w:val="en-US" w:eastAsia="zh-CN"/>
                    </w:rPr>
                    <w:t>45</w:t>
                  </w:r>
                </w:p>
              </w:tc>
              <w:tc>
                <w:tcPr>
                  <w:tcW w:w="711" w:type="dxa"/>
                  <w:tcBorders>
                    <w:top w:val="single" w:color="auto" w:sz="4" w:space="0"/>
                    <w:left w:val="single" w:color="000000" w:sz="4" w:space="0"/>
                    <w:bottom w:val="single" w:color="auto" w:sz="4" w:space="0"/>
                    <w:right w:val="single" w:color="000000" w:sz="4" w:space="0"/>
                  </w:tcBorders>
                  <w:vAlign w:val="center"/>
                </w:tcPr>
                <w:p w14:paraId="506EC752">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22.4</w:t>
                  </w:r>
                </w:p>
              </w:tc>
              <w:tc>
                <w:tcPr>
                  <w:tcW w:w="711" w:type="dxa"/>
                  <w:tcBorders>
                    <w:top w:val="single" w:color="auto" w:sz="4" w:space="0"/>
                    <w:left w:val="single" w:color="000000" w:sz="4" w:space="0"/>
                    <w:bottom w:val="single" w:color="auto" w:sz="4" w:space="0"/>
                    <w:right w:val="single" w:color="auto" w:sz="4" w:space="0"/>
                  </w:tcBorders>
                  <w:vAlign w:val="center"/>
                </w:tcPr>
                <w:p w14:paraId="173B53AB">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17.0</w:t>
                  </w:r>
                </w:p>
              </w:tc>
              <w:tc>
                <w:tcPr>
                  <w:tcW w:w="711" w:type="dxa"/>
                  <w:tcBorders>
                    <w:top w:val="single" w:color="auto" w:sz="4" w:space="0"/>
                    <w:left w:val="single" w:color="auto" w:sz="4" w:space="0"/>
                    <w:bottom w:val="single" w:color="auto" w:sz="4" w:space="0"/>
                    <w:right w:val="single" w:color="000000" w:sz="4" w:space="0"/>
                  </w:tcBorders>
                  <w:vAlign w:val="center"/>
                </w:tcPr>
                <w:p w14:paraId="634F515D">
                  <w:pPr>
                    <w:jc w:val="center"/>
                    <w:rPr>
                      <w:rFonts w:hint="default" w:eastAsia="宋体"/>
                      <w:color w:val="FF0000"/>
                      <w:sz w:val="21"/>
                      <w:szCs w:val="21"/>
                      <w:highlight w:val="red"/>
                      <w:lang w:val="en-US" w:eastAsia="zh-CN"/>
                    </w:rPr>
                  </w:pPr>
                  <w:r>
                    <w:rPr>
                      <w:rFonts w:hint="eastAsia"/>
                      <w:color w:val="FF0000"/>
                      <w:sz w:val="21"/>
                      <w:szCs w:val="21"/>
                      <w:highlight w:val="green"/>
                      <w:lang w:val="en-US" w:eastAsia="zh-CN"/>
                    </w:rPr>
                    <w:t>48.2</w:t>
                  </w:r>
                </w:p>
              </w:tc>
              <w:tc>
                <w:tcPr>
                  <w:tcW w:w="718" w:type="dxa"/>
                  <w:tcBorders>
                    <w:top w:val="single" w:color="auto" w:sz="4" w:space="0"/>
                    <w:left w:val="single" w:color="000000" w:sz="4" w:space="0"/>
                    <w:bottom w:val="single" w:color="auto" w:sz="4" w:space="0"/>
                    <w:right w:val="single" w:color="000000" w:sz="4" w:space="0"/>
                  </w:tcBorders>
                  <w:vAlign w:val="center"/>
                </w:tcPr>
                <w:p w14:paraId="39CDBCA0">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41.9</w:t>
                  </w:r>
                </w:p>
              </w:tc>
              <w:tc>
                <w:tcPr>
                  <w:tcW w:w="713" w:type="dxa"/>
                  <w:tcBorders>
                    <w:top w:val="single" w:color="auto" w:sz="4" w:space="0"/>
                    <w:left w:val="single" w:color="000000" w:sz="4" w:space="0"/>
                    <w:bottom w:val="single" w:color="auto" w:sz="4" w:space="0"/>
                    <w:right w:val="nil"/>
                  </w:tcBorders>
                  <w:vAlign w:val="center"/>
                </w:tcPr>
                <w:p w14:paraId="2101A783">
                  <w:pPr>
                    <w:jc w:val="center"/>
                    <w:rPr>
                      <w:color w:val="FF0000"/>
                      <w:sz w:val="21"/>
                      <w:szCs w:val="21"/>
                      <w:highlight w:val="green"/>
                    </w:rPr>
                  </w:pPr>
                  <w:r>
                    <w:rPr>
                      <w:color w:val="FF0000"/>
                      <w:sz w:val="21"/>
                      <w:szCs w:val="21"/>
                      <w:highlight w:val="green"/>
                    </w:rPr>
                    <w:t>达标</w:t>
                  </w:r>
                </w:p>
              </w:tc>
            </w:tr>
            <w:tr w14:paraId="1C1B8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Borders>
                    <w:top w:val="single" w:color="auto" w:sz="4" w:space="0"/>
                    <w:left w:val="nil"/>
                    <w:bottom w:val="single" w:color="auto" w:sz="4" w:space="0"/>
                    <w:right w:val="single" w:color="auto" w:sz="4" w:space="0"/>
                  </w:tcBorders>
                  <w:vAlign w:val="center"/>
                </w:tcPr>
                <w:p w14:paraId="39E6787F">
                  <w:pPr>
                    <w:spacing w:line="240" w:lineRule="auto"/>
                    <w:ind w:left="0" w:leftChars="0" w:right="0" w:rightChars="0" w:firstLine="0" w:firstLineChars="0"/>
                    <w:jc w:val="center"/>
                    <w:rPr>
                      <w:rFonts w:hint="eastAsia"/>
                      <w:color w:val="FF0000"/>
                      <w:sz w:val="21"/>
                      <w:szCs w:val="21"/>
                      <w:highlight w:val="red"/>
                      <w:lang w:val="en-US" w:eastAsia="zh-CN"/>
                    </w:rPr>
                  </w:pPr>
                  <w:r>
                    <w:rPr>
                      <w:rFonts w:hint="eastAsia" w:ascii="Times New Roman" w:hAnsi="Times New Roman" w:eastAsia="宋体" w:cs="Times New Roman"/>
                      <w:color w:val="FF0000"/>
                      <w:sz w:val="21"/>
                      <w:szCs w:val="21"/>
                      <w:highlight w:val="none"/>
                      <w:lang w:val="en-US" w:eastAsia="zh-CN"/>
                    </w:rPr>
                    <w:t>惠民新城6号楼</w:t>
                  </w:r>
                  <w:r>
                    <w:rPr>
                      <w:rFonts w:hint="eastAsia" w:cs="Times New Roman"/>
                      <w:color w:val="FF0000"/>
                      <w:sz w:val="21"/>
                      <w:szCs w:val="21"/>
                      <w:highlight w:val="none"/>
                      <w:lang w:val="en-US" w:eastAsia="zh-CN"/>
                    </w:rPr>
                    <w:t>3</w:t>
                  </w:r>
                  <w:r>
                    <w:rPr>
                      <w:rFonts w:hint="eastAsia" w:ascii="Times New Roman" w:hAnsi="Times New Roman" w:eastAsia="宋体" w:cs="Times New Roman"/>
                      <w:color w:val="FF0000"/>
                      <w:sz w:val="21"/>
                      <w:szCs w:val="21"/>
                      <w:highlight w:val="none"/>
                      <w:lang w:val="en-US" w:eastAsia="zh-CN"/>
                    </w:rPr>
                    <w:t>层</w:t>
                  </w:r>
                </w:p>
              </w:tc>
              <w:tc>
                <w:tcPr>
                  <w:tcW w:w="711" w:type="dxa"/>
                  <w:tcBorders>
                    <w:top w:val="single" w:color="auto" w:sz="4" w:space="0"/>
                    <w:left w:val="single" w:color="auto" w:sz="4" w:space="0"/>
                    <w:bottom w:val="single" w:color="auto" w:sz="4" w:space="0"/>
                    <w:right w:val="single" w:color="auto" w:sz="4" w:space="0"/>
                  </w:tcBorders>
                  <w:shd w:val="clear" w:color="auto" w:fill="auto"/>
                  <w:vAlign w:val="center"/>
                </w:tcPr>
                <w:p w14:paraId="7603B0F0">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color w:val="FF0000"/>
                      <w:sz w:val="21"/>
                      <w:szCs w:val="21"/>
                      <w:highlight w:val="red"/>
                      <w:lang w:val="en-US" w:eastAsia="zh-CN"/>
                    </w:rPr>
                  </w:pPr>
                  <w:r>
                    <w:rPr>
                      <w:rFonts w:hint="eastAsia" w:eastAsia="黑体" w:cs="Times New Roman"/>
                      <w:i w:val="0"/>
                      <w:color w:val="FF0000"/>
                      <w:kern w:val="0"/>
                      <w:sz w:val="21"/>
                      <w:szCs w:val="21"/>
                      <w:highlight w:val="none"/>
                      <w:u w:val="none"/>
                      <w:lang w:val="en-US" w:eastAsia="zh-CN" w:bidi="ar-SA"/>
                    </w:rPr>
                    <w:t>47.6</w:t>
                  </w:r>
                </w:p>
              </w:tc>
              <w:tc>
                <w:tcPr>
                  <w:tcW w:w="711" w:type="dxa"/>
                  <w:tcBorders>
                    <w:top w:val="single" w:color="auto" w:sz="4" w:space="0"/>
                    <w:left w:val="single" w:color="auto" w:sz="4" w:space="0"/>
                    <w:bottom w:val="single" w:color="auto" w:sz="4" w:space="0"/>
                    <w:right w:val="single" w:color="auto" w:sz="4" w:space="0"/>
                  </w:tcBorders>
                  <w:shd w:val="clear" w:color="auto" w:fill="auto"/>
                  <w:vAlign w:val="center"/>
                </w:tcPr>
                <w:p w14:paraId="37DAA99E">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color w:val="FF0000"/>
                      <w:sz w:val="21"/>
                      <w:szCs w:val="21"/>
                      <w:highlight w:val="red"/>
                      <w:lang w:val="en-US" w:eastAsia="zh-CN"/>
                    </w:rPr>
                  </w:pPr>
                  <w:r>
                    <w:rPr>
                      <w:rFonts w:hint="eastAsia" w:eastAsia="黑体" w:cs="Times New Roman"/>
                      <w:color w:val="FF0000"/>
                      <w:kern w:val="2"/>
                      <w:sz w:val="21"/>
                      <w:szCs w:val="21"/>
                      <w:highlight w:val="none"/>
                      <w:lang w:val="en-US" w:eastAsia="zh-CN" w:bidi="ar-SA"/>
                    </w:rPr>
                    <w:t>42.5</w:t>
                  </w:r>
                </w:p>
              </w:tc>
              <w:tc>
                <w:tcPr>
                  <w:tcW w:w="711" w:type="dxa"/>
                  <w:tcBorders>
                    <w:top w:val="single" w:color="auto" w:sz="4" w:space="0"/>
                    <w:left w:val="single" w:color="auto" w:sz="4" w:space="0"/>
                    <w:bottom w:val="single" w:color="auto" w:sz="4" w:space="0"/>
                    <w:right w:val="single" w:color="000000" w:sz="4" w:space="0"/>
                  </w:tcBorders>
                  <w:vAlign w:val="center"/>
                </w:tcPr>
                <w:p w14:paraId="5E69983B">
                  <w:pPr>
                    <w:jc w:val="center"/>
                    <w:rPr>
                      <w:rFonts w:hint="eastAsia"/>
                      <w:color w:val="FF0000"/>
                      <w:sz w:val="21"/>
                      <w:szCs w:val="21"/>
                      <w:highlight w:val="none"/>
                      <w:lang w:val="en-US" w:eastAsia="zh-CN"/>
                    </w:rPr>
                  </w:pPr>
                  <w:r>
                    <w:rPr>
                      <w:rFonts w:hint="eastAsia"/>
                      <w:color w:val="FF0000"/>
                      <w:sz w:val="21"/>
                      <w:szCs w:val="21"/>
                      <w:highlight w:val="none"/>
                      <w:lang w:val="en-US" w:eastAsia="zh-CN"/>
                    </w:rPr>
                    <w:t>55</w:t>
                  </w:r>
                </w:p>
              </w:tc>
              <w:tc>
                <w:tcPr>
                  <w:tcW w:w="711" w:type="dxa"/>
                  <w:tcBorders>
                    <w:top w:val="single" w:color="auto" w:sz="4" w:space="0"/>
                    <w:left w:val="single" w:color="000000" w:sz="4" w:space="0"/>
                    <w:bottom w:val="single" w:color="auto" w:sz="4" w:space="0"/>
                    <w:right w:val="single" w:color="000000" w:sz="4" w:space="0"/>
                  </w:tcBorders>
                  <w:vAlign w:val="center"/>
                </w:tcPr>
                <w:p w14:paraId="53FE65AC">
                  <w:pPr>
                    <w:jc w:val="center"/>
                    <w:rPr>
                      <w:rFonts w:hint="eastAsia"/>
                      <w:color w:val="FF0000"/>
                      <w:sz w:val="21"/>
                      <w:szCs w:val="21"/>
                      <w:highlight w:val="none"/>
                      <w:lang w:val="en-US" w:eastAsia="zh-CN"/>
                    </w:rPr>
                  </w:pPr>
                  <w:r>
                    <w:rPr>
                      <w:rFonts w:hint="eastAsia"/>
                      <w:color w:val="FF0000"/>
                      <w:sz w:val="21"/>
                      <w:szCs w:val="21"/>
                      <w:highlight w:val="none"/>
                      <w:lang w:val="en-US" w:eastAsia="zh-CN"/>
                    </w:rPr>
                    <w:t>45</w:t>
                  </w:r>
                </w:p>
              </w:tc>
              <w:tc>
                <w:tcPr>
                  <w:tcW w:w="711" w:type="dxa"/>
                  <w:tcBorders>
                    <w:top w:val="single" w:color="auto" w:sz="4" w:space="0"/>
                    <w:left w:val="single" w:color="000000" w:sz="4" w:space="0"/>
                    <w:bottom w:val="single" w:color="auto" w:sz="4" w:space="0"/>
                    <w:right w:val="single" w:color="000000" w:sz="4" w:space="0"/>
                  </w:tcBorders>
                  <w:vAlign w:val="center"/>
                </w:tcPr>
                <w:p w14:paraId="436EF9D3">
                  <w:pPr>
                    <w:jc w:val="center"/>
                    <w:rPr>
                      <w:rFonts w:hint="default"/>
                      <w:color w:val="FF0000"/>
                      <w:sz w:val="21"/>
                      <w:szCs w:val="21"/>
                      <w:highlight w:val="green"/>
                      <w:lang w:val="en-US" w:eastAsia="zh-CN"/>
                    </w:rPr>
                  </w:pPr>
                  <w:r>
                    <w:rPr>
                      <w:rFonts w:hint="eastAsia"/>
                      <w:color w:val="FF0000"/>
                      <w:sz w:val="21"/>
                      <w:szCs w:val="21"/>
                      <w:highlight w:val="green"/>
                      <w:lang w:val="en-US" w:eastAsia="zh-CN"/>
                    </w:rPr>
                    <w:t>23.9</w:t>
                  </w:r>
                </w:p>
              </w:tc>
              <w:tc>
                <w:tcPr>
                  <w:tcW w:w="711" w:type="dxa"/>
                  <w:tcBorders>
                    <w:top w:val="single" w:color="auto" w:sz="4" w:space="0"/>
                    <w:left w:val="single" w:color="000000" w:sz="4" w:space="0"/>
                    <w:bottom w:val="single" w:color="auto" w:sz="4" w:space="0"/>
                    <w:right w:val="single" w:color="auto" w:sz="4" w:space="0"/>
                  </w:tcBorders>
                  <w:vAlign w:val="center"/>
                </w:tcPr>
                <w:p w14:paraId="74AFF66E">
                  <w:pPr>
                    <w:jc w:val="center"/>
                    <w:rPr>
                      <w:rFonts w:hint="default"/>
                      <w:color w:val="FF0000"/>
                      <w:sz w:val="21"/>
                      <w:szCs w:val="21"/>
                      <w:highlight w:val="green"/>
                      <w:lang w:val="en-US" w:eastAsia="zh-CN"/>
                    </w:rPr>
                  </w:pPr>
                  <w:r>
                    <w:rPr>
                      <w:rFonts w:hint="eastAsia"/>
                      <w:color w:val="FF0000"/>
                      <w:sz w:val="21"/>
                      <w:szCs w:val="21"/>
                      <w:highlight w:val="green"/>
                      <w:lang w:val="en-US" w:eastAsia="zh-CN"/>
                    </w:rPr>
                    <w:t>18.4</w:t>
                  </w:r>
                </w:p>
              </w:tc>
              <w:tc>
                <w:tcPr>
                  <w:tcW w:w="711" w:type="dxa"/>
                  <w:tcBorders>
                    <w:top w:val="single" w:color="auto" w:sz="4" w:space="0"/>
                    <w:left w:val="single" w:color="auto" w:sz="4" w:space="0"/>
                    <w:bottom w:val="single" w:color="auto" w:sz="4" w:space="0"/>
                    <w:right w:val="single" w:color="000000" w:sz="4" w:space="0"/>
                  </w:tcBorders>
                  <w:vAlign w:val="center"/>
                </w:tcPr>
                <w:p w14:paraId="0C7C2400">
                  <w:pPr>
                    <w:jc w:val="center"/>
                    <w:rPr>
                      <w:rFonts w:hint="default"/>
                      <w:color w:val="FF0000"/>
                      <w:sz w:val="21"/>
                      <w:szCs w:val="21"/>
                      <w:highlight w:val="green"/>
                      <w:lang w:val="en-US" w:eastAsia="zh-CN"/>
                    </w:rPr>
                  </w:pPr>
                  <w:r>
                    <w:rPr>
                      <w:rFonts w:hint="eastAsia"/>
                      <w:color w:val="FF0000"/>
                      <w:sz w:val="21"/>
                      <w:szCs w:val="21"/>
                      <w:highlight w:val="green"/>
                      <w:lang w:val="en-US" w:eastAsia="zh-CN"/>
                    </w:rPr>
                    <w:t>47.6</w:t>
                  </w:r>
                </w:p>
              </w:tc>
              <w:tc>
                <w:tcPr>
                  <w:tcW w:w="718" w:type="dxa"/>
                  <w:tcBorders>
                    <w:top w:val="single" w:color="auto" w:sz="4" w:space="0"/>
                    <w:left w:val="single" w:color="000000" w:sz="4" w:space="0"/>
                    <w:bottom w:val="single" w:color="auto" w:sz="4" w:space="0"/>
                    <w:right w:val="single" w:color="000000" w:sz="4" w:space="0"/>
                  </w:tcBorders>
                  <w:vAlign w:val="center"/>
                </w:tcPr>
                <w:p w14:paraId="2DC63ACF">
                  <w:pPr>
                    <w:jc w:val="center"/>
                    <w:rPr>
                      <w:rFonts w:hint="default"/>
                      <w:color w:val="FF0000"/>
                      <w:sz w:val="21"/>
                      <w:szCs w:val="21"/>
                      <w:highlight w:val="green"/>
                      <w:lang w:val="en-US" w:eastAsia="zh-CN"/>
                    </w:rPr>
                  </w:pPr>
                  <w:r>
                    <w:rPr>
                      <w:rFonts w:hint="eastAsia"/>
                      <w:color w:val="FF0000"/>
                      <w:sz w:val="21"/>
                      <w:szCs w:val="21"/>
                      <w:highlight w:val="green"/>
                      <w:lang w:val="en-US" w:eastAsia="zh-CN"/>
                    </w:rPr>
                    <w:t>42.5</w:t>
                  </w:r>
                </w:p>
              </w:tc>
              <w:tc>
                <w:tcPr>
                  <w:tcW w:w="713" w:type="dxa"/>
                  <w:tcBorders>
                    <w:top w:val="single" w:color="auto" w:sz="4" w:space="0"/>
                    <w:left w:val="single" w:color="000000" w:sz="4" w:space="0"/>
                    <w:bottom w:val="single" w:color="auto" w:sz="4" w:space="0"/>
                    <w:right w:val="nil"/>
                  </w:tcBorders>
                  <w:vAlign w:val="center"/>
                </w:tcPr>
                <w:p w14:paraId="6A4F5BE7">
                  <w:pPr>
                    <w:jc w:val="center"/>
                    <w:rPr>
                      <w:color w:val="FF0000"/>
                      <w:sz w:val="21"/>
                      <w:szCs w:val="21"/>
                      <w:highlight w:val="green"/>
                    </w:rPr>
                  </w:pPr>
                  <w:r>
                    <w:rPr>
                      <w:color w:val="FF0000"/>
                      <w:sz w:val="21"/>
                      <w:szCs w:val="21"/>
                      <w:highlight w:val="green"/>
                    </w:rPr>
                    <w:t>达标</w:t>
                  </w:r>
                </w:p>
              </w:tc>
            </w:tr>
            <w:tr w14:paraId="569A7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Borders>
                    <w:top w:val="single" w:color="auto" w:sz="4" w:space="0"/>
                    <w:left w:val="nil"/>
                    <w:bottom w:val="single" w:color="auto" w:sz="4" w:space="0"/>
                    <w:right w:val="single" w:color="auto" w:sz="4" w:space="0"/>
                  </w:tcBorders>
                  <w:vAlign w:val="center"/>
                </w:tcPr>
                <w:p w14:paraId="31F28F89">
                  <w:pPr>
                    <w:spacing w:line="240" w:lineRule="auto"/>
                    <w:ind w:left="0" w:leftChars="0" w:right="0" w:rightChars="0" w:firstLine="0" w:firstLineChars="0"/>
                    <w:jc w:val="center"/>
                    <w:rPr>
                      <w:rFonts w:hint="eastAsia"/>
                      <w:color w:val="FF0000"/>
                      <w:sz w:val="21"/>
                      <w:szCs w:val="21"/>
                      <w:highlight w:val="red"/>
                      <w:lang w:val="en-US" w:eastAsia="zh-CN"/>
                    </w:rPr>
                  </w:pPr>
                  <w:r>
                    <w:rPr>
                      <w:rFonts w:hint="eastAsia" w:ascii="Times New Roman" w:hAnsi="Times New Roman" w:eastAsia="宋体" w:cs="Times New Roman"/>
                      <w:color w:val="FF0000"/>
                      <w:sz w:val="21"/>
                      <w:szCs w:val="21"/>
                      <w:highlight w:val="none"/>
                      <w:lang w:val="en-US" w:eastAsia="zh-CN"/>
                    </w:rPr>
                    <w:t>惠民新城6号楼5层</w:t>
                  </w:r>
                </w:p>
              </w:tc>
              <w:tc>
                <w:tcPr>
                  <w:tcW w:w="711" w:type="dxa"/>
                  <w:tcBorders>
                    <w:top w:val="single" w:color="auto" w:sz="4" w:space="0"/>
                    <w:left w:val="single" w:color="auto" w:sz="4" w:space="0"/>
                    <w:bottom w:val="single" w:color="auto" w:sz="4" w:space="0"/>
                    <w:right w:val="single" w:color="auto" w:sz="4" w:space="0"/>
                  </w:tcBorders>
                  <w:shd w:val="clear" w:color="auto" w:fill="auto"/>
                  <w:vAlign w:val="center"/>
                </w:tcPr>
                <w:p w14:paraId="1740C9A5">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color w:val="FF0000"/>
                      <w:sz w:val="21"/>
                      <w:szCs w:val="21"/>
                      <w:highlight w:val="red"/>
                      <w:lang w:val="en-US" w:eastAsia="zh-CN"/>
                    </w:rPr>
                  </w:pPr>
                  <w:r>
                    <w:rPr>
                      <w:rFonts w:hint="eastAsia" w:eastAsia="黑体" w:cs="Times New Roman"/>
                      <w:i w:val="0"/>
                      <w:color w:val="FF0000"/>
                      <w:kern w:val="0"/>
                      <w:sz w:val="21"/>
                      <w:szCs w:val="21"/>
                      <w:highlight w:val="none"/>
                      <w:u w:val="none"/>
                      <w:lang w:val="en-US" w:eastAsia="zh-CN" w:bidi="ar-SA"/>
                    </w:rPr>
                    <w:t>49.6</w:t>
                  </w:r>
                </w:p>
              </w:tc>
              <w:tc>
                <w:tcPr>
                  <w:tcW w:w="711" w:type="dxa"/>
                  <w:tcBorders>
                    <w:top w:val="single" w:color="auto" w:sz="4" w:space="0"/>
                    <w:left w:val="single" w:color="auto" w:sz="4" w:space="0"/>
                    <w:bottom w:val="single" w:color="auto" w:sz="4" w:space="0"/>
                    <w:right w:val="single" w:color="auto" w:sz="4" w:space="0"/>
                  </w:tcBorders>
                  <w:shd w:val="clear" w:color="auto" w:fill="auto"/>
                  <w:vAlign w:val="center"/>
                </w:tcPr>
                <w:p w14:paraId="6FCD39E5">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color w:val="FF0000"/>
                      <w:sz w:val="21"/>
                      <w:szCs w:val="21"/>
                      <w:highlight w:val="red"/>
                      <w:lang w:val="en-US" w:eastAsia="zh-CN"/>
                    </w:rPr>
                  </w:pPr>
                  <w:r>
                    <w:rPr>
                      <w:rFonts w:hint="eastAsia" w:eastAsia="黑体" w:cs="Times New Roman"/>
                      <w:color w:val="FF0000"/>
                      <w:kern w:val="2"/>
                      <w:sz w:val="21"/>
                      <w:szCs w:val="21"/>
                      <w:highlight w:val="none"/>
                      <w:lang w:val="en-US" w:eastAsia="zh-CN" w:bidi="ar-SA"/>
                    </w:rPr>
                    <w:t>40.6</w:t>
                  </w:r>
                </w:p>
              </w:tc>
              <w:tc>
                <w:tcPr>
                  <w:tcW w:w="711" w:type="dxa"/>
                  <w:tcBorders>
                    <w:top w:val="single" w:color="auto" w:sz="4" w:space="0"/>
                    <w:left w:val="single" w:color="auto" w:sz="4" w:space="0"/>
                    <w:bottom w:val="single" w:color="auto" w:sz="4" w:space="0"/>
                    <w:right w:val="single" w:color="000000" w:sz="4" w:space="0"/>
                  </w:tcBorders>
                  <w:vAlign w:val="center"/>
                </w:tcPr>
                <w:p w14:paraId="2304D94C">
                  <w:pPr>
                    <w:jc w:val="center"/>
                    <w:rPr>
                      <w:rFonts w:hint="eastAsia"/>
                      <w:color w:val="FF0000"/>
                      <w:sz w:val="21"/>
                      <w:szCs w:val="21"/>
                      <w:highlight w:val="none"/>
                      <w:lang w:val="en-US" w:eastAsia="zh-CN"/>
                    </w:rPr>
                  </w:pPr>
                  <w:r>
                    <w:rPr>
                      <w:rFonts w:hint="eastAsia"/>
                      <w:color w:val="FF0000"/>
                      <w:sz w:val="21"/>
                      <w:szCs w:val="21"/>
                      <w:highlight w:val="none"/>
                      <w:lang w:val="en-US" w:eastAsia="zh-CN"/>
                    </w:rPr>
                    <w:t>55</w:t>
                  </w:r>
                </w:p>
              </w:tc>
              <w:tc>
                <w:tcPr>
                  <w:tcW w:w="711" w:type="dxa"/>
                  <w:tcBorders>
                    <w:top w:val="single" w:color="auto" w:sz="4" w:space="0"/>
                    <w:left w:val="single" w:color="000000" w:sz="4" w:space="0"/>
                    <w:bottom w:val="single" w:color="auto" w:sz="4" w:space="0"/>
                    <w:right w:val="single" w:color="000000" w:sz="4" w:space="0"/>
                  </w:tcBorders>
                  <w:vAlign w:val="center"/>
                </w:tcPr>
                <w:p w14:paraId="17EAA73C">
                  <w:pPr>
                    <w:jc w:val="center"/>
                    <w:rPr>
                      <w:rFonts w:hint="eastAsia"/>
                      <w:color w:val="FF0000"/>
                      <w:sz w:val="21"/>
                      <w:szCs w:val="21"/>
                      <w:highlight w:val="none"/>
                      <w:lang w:val="en-US" w:eastAsia="zh-CN"/>
                    </w:rPr>
                  </w:pPr>
                  <w:r>
                    <w:rPr>
                      <w:rFonts w:hint="eastAsia"/>
                      <w:color w:val="FF0000"/>
                      <w:sz w:val="21"/>
                      <w:szCs w:val="21"/>
                      <w:highlight w:val="none"/>
                      <w:lang w:val="en-US" w:eastAsia="zh-CN"/>
                    </w:rPr>
                    <w:t>45</w:t>
                  </w:r>
                </w:p>
              </w:tc>
              <w:tc>
                <w:tcPr>
                  <w:tcW w:w="711" w:type="dxa"/>
                  <w:tcBorders>
                    <w:top w:val="single" w:color="auto" w:sz="4" w:space="0"/>
                    <w:left w:val="single" w:color="000000" w:sz="4" w:space="0"/>
                    <w:bottom w:val="single" w:color="auto" w:sz="4" w:space="0"/>
                    <w:right w:val="single" w:color="000000" w:sz="4" w:space="0"/>
                  </w:tcBorders>
                  <w:vAlign w:val="center"/>
                </w:tcPr>
                <w:p w14:paraId="1B0EBFAC">
                  <w:pPr>
                    <w:jc w:val="center"/>
                    <w:rPr>
                      <w:rFonts w:hint="default"/>
                      <w:color w:val="FF0000"/>
                      <w:sz w:val="21"/>
                      <w:szCs w:val="21"/>
                      <w:highlight w:val="green"/>
                      <w:lang w:val="en-US" w:eastAsia="zh-CN"/>
                    </w:rPr>
                  </w:pPr>
                  <w:r>
                    <w:rPr>
                      <w:rFonts w:hint="eastAsia"/>
                      <w:color w:val="FF0000"/>
                      <w:sz w:val="21"/>
                      <w:szCs w:val="21"/>
                      <w:highlight w:val="green"/>
                      <w:lang w:val="en-US" w:eastAsia="zh-CN"/>
                    </w:rPr>
                    <w:t>25.1</w:t>
                  </w:r>
                </w:p>
              </w:tc>
              <w:tc>
                <w:tcPr>
                  <w:tcW w:w="711" w:type="dxa"/>
                  <w:tcBorders>
                    <w:top w:val="single" w:color="auto" w:sz="4" w:space="0"/>
                    <w:left w:val="single" w:color="000000" w:sz="4" w:space="0"/>
                    <w:bottom w:val="single" w:color="auto" w:sz="4" w:space="0"/>
                    <w:right w:val="single" w:color="auto" w:sz="4" w:space="0"/>
                  </w:tcBorders>
                  <w:vAlign w:val="center"/>
                </w:tcPr>
                <w:p w14:paraId="17C41247">
                  <w:pPr>
                    <w:jc w:val="center"/>
                    <w:rPr>
                      <w:rFonts w:hint="default"/>
                      <w:color w:val="FF0000"/>
                      <w:sz w:val="21"/>
                      <w:szCs w:val="21"/>
                      <w:highlight w:val="green"/>
                      <w:lang w:val="en-US" w:eastAsia="zh-CN"/>
                    </w:rPr>
                  </w:pPr>
                  <w:r>
                    <w:rPr>
                      <w:rFonts w:hint="eastAsia"/>
                      <w:color w:val="FF0000"/>
                      <w:sz w:val="21"/>
                      <w:szCs w:val="21"/>
                      <w:highlight w:val="green"/>
                      <w:lang w:val="en-US" w:eastAsia="zh-CN"/>
                    </w:rPr>
                    <w:t>19.7</w:t>
                  </w:r>
                </w:p>
              </w:tc>
              <w:tc>
                <w:tcPr>
                  <w:tcW w:w="711" w:type="dxa"/>
                  <w:tcBorders>
                    <w:top w:val="single" w:color="auto" w:sz="4" w:space="0"/>
                    <w:left w:val="single" w:color="auto" w:sz="4" w:space="0"/>
                    <w:bottom w:val="single" w:color="auto" w:sz="4" w:space="0"/>
                    <w:right w:val="single" w:color="000000" w:sz="4" w:space="0"/>
                  </w:tcBorders>
                  <w:vAlign w:val="center"/>
                </w:tcPr>
                <w:p w14:paraId="70996D9E">
                  <w:pPr>
                    <w:jc w:val="center"/>
                    <w:rPr>
                      <w:rFonts w:hint="default"/>
                      <w:color w:val="FF0000"/>
                      <w:sz w:val="21"/>
                      <w:szCs w:val="21"/>
                      <w:highlight w:val="green"/>
                      <w:lang w:val="en-US" w:eastAsia="zh-CN"/>
                    </w:rPr>
                  </w:pPr>
                  <w:r>
                    <w:rPr>
                      <w:rFonts w:hint="eastAsia"/>
                      <w:color w:val="FF0000"/>
                      <w:sz w:val="21"/>
                      <w:szCs w:val="21"/>
                      <w:highlight w:val="green"/>
                      <w:lang w:val="en-US" w:eastAsia="zh-CN"/>
                    </w:rPr>
                    <w:t>49.6</w:t>
                  </w:r>
                </w:p>
              </w:tc>
              <w:tc>
                <w:tcPr>
                  <w:tcW w:w="718" w:type="dxa"/>
                  <w:tcBorders>
                    <w:top w:val="single" w:color="auto" w:sz="4" w:space="0"/>
                    <w:left w:val="single" w:color="000000" w:sz="4" w:space="0"/>
                    <w:bottom w:val="single" w:color="auto" w:sz="4" w:space="0"/>
                    <w:right w:val="single" w:color="000000" w:sz="4" w:space="0"/>
                  </w:tcBorders>
                  <w:vAlign w:val="center"/>
                </w:tcPr>
                <w:p w14:paraId="01B8C991">
                  <w:pPr>
                    <w:jc w:val="center"/>
                    <w:rPr>
                      <w:rFonts w:hint="default"/>
                      <w:color w:val="FF0000"/>
                      <w:sz w:val="21"/>
                      <w:szCs w:val="21"/>
                      <w:highlight w:val="green"/>
                      <w:lang w:val="en-US" w:eastAsia="zh-CN"/>
                    </w:rPr>
                  </w:pPr>
                  <w:r>
                    <w:rPr>
                      <w:rFonts w:hint="eastAsia"/>
                      <w:color w:val="FF0000"/>
                      <w:sz w:val="21"/>
                      <w:szCs w:val="21"/>
                      <w:highlight w:val="green"/>
                      <w:lang w:val="en-US" w:eastAsia="zh-CN"/>
                    </w:rPr>
                    <w:t>40.6</w:t>
                  </w:r>
                </w:p>
              </w:tc>
              <w:tc>
                <w:tcPr>
                  <w:tcW w:w="713" w:type="dxa"/>
                  <w:tcBorders>
                    <w:top w:val="single" w:color="auto" w:sz="4" w:space="0"/>
                    <w:left w:val="single" w:color="000000" w:sz="4" w:space="0"/>
                    <w:bottom w:val="single" w:color="auto" w:sz="4" w:space="0"/>
                    <w:right w:val="nil"/>
                  </w:tcBorders>
                  <w:vAlign w:val="center"/>
                </w:tcPr>
                <w:p w14:paraId="4BC47CB8">
                  <w:pPr>
                    <w:jc w:val="center"/>
                    <w:rPr>
                      <w:color w:val="FF0000"/>
                      <w:sz w:val="21"/>
                      <w:szCs w:val="21"/>
                      <w:highlight w:val="green"/>
                    </w:rPr>
                  </w:pPr>
                  <w:r>
                    <w:rPr>
                      <w:color w:val="FF0000"/>
                      <w:sz w:val="21"/>
                      <w:szCs w:val="21"/>
                      <w:highlight w:val="green"/>
                    </w:rPr>
                    <w:t>达标</w:t>
                  </w:r>
                </w:p>
              </w:tc>
            </w:tr>
            <w:tr w14:paraId="68E3A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Borders>
                    <w:top w:val="single" w:color="auto" w:sz="4" w:space="0"/>
                    <w:left w:val="nil"/>
                    <w:bottom w:val="single" w:color="auto" w:sz="4" w:space="0"/>
                    <w:right w:val="single" w:color="auto" w:sz="4" w:space="0"/>
                  </w:tcBorders>
                  <w:vAlign w:val="center"/>
                </w:tcPr>
                <w:p w14:paraId="09C4C40B">
                  <w:pPr>
                    <w:spacing w:line="240" w:lineRule="auto"/>
                    <w:ind w:left="0" w:leftChars="0" w:right="0" w:rightChars="0" w:firstLine="0" w:firstLineChars="0"/>
                    <w:jc w:val="center"/>
                    <w:rPr>
                      <w:rFonts w:hint="eastAsia"/>
                      <w:color w:val="FF0000"/>
                      <w:sz w:val="21"/>
                      <w:szCs w:val="21"/>
                      <w:highlight w:val="red"/>
                      <w:lang w:val="en-US" w:eastAsia="zh-CN"/>
                    </w:rPr>
                  </w:pPr>
                  <w:r>
                    <w:rPr>
                      <w:rFonts w:hint="eastAsia" w:ascii="Times New Roman" w:hAnsi="Times New Roman" w:eastAsia="宋体" w:cs="Times New Roman"/>
                      <w:color w:val="FF0000"/>
                      <w:sz w:val="21"/>
                      <w:szCs w:val="21"/>
                      <w:highlight w:val="none"/>
                      <w:lang w:val="en-US" w:eastAsia="zh-CN"/>
                    </w:rPr>
                    <w:t>站南小区4号楼</w:t>
                  </w:r>
                  <w:r>
                    <w:rPr>
                      <w:rFonts w:hint="eastAsia" w:cs="Times New Roman"/>
                      <w:color w:val="FF0000"/>
                      <w:sz w:val="21"/>
                      <w:szCs w:val="21"/>
                      <w:highlight w:val="none"/>
                      <w:lang w:val="en-US" w:eastAsia="zh-CN"/>
                    </w:rPr>
                    <w:t>1</w:t>
                  </w:r>
                  <w:r>
                    <w:rPr>
                      <w:rFonts w:hint="eastAsia" w:ascii="Times New Roman" w:hAnsi="Times New Roman" w:eastAsia="宋体" w:cs="Times New Roman"/>
                      <w:color w:val="FF0000"/>
                      <w:sz w:val="21"/>
                      <w:szCs w:val="21"/>
                      <w:highlight w:val="none"/>
                      <w:lang w:val="en-US" w:eastAsia="zh-CN"/>
                    </w:rPr>
                    <w:t>层</w:t>
                  </w:r>
                </w:p>
              </w:tc>
              <w:tc>
                <w:tcPr>
                  <w:tcW w:w="711" w:type="dxa"/>
                  <w:tcBorders>
                    <w:top w:val="single" w:color="auto" w:sz="4" w:space="0"/>
                    <w:left w:val="single" w:color="auto" w:sz="4" w:space="0"/>
                    <w:bottom w:val="single" w:color="auto" w:sz="4" w:space="0"/>
                    <w:right w:val="single" w:color="auto" w:sz="4" w:space="0"/>
                  </w:tcBorders>
                  <w:shd w:val="clear" w:color="auto" w:fill="auto"/>
                  <w:vAlign w:val="center"/>
                </w:tcPr>
                <w:p w14:paraId="7C705D7C">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color w:val="FF0000"/>
                      <w:sz w:val="21"/>
                      <w:szCs w:val="21"/>
                      <w:highlight w:val="red"/>
                      <w:lang w:val="en-US" w:eastAsia="zh-CN"/>
                    </w:rPr>
                  </w:pPr>
                  <w:r>
                    <w:rPr>
                      <w:rFonts w:hint="eastAsia" w:eastAsia="黑体" w:cs="Times New Roman"/>
                      <w:i w:val="0"/>
                      <w:color w:val="FF0000"/>
                      <w:kern w:val="0"/>
                      <w:sz w:val="21"/>
                      <w:szCs w:val="21"/>
                      <w:highlight w:val="none"/>
                      <w:u w:val="none"/>
                      <w:lang w:val="en-US" w:eastAsia="zh-CN" w:bidi="ar-SA"/>
                    </w:rPr>
                    <w:t>50.4</w:t>
                  </w:r>
                </w:p>
              </w:tc>
              <w:tc>
                <w:tcPr>
                  <w:tcW w:w="711" w:type="dxa"/>
                  <w:tcBorders>
                    <w:top w:val="single" w:color="auto" w:sz="4" w:space="0"/>
                    <w:left w:val="single" w:color="auto" w:sz="4" w:space="0"/>
                    <w:bottom w:val="single" w:color="auto" w:sz="4" w:space="0"/>
                    <w:right w:val="single" w:color="auto" w:sz="4" w:space="0"/>
                  </w:tcBorders>
                  <w:shd w:val="clear" w:color="auto" w:fill="auto"/>
                  <w:vAlign w:val="center"/>
                </w:tcPr>
                <w:p w14:paraId="6DD53761">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color w:val="FF0000"/>
                      <w:sz w:val="21"/>
                      <w:szCs w:val="21"/>
                      <w:highlight w:val="red"/>
                      <w:lang w:val="en-US" w:eastAsia="zh-CN"/>
                    </w:rPr>
                  </w:pPr>
                  <w:r>
                    <w:rPr>
                      <w:rFonts w:hint="eastAsia" w:eastAsia="黑体" w:cs="Times New Roman"/>
                      <w:color w:val="FF0000"/>
                      <w:kern w:val="2"/>
                      <w:sz w:val="21"/>
                      <w:szCs w:val="21"/>
                      <w:highlight w:val="none"/>
                      <w:lang w:val="en-US" w:eastAsia="zh-CN" w:bidi="ar-SA"/>
                    </w:rPr>
                    <w:t>42.4</w:t>
                  </w:r>
                </w:p>
              </w:tc>
              <w:tc>
                <w:tcPr>
                  <w:tcW w:w="711" w:type="dxa"/>
                  <w:tcBorders>
                    <w:top w:val="single" w:color="auto" w:sz="4" w:space="0"/>
                    <w:left w:val="single" w:color="auto" w:sz="4" w:space="0"/>
                    <w:bottom w:val="single" w:color="auto" w:sz="4" w:space="0"/>
                    <w:right w:val="single" w:color="000000" w:sz="4" w:space="0"/>
                  </w:tcBorders>
                  <w:vAlign w:val="center"/>
                </w:tcPr>
                <w:p w14:paraId="52B23702">
                  <w:pPr>
                    <w:jc w:val="center"/>
                    <w:rPr>
                      <w:rFonts w:hint="eastAsia"/>
                      <w:color w:val="FF0000"/>
                      <w:sz w:val="21"/>
                      <w:szCs w:val="21"/>
                      <w:highlight w:val="none"/>
                      <w:lang w:val="en-US" w:eastAsia="zh-CN"/>
                    </w:rPr>
                  </w:pPr>
                  <w:r>
                    <w:rPr>
                      <w:rFonts w:hint="eastAsia"/>
                      <w:color w:val="FF0000"/>
                      <w:sz w:val="21"/>
                      <w:szCs w:val="21"/>
                      <w:highlight w:val="none"/>
                      <w:lang w:val="en-US" w:eastAsia="zh-CN"/>
                    </w:rPr>
                    <w:t>60</w:t>
                  </w:r>
                </w:p>
              </w:tc>
              <w:tc>
                <w:tcPr>
                  <w:tcW w:w="711" w:type="dxa"/>
                  <w:tcBorders>
                    <w:top w:val="single" w:color="auto" w:sz="4" w:space="0"/>
                    <w:left w:val="single" w:color="000000" w:sz="4" w:space="0"/>
                    <w:bottom w:val="single" w:color="auto" w:sz="4" w:space="0"/>
                    <w:right w:val="single" w:color="000000" w:sz="4" w:space="0"/>
                  </w:tcBorders>
                  <w:vAlign w:val="center"/>
                </w:tcPr>
                <w:p w14:paraId="089B5D2F">
                  <w:pPr>
                    <w:jc w:val="center"/>
                    <w:rPr>
                      <w:rFonts w:hint="eastAsia"/>
                      <w:color w:val="FF0000"/>
                      <w:sz w:val="21"/>
                      <w:szCs w:val="21"/>
                      <w:highlight w:val="none"/>
                      <w:lang w:val="en-US" w:eastAsia="zh-CN"/>
                    </w:rPr>
                  </w:pPr>
                  <w:r>
                    <w:rPr>
                      <w:rFonts w:hint="eastAsia"/>
                      <w:color w:val="FF0000"/>
                      <w:sz w:val="21"/>
                      <w:szCs w:val="21"/>
                      <w:highlight w:val="none"/>
                      <w:lang w:val="en-US" w:eastAsia="zh-CN"/>
                    </w:rPr>
                    <w:t>50</w:t>
                  </w:r>
                </w:p>
              </w:tc>
              <w:tc>
                <w:tcPr>
                  <w:tcW w:w="711" w:type="dxa"/>
                  <w:tcBorders>
                    <w:top w:val="single" w:color="auto" w:sz="4" w:space="0"/>
                    <w:left w:val="single" w:color="000000" w:sz="4" w:space="0"/>
                    <w:bottom w:val="single" w:color="auto" w:sz="4" w:space="0"/>
                    <w:right w:val="single" w:color="000000" w:sz="4" w:space="0"/>
                  </w:tcBorders>
                  <w:vAlign w:val="center"/>
                </w:tcPr>
                <w:p w14:paraId="14E8037D">
                  <w:pPr>
                    <w:jc w:val="center"/>
                    <w:rPr>
                      <w:rFonts w:hint="default"/>
                      <w:color w:val="FF0000"/>
                      <w:sz w:val="21"/>
                      <w:szCs w:val="21"/>
                      <w:highlight w:val="green"/>
                      <w:lang w:val="en-US" w:eastAsia="zh-CN"/>
                    </w:rPr>
                  </w:pPr>
                  <w:r>
                    <w:rPr>
                      <w:rFonts w:hint="eastAsia"/>
                      <w:color w:val="FF0000"/>
                      <w:sz w:val="21"/>
                      <w:szCs w:val="21"/>
                      <w:highlight w:val="green"/>
                      <w:lang w:val="en-US" w:eastAsia="zh-CN"/>
                    </w:rPr>
                    <w:t>18.9</w:t>
                  </w:r>
                </w:p>
              </w:tc>
              <w:tc>
                <w:tcPr>
                  <w:tcW w:w="711" w:type="dxa"/>
                  <w:tcBorders>
                    <w:top w:val="single" w:color="auto" w:sz="4" w:space="0"/>
                    <w:left w:val="single" w:color="000000" w:sz="4" w:space="0"/>
                    <w:bottom w:val="single" w:color="auto" w:sz="4" w:space="0"/>
                    <w:right w:val="single" w:color="auto" w:sz="4" w:space="0"/>
                  </w:tcBorders>
                  <w:vAlign w:val="center"/>
                </w:tcPr>
                <w:p w14:paraId="7B414FBF">
                  <w:pPr>
                    <w:jc w:val="center"/>
                    <w:rPr>
                      <w:rFonts w:hint="default"/>
                      <w:color w:val="FF0000"/>
                      <w:sz w:val="21"/>
                      <w:szCs w:val="21"/>
                      <w:highlight w:val="green"/>
                      <w:lang w:val="en-US" w:eastAsia="zh-CN"/>
                    </w:rPr>
                  </w:pPr>
                  <w:r>
                    <w:rPr>
                      <w:rFonts w:hint="eastAsia"/>
                      <w:color w:val="FF0000"/>
                      <w:sz w:val="21"/>
                      <w:szCs w:val="21"/>
                      <w:highlight w:val="green"/>
                      <w:lang w:val="en-US" w:eastAsia="zh-CN"/>
                    </w:rPr>
                    <w:t>13.4</w:t>
                  </w:r>
                </w:p>
              </w:tc>
              <w:tc>
                <w:tcPr>
                  <w:tcW w:w="711" w:type="dxa"/>
                  <w:tcBorders>
                    <w:top w:val="single" w:color="auto" w:sz="4" w:space="0"/>
                    <w:left w:val="single" w:color="auto" w:sz="4" w:space="0"/>
                    <w:bottom w:val="single" w:color="auto" w:sz="4" w:space="0"/>
                    <w:right w:val="single" w:color="000000" w:sz="4" w:space="0"/>
                  </w:tcBorders>
                  <w:vAlign w:val="center"/>
                </w:tcPr>
                <w:p w14:paraId="77F3EAD5">
                  <w:pPr>
                    <w:jc w:val="center"/>
                    <w:rPr>
                      <w:rFonts w:hint="default"/>
                      <w:color w:val="FF0000"/>
                      <w:sz w:val="21"/>
                      <w:szCs w:val="21"/>
                      <w:highlight w:val="green"/>
                      <w:lang w:val="en-US" w:eastAsia="zh-CN"/>
                    </w:rPr>
                  </w:pPr>
                  <w:r>
                    <w:rPr>
                      <w:rFonts w:hint="eastAsia"/>
                      <w:color w:val="FF0000"/>
                      <w:sz w:val="21"/>
                      <w:szCs w:val="21"/>
                      <w:highlight w:val="green"/>
                      <w:lang w:val="en-US" w:eastAsia="zh-CN"/>
                    </w:rPr>
                    <w:t>50.4</w:t>
                  </w:r>
                </w:p>
              </w:tc>
              <w:tc>
                <w:tcPr>
                  <w:tcW w:w="718" w:type="dxa"/>
                  <w:tcBorders>
                    <w:top w:val="single" w:color="auto" w:sz="4" w:space="0"/>
                    <w:left w:val="single" w:color="000000" w:sz="4" w:space="0"/>
                    <w:bottom w:val="single" w:color="auto" w:sz="4" w:space="0"/>
                    <w:right w:val="single" w:color="000000" w:sz="4" w:space="0"/>
                  </w:tcBorders>
                  <w:vAlign w:val="center"/>
                </w:tcPr>
                <w:p w14:paraId="55CC08BE">
                  <w:pPr>
                    <w:jc w:val="center"/>
                    <w:rPr>
                      <w:rFonts w:hint="default"/>
                      <w:color w:val="FF0000"/>
                      <w:sz w:val="21"/>
                      <w:szCs w:val="21"/>
                      <w:highlight w:val="green"/>
                      <w:lang w:val="en-US" w:eastAsia="zh-CN"/>
                    </w:rPr>
                  </w:pPr>
                  <w:r>
                    <w:rPr>
                      <w:rFonts w:hint="eastAsia"/>
                      <w:color w:val="FF0000"/>
                      <w:sz w:val="21"/>
                      <w:szCs w:val="21"/>
                      <w:highlight w:val="green"/>
                      <w:lang w:val="en-US" w:eastAsia="zh-CN"/>
                    </w:rPr>
                    <w:t>42.4</w:t>
                  </w:r>
                </w:p>
              </w:tc>
              <w:tc>
                <w:tcPr>
                  <w:tcW w:w="713" w:type="dxa"/>
                  <w:tcBorders>
                    <w:top w:val="single" w:color="auto" w:sz="4" w:space="0"/>
                    <w:left w:val="single" w:color="000000" w:sz="4" w:space="0"/>
                    <w:bottom w:val="single" w:color="auto" w:sz="4" w:space="0"/>
                    <w:right w:val="nil"/>
                  </w:tcBorders>
                  <w:vAlign w:val="center"/>
                </w:tcPr>
                <w:p w14:paraId="2FCC6DC0">
                  <w:pPr>
                    <w:jc w:val="center"/>
                    <w:rPr>
                      <w:color w:val="FF0000"/>
                      <w:sz w:val="21"/>
                      <w:szCs w:val="21"/>
                      <w:highlight w:val="green"/>
                    </w:rPr>
                  </w:pPr>
                  <w:r>
                    <w:rPr>
                      <w:color w:val="FF0000"/>
                      <w:sz w:val="21"/>
                      <w:szCs w:val="21"/>
                      <w:highlight w:val="green"/>
                    </w:rPr>
                    <w:t>达标</w:t>
                  </w:r>
                </w:p>
              </w:tc>
            </w:tr>
            <w:tr w14:paraId="74BBB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Borders>
                    <w:top w:val="single" w:color="auto" w:sz="4" w:space="0"/>
                    <w:left w:val="nil"/>
                    <w:bottom w:val="single" w:color="auto" w:sz="4" w:space="0"/>
                    <w:right w:val="single" w:color="auto" w:sz="4" w:space="0"/>
                  </w:tcBorders>
                  <w:vAlign w:val="center"/>
                </w:tcPr>
                <w:p w14:paraId="5D9E9E33">
                  <w:pPr>
                    <w:spacing w:line="240" w:lineRule="auto"/>
                    <w:ind w:left="0" w:leftChars="0" w:right="0" w:rightChars="0" w:firstLine="0" w:firstLineChars="0"/>
                    <w:jc w:val="center"/>
                    <w:rPr>
                      <w:rFonts w:hint="eastAsia"/>
                      <w:color w:val="FF0000"/>
                      <w:sz w:val="21"/>
                      <w:szCs w:val="21"/>
                      <w:highlight w:val="red"/>
                      <w:lang w:val="en-US" w:eastAsia="zh-CN"/>
                    </w:rPr>
                  </w:pPr>
                  <w:r>
                    <w:rPr>
                      <w:rFonts w:hint="eastAsia"/>
                      <w:color w:val="FF0000"/>
                      <w:sz w:val="21"/>
                      <w:szCs w:val="21"/>
                      <w:highlight w:val="none"/>
                      <w:lang w:val="en-US" w:eastAsia="zh-CN"/>
                    </w:rPr>
                    <w:t>站南小区4号楼3层</w:t>
                  </w:r>
                </w:p>
              </w:tc>
              <w:tc>
                <w:tcPr>
                  <w:tcW w:w="711" w:type="dxa"/>
                  <w:tcBorders>
                    <w:top w:val="single" w:color="auto" w:sz="4" w:space="0"/>
                    <w:left w:val="single" w:color="auto" w:sz="4" w:space="0"/>
                    <w:bottom w:val="single" w:color="auto" w:sz="4" w:space="0"/>
                    <w:right w:val="single" w:color="auto" w:sz="4" w:space="0"/>
                  </w:tcBorders>
                  <w:shd w:val="clear" w:color="auto" w:fill="auto"/>
                  <w:vAlign w:val="center"/>
                </w:tcPr>
                <w:p w14:paraId="2CDEF96B">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color w:val="FF0000"/>
                      <w:sz w:val="21"/>
                      <w:szCs w:val="21"/>
                      <w:highlight w:val="red"/>
                      <w:lang w:val="en-US" w:eastAsia="zh-CN"/>
                    </w:rPr>
                  </w:pPr>
                  <w:r>
                    <w:rPr>
                      <w:rFonts w:hint="eastAsia" w:eastAsia="黑体" w:cs="Times New Roman"/>
                      <w:i w:val="0"/>
                      <w:color w:val="FF0000"/>
                      <w:kern w:val="0"/>
                      <w:sz w:val="21"/>
                      <w:szCs w:val="21"/>
                      <w:highlight w:val="none"/>
                      <w:u w:val="none"/>
                      <w:lang w:val="en-US" w:eastAsia="zh-CN" w:bidi="ar-SA"/>
                    </w:rPr>
                    <w:t>50.0</w:t>
                  </w:r>
                </w:p>
              </w:tc>
              <w:tc>
                <w:tcPr>
                  <w:tcW w:w="711" w:type="dxa"/>
                  <w:tcBorders>
                    <w:top w:val="single" w:color="auto" w:sz="4" w:space="0"/>
                    <w:left w:val="single" w:color="auto" w:sz="4" w:space="0"/>
                    <w:bottom w:val="single" w:color="auto" w:sz="4" w:space="0"/>
                    <w:right w:val="single" w:color="auto" w:sz="4" w:space="0"/>
                  </w:tcBorders>
                  <w:shd w:val="clear" w:color="auto" w:fill="auto"/>
                  <w:vAlign w:val="center"/>
                </w:tcPr>
                <w:p w14:paraId="70680ACF">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color w:val="FF0000"/>
                      <w:sz w:val="21"/>
                      <w:szCs w:val="21"/>
                      <w:highlight w:val="red"/>
                      <w:lang w:val="en-US" w:eastAsia="zh-CN"/>
                    </w:rPr>
                  </w:pPr>
                  <w:r>
                    <w:rPr>
                      <w:rFonts w:hint="eastAsia" w:eastAsia="黑体" w:cs="Times New Roman"/>
                      <w:color w:val="FF0000"/>
                      <w:kern w:val="2"/>
                      <w:sz w:val="21"/>
                      <w:szCs w:val="21"/>
                      <w:highlight w:val="none"/>
                      <w:lang w:val="en-US" w:eastAsia="zh-CN" w:bidi="ar-SA"/>
                    </w:rPr>
                    <w:t>43.4</w:t>
                  </w:r>
                </w:p>
              </w:tc>
              <w:tc>
                <w:tcPr>
                  <w:tcW w:w="711" w:type="dxa"/>
                  <w:tcBorders>
                    <w:top w:val="single" w:color="auto" w:sz="4" w:space="0"/>
                    <w:left w:val="single" w:color="auto" w:sz="4" w:space="0"/>
                    <w:bottom w:val="single" w:color="auto" w:sz="4" w:space="0"/>
                    <w:right w:val="single" w:color="000000" w:sz="4" w:space="0"/>
                  </w:tcBorders>
                  <w:vAlign w:val="center"/>
                </w:tcPr>
                <w:p w14:paraId="278C5E67">
                  <w:pPr>
                    <w:jc w:val="center"/>
                    <w:rPr>
                      <w:rFonts w:hint="eastAsia"/>
                      <w:color w:val="FF0000"/>
                      <w:sz w:val="21"/>
                      <w:szCs w:val="21"/>
                      <w:highlight w:val="none"/>
                      <w:lang w:val="en-US" w:eastAsia="zh-CN"/>
                    </w:rPr>
                  </w:pPr>
                  <w:r>
                    <w:rPr>
                      <w:rFonts w:hint="eastAsia"/>
                      <w:color w:val="FF0000"/>
                      <w:sz w:val="21"/>
                      <w:szCs w:val="21"/>
                      <w:highlight w:val="none"/>
                      <w:lang w:val="en-US" w:eastAsia="zh-CN"/>
                    </w:rPr>
                    <w:t>60</w:t>
                  </w:r>
                </w:p>
              </w:tc>
              <w:tc>
                <w:tcPr>
                  <w:tcW w:w="711" w:type="dxa"/>
                  <w:tcBorders>
                    <w:top w:val="single" w:color="auto" w:sz="4" w:space="0"/>
                    <w:left w:val="single" w:color="000000" w:sz="4" w:space="0"/>
                    <w:bottom w:val="single" w:color="auto" w:sz="4" w:space="0"/>
                    <w:right w:val="single" w:color="000000" w:sz="4" w:space="0"/>
                  </w:tcBorders>
                  <w:vAlign w:val="center"/>
                </w:tcPr>
                <w:p w14:paraId="058482B5">
                  <w:pPr>
                    <w:jc w:val="center"/>
                    <w:rPr>
                      <w:rFonts w:hint="eastAsia"/>
                      <w:color w:val="FF0000"/>
                      <w:sz w:val="21"/>
                      <w:szCs w:val="21"/>
                      <w:highlight w:val="none"/>
                      <w:lang w:val="en-US" w:eastAsia="zh-CN"/>
                    </w:rPr>
                  </w:pPr>
                  <w:r>
                    <w:rPr>
                      <w:rFonts w:hint="eastAsia"/>
                      <w:color w:val="FF0000"/>
                      <w:sz w:val="21"/>
                      <w:szCs w:val="21"/>
                      <w:highlight w:val="none"/>
                      <w:lang w:val="en-US" w:eastAsia="zh-CN"/>
                    </w:rPr>
                    <w:t>50</w:t>
                  </w:r>
                </w:p>
              </w:tc>
              <w:tc>
                <w:tcPr>
                  <w:tcW w:w="711" w:type="dxa"/>
                  <w:tcBorders>
                    <w:top w:val="single" w:color="auto" w:sz="4" w:space="0"/>
                    <w:left w:val="single" w:color="000000" w:sz="4" w:space="0"/>
                    <w:bottom w:val="single" w:color="auto" w:sz="4" w:space="0"/>
                    <w:right w:val="single" w:color="000000" w:sz="4" w:space="0"/>
                  </w:tcBorders>
                  <w:vAlign w:val="center"/>
                </w:tcPr>
                <w:p w14:paraId="635ACC77">
                  <w:pPr>
                    <w:jc w:val="center"/>
                    <w:rPr>
                      <w:rFonts w:hint="default"/>
                      <w:color w:val="FF0000"/>
                      <w:sz w:val="21"/>
                      <w:szCs w:val="21"/>
                      <w:highlight w:val="green"/>
                      <w:lang w:val="en-US" w:eastAsia="zh-CN"/>
                    </w:rPr>
                  </w:pPr>
                  <w:r>
                    <w:rPr>
                      <w:rFonts w:hint="eastAsia"/>
                      <w:color w:val="FF0000"/>
                      <w:sz w:val="21"/>
                      <w:szCs w:val="21"/>
                      <w:highlight w:val="green"/>
                      <w:lang w:val="en-US" w:eastAsia="zh-CN"/>
                    </w:rPr>
                    <w:t>19.0</w:t>
                  </w:r>
                </w:p>
              </w:tc>
              <w:tc>
                <w:tcPr>
                  <w:tcW w:w="711" w:type="dxa"/>
                  <w:tcBorders>
                    <w:top w:val="single" w:color="auto" w:sz="4" w:space="0"/>
                    <w:left w:val="single" w:color="000000" w:sz="4" w:space="0"/>
                    <w:bottom w:val="single" w:color="auto" w:sz="4" w:space="0"/>
                    <w:right w:val="single" w:color="auto" w:sz="4" w:space="0"/>
                  </w:tcBorders>
                  <w:vAlign w:val="center"/>
                </w:tcPr>
                <w:p w14:paraId="54FDC22F">
                  <w:pPr>
                    <w:jc w:val="center"/>
                    <w:rPr>
                      <w:rFonts w:hint="default"/>
                      <w:color w:val="FF0000"/>
                      <w:sz w:val="21"/>
                      <w:szCs w:val="21"/>
                      <w:highlight w:val="green"/>
                      <w:lang w:val="en-US" w:eastAsia="zh-CN"/>
                    </w:rPr>
                  </w:pPr>
                  <w:r>
                    <w:rPr>
                      <w:rFonts w:hint="eastAsia"/>
                      <w:color w:val="FF0000"/>
                      <w:sz w:val="21"/>
                      <w:szCs w:val="21"/>
                      <w:highlight w:val="green"/>
                      <w:lang w:val="en-US" w:eastAsia="zh-CN"/>
                    </w:rPr>
                    <w:t>13.6</w:t>
                  </w:r>
                </w:p>
              </w:tc>
              <w:tc>
                <w:tcPr>
                  <w:tcW w:w="711" w:type="dxa"/>
                  <w:tcBorders>
                    <w:top w:val="single" w:color="auto" w:sz="4" w:space="0"/>
                    <w:left w:val="single" w:color="auto" w:sz="4" w:space="0"/>
                    <w:bottom w:val="single" w:color="auto" w:sz="4" w:space="0"/>
                    <w:right w:val="single" w:color="000000" w:sz="4" w:space="0"/>
                  </w:tcBorders>
                  <w:vAlign w:val="center"/>
                </w:tcPr>
                <w:p w14:paraId="43EC6F0A">
                  <w:pPr>
                    <w:jc w:val="center"/>
                    <w:rPr>
                      <w:rFonts w:hint="default"/>
                      <w:color w:val="FF0000"/>
                      <w:sz w:val="21"/>
                      <w:szCs w:val="21"/>
                      <w:highlight w:val="green"/>
                      <w:lang w:val="en-US" w:eastAsia="zh-CN"/>
                    </w:rPr>
                  </w:pPr>
                  <w:r>
                    <w:rPr>
                      <w:rFonts w:hint="eastAsia"/>
                      <w:color w:val="FF0000"/>
                      <w:sz w:val="21"/>
                      <w:szCs w:val="21"/>
                      <w:highlight w:val="green"/>
                      <w:lang w:val="en-US" w:eastAsia="zh-CN"/>
                    </w:rPr>
                    <w:t>50.0</w:t>
                  </w:r>
                </w:p>
              </w:tc>
              <w:tc>
                <w:tcPr>
                  <w:tcW w:w="718" w:type="dxa"/>
                  <w:tcBorders>
                    <w:top w:val="single" w:color="auto" w:sz="4" w:space="0"/>
                    <w:left w:val="single" w:color="000000" w:sz="4" w:space="0"/>
                    <w:bottom w:val="single" w:color="auto" w:sz="4" w:space="0"/>
                    <w:right w:val="single" w:color="000000" w:sz="4" w:space="0"/>
                  </w:tcBorders>
                  <w:vAlign w:val="center"/>
                </w:tcPr>
                <w:p w14:paraId="458E4041">
                  <w:pPr>
                    <w:jc w:val="center"/>
                    <w:rPr>
                      <w:rFonts w:hint="default"/>
                      <w:color w:val="FF0000"/>
                      <w:sz w:val="21"/>
                      <w:szCs w:val="21"/>
                      <w:highlight w:val="green"/>
                      <w:lang w:val="en-US" w:eastAsia="zh-CN"/>
                    </w:rPr>
                  </w:pPr>
                  <w:r>
                    <w:rPr>
                      <w:rFonts w:hint="eastAsia"/>
                      <w:color w:val="FF0000"/>
                      <w:sz w:val="21"/>
                      <w:szCs w:val="21"/>
                      <w:highlight w:val="green"/>
                      <w:lang w:val="en-US" w:eastAsia="zh-CN"/>
                    </w:rPr>
                    <w:t>43.4</w:t>
                  </w:r>
                </w:p>
              </w:tc>
              <w:tc>
                <w:tcPr>
                  <w:tcW w:w="713" w:type="dxa"/>
                  <w:tcBorders>
                    <w:top w:val="single" w:color="auto" w:sz="4" w:space="0"/>
                    <w:left w:val="single" w:color="000000" w:sz="4" w:space="0"/>
                    <w:bottom w:val="single" w:color="auto" w:sz="4" w:space="0"/>
                    <w:right w:val="nil"/>
                  </w:tcBorders>
                  <w:vAlign w:val="center"/>
                </w:tcPr>
                <w:p w14:paraId="37DE0910">
                  <w:pPr>
                    <w:jc w:val="center"/>
                    <w:rPr>
                      <w:color w:val="FF0000"/>
                      <w:sz w:val="21"/>
                      <w:szCs w:val="21"/>
                      <w:highlight w:val="green"/>
                    </w:rPr>
                  </w:pPr>
                  <w:r>
                    <w:rPr>
                      <w:color w:val="FF0000"/>
                      <w:sz w:val="21"/>
                      <w:szCs w:val="21"/>
                      <w:highlight w:val="green"/>
                    </w:rPr>
                    <w:t>达标</w:t>
                  </w:r>
                </w:p>
              </w:tc>
            </w:tr>
            <w:tr w14:paraId="4A897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Borders>
                    <w:top w:val="single" w:color="auto" w:sz="4" w:space="0"/>
                    <w:left w:val="nil"/>
                    <w:bottom w:val="single" w:color="auto" w:sz="4" w:space="0"/>
                    <w:right w:val="single" w:color="auto" w:sz="4" w:space="0"/>
                  </w:tcBorders>
                  <w:vAlign w:val="center"/>
                </w:tcPr>
                <w:p w14:paraId="16394058">
                  <w:pPr>
                    <w:spacing w:line="240" w:lineRule="auto"/>
                    <w:ind w:left="0" w:leftChars="0" w:right="0" w:rightChars="0" w:firstLine="0" w:firstLineChars="0"/>
                    <w:jc w:val="center"/>
                    <w:rPr>
                      <w:rFonts w:hint="eastAsia"/>
                      <w:color w:val="FF0000"/>
                      <w:sz w:val="21"/>
                      <w:szCs w:val="21"/>
                      <w:highlight w:val="red"/>
                      <w:lang w:val="en-US" w:eastAsia="zh-CN"/>
                    </w:rPr>
                  </w:pPr>
                  <w:r>
                    <w:rPr>
                      <w:rFonts w:hint="eastAsia" w:ascii="Times New Roman" w:hAnsi="Times New Roman" w:eastAsia="宋体" w:cs="Times New Roman"/>
                      <w:color w:val="FF0000"/>
                      <w:sz w:val="21"/>
                      <w:szCs w:val="21"/>
                      <w:highlight w:val="none"/>
                      <w:lang w:val="en-US" w:eastAsia="zh-CN"/>
                    </w:rPr>
                    <w:t>站南小区4号楼</w:t>
                  </w:r>
                  <w:r>
                    <w:rPr>
                      <w:rFonts w:hint="eastAsia" w:cs="Times New Roman"/>
                      <w:color w:val="FF0000"/>
                      <w:sz w:val="21"/>
                      <w:szCs w:val="21"/>
                      <w:highlight w:val="none"/>
                      <w:lang w:val="en-US" w:eastAsia="zh-CN"/>
                    </w:rPr>
                    <w:t>5</w:t>
                  </w:r>
                  <w:r>
                    <w:rPr>
                      <w:rFonts w:hint="eastAsia" w:ascii="Times New Roman" w:hAnsi="Times New Roman" w:eastAsia="宋体" w:cs="Times New Roman"/>
                      <w:color w:val="FF0000"/>
                      <w:sz w:val="21"/>
                      <w:szCs w:val="21"/>
                      <w:highlight w:val="none"/>
                      <w:lang w:val="en-US" w:eastAsia="zh-CN"/>
                    </w:rPr>
                    <w:t>层</w:t>
                  </w:r>
                </w:p>
              </w:tc>
              <w:tc>
                <w:tcPr>
                  <w:tcW w:w="711" w:type="dxa"/>
                  <w:tcBorders>
                    <w:top w:val="single" w:color="auto" w:sz="4" w:space="0"/>
                    <w:left w:val="single" w:color="auto" w:sz="4" w:space="0"/>
                    <w:bottom w:val="single" w:color="auto" w:sz="4" w:space="0"/>
                    <w:right w:val="single" w:color="auto" w:sz="4" w:space="0"/>
                  </w:tcBorders>
                  <w:shd w:val="clear" w:color="auto" w:fill="auto"/>
                  <w:vAlign w:val="center"/>
                </w:tcPr>
                <w:p w14:paraId="6B955E18">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color w:val="FF0000"/>
                      <w:sz w:val="21"/>
                      <w:szCs w:val="21"/>
                      <w:highlight w:val="red"/>
                      <w:lang w:val="en-US" w:eastAsia="zh-CN"/>
                    </w:rPr>
                  </w:pPr>
                  <w:r>
                    <w:rPr>
                      <w:rFonts w:hint="eastAsia" w:eastAsia="黑体" w:cs="Times New Roman"/>
                      <w:i w:val="0"/>
                      <w:color w:val="FF0000"/>
                      <w:kern w:val="0"/>
                      <w:sz w:val="21"/>
                      <w:szCs w:val="21"/>
                      <w:highlight w:val="none"/>
                      <w:u w:val="none"/>
                      <w:lang w:val="en-US" w:eastAsia="zh-CN" w:bidi="ar-SA"/>
                    </w:rPr>
                    <w:t>49.7</w:t>
                  </w:r>
                </w:p>
              </w:tc>
              <w:tc>
                <w:tcPr>
                  <w:tcW w:w="711" w:type="dxa"/>
                  <w:tcBorders>
                    <w:top w:val="single" w:color="auto" w:sz="4" w:space="0"/>
                    <w:left w:val="single" w:color="auto" w:sz="4" w:space="0"/>
                    <w:bottom w:val="single" w:color="auto" w:sz="4" w:space="0"/>
                    <w:right w:val="single" w:color="auto" w:sz="4" w:space="0"/>
                  </w:tcBorders>
                  <w:shd w:val="clear" w:color="auto" w:fill="auto"/>
                  <w:vAlign w:val="center"/>
                </w:tcPr>
                <w:p w14:paraId="0101FBE1">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color w:val="FF0000"/>
                      <w:sz w:val="21"/>
                      <w:szCs w:val="21"/>
                      <w:highlight w:val="red"/>
                      <w:lang w:val="en-US" w:eastAsia="zh-CN"/>
                    </w:rPr>
                  </w:pPr>
                  <w:r>
                    <w:rPr>
                      <w:rFonts w:hint="eastAsia" w:eastAsia="黑体" w:cs="Times New Roman"/>
                      <w:color w:val="FF0000"/>
                      <w:kern w:val="2"/>
                      <w:sz w:val="21"/>
                      <w:szCs w:val="21"/>
                      <w:highlight w:val="none"/>
                      <w:lang w:val="en-US" w:eastAsia="zh-CN" w:bidi="ar-SA"/>
                    </w:rPr>
                    <w:t>42.2</w:t>
                  </w:r>
                </w:p>
              </w:tc>
              <w:tc>
                <w:tcPr>
                  <w:tcW w:w="711" w:type="dxa"/>
                  <w:tcBorders>
                    <w:top w:val="single" w:color="auto" w:sz="4" w:space="0"/>
                    <w:left w:val="single" w:color="auto" w:sz="4" w:space="0"/>
                    <w:bottom w:val="single" w:color="auto" w:sz="4" w:space="0"/>
                    <w:right w:val="single" w:color="000000" w:sz="4" w:space="0"/>
                  </w:tcBorders>
                  <w:vAlign w:val="center"/>
                </w:tcPr>
                <w:p w14:paraId="5FD10732">
                  <w:pPr>
                    <w:jc w:val="center"/>
                    <w:rPr>
                      <w:rFonts w:hint="eastAsia"/>
                      <w:color w:val="FF0000"/>
                      <w:sz w:val="21"/>
                      <w:szCs w:val="21"/>
                      <w:highlight w:val="none"/>
                      <w:lang w:val="en-US" w:eastAsia="zh-CN"/>
                    </w:rPr>
                  </w:pPr>
                  <w:r>
                    <w:rPr>
                      <w:rFonts w:hint="eastAsia"/>
                      <w:color w:val="FF0000"/>
                      <w:sz w:val="21"/>
                      <w:szCs w:val="21"/>
                      <w:highlight w:val="none"/>
                      <w:lang w:val="en-US" w:eastAsia="zh-CN"/>
                    </w:rPr>
                    <w:t>60</w:t>
                  </w:r>
                </w:p>
              </w:tc>
              <w:tc>
                <w:tcPr>
                  <w:tcW w:w="711" w:type="dxa"/>
                  <w:tcBorders>
                    <w:top w:val="single" w:color="auto" w:sz="4" w:space="0"/>
                    <w:left w:val="single" w:color="000000" w:sz="4" w:space="0"/>
                    <w:bottom w:val="single" w:color="auto" w:sz="4" w:space="0"/>
                    <w:right w:val="single" w:color="000000" w:sz="4" w:space="0"/>
                  </w:tcBorders>
                  <w:vAlign w:val="center"/>
                </w:tcPr>
                <w:p w14:paraId="4C9FF400">
                  <w:pPr>
                    <w:jc w:val="center"/>
                    <w:rPr>
                      <w:rFonts w:hint="eastAsia"/>
                      <w:color w:val="FF0000"/>
                      <w:sz w:val="21"/>
                      <w:szCs w:val="21"/>
                      <w:highlight w:val="none"/>
                      <w:lang w:val="en-US" w:eastAsia="zh-CN"/>
                    </w:rPr>
                  </w:pPr>
                  <w:r>
                    <w:rPr>
                      <w:rFonts w:hint="eastAsia"/>
                      <w:color w:val="FF0000"/>
                      <w:sz w:val="21"/>
                      <w:szCs w:val="21"/>
                      <w:highlight w:val="none"/>
                      <w:lang w:val="en-US" w:eastAsia="zh-CN"/>
                    </w:rPr>
                    <w:t>50</w:t>
                  </w:r>
                </w:p>
              </w:tc>
              <w:tc>
                <w:tcPr>
                  <w:tcW w:w="711" w:type="dxa"/>
                  <w:tcBorders>
                    <w:top w:val="single" w:color="auto" w:sz="4" w:space="0"/>
                    <w:left w:val="single" w:color="000000" w:sz="4" w:space="0"/>
                    <w:bottom w:val="single" w:color="auto" w:sz="4" w:space="0"/>
                    <w:right w:val="single" w:color="000000" w:sz="4" w:space="0"/>
                  </w:tcBorders>
                  <w:vAlign w:val="center"/>
                </w:tcPr>
                <w:p w14:paraId="51622C2F">
                  <w:pPr>
                    <w:jc w:val="center"/>
                    <w:rPr>
                      <w:rFonts w:hint="default"/>
                      <w:color w:val="FF0000"/>
                      <w:sz w:val="21"/>
                      <w:szCs w:val="21"/>
                      <w:highlight w:val="green"/>
                      <w:lang w:val="en-US" w:eastAsia="zh-CN"/>
                    </w:rPr>
                  </w:pPr>
                  <w:r>
                    <w:rPr>
                      <w:rFonts w:hint="eastAsia"/>
                      <w:color w:val="FF0000"/>
                      <w:sz w:val="21"/>
                      <w:szCs w:val="21"/>
                      <w:highlight w:val="green"/>
                      <w:lang w:val="en-US" w:eastAsia="zh-CN"/>
                    </w:rPr>
                    <w:t>19.1</w:t>
                  </w:r>
                </w:p>
              </w:tc>
              <w:tc>
                <w:tcPr>
                  <w:tcW w:w="711" w:type="dxa"/>
                  <w:tcBorders>
                    <w:top w:val="single" w:color="auto" w:sz="4" w:space="0"/>
                    <w:left w:val="single" w:color="000000" w:sz="4" w:space="0"/>
                    <w:bottom w:val="single" w:color="auto" w:sz="4" w:space="0"/>
                    <w:right w:val="single" w:color="auto" w:sz="4" w:space="0"/>
                  </w:tcBorders>
                  <w:vAlign w:val="center"/>
                </w:tcPr>
                <w:p w14:paraId="6EC5B0BC">
                  <w:pPr>
                    <w:jc w:val="center"/>
                    <w:rPr>
                      <w:rFonts w:hint="default"/>
                      <w:color w:val="FF0000"/>
                      <w:sz w:val="21"/>
                      <w:szCs w:val="21"/>
                      <w:highlight w:val="green"/>
                      <w:lang w:val="en-US" w:eastAsia="zh-CN"/>
                    </w:rPr>
                  </w:pPr>
                  <w:r>
                    <w:rPr>
                      <w:rFonts w:hint="eastAsia"/>
                      <w:color w:val="FF0000"/>
                      <w:sz w:val="21"/>
                      <w:szCs w:val="21"/>
                      <w:highlight w:val="green"/>
                      <w:lang w:val="en-US" w:eastAsia="zh-CN"/>
                    </w:rPr>
                    <w:t>13.7</w:t>
                  </w:r>
                </w:p>
              </w:tc>
              <w:tc>
                <w:tcPr>
                  <w:tcW w:w="711" w:type="dxa"/>
                  <w:tcBorders>
                    <w:top w:val="single" w:color="auto" w:sz="4" w:space="0"/>
                    <w:left w:val="single" w:color="auto" w:sz="4" w:space="0"/>
                    <w:bottom w:val="single" w:color="auto" w:sz="4" w:space="0"/>
                    <w:right w:val="single" w:color="000000" w:sz="4" w:space="0"/>
                  </w:tcBorders>
                  <w:vAlign w:val="center"/>
                </w:tcPr>
                <w:p w14:paraId="51126216">
                  <w:pPr>
                    <w:jc w:val="center"/>
                    <w:rPr>
                      <w:rFonts w:hint="default"/>
                      <w:color w:val="FF0000"/>
                      <w:sz w:val="21"/>
                      <w:szCs w:val="21"/>
                      <w:highlight w:val="green"/>
                      <w:lang w:val="en-US" w:eastAsia="zh-CN"/>
                    </w:rPr>
                  </w:pPr>
                  <w:r>
                    <w:rPr>
                      <w:rFonts w:hint="eastAsia"/>
                      <w:color w:val="FF0000"/>
                      <w:sz w:val="21"/>
                      <w:szCs w:val="21"/>
                      <w:highlight w:val="green"/>
                      <w:lang w:val="en-US" w:eastAsia="zh-CN"/>
                    </w:rPr>
                    <w:t>49.7</w:t>
                  </w:r>
                </w:p>
              </w:tc>
              <w:tc>
                <w:tcPr>
                  <w:tcW w:w="718" w:type="dxa"/>
                  <w:tcBorders>
                    <w:top w:val="single" w:color="auto" w:sz="4" w:space="0"/>
                    <w:left w:val="single" w:color="000000" w:sz="4" w:space="0"/>
                    <w:bottom w:val="single" w:color="auto" w:sz="4" w:space="0"/>
                    <w:right w:val="single" w:color="000000" w:sz="4" w:space="0"/>
                  </w:tcBorders>
                  <w:vAlign w:val="center"/>
                </w:tcPr>
                <w:p w14:paraId="46AF62AC">
                  <w:pPr>
                    <w:jc w:val="center"/>
                    <w:rPr>
                      <w:rFonts w:hint="default"/>
                      <w:color w:val="FF0000"/>
                      <w:sz w:val="21"/>
                      <w:szCs w:val="21"/>
                      <w:highlight w:val="green"/>
                      <w:lang w:val="en-US" w:eastAsia="zh-CN"/>
                    </w:rPr>
                  </w:pPr>
                  <w:r>
                    <w:rPr>
                      <w:rFonts w:hint="eastAsia"/>
                      <w:color w:val="FF0000"/>
                      <w:sz w:val="21"/>
                      <w:szCs w:val="21"/>
                      <w:highlight w:val="green"/>
                      <w:lang w:val="en-US" w:eastAsia="zh-CN"/>
                    </w:rPr>
                    <w:t>42.2</w:t>
                  </w:r>
                </w:p>
              </w:tc>
              <w:tc>
                <w:tcPr>
                  <w:tcW w:w="713" w:type="dxa"/>
                  <w:tcBorders>
                    <w:top w:val="single" w:color="auto" w:sz="4" w:space="0"/>
                    <w:left w:val="single" w:color="000000" w:sz="4" w:space="0"/>
                    <w:bottom w:val="single" w:color="auto" w:sz="4" w:space="0"/>
                    <w:right w:val="nil"/>
                  </w:tcBorders>
                  <w:vAlign w:val="center"/>
                </w:tcPr>
                <w:p w14:paraId="21070F85">
                  <w:pPr>
                    <w:jc w:val="center"/>
                    <w:rPr>
                      <w:color w:val="FF0000"/>
                      <w:sz w:val="21"/>
                      <w:szCs w:val="21"/>
                      <w:highlight w:val="green"/>
                    </w:rPr>
                  </w:pPr>
                  <w:r>
                    <w:rPr>
                      <w:color w:val="FF0000"/>
                      <w:sz w:val="21"/>
                      <w:szCs w:val="21"/>
                      <w:highlight w:val="green"/>
                    </w:rPr>
                    <w:t>达标</w:t>
                  </w:r>
                </w:p>
              </w:tc>
            </w:tr>
            <w:tr w14:paraId="08759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Borders>
                    <w:top w:val="single" w:color="auto" w:sz="4" w:space="0"/>
                    <w:left w:val="nil"/>
                    <w:bottom w:val="single" w:color="auto" w:sz="4" w:space="0"/>
                    <w:right w:val="single" w:color="auto" w:sz="4" w:space="0"/>
                  </w:tcBorders>
                  <w:vAlign w:val="center"/>
                </w:tcPr>
                <w:p w14:paraId="3E0FB31D">
                  <w:pPr>
                    <w:spacing w:line="240" w:lineRule="auto"/>
                    <w:ind w:left="0" w:leftChars="0" w:right="0" w:rightChars="0" w:firstLine="0" w:firstLineChars="0"/>
                    <w:jc w:val="center"/>
                    <w:rPr>
                      <w:rFonts w:hint="eastAsia"/>
                      <w:color w:val="FF0000"/>
                      <w:sz w:val="21"/>
                      <w:szCs w:val="21"/>
                      <w:highlight w:val="red"/>
                      <w:lang w:val="en-US" w:eastAsia="zh-CN"/>
                    </w:rPr>
                  </w:pPr>
                  <w:r>
                    <w:rPr>
                      <w:rFonts w:hint="eastAsia" w:ascii="Times New Roman" w:hAnsi="Times New Roman" w:eastAsia="宋体" w:cs="Times New Roman"/>
                      <w:color w:val="FF0000"/>
                      <w:sz w:val="21"/>
                      <w:szCs w:val="21"/>
                      <w:highlight w:val="none"/>
                      <w:lang w:val="en-US" w:eastAsia="zh-CN"/>
                    </w:rPr>
                    <w:t>站南小区4号</w:t>
                  </w:r>
                  <w:r>
                    <w:rPr>
                      <w:rFonts w:hint="eastAsia" w:cs="Times New Roman"/>
                      <w:color w:val="FF0000"/>
                      <w:sz w:val="21"/>
                      <w:szCs w:val="21"/>
                      <w:highlight w:val="none"/>
                      <w:lang w:val="en-US" w:eastAsia="zh-CN"/>
                    </w:rPr>
                    <w:t>楼9</w:t>
                  </w:r>
                  <w:r>
                    <w:rPr>
                      <w:rFonts w:hint="eastAsia" w:ascii="Times New Roman" w:hAnsi="Times New Roman" w:eastAsia="宋体" w:cs="Times New Roman"/>
                      <w:color w:val="FF0000"/>
                      <w:sz w:val="21"/>
                      <w:szCs w:val="21"/>
                      <w:highlight w:val="none"/>
                      <w:lang w:val="en-US" w:eastAsia="zh-CN"/>
                    </w:rPr>
                    <w:t>层</w:t>
                  </w:r>
                </w:p>
              </w:tc>
              <w:tc>
                <w:tcPr>
                  <w:tcW w:w="711" w:type="dxa"/>
                  <w:tcBorders>
                    <w:top w:val="single" w:color="auto" w:sz="4" w:space="0"/>
                    <w:left w:val="single" w:color="auto" w:sz="4" w:space="0"/>
                    <w:bottom w:val="single" w:color="auto" w:sz="4" w:space="0"/>
                    <w:right w:val="single" w:color="auto" w:sz="4" w:space="0"/>
                  </w:tcBorders>
                  <w:shd w:val="clear" w:color="auto" w:fill="auto"/>
                  <w:vAlign w:val="center"/>
                </w:tcPr>
                <w:p w14:paraId="61144976">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color w:val="FF0000"/>
                      <w:sz w:val="21"/>
                      <w:szCs w:val="21"/>
                      <w:highlight w:val="red"/>
                      <w:lang w:val="en-US" w:eastAsia="zh-CN"/>
                    </w:rPr>
                  </w:pPr>
                  <w:r>
                    <w:rPr>
                      <w:rFonts w:hint="eastAsia" w:eastAsia="黑体" w:cs="Times New Roman"/>
                      <w:i w:val="0"/>
                      <w:color w:val="FF0000"/>
                      <w:kern w:val="0"/>
                      <w:sz w:val="21"/>
                      <w:szCs w:val="21"/>
                      <w:highlight w:val="none"/>
                      <w:u w:val="none"/>
                      <w:lang w:val="en-US" w:eastAsia="zh-CN" w:bidi="ar-SA"/>
                    </w:rPr>
                    <w:t>50.1</w:t>
                  </w:r>
                </w:p>
              </w:tc>
              <w:tc>
                <w:tcPr>
                  <w:tcW w:w="711" w:type="dxa"/>
                  <w:tcBorders>
                    <w:top w:val="single" w:color="auto" w:sz="4" w:space="0"/>
                    <w:left w:val="single" w:color="auto" w:sz="4" w:space="0"/>
                    <w:bottom w:val="single" w:color="auto" w:sz="4" w:space="0"/>
                    <w:right w:val="single" w:color="auto" w:sz="4" w:space="0"/>
                  </w:tcBorders>
                  <w:shd w:val="clear" w:color="auto" w:fill="auto"/>
                  <w:vAlign w:val="center"/>
                </w:tcPr>
                <w:p w14:paraId="5138DA15">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color w:val="FF0000"/>
                      <w:sz w:val="21"/>
                      <w:szCs w:val="21"/>
                      <w:highlight w:val="red"/>
                      <w:lang w:val="en-US" w:eastAsia="zh-CN"/>
                    </w:rPr>
                  </w:pPr>
                  <w:r>
                    <w:rPr>
                      <w:rFonts w:hint="eastAsia" w:eastAsia="黑体" w:cs="Times New Roman"/>
                      <w:color w:val="FF0000"/>
                      <w:kern w:val="2"/>
                      <w:sz w:val="21"/>
                      <w:szCs w:val="21"/>
                      <w:highlight w:val="none"/>
                      <w:lang w:val="en-US" w:eastAsia="zh-CN" w:bidi="ar-SA"/>
                    </w:rPr>
                    <w:t>41.1</w:t>
                  </w:r>
                </w:p>
              </w:tc>
              <w:tc>
                <w:tcPr>
                  <w:tcW w:w="711" w:type="dxa"/>
                  <w:tcBorders>
                    <w:top w:val="single" w:color="auto" w:sz="4" w:space="0"/>
                    <w:left w:val="single" w:color="auto" w:sz="4" w:space="0"/>
                    <w:bottom w:val="single" w:color="auto" w:sz="4" w:space="0"/>
                    <w:right w:val="single" w:color="000000" w:sz="4" w:space="0"/>
                  </w:tcBorders>
                  <w:vAlign w:val="center"/>
                </w:tcPr>
                <w:p w14:paraId="77D743DF">
                  <w:pPr>
                    <w:jc w:val="center"/>
                    <w:rPr>
                      <w:rFonts w:hint="eastAsia"/>
                      <w:color w:val="FF0000"/>
                      <w:sz w:val="21"/>
                      <w:szCs w:val="21"/>
                      <w:highlight w:val="none"/>
                      <w:lang w:val="en-US" w:eastAsia="zh-CN"/>
                    </w:rPr>
                  </w:pPr>
                  <w:r>
                    <w:rPr>
                      <w:rFonts w:hint="eastAsia"/>
                      <w:color w:val="FF0000"/>
                      <w:sz w:val="21"/>
                      <w:szCs w:val="21"/>
                      <w:highlight w:val="none"/>
                      <w:lang w:val="en-US" w:eastAsia="zh-CN"/>
                    </w:rPr>
                    <w:t>60</w:t>
                  </w:r>
                </w:p>
              </w:tc>
              <w:tc>
                <w:tcPr>
                  <w:tcW w:w="711" w:type="dxa"/>
                  <w:tcBorders>
                    <w:top w:val="single" w:color="auto" w:sz="4" w:space="0"/>
                    <w:left w:val="single" w:color="000000" w:sz="4" w:space="0"/>
                    <w:bottom w:val="single" w:color="auto" w:sz="4" w:space="0"/>
                    <w:right w:val="single" w:color="000000" w:sz="4" w:space="0"/>
                  </w:tcBorders>
                  <w:vAlign w:val="center"/>
                </w:tcPr>
                <w:p w14:paraId="16197C85">
                  <w:pPr>
                    <w:jc w:val="center"/>
                    <w:rPr>
                      <w:rFonts w:hint="eastAsia"/>
                      <w:color w:val="FF0000"/>
                      <w:sz w:val="21"/>
                      <w:szCs w:val="21"/>
                      <w:highlight w:val="none"/>
                      <w:lang w:val="en-US" w:eastAsia="zh-CN"/>
                    </w:rPr>
                  </w:pPr>
                  <w:r>
                    <w:rPr>
                      <w:rFonts w:hint="eastAsia"/>
                      <w:color w:val="FF0000"/>
                      <w:sz w:val="21"/>
                      <w:szCs w:val="21"/>
                      <w:highlight w:val="none"/>
                      <w:lang w:val="en-US" w:eastAsia="zh-CN"/>
                    </w:rPr>
                    <w:t>50</w:t>
                  </w:r>
                </w:p>
              </w:tc>
              <w:tc>
                <w:tcPr>
                  <w:tcW w:w="711" w:type="dxa"/>
                  <w:tcBorders>
                    <w:top w:val="single" w:color="auto" w:sz="4" w:space="0"/>
                    <w:left w:val="single" w:color="000000" w:sz="4" w:space="0"/>
                    <w:bottom w:val="single" w:color="auto" w:sz="4" w:space="0"/>
                    <w:right w:val="single" w:color="000000" w:sz="4" w:space="0"/>
                  </w:tcBorders>
                  <w:vAlign w:val="center"/>
                </w:tcPr>
                <w:p w14:paraId="2DC4A1BA">
                  <w:pPr>
                    <w:jc w:val="center"/>
                    <w:rPr>
                      <w:rFonts w:hint="default"/>
                      <w:color w:val="FF0000"/>
                      <w:sz w:val="21"/>
                      <w:szCs w:val="21"/>
                      <w:highlight w:val="green"/>
                      <w:lang w:val="en-US" w:eastAsia="zh-CN"/>
                    </w:rPr>
                  </w:pPr>
                  <w:r>
                    <w:rPr>
                      <w:rFonts w:hint="eastAsia"/>
                      <w:color w:val="FF0000"/>
                      <w:sz w:val="21"/>
                      <w:szCs w:val="21"/>
                      <w:highlight w:val="green"/>
                      <w:lang w:val="en-US" w:eastAsia="zh-CN"/>
                    </w:rPr>
                    <w:t>19.5</w:t>
                  </w:r>
                </w:p>
              </w:tc>
              <w:tc>
                <w:tcPr>
                  <w:tcW w:w="711" w:type="dxa"/>
                  <w:tcBorders>
                    <w:top w:val="single" w:color="auto" w:sz="4" w:space="0"/>
                    <w:left w:val="single" w:color="000000" w:sz="4" w:space="0"/>
                    <w:bottom w:val="single" w:color="auto" w:sz="4" w:space="0"/>
                    <w:right w:val="single" w:color="auto" w:sz="4" w:space="0"/>
                  </w:tcBorders>
                  <w:vAlign w:val="center"/>
                </w:tcPr>
                <w:p w14:paraId="7C635DBF">
                  <w:pPr>
                    <w:jc w:val="center"/>
                    <w:rPr>
                      <w:rFonts w:hint="default"/>
                      <w:color w:val="FF0000"/>
                      <w:sz w:val="21"/>
                      <w:szCs w:val="21"/>
                      <w:highlight w:val="green"/>
                      <w:lang w:val="en-US" w:eastAsia="zh-CN"/>
                    </w:rPr>
                  </w:pPr>
                  <w:r>
                    <w:rPr>
                      <w:rFonts w:hint="eastAsia"/>
                      <w:color w:val="FF0000"/>
                      <w:sz w:val="21"/>
                      <w:szCs w:val="21"/>
                      <w:highlight w:val="green"/>
                      <w:lang w:val="en-US" w:eastAsia="zh-CN"/>
                    </w:rPr>
                    <w:t>14.0</w:t>
                  </w:r>
                </w:p>
              </w:tc>
              <w:tc>
                <w:tcPr>
                  <w:tcW w:w="711" w:type="dxa"/>
                  <w:tcBorders>
                    <w:top w:val="single" w:color="auto" w:sz="4" w:space="0"/>
                    <w:left w:val="single" w:color="auto" w:sz="4" w:space="0"/>
                    <w:bottom w:val="single" w:color="auto" w:sz="4" w:space="0"/>
                    <w:right w:val="single" w:color="000000" w:sz="4" w:space="0"/>
                  </w:tcBorders>
                  <w:vAlign w:val="center"/>
                </w:tcPr>
                <w:p w14:paraId="1C3CA298">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color w:val="000000" w:themeColor="text1"/>
                      <w:sz w:val="21"/>
                      <w:szCs w:val="21"/>
                      <w:highlight w:val="green"/>
                      <w:lang w:val="en-US" w:eastAsia="zh-CN"/>
                      <w14:textFill>
                        <w14:solidFill>
                          <w14:schemeClr w14:val="tx1"/>
                        </w14:solidFill>
                      </w14:textFill>
                    </w:rPr>
                  </w:pPr>
                  <w:r>
                    <w:rPr>
                      <w:rFonts w:hint="eastAsia"/>
                      <w:color w:val="FF0000"/>
                      <w:sz w:val="21"/>
                      <w:szCs w:val="21"/>
                      <w:highlight w:val="green"/>
                      <w:lang w:val="en-US" w:eastAsia="zh-CN"/>
                    </w:rPr>
                    <w:t>50.1</w:t>
                  </w:r>
                </w:p>
              </w:tc>
              <w:tc>
                <w:tcPr>
                  <w:tcW w:w="718" w:type="dxa"/>
                  <w:tcBorders>
                    <w:top w:val="single" w:color="auto" w:sz="4" w:space="0"/>
                    <w:left w:val="single" w:color="000000" w:sz="4" w:space="0"/>
                    <w:bottom w:val="single" w:color="auto" w:sz="4" w:space="0"/>
                    <w:right w:val="single" w:color="000000" w:sz="4" w:space="0"/>
                  </w:tcBorders>
                  <w:vAlign w:val="center"/>
                </w:tcPr>
                <w:p w14:paraId="15C941AC">
                  <w:pPr>
                    <w:jc w:val="center"/>
                    <w:rPr>
                      <w:rFonts w:hint="default"/>
                      <w:color w:val="FF0000"/>
                      <w:sz w:val="21"/>
                      <w:szCs w:val="21"/>
                      <w:highlight w:val="green"/>
                      <w:lang w:val="en-US" w:eastAsia="zh-CN"/>
                    </w:rPr>
                  </w:pPr>
                  <w:r>
                    <w:rPr>
                      <w:rFonts w:hint="eastAsia"/>
                      <w:color w:val="FF0000"/>
                      <w:sz w:val="21"/>
                      <w:szCs w:val="21"/>
                      <w:highlight w:val="green"/>
                      <w:lang w:val="en-US" w:eastAsia="zh-CN"/>
                    </w:rPr>
                    <w:t>41.1</w:t>
                  </w:r>
                </w:p>
              </w:tc>
              <w:tc>
                <w:tcPr>
                  <w:tcW w:w="713" w:type="dxa"/>
                  <w:tcBorders>
                    <w:top w:val="single" w:color="auto" w:sz="4" w:space="0"/>
                    <w:left w:val="single" w:color="000000" w:sz="4" w:space="0"/>
                    <w:bottom w:val="single" w:color="auto" w:sz="4" w:space="0"/>
                    <w:right w:val="nil"/>
                  </w:tcBorders>
                  <w:vAlign w:val="center"/>
                </w:tcPr>
                <w:p w14:paraId="412EEFF0">
                  <w:pPr>
                    <w:jc w:val="center"/>
                    <w:rPr>
                      <w:color w:val="FF0000"/>
                      <w:sz w:val="21"/>
                      <w:szCs w:val="21"/>
                      <w:highlight w:val="green"/>
                    </w:rPr>
                  </w:pPr>
                  <w:r>
                    <w:rPr>
                      <w:color w:val="FF0000"/>
                      <w:sz w:val="21"/>
                      <w:szCs w:val="21"/>
                      <w:highlight w:val="green"/>
                    </w:rPr>
                    <w:t>达标</w:t>
                  </w:r>
                </w:p>
              </w:tc>
            </w:tr>
            <w:tr w14:paraId="64408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Borders>
                    <w:top w:val="single" w:color="auto" w:sz="4" w:space="0"/>
                    <w:left w:val="nil"/>
                    <w:bottom w:val="single" w:color="auto" w:sz="4" w:space="0"/>
                    <w:right w:val="single" w:color="auto" w:sz="4" w:space="0"/>
                  </w:tcBorders>
                  <w:vAlign w:val="center"/>
                </w:tcPr>
                <w:p w14:paraId="70F4244E">
                  <w:pPr>
                    <w:spacing w:line="240" w:lineRule="auto"/>
                    <w:ind w:left="0" w:leftChars="0" w:right="0" w:rightChars="0" w:firstLine="0" w:firstLineChars="0"/>
                    <w:jc w:val="center"/>
                    <w:rPr>
                      <w:rFonts w:hint="eastAsia"/>
                      <w:color w:val="FF0000"/>
                      <w:sz w:val="21"/>
                      <w:szCs w:val="21"/>
                      <w:highlight w:val="red"/>
                      <w:lang w:val="en-US" w:eastAsia="zh-CN"/>
                    </w:rPr>
                  </w:pPr>
                  <w:r>
                    <w:rPr>
                      <w:rFonts w:hint="eastAsia" w:ascii="Times New Roman" w:hAnsi="Times New Roman" w:eastAsia="宋体" w:cs="Times New Roman"/>
                      <w:color w:val="FF0000"/>
                      <w:sz w:val="21"/>
                      <w:szCs w:val="21"/>
                      <w:highlight w:val="none"/>
                      <w:lang w:val="en-US" w:eastAsia="zh-CN"/>
                    </w:rPr>
                    <w:t>站南小区4号楼</w:t>
                  </w:r>
                  <w:r>
                    <w:rPr>
                      <w:rFonts w:hint="eastAsia" w:cs="Times New Roman"/>
                      <w:color w:val="FF0000"/>
                      <w:sz w:val="21"/>
                      <w:szCs w:val="21"/>
                      <w:highlight w:val="none"/>
                      <w:lang w:val="en-US" w:eastAsia="zh-CN"/>
                    </w:rPr>
                    <w:t>13</w:t>
                  </w:r>
                  <w:r>
                    <w:rPr>
                      <w:rFonts w:hint="eastAsia" w:ascii="Times New Roman" w:hAnsi="Times New Roman" w:eastAsia="宋体" w:cs="Times New Roman"/>
                      <w:color w:val="FF0000"/>
                      <w:sz w:val="21"/>
                      <w:szCs w:val="21"/>
                      <w:highlight w:val="none"/>
                      <w:lang w:val="en-US" w:eastAsia="zh-CN"/>
                    </w:rPr>
                    <w:t>层</w:t>
                  </w:r>
                </w:p>
              </w:tc>
              <w:tc>
                <w:tcPr>
                  <w:tcW w:w="711" w:type="dxa"/>
                  <w:tcBorders>
                    <w:top w:val="single" w:color="auto" w:sz="4" w:space="0"/>
                    <w:left w:val="single" w:color="auto" w:sz="4" w:space="0"/>
                    <w:bottom w:val="single" w:color="auto" w:sz="4" w:space="0"/>
                    <w:right w:val="single" w:color="auto" w:sz="4" w:space="0"/>
                  </w:tcBorders>
                  <w:shd w:val="clear" w:color="auto" w:fill="auto"/>
                  <w:vAlign w:val="center"/>
                </w:tcPr>
                <w:p w14:paraId="164ADD70">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color w:val="FF0000"/>
                      <w:sz w:val="21"/>
                      <w:szCs w:val="21"/>
                      <w:highlight w:val="red"/>
                      <w:lang w:val="en-US" w:eastAsia="zh-CN"/>
                    </w:rPr>
                  </w:pPr>
                  <w:r>
                    <w:rPr>
                      <w:rFonts w:hint="eastAsia" w:eastAsia="黑体" w:cs="Times New Roman"/>
                      <w:i w:val="0"/>
                      <w:color w:val="FF0000"/>
                      <w:kern w:val="0"/>
                      <w:sz w:val="21"/>
                      <w:szCs w:val="21"/>
                      <w:highlight w:val="none"/>
                      <w:u w:val="none"/>
                      <w:lang w:val="en-US" w:eastAsia="zh-CN" w:bidi="ar-SA"/>
                    </w:rPr>
                    <w:t>48.1</w:t>
                  </w:r>
                </w:p>
              </w:tc>
              <w:tc>
                <w:tcPr>
                  <w:tcW w:w="711" w:type="dxa"/>
                  <w:tcBorders>
                    <w:top w:val="single" w:color="auto" w:sz="4" w:space="0"/>
                    <w:left w:val="single" w:color="auto" w:sz="4" w:space="0"/>
                    <w:bottom w:val="single" w:color="auto" w:sz="4" w:space="0"/>
                    <w:right w:val="single" w:color="auto" w:sz="4" w:space="0"/>
                  </w:tcBorders>
                  <w:shd w:val="clear" w:color="auto" w:fill="auto"/>
                  <w:vAlign w:val="center"/>
                </w:tcPr>
                <w:p w14:paraId="1BFD6CE7">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color w:val="FF0000"/>
                      <w:sz w:val="21"/>
                      <w:szCs w:val="21"/>
                      <w:highlight w:val="red"/>
                      <w:lang w:val="en-US" w:eastAsia="zh-CN"/>
                    </w:rPr>
                  </w:pPr>
                  <w:r>
                    <w:rPr>
                      <w:rFonts w:hint="eastAsia" w:eastAsia="黑体" w:cs="Times New Roman"/>
                      <w:color w:val="FF0000"/>
                      <w:kern w:val="2"/>
                      <w:sz w:val="21"/>
                      <w:szCs w:val="21"/>
                      <w:highlight w:val="none"/>
                      <w:lang w:val="en-US" w:eastAsia="zh-CN" w:bidi="ar-SA"/>
                    </w:rPr>
                    <w:t>42.3</w:t>
                  </w:r>
                </w:p>
              </w:tc>
              <w:tc>
                <w:tcPr>
                  <w:tcW w:w="711" w:type="dxa"/>
                  <w:tcBorders>
                    <w:top w:val="single" w:color="auto" w:sz="4" w:space="0"/>
                    <w:left w:val="single" w:color="auto" w:sz="4" w:space="0"/>
                    <w:bottom w:val="single" w:color="auto" w:sz="4" w:space="0"/>
                    <w:right w:val="single" w:color="000000" w:sz="4" w:space="0"/>
                  </w:tcBorders>
                  <w:vAlign w:val="center"/>
                </w:tcPr>
                <w:p w14:paraId="2F63046F">
                  <w:pPr>
                    <w:jc w:val="center"/>
                    <w:rPr>
                      <w:rFonts w:hint="eastAsia"/>
                      <w:color w:val="FF0000"/>
                      <w:sz w:val="21"/>
                      <w:szCs w:val="21"/>
                      <w:highlight w:val="none"/>
                      <w:lang w:val="en-US" w:eastAsia="zh-CN"/>
                    </w:rPr>
                  </w:pPr>
                  <w:r>
                    <w:rPr>
                      <w:rFonts w:hint="eastAsia"/>
                      <w:color w:val="FF0000"/>
                      <w:sz w:val="21"/>
                      <w:szCs w:val="21"/>
                      <w:highlight w:val="none"/>
                      <w:lang w:val="en-US" w:eastAsia="zh-CN"/>
                    </w:rPr>
                    <w:t>60</w:t>
                  </w:r>
                </w:p>
              </w:tc>
              <w:tc>
                <w:tcPr>
                  <w:tcW w:w="711" w:type="dxa"/>
                  <w:tcBorders>
                    <w:top w:val="single" w:color="auto" w:sz="4" w:space="0"/>
                    <w:left w:val="single" w:color="000000" w:sz="4" w:space="0"/>
                    <w:bottom w:val="single" w:color="auto" w:sz="4" w:space="0"/>
                    <w:right w:val="single" w:color="000000" w:sz="4" w:space="0"/>
                  </w:tcBorders>
                  <w:vAlign w:val="center"/>
                </w:tcPr>
                <w:p w14:paraId="42ABFE11">
                  <w:pPr>
                    <w:jc w:val="center"/>
                    <w:rPr>
                      <w:rFonts w:hint="eastAsia"/>
                      <w:color w:val="FF0000"/>
                      <w:sz w:val="21"/>
                      <w:szCs w:val="21"/>
                      <w:highlight w:val="none"/>
                      <w:lang w:val="en-US" w:eastAsia="zh-CN"/>
                    </w:rPr>
                  </w:pPr>
                  <w:r>
                    <w:rPr>
                      <w:rFonts w:hint="eastAsia"/>
                      <w:color w:val="FF0000"/>
                      <w:sz w:val="21"/>
                      <w:szCs w:val="21"/>
                      <w:highlight w:val="none"/>
                      <w:lang w:val="en-US" w:eastAsia="zh-CN"/>
                    </w:rPr>
                    <w:t>50</w:t>
                  </w:r>
                </w:p>
              </w:tc>
              <w:tc>
                <w:tcPr>
                  <w:tcW w:w="711" w:type="dxa"/>
                  <w:tcBorders>
                    <w:top w:val="single" w:color="auto" w:sz="4" w:space="0"/>
                    <w:left w:val="single" w:color="000000" w:sz="4" w:space="0"/>
                    <w:bottom w:val="single" w:color="auto" w:sz="4" w:space="0"/>
                    <w:right w:val="single" w:color="000000" w:sz="4" w:space="0"/>
                  </w:tcBorders>
                  <w:vAlign w:val="center"/>
                </w:tcPr>
                <w:p w14:paraId="57474C66">
                  <w:pPr>
                    <w:jc w:val="center"/>
                    <w:rPr>
                      <w:rFonts w:hint="default"/>
                      <w:color w:val="FF0000"/>
                      <w:sz w:val="21"/>
                      <w:szCs w:val="21"/>
                      <w:highlight w:val="green"/>
                      <w:lang w:val="en-US" w:eastAsia="zh-CN"/>
                    </w:rPr>
                  </w:pPr>
                  <w:r>
                    <w:rPr>
                      <w:rFonts w:hint="eastAsia"/>
                      <w:color w:val="FF0000"/>
                      <w:sz w:val="21"/>
                      <w:szCs w:val="21"/>
                      <w:highlight w:val="green"/>
                      <w:lang w:val="en-US" w:eastAsia="zh-CN"/>
                    </w:rPr>
                    <w:t>19.7</w:t>
                  </w:r>
                </w:p>
              </w:tc>
              <w:tc>
                <w:tcPr>
                  <w:tcW w:w="711" w:type="dxa"/>
                  <w:tcBorders>
                    <w:top w:val="single" w:color="auto" w:sz="4" w:space="0"/>
                    <w:left w:val="single" w:color="000000" w:sz="4" w:space="0"/>
                    <w:bottom w:val="single" w:color="auto" w:sz="4" w:space="0"/>
                    <w:right w:val="single" w:color="auto" w:sz="4" w:space="0"/>
                  </w:tcBorders>
                  <w:vAlign w:val="center"/>
                </w:tcPr>
                <w:p w14:paraId="705F72FA">
                  <w:pPr>
                    <w:jc w:val="center"/>
                    <w:rPr>
                      <w:rFonts w:hint="eastAsia"/>
                      <w:color w:val="FF0000"/>
                      <w:sz w:val="21"/>
                      <w:szCs w:val="21"/>
                      <w:highlight w:val="green"/>
                      <w:lang w:val="en-US" w:eastAsia="zh-CN"/>
                    </w:rPr>
                  </w:pPr>
                  <w:r>
                    <w:rPr>
                      <w:rFonts w:hint="eastAsia"/>
                      <w:color w:val="FF0000"/>
                      <w:sz w:val="21"/>
                      <w:szCs w:val="21"/>
                      <w:highlight w:val="green"/>
                      <w:lang w:val="en-US" w:eastAsia="zh-CN"/>
                    </w:rPr>
                    <w:t>14.3</w:t>
                  </w:r>
                </w:p>
              </w:tc>
              <w:tc>
                <w:tcPr>
                  <w:tcW w:w="711" w:type="dxa"/>
                  <w:tcBorders>
                    <w:top w:val="single" w:color="auto" w:sz="4" w:space="0"/>
                    <w:left w:val="single" w:color="auto" w:sz="4" w:space="0"/>
                    <w:bottom w:val="single" w:color="auto" w:sz="4" w:space="0"/>
                    <w:right w:val="single" w:color="000000" w:sz="4" w:space="0"/>
                  </w:tcBorders>
                  <w:vAlign w:val="center"/>
                </w:tcPr>
                <w:p w14:paraId="6DBAD3D2">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color w:val="FF0000"/>
                      <w:sz w:val="21"/>
                      <w:szCs w:val="21"/>
                      <w:highlight w:val="green"/>
                      <w:lang w:val="en-US" w:eastAsia="zh-CN"/>
                    </w:rPr>
                  </w:pPr>
                  <w:r>
                    <w:rPr>
                      <w:rFonts w:hint="eastAsia"/>
                      <w:color w:val="FF0000"/>
                      <w:sz w:val="21"/>
                      <w:szCs w:val="21"/>
                      <w:highlight w:val="green"/>
                      <w:lang w:val="en-US" w:eastAsia="zh-CN"/>
                    </w:rPr>
                    <w:t>48.1</w:t>
                  </w:r>
                </w:p>
              </w:tc>
              <w:tc>
                <w:tcPr>
                  <w:tcW w:w="718" w:type="dxa"/>
                  <w:tcBorders>
                    <w:top w:val="single" w:color="auto" w:sz="4" w:space="0"/>
                    <w:left w:val="single" w:color="000000" w:sz="4" w:space="0"/>
                    <w:bottom w:val="single" w:color="auto" w:sz="4" w:space="0"/>
                    <w:right w:val="single" w:color="000000" w:sz="4" w:space="0"/>
                  </w:tcBorders>
                  <w:vAlign w:val="center"/>
                </w:tcPr>
                <w:p w14:paraId="1844D003">
                  <w:pPr>
                    <w:jc w:val="center"/>
                    <w:rPr>
                      <w:rFonts w:hint="default"/>
                      <w:color w:val="FF0000"/>
                      <w:sz w:val="21"/>
                      <w:szCs w:val="21"/>
                      <w:highlight w:val="green"/>
                      <w:lang w:val="en-US" w:eastAsia="zh-CN"/>
                    </w:rPr>
                  </w:pPr>
                  <w:r>
                    <w:rPr>
                      <w:rFonts w:hint="eastAsia"/>
                      <w:color w:val="FF0000"/>
                      <w:sz w:val="21"/>
                      <w:szCs w:val="21"/>
                      <w:highlight w:val="green"/>
                      <w:lang w:val="en-US" w:eastAsia="zh-CN"/>
                    </w:rPr>
                    <w:t>42.3</w:t>
                  </w:r>
                </w:p>
              </w:tc>
              <w:tc>
                <w:tcPr>
                  <w:tcW w:w="713" w:type="dxa"/>
                  <w:tcBorders>
                    <w:top w:val="single" w:color="auto" w:sz="4" w:space="0"/>
                    <w:left w:val="single" w:color="000000" w:sz="4" w:space="0"/>
                    <w:bottom w:val="single" w:color="auto" w:sz="4" w:space="0"/>
                    <w:right w:val="nil"/>
                  </w:tcBorders>
                  <w:vAlign w:val="center"/>
                </w:tcPr>
                <w:p w14:paraId="4B6DEE61">
                  <w:pPr>
                    <w:jc w:val="center"/>
                    <w:rPr>
                      <w:color w:val="FF0000"/>
                      <w:sz w:val="21"/>
                      <w:szCs w:val="21"/>
                      <w:highlight w:val="green"/>
                    </w:rPr>
                  </w:pPr>
                  <w:r>
                    <w:rPr>
                      <w:color w:val="FF0000"/>
                      <w:sz w:val="21"/>
                      <w:szCs w:val="21"/>
                      <w:highlight w:val="green"/>
                    </w:rPr>
                    <w:t>达标</w:t>
                  </w:r>
                </w:p>
              </w:tc>
            </w:tr>
            <w:tr w14:paraId="5AC9F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Borders>
                    <w:top w:val="single" w:color="auto" w:sz="4" w:space="0"/>
                    <w:left w:val="nil"/>
                    <w:bottom w:val="single" w:color="auto" w:sz="12" w:space="0"/>
                    <w:right w:val="single" w:color="auto" w:sz="4" w:space="0"/>
                  </w:tcBorders>
                  <w:vAlign w:val="center"/>
                </w:tcPr>
                <w:p w14:paraId="12B8F3DB">
                  <w:pPr>
                    <w:spacing w:line="240" w:lineRule="auto"/>
                    <w:ind w:left="0" w:leftChars="0" w:right="0" w:rightChars="0" w:firstLine="0" w:firstLineChars="0"/>
                    <w:jc w:val="center"/>
                    <w:rPr>
                      <w:rFonts w:hint="default"/>
                      <w:color w:val="FF0000"/>
                      <w:sz w:val="21"/>
                      <w:szCs w:val="21"/>
                      <w:highlight w:val="red"/>
                      <w:lang w:val="en-US" w:eastAsia="zh-CN"/>
                    </w:rPr>
                  </w:pPr>
                  <w:r>
                    <w:rPr>
                      <w:rFonts w:hint="eastAsia" w:ascii="Times New Roman" w:hAnsi="Times New Roman" w:eastAsia="宋体" w:cs="Times New Roman"/>
                      <w:color w:val="FF0000"/>
                      <w:sz w:val="21"/>
                      <w:szCs w:val="21"/>
                      <w:highlight w:val="none"/>
                      <w:lang w:val="en-US" w:eastAsia="zh-CN"/>
                    </w:rPr>
                    <w:t>站南小区4号楼</w:t>
                  </w:r>
                  <w:r>
                    <w:rPr>
                      <w:rFonts w:hint="eastAsia" w:cs="Times New Roman"/>
                      <w:color w:val="FF0000"/>
                      <w:sz w:val="21"/>
                      <w:szCs w:val="21"/>
                      <w:highlight w:val="none"/>
                      <w:lang w:val="en-US" w:eastAsia="zh-CN"/>
                    </w:rPr>
                    <w:t>17</w:t>
                  </w:r>
                  <w:r>
                    <w:rPr>
                      <w:rFonts w:hint="eastAsia" w:ascii="Times New Roman" w:hAnsi="Times New Roman" w:eastAsia="宋体" w:cs="Times New Roman"/>
                      <w:color w:val="FF0000"/>
                      <w:sz w:val="21"/>
                      <w:szCs w:val="21"/>
                      <w:highlight w:val="none"/>
                      <w:lang w:val="en-US" w:eastAsia="zh-CN"/>
                    </w:rPr>
                    <w:t>层</w:t>
                  </w:r>
                </w:p>
              </w:tc>
              <w:tc>
                <w:tcPr>
                  <w:tcW w:w="711" w:type="dxa"/>
                  <w:tcBorders>
                    <w:top w:val="single" w:color="auto" w:sz="4" w:space="0"/>
                    <w:left w:val="single" w:color="auto" w:sz="4" w:space="0"/>
                    <w:bottom w:val="single" w:color="auto" w:sz="12" w:space="0"/>
                    <w:right w:val="single" w:color="auto" w:sz="4" w:space="0"/>
                  </w:tcBorders>
                  <w:shd w:val="clear" w:color="auto" w:fill="auto"/>
                  <w:vAlign w:val="center"/>
                </w:tcPr>
                <w:p w14:paraId="0822515B">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FF0000"/>
                      <w:kern w:val="2"/>
                      <w:sz w:val="21"/>
                      <w:szCs w:val="21"/>
                      <w:highlight w:val="red"/>
                      <w:lang w:val="en-US" w:eastAsia="zh-CN" w:bidi="ar-SA"/>
                    </w:rPr>
                  </w:pPr>
                  <w:r>
                    <w:rPr>
                      <w:rFonts w:hint="eastAsia" w:eastAsia="黑体" w:cs="Times New Roman"/>
                      <w:i w:val="0"/>
                      <w:color w:val="FF0000"/>
                      <w:kern w:val="0"/>
                      <w:sz w:val="21"/>
                      <w:szCs w:val="21"/>
                      <w:highlight w:val="none"/>
                      <w:u w:val="none"/>
                      <w:lang w:val="en-US" w:eastAsia="zh-CN" w:bidi="ar-SA"/>
                    </w:rPr>
                    <w:t>49.0</w:t>
                  </w:r>
                </w:p>
              </w:tc>
              <w:tc>
                <w:tcPr>
                  <w:tcW w:w="711" w:type="dxa"/>
                  <w:tcBorders>
                    <w:top w:val="single" w:color="auto" w:sz="4" w:space="0"/>
                    <w:left w:val="single" w:color="auto" w:sz="4" w:space="0"/>
                    <w:bottom w:val="single" w:color="auto" w:sz="12" w:space="0"/>
                    <w:right w:val="single" w:color="auto" w:sz="4" w:space="0"/>
                  </w:tcBorders>
                  <w:shd w:val="clear" w:color="auto" w:fill="auto"/>
                  <w:vAlign w:val="center"/>
                </w:tcPr>
                <w:p w14:paraId="0D2022A7">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FF0000"/>
                      <w:kern w:val="2"/>
                      <w:sz w:val="21"/>
                      <w:szCs w:val="21"/>
                      <w:highlight w:val="red"/>
                      <w:lang w:val="en-US" w:eastAsia="zh-CN" w:bidi="ar-SA"/>
                    </w:rPr>
                  </w:pPr>
                  <w:r>
                    <w:rPr>
                      <w:rFonts w:hint="eastAsia" w:eastAsia="黑体" w:cs="Times New Roman"/>
                      <w:color w:val="FF0000"/>
                      <w:kern w:val="2"/>
                      <w:sz w:val="21"/>
                      <w:szCs w:val="21"/>
                      <w:highlight w:val="none"/>
                      <w:lang w:val="en-US" w:eastAsia="zh-CN" w:bidi="ar-SA"/>
                    </w:rPr>
                    <w:t>43.0</w:t>
                  </w:r>
                </w:p>
              </w:tc>
              <w:tc>
                <w:tcPr>
                  <w:tcW w:w="711" w:type="dxa"/>
                  <w:tcBorders>
                    <w:top w:val="single" w:color="auto" w:sz="4" w:space="0"/>
                    <w:left w:val="single" w:color="auto" w:sz="4" w:space="0"/>
                    <w:bottom w:val="single" w:color="auto" w:sz="12" w:space="0"/>
                    <w:right w:val="single" w:color="000000" w:sz="4" w:space="0"/>
                  </w:tcBorders>
                  <w:vAlign w:val="center"/>
                </w:tcPr>
                <w:p w14:paraId="0A443156">
                  <w:pPr>
                    <w:jc w:val="center"/>
                    <w:rPr>
                      <w:color w:val="FF0000"/>
                      <w:sz w:val="21"/>
                      <w:szCs w:val="21"/>
                      <w:highlight w:val="none"/>
                    </w:rPr>
                  </w:pPr>
                  <w:r>
                    <w:rPr>
                      <w:rFonts w:hint="eastAsia"/>
                      <w:color w:val="FF0000"/>
                      <w:sz w:val="21"/>
                      <w:szCs w:val="21"/>
                      <w:highlight w:val="none"/>
                      <w:lang w:val="en-US" w:eastAsia="zh-CN"/>
                    </w:rPr>
                    <w:t>60</w:t>
                  </w:r>
                </w:p>
              </w:tc>
              <w:tc>
                <w:tcPr>
                  <w:tcW w:w="711" w:type="dxa"/>
                  <w:tcBorders>
                    <w:top w:val="single" w:color="auto" w:sz="4" w:space="0"/>
                    <w:left w:val="single" w:color="000000" w:sz="4" w:space="0"/>
                    <w:bottom w:val="single" w:color="auto" w:sz="12" w:space="0"/>
                    <w:right w:val="single" w:color="000000" w:sz="4" w:space="0"/>
                  </w:tcBorders>
                  <w:vAlign w:val="center"/>
                </w:tcPr>
                <w:p w14:paraId="77DBBB57">
                  <w:pPr>
                    <w:jc w:val="center"/>
                    <w:rPr>
                      <w:color w:val="FF0000"/>
                      <w:sz w:val="21"/>
                      <w:szCs w:val="21"/>
                      <w:highlight w:val="none"/>
                    </w:rPr>
                  </w:pPr>
                  <w:r>
                    <w:rPr>
                      <w:rFonts w:hint="eastAsia"/>
                      <w:color w:val="FF0000"/>
                      <w:sz w:val="21"/>
                      <w:szCs w:val="21"/>
                      <w:highlight w:val="none"/>
                      <w:lang w:val="en-US" w:eastAsia="zh-CN"/>
                    </w:rPr>
                    <w:t>50</w:t>
                  </w:r>
                </w:p>
              </w:tc>
              <w:tc>
                <w:tcPr>
                  <w:tcW w:w="711" w:type="dxa"/>
                  <w:tcBorders>
                    <w:top w:val="single" w:color="auto" w:sz="4" w:space="0"/>
                    <w:left w:val="single" w:color="000000" w:sz="4" w:space="0"/>
                    <w:bottom w:val="single" w:color="auto" w:sz="12" w:space="0"/>
                    <w:right w:val="single" w:color="000000" w:sz="4" w:space="0"/>
                  </w:tcBorders>
                  <w:vAlign w:val="center"/>
                </w:tcPr>
                <w:p w14:paraId="0F562DBB">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20.1</w:t>
                  </w:r>
                </w:p>
              </w:tc>
              <w:tc>
                <w:tcPr>
                  <w:tcW w:w="711" w:type="dxa"/>
                  <w:tcBorders>
                    <w:top w:val="single" w:color="auto" w:sz="4" w:space="0"/>
                    <w:left w:val="single" w:color="000000" w:sz="4" w:space="0"/>
                    <w:bottom w:val="single" w:color="auto" w:sz="12" w:space="0"/>
                    <w:right w:val="single" w:color="auto" w:sz="4" w:space="0"/>
                  </w:tcBorders>
                  <w:vAlign w:val="center"/>
                </w:tcPr>
                <w:p w14:paraId="78FADCEE">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14.6</w:t>
                  </w:r>
                </w:p>
              </w:tc>
              <w:tc>
                <w:tcPr>
                  <w:tcW w:w="711" w:type="dxa"/>
                  <w:tcBorders>
                    <w:top w:val="single" w:color="auto" w:sz="4" w:space="0"/>
                    <w:left w:val="single" w:color="auto" w:sz="4" w:space="0"/>
                    <w:bottom w:val="single" w:color="auto" w:sz="12" w:space="0"/>
                    <w:right w:val="single" w:color="000000" w:sz="4" w:space="0"/>
                  </w:tcBorders>
                  <w:vAlign w:val="center"/>
                </w:tcPr>
                <w:p w14:paraId="0D11A05E">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49.0</w:t>
                  </w:r>
                </w:p>
              </w:tc>
              <w:tc>
                <w:tcPr>
                  <w:tcW w:w="718" w:type="dxa"/>
                  <w:tcBorders>
                    <w:top w:val="single" w:color="auto" w:sz="4" w:space="0"/>
                    <w:left w:val="single" w:color="000000" w:sz="4" w:space="0"/>
                    <w:bottom w:val="single" w:color="auto" w:sz="12" w:space="0"/>
                    <w:right w:val="single" w:color="000000" w:sz="4" w:space="0"/>
                  </w:tcBorders>
                  <w:vAlign w:val="center"/>
                </w:tcPr>
                <w:p w14:paraId="69D43A1B">
                  <w:pPr>
                    <w:jc w:val="center"/>
                    <w:rPr>
                      <w:rFonts w:hint="default" w:eastAsia="宋体"/>
                      <w:color w:val="FF0000"/>
                      <w:sz w:val="21"/>
                      <w:szCs w:val="21"/>
                      <w:highlight w:val="green"/>
                      <w:lang w:val="en-US" w:eastAsia="zh-CN"/>
                    </w:rPr>
                  </w:pPr>
                  <w:r>
                    <w:rPr>
                      <w:rFonts w:hint="eastAsia"/>
                      <w:color w:val="FF0000"/>
                      <w:sz w:val="21"/>
                      <w:szCs w:val="21"/>
                      <w:highlight w:val="green"/>
                      <w:lang w:val="en-US" w:eastAsia="zh-CN"/>
                    </w:rPr>
                    <w:t>43.0</w:t>
                  </w:r>
                </w:p>
              </w:tc>
              <w:tc>
                <w:tcPr>
                  <w:tcW w:w="713" w:type="dxa"/>
                  <w:tcBorders>
                    <w:top w:val="single" w:color="auto" w:sz="4" w:space="0"/>
                    <w:left w:val="single" w:color="000000" w:sz="4" w:space="0"/>
                    <w:bottom w:val="single" w:color="auto" w:sz="12" w:space="0"/>
                    <w:right w:val="nil"/>
                  </w:tcBorders>
                  <w:vAlign w:val="center"/>
                </w:tcPr>
                <w:p w14:paraId="654003FF">
                  <w:pPr>
                    <w:jc w:val="center"/>
                    <w:rPr>
                      <w:color w:val="FF0000"/>
                      <w:sz w:val="21"/>
                      <w:szCs w:val="21"/>
                      <w:highlight w:val="green"/>
                    </w:rPr>
                  </w:pPr>
                  <w:r>
                    <w:rPr>
                      <w:color w:val="FF0000"/>
                      <w:sz w:val="21"/>
                      <w:szCs w:val="21"/>
                      <w:highlight w:val="green"/>
                    </w:rPr>
                    <w:t>达标</w:t>
                  </w:r>
                </w:p>
              </w:tc>
            </w:tr>
          </w:tbl>
          <w:p w14:paraId="7213F29D">
            <w:pPr>
              <w:pStyle w:val="77"/>
              <w:spacing w:line="360" w:lineRule="auto"/>
              <w:ind w:firstLine="480" w:firstLineChars="200"/>
              <w:textAlignment w:val="center"/>
              <w:rPr>
                <w:bCs/>
                <w:color w:val="000000" w:themeColor="text1"/>
                <w:sz w:val="24"/>
                <w:szCs w:val="24"/>
                <w:highlight w:val="none"/>
                <w14:textFill>
                  <w14:solidFill>
                    <w14:schemeClr w14:val="tx1"/>
                  </w14:solidFill>
                </w14:textFill>
              </w:rPr>
            </w:pPr>
            <w:r>
              <w:rPr>
                <w:bCs/>
                <w:color w:val="000000" w:themeColor="text1"/>
                <w:sz w:val="24"/>
                <w:szCs w:val="24"/>
                <w:highlight w:val="none"/>
                <w14:textFill>
                  <w14:solidFill>
                    <w14:schemeClr w14:val="tx1"/>
                  </w14:solidFill>
                </w14:textFill>
              </w:rPr>
              <w:t>由预测结果可知，运营期噪声对厂界的噪声</w:t>
            </w:r>
            <w:r>
              <w:rPr>
                <w:rFonts w:hint="eastAsia"/>
                <w:bCs/>
                <w:color w:val="000000" w:themeColor="text1"/>
                <w:sz w:val="24"/>
                <w:szCs w:val="24"/>
                <w:highlight w:val="none"/>
                <w:lang w:val="en-US" w:eastAsia="zh-CN"/>
                <w14:textFill>
                  <w14:solidFill>
                    <w14:schemeClr w14:val="tx1"/>
                  </w14:solidFill>
                </w14:textFill>
              </w:rPr>
              <w:t>预测</w:t>
            </w:r>
            <w:r>
              <w:rPr>
                <w:bCs/>
                <w:color w:val="000000" w:themeColor="text1"/>
                <w:sz w:val="24"/>
                <w:szCs w:val="24"/>
                <w:highlight w:val="none"/>
                <w14:textFill>
                  <w14:solidFill>
                    <w14:schemeClr w14:val="tx1"/>
                  </w14:solidFill>
                </w14:textFill>
              </w:rPr>
              <w:t>值能满足《工业企业厂界环境噪声排放标准》（GB12348-2008）</w:t>
            </w:r>
            <w:r>
              <w:rPr>
                <w:rFonts w:hint="eastAsia"/>
                <w:bCs/>
                <w:color w:val="000000" w:themeColor="text1"/>
                <w:sz w:val="24"/>
                <w:szCs w:val="24"/>
                <w:highlight w:val="none"/>
                <w:lang w:val="en-US" w:eastAsia="zh-CN"/>
                <w14:textFill>
                  <w14:solidFill>
                    <w14:schemeClr w14:val="tx1"/>
                  </w14:solidFill>
                </w14:textFill>
              </w:rPr>
              <w:t>3</w:t>
            </w:r>
            <w:r>
              <w:rPr>
                <w:bCs/>
                <w:color w:val="000000" w:themeColor="text1"/>
                <w:sz w:val="24"/>
                <w:szCs w:val="24"/>
                <w:highlight w:val="none"/>
                <w14:textFill>
                  <w14:solidFill>
                    <w14:schemeClr w14:val="tx1"/>
                  </w14:solidFill>
                </w14:textFill>
              </w:rPr>
              <w:t>类标准要求，</w:t>
            </w:r>
            <w:r>
              <w:rPr>
                <w:rFonts w:hint="eastAsia"/>
                <w:bCs/>
                <w:color w:val="000000" w:themeColor="text1"/>
                <w:sz w:val="24"/>
                <w:szCs w:val="24"/>
                <w:highlight w:val="none"/>
                <w:lang w:val="en-US" w:eastAsia="zh-CN"/>
                <w14:textFill>
                  <w14:solidFill>
                    <w14:schemeClr w14:val="tx1"/>
                  </w14:solidFill>
                </w14:textFill>
              </w:rPr>
              <w:t>声环境保护目标处噪声预测值满足《声环境质量标准》（</w:t>
            </w:r>
            <w:r>
              <w:rPr>
                <w:rFonts w:hint="default"/>
                <w:bCs/>
                <w:color w:val="000000" w:themeColor="text1"/>
                <w:sz w:val="24"/>
                <w:szCs w:val="24"/>
                <w:highlight w:val="none"/>
                <w:lang w:val="en-US" w:eastAsia="zh-CN"/>
                <w14:textFill>
                  <w14:solidFill>
                    <w14:schemeClr w14:val="tx1"/>
                  </w14:solidFill>
                </w14:textFill>
              </w:rPr>
              <w:t>GB3096-2008</w:t>
            </w:r>
            <w:r>
              <w:rPr>
                <w:rFonts w:hint="eastAsia"/>
                <w:bCs/>
                <w:color w:val="000000" w:themeColor="text1"/>
                <w:sz w:val="24"/>
                <w:szCs w:val="24"/>
                <w:highlight w:val="none"/>
                <w:lang w:val="en-US" w:eastAsia="zh-CN"/>
                <w14:textFill>
                  <w14:solidFill>
                    <w14:schemeClr w14:val="tx1"/>
                  </w14:solidFill>
                </w14:textFill>
              </w:rPr>
              <w:t>）</w:t>
            </w:r>
            <w:r>
              <w:rPr>
                <w:rFonts w:hint="default"/>
                <w:bCs/>
                <w:color w:val="000000" w:themeColor="text1"/>
                <w:sz w:val="24"/>
                <w:szCs w:val="24"/>
                <w:highlight w:val="none"/>
                <w:lang w:val="en-US" w:eastAsia="zh-CN"/>
                <w14:textFill>
                  <w14:solidFill>
                    <w14:schemeClr w14:val="tx1"/>
                  </w14:solidFill>
                </w14:textFill>
              </w:rPr>
              <w:t>1</w:t>
            </w:r>
            <w:r>
              <w:rPr>
                <w:rFonts w:hint="eastAsia"/>
                <w:bCs/>
                <w:color w:val="000000" w:themeColor="text1"/>
                <w:sz w:val="24"/>
                <w:szCs w:val="24"/>
                <w:highlight w:val="none"/>
                <w:lang w:val="en-US" w:eastAsia="zh-CN"/>
                <w14:textFill>
                  <w14:solidFill>
                    <w14:schemeClr w14:val="tx1"/>
                  </w14:solidFill>
                </w14:textFill>
              </w:rPr>
              <w:t>类、2类标准限值要求，因此，本项目对外环境的影响较小。</w:t>
            </w:r>
          </w:p>
          <w:p w14:paraId="3EB9BF55">
            <w:pPr>
              <w:pStyle w:val="77"/>
              <w:spacing w:line="360" w:lineRule="auto"/>
              <w:ind w:firstLine="480" w:firstLineChars="200"/>
              <w:textAlignment w:val="center"/>
              <w:rPr>
                <w:b w:val="0"/>
                <w:bCs w:val="0"/>
                <w:color w:val="000000" w:themeColor="text1"/>
                <w:sz w:val="24"/>
                <w:szCs w:val="24"/>
                <w:highlight w:val="none"/>
                <w14:textFill>
                  <w14:solidFill>
                    <w14:schemeClr w14:val="tx1"/>
                  </w14:solidFill>
                </w14:textFill>
              </w:rPr>
            </w:pPr>
            <w:r>
              <w:rPr>
                <w:b w:val="0"/>
                <w:bCs w:val="0"/>
                <w:color w:val="000000" w:themeColor="text1"/>
                <w:sz w:val="24"/>
                <w:szCs w:val="24"/>
                <w:highlight w:val="none"/>
                <w14:textFill>
                  <w14:solidFill>
                    <w14:schemeClr w14:val="tx1"/>
                  </w14:solidFill>
                </w14:textFill>
              </w:rPr>
              <w:t>（4）监测要求</w:t>
            </w:r>
          </w:p>
          <w:p w14:paraId="24DDEB9C">
            <w:pPr>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根据《排污单位自行监测技术指南 总则》（HJ819-2017）、《排污许可证申请与核发技术规范 总则》（HJ942-2018）等要求开展自行监测，营运期噪声监测计划详见表4-</w:t>
            </w:r>
            <w:r>
              <w:rPr>
                <w:rFonts w:hint="eastAsia"/>
                <w:color w:val="000000" w:themeColor="text1"/>
                <w:sz w:val="24"/>
                <w:highlight w:val="none"/>
                <w:lang w:val="en-US" w:eastAsia="zh-CN"/>
                <w14:textFill>
                  <w14:solidFill>
                    <w14:schemeClr w14:val="tx1"/>
                  </w14:solidFill>
                </w14:textFill>
              </w:rPr>
              <w:t>8</w:t>
            </w:r>
            <w:r>
              <w:rPr>
                <w:color w:val="000000" w:themeColor="text1"/>
                <w:sz w:val="24"/>
                <w:highlight w:val="none"/>
                <w14:textFill>
                  <w14:solidFill>
                    <w14:schemeClr w14:val="tx1"/>
                  </w14:solidFill>
                </w14:textFill>
              </w:rPr>
              <w:t>。</w:t>
            </w:r>
          </w:p>
          <w:p w14:paraId="0B656B00">
            <w:pPr>
              <w:spacing w:line="360" w:lineRule="auto"/>
              <w:jc w:val="center"/>
              <w:rPr>
                <w:b/>
                <w:bCs/>
                <w:color w:val="000000" w:themeColor="text1"/>
                <w:kern w:val="0"/>
                <w:sz w:val="24"/>
                <w:highlight w:val="none"/>
                <w:lang w:bidi="zh-CN"/>
                <w14:textFill>
                  <w14:solidFill>
                    <w14:schemeClr w14:val="tx1"/>
                  </w14:solidFill>
                </w14:textFill>
              </w:rPr>
            </w:pPr>
            <w:r>
              <w:rPr>
                <w:b/>
                <w:bCs/>
                <w:color w:val="000000" w:themeColor="text1"/>
                <w:kern w:val="0"/>
                <w:sz w:val="24"/>
                <w:highlight w:val="none"/>
                <w:lang w:bidi="zh-CN"/>
                <w14:textFill>
                  <w14:solidFill>
                    <w14:schemeClr w14:val="tx1"/>
                  </w14:solidFill>
                </w14:textFill>
              </w:rPr>
              <w:t>表4-</w:t>
            </w:r>
            <w:r>
              <w:rPr>
                <w:rFonts w:hint="eastAsia"/>
                <w:b/>
                <w:bCs/>
                <w:color w:val="000000" w:themeColor="text1"/>
                <w:kern w:val="0"/>
                <w:sz w:val="24"/>
                <w:highlight w:val="none"/>
                <w:lang w:val="en-US" w:bidi="zh-CN"/>
                <w14:textFill>
                  <w14:solidFill>
                    <w14:schemeClr w14:val="tx1"/>
                  </w14:solidFill>
                </w14:textFill>
              </w:rPr>
              <w:t>8</w:t>
            </w:r>
            <w:r>
              <w:rPr>
                <w:b/>
                <w:bCs/>
                <w:color w:val="000000" w:themeColor="text1"/>
                <w:kern w:val="0"/>
                <w:sz w:val="24"/>
                <w:highlight w:val="none"/>
                <w:lang w:bidi="zh-CN"/>
                <w14:textFill>
                  <w14:solidFill>
                    <w14:schemeClr w14:val="tx1"/>
                  </w14:solidFill>
                </w14:textFill>
              </w:rPr>
              <w:t xml:space="preserve"> 环境噪声监测计划一览表</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5"/>
              <w:gridCol w:w="1173"/>
              <w:gridCol w:w="1673"/>
              <w:gridCol w:w="1322"/>
              <w:gridCol w:w="2624"/>
            </w:tblGrid>
            <w:tr w14:paraId="4EB416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pct"/>
                  <w:tcBorders>
                    <w:tl2br w:val="nil"/>
                    <w:tr2bl w:val="nil"/>
                  </w:tcBorders>
                  <w:vAlign w:val="center"/>
                </w:tcPr>
                <w:p w14:paraId="57296ACD">
                  <w:pPr>
                    <w:pStyle w:val="27"/>
                    <w:spacing w:after="0"/>
                    <w:ind w:left="0" w:leftChars="0" w:firstLine="0" w:firstLineChars="0"/>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污染源</w:t>
                  </w:r>
                </w:p>
              </w:tc>
              <w:tc>
                <w:tcPr>
                  <w:tcW w:w="748" w:type="pct"/>
                  <w:tcBorders>
                    <w:tl2br w:val="nil"/>
                    <w:tr2bl w:val="nil"/>
                  </w:tcBorders>
                  <w:vAlign w:val="center"/>
                </w:tcPr>
                <w:p w14:paraId="7FB41AC1">
                  <w:pPr>
                    <w:pStyle w:val="27"/>
                    <w:spacing w:after="0"/>
                    <w:ind w:left="0" w:leftChars="0" w:firstLine="0" w:firstLineChars="0"/>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监测点位</w:t>
                  </w:r>
                </w:p>
              </w:tc>
              <w:tc>
                <w:tcPr>
                  <w:tcW w:w="1067" w:type="pct"/>
                  <w:tcBorders>
                    <w:tl2br w:val="nil"/>
                    <w:tr2bl w:val="nil"/>
                  </w:tcBorders>
                  <w:vAlign w:val="center"/>
                </w:tcPr>
                <w:p w14:paraId="4D67A46D">
                  <w:pPr>
                    <w:pStyle w:val="27"/>
                    <w:spacing w:after="0"/>
                    <w:ind w:left="0" w:leftChars="0" w:firstLine="0" w:firstLineChars="0"/>
                    <w:jc w:val="center"/>
                    <w:rPr>
                      <w:rFonts w:hint="eastAsia" w:eastAsia="宋体"/>
                      <w:b w:val="0"/>
                      <w:bCs w:val="0"/>
                      <w:color w:val="000000" w:themeColor="text1"/>
                      <w:szCs w:val="21"/>
                      <w:highlight w:val="none"/>
                      <w:lang w:eastAsia="zh-CN"/>
                      <w14:textFill>
                        <w14:solidFill>
                          <w14:schemeClr w14:val="tx1"/>
                        </w14:solidFill>
                      </w14:textFill>
                    </w:rPr>
                  </w:pPr>
                  <w:r>
                    <w:rPr>
                      <w:b w:val="0"/>
                      <w:bCs w:val="0"/>
                      <w:color w:val="000000" w:themeColor="text1"/>
                      <w:szCs w:val="21"/>
                      <w:highlight w:val="none"/>
                      <w14:textFill>
                        <w14:solidFill>
                          <w14:schemeClr w14:val="tx1"/>
                        </w14:solidFill>
                      </w14:textFill>
                    </w:rPr>
                    <w:t>监测</w:t>
                  </w:r>
                  <w:r>
                    <w:rPr>
                      <w:rFonts w:hint="eastAsia"/>
                      <w:b w:val="0"/>
                      <w:bCs w:val="0"/>
                      <w:color w:val="000000" w:themeColor="text1"/>
                      <w:szCs w:val="21"/>
                      <w:highlight w:val="none"/>
                      <w:lang w:val="en-US" w:eastAsia="zh-CN"/>
                      <w14:textFill>
                        <w14:solidFill>
                          <w14:schemeClr w14:val="tx1"/>
                        </w14:solidFill>
                      </w14:textFill>
                    </w:rPr>
                    <w:t>因子</w:t>
                  </w:r>
                </w:p>
              </w:tc>
              <w:tc>
                <w:tcPr>
                  <w:tcW w:w="843" w:type="pct"/>
                  <w:tcBorders>
                    <w:tl2br w:val="nil"/>
                    <w:tr2bl w:val="nil"/>
                  </w:tcBorders>
                  <w:vAlign w:val="center"/>
                </w:tcPr>
                <w:p w14:paraId="4ACB6EF9">
                  <w:pPr>
                    <w:pStyle w:val="27"/>
                    <w:spacing w:after="0"/>
                    <w:ind w:left="0" w:leftChars="0" w:firstLine="0" w:firstLineChars="0"/>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监测频次</w:t>
                  </w:r>
                </w:p>
              </w:tc>
              <w:tc>
                <w:tcPr>
                  <w:tcW w:w="1674" w:type="pct"/>
                  <w:tcBorders>
                    <w:tl2br w:val="nil"/>
                    <w:tr2bl w:val="nil"/>
                  </w:tcBorders>
                  <w:vAlign w:val="center"/>
                </w:tcPr>
                <w:p w14:paraId="052CCCFA">
                  <w:pPr>
                    <w:pStyle w:val="27"/>
                    <w:spacing w:after="0"/>
                    <w:ind w:left="0" w:leftChars="0" w:firstLine="0" w:firstLineChars="0"/>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执行标准</w:t>
                  </w:r>
                </w:p>
              </w:tc>
            </w:tr>
            <w:tr w14:paraId="628561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pct"/>
                  <w:vMerge w:val="restart"/>
                  <w:tcBorders>
                    <w:tl2br w:val="nil"/>
                    <w:tr2bl w:val="nil"/>
                  </w:tcBorders>
                  <w:vAlign w:val="center"/>
                </w:tcPr>
                <w:p w14:paraId="5753E198">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产噪设备</w:t>
                  </w:r>
                </w:p>
              </w:tc>
              <w:tc>
                <w:tcPr>
                  <w:tcW w:w="748" w:type="pct"/>
                  <w:tcBorders>
                    <w:tl2br w:val="nil"/>
                    <w:tr2bl w:val="nil"/>
                  </w:tcBorders>
                  <w:vAlign w:val="center"/>
                </w:tcPr>
                <w:p w14:paraId="6AD87CAB">
                  <w:pPr>
                    <w:jc w:val="center"/>
                    <w:rPr>
                      <w:rFonts w:hint="default" w:eastAsia="宋体"/>
                      <w:color w:val="000000" w:themeColor="text1"/>
                      <w:szCs w:val="21"/>
                      <w:highlight w:val="none"/>
                      <w:lang w:val="en-US" w:eastAsia="zh-CN"/>
                      <w14:textFill>
                        <w14:solidFill>
                          <w14:schemeClr w14:val="tx1"/>
                        </w14:solidFill>
                      </w14:textFill>
                    </w:rPr>
                  </w:pPr>
                  <w:r>
                    <w:rPr>
                      <w:color w:val="000000" w:themeColor="text1"/>
                      <w:szCs w:val="21"/>
                      <w:highlight w:val="none"/>
                      <w:lang w:eastAsia="zh-Hans"/>
                      <w14:textFill>
                        <w14:solidFill>
                          <w14:schemeClr w14:val="tx1"/>
                        </w14:solidFill>
                      </w14:textFill>
                    </w:rPr>
                    <w:t>东、</w:t>
                  </w:r>
                  <w:r>
                    <w:rPr>
                      <w:color w:val="000000" w:themeColor="text1"/>
                      <w:szCs w:val="21"/>
                      <w:highlight w:val="none"/>
                      <w14:textFill>
                        <w14:solidFill>
                          <w14:schemeClr w14:val="tx1"/>
                        </w14:solidFill>
                      </w14:textFill>
                    </w:rPr>
                    <w:t>南</w:t>
                  </w:r>
                  <w:r>
                    <w:rPr>
                      <w:color w:val="000000" w:themeColor="text1"/>
                      <w:szCs w:val="21"/>
                      <w:highlight w:val="none"/>
                      <w:lang w:eastAsia="zh-Hans"/>
                      <w14:textFill>
                        <w14:solidFill>
                          <w14:schemeClr w14:val="tx1"/>
                        </w14:solidFill>
                      </w14:textFill>
                    </w:rPr>
                    <w:t>、西</w:t>
                  </w:r>
                  <w:r>
                    <w:rPr>
                      <w:color w:val="000000" w:themeColor="text1"/>
                      <w:szCs w:val="21"/>
                      <w:highlight w:val="none"/>
                      <w14:textFill>
                        <w14:solidFill>
                          <w14:schemeClr w14:val="tx1"/>
                        </w14:solidFill>
                      </w14:textFill>
                    </w:rPr>
                    <w:t>、北侧厂界</w:t>
                  </w:r>
                  <w:r>
                    <w:rPr>
                      <w:rFonts w:hint="eastAsia"/>
                      <w:color w:val="000000" w:themeColor="text1"/>
                      <w:szCs w:val="21"/>
                      <w:highlight w:val="none"/>
                      <w:lang w:val="en-US" w:eastAsia="zh-CN"/>
                      <w14:textFill>
                        <w14:solidFill>
                          <w14:schemeClr w14:val="tx1"/>
                        </w14:solidFill>
                      </w14:textFill>
                    </w:rPr>
                    <w:t>外1m</w:t>
                  </w:r>
                </w:p>
              </w:tc>
              <w:tc>
                <w:tcPr>
                  <w:tcW w:w="1067" w:type="pct"/>
                  <w:tcBorders>
                    <w:tl2br w:val="nil"/>
                    <w:tr2bl w:val="nil"/>
                  </w:tcBorders>
                  <w:vAlign w:val="center"/>
                </w:tcPr>
                <w:p w14:paraId="6E2C3435">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等效连续A声级</w:t>
                  </w:r>
                </w:p>
              </w:tc>
              <w:tc>
                <w:tcPr>
                  <w:tcW w:w="843" w:type="pct"/>
                  <w:tcBorders>
                    <w:tl2br w:val="nil"/>
                    <w:tr2bl w:val="nil"/>
                  </w:tcBorders>
                  <w:vAlign w:val="center"/>
                </w:tcPr>
                <w:p w14:paraId="3ADAA5D5">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1次/季度</w:t>
                  </w:r>
                </w:p>
              </w:tc>
              <w:tc>
                <w:tcPr>
                  <w:tcW w:w="1674" w:type="pct"/>
                  <w:tcBorders>
                    <w:tl2br w:val="nil"/>
                    <w:tr2bl w:val="nil"/>
                  </w:tcBorders>
                  <w:vAlign w:val="center"/>
                </w:tcPr>
                <w:p w14:paraId="62FEAC70">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《工业企业厂界环境噪声排放标准》（GB12348-2008）中</w:t>
                  </w:r>
                  <w:r>
                    <w:rPr>
                      <w:rFonts w:hint="eastAsia"/>
                      <w:color w:val="000000" w:themeColor="text1"/>
                      <w:szCs w:val="21"/>
                      <w:highlight w:val="none"/>
                      <w:lang w:val="en-US" w:eastAsia="zh-CN"/>
                      <w14:textFill>
                        <w14:solidFill>
                          <w14:schemeClr w14:val="tx1"/>
                        </w14:solidFill>
                      </w14:textFill>
                    </w:rPr>
                    <w:t>3</w:t>
                  </w:r>
                  <w:r>
                    <w:rPr>
                      <w:color w:val="000000" w:themeColor="text1"/>
                      <w:szCs w:val="21"/>
                      <w:highlight w:val="none"/>
                      <w14:textFill>
                        <w14:solidFill>
                          <w14:schemeClr w14:val="tx1"/>
                        </w14:solidFill>
                      </w14:textFill>
                    </w:rPr>
                    <w:t>类标准</w:t>
                  </w:r>
                </w:p>
              </w:tc>
            </w:tr>
            <w:tr w14:paraId="56C7AE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pct"/>
                  <w:vMerge w:val="continue"/>
                  <w:tcBorders>
                    <w:tl2br w:val="nil"/>
                    <w:tr2bl w:val="nil"/>
                  </w:tcBorders>
                  <w:vAlign w:val="center"/>
                </w:tcPr>
                <w:p w14:paraId="03AE89BF">
                  <w:pPr>
                    <w:jc w:val="center"/>
                    <w:rPr>
                      <w:color w:val="000000" w:themeColor="text1"/>
                      <w:szCs w:val="21"/>
                      <w:highlight w:val="yellow"/>
                      <w14:textFill>
                        <w14:solidFill>
                          <w14:schemeClr w14:val="tx1"/>
                        </w14:solidFill>
                      </w14:textFill>
                    </w:rPr>
                  </w:pPr>
                </w:p>
              </w:tc>
              <w:tc>
                <w:tcPr>
                  <w:tcW w:w="1173" w:type="dxa"/>
                  <w:tcBorders>
                    <w:tl2br w:val="nil"/>
                    <w:tr2bl w:val="nil"/>
                  </w:tcBorders>
                  <w:vAlign w:val="center"/>
                </w:tcPr>
                <w:p w14:paraId="21D3A913">
                  <w:pPr>
                    <w:ind w:left="0" w:leftChars="0" w:right="0" w:rightChars="0" w:firstLine="0" w:firstLineChars="0"/>
                    <w:jc w:val="center"/>
                    <w:rPr>
                      <w:rFonts w:hint="default" w:eastAsia="宋体"/>
                      <w:color w:val="000000" w:themeColor="text1"/>
                      <w:szCs w:val="21"/>
                      <w:highlight w:val="yellow"/>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惠民新城</w:t>
                  </w:r>
                </w:p>
              </w:tc>
              <w:tc>
                <w:tcPr>
                  <w:tcW w:w="1673" w:type="dxa"/>
                  <w:tcBorders>
                    <w:tl2br w:val="nil"/>
                    <w:tr2bl w:val="nil"/>
                  </w:tcBorders>
                  <w:vAlign w:val="center"/>
                </w:tcPr>
                <w:p w14:paraId="73619E50">
                  <w:pPr>
                    <w:jc w:val="center"/>
                    <w:rPr>
                      <w:color w:val="000000" w:themeColor="text1"/>
                      <w:szCs w:val="21"/>
                      <w:highlight w:val="yellow"/>
                      <w14:textFill>
                        <w14:solidFill>
                          <w14:schemeClr w14:val="tx1"/>
                        </w14:solidFill>
                      </w14:textFill>
                    </w:rPr>
                  </w:pPr>
                  <w:r>
                    <w:rPr>
                      <w:color w:val="000000" w:themeColor="text1"/>
                      <w:szCs w:val="21"/>
                      <w:highlight w:val="none"/>
                      <w14:textFill>
                        <w14:solidFill>
                          <w14:schemeClr w14:val="tx1"/>
                        </w14:solidFill>
                      </w14:textFill>
                    </w:rPr>
                    <w:t>等效连续A声级</w:t>
                  </w:r>
                </w:p>
              </w:tc>
              <w:tc>
                <w:tcPr>
                  <w:tcW w:w="1322" w:type="dxa"/>
                  <w:tcBorders>
                    <w:tl2br w:val="nil"/>
                    <w:tr2bl w:val="nil"/>
                  </w:tcBorders>
                  <w:vAlign w:val="center"/>
                </w:tcPr>
                <w:p w14:paraId="33A9AF13">
                  <w:pPr>
                    <w:jc w:val="center"/>
                    <w:rPr>
                      <w:color w:val="000000" w:themeColor="text1"/>
                      <w:szCs w:val="21"/>
                      <w:highlight w:val="yellow"/>
                      <w14:textFill>
                        <w14:solidFill>
                          <w14:schemeClr w14:val="tx1"/>
                        </w14:solidFill>
                      </w14:textFill>
                    </w:rPr>
                  </w:pPr>
                  <w:r>
                    <w:rPr>
                      <w:color w:val="000000" w:themeColor="text1"/>
                      <w:szCs w:val="21"/>
                      <w:highlight w:val="none"/>
                      <w14:textFill>
                        <w14:solidFill>
                          <w14:schemeClr w14:val="tx1"/>
                        </w14:solidFill>
                      </w14:textFill>
                    </w:rPr>
                    <w:t>1次/季度</w:t>
                  </w:r>
                </w:p>
              </w:tc>
              <w:tc>
                <w:tcPr>
                  <w:tcW w:w="1674" w:type="pct"/>
                  <w:tcBorders>
                    <w:tl2br w:val="nil"/>
                    <w:tr2bl w:val="nil"/>
                  </w:tcBorders>
                  <w:vAlign w:val="center"/>
                </w:tcPr>
                <w:p w14:paraId="0629C7DB">
                  <w:pPr>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《声环境质量标准》（</w:t>
                  </w:r>
                  <w:r>
                    <w:rPr>
                      <w:rFonts w:hint="default"/>
                      <w:color w:val="000000" w:themeColor="text1"/>
                      <w:szCs w:val="21"/>
                      <w:highlight w:val="none"/>
                      <w:lang w:val="en-US" w:eastAsia="zh-CN"/>
                      <w14:textFill>
                        <w14:solidFill>
                          <w14:schemeClr w14:val="tx1"/>
                        </w14:solidFill>
                      </w14:textFill>
                    </w:rPr>
                    <w:t>GB3096-2008</w:t>
                  </w:r>
                  <w:r>
                    <w:rPr>
                      <w:rFonts w:hint="eastAsia"/>
                      <w:color w:val="000000" w:themeColor="text1"/>
                      <w:szCs w:val="21"/>
                      <w:highlight w:val="none"/>
                      <w:lang w:val="en-US" w:eastAsia="zh-CN"/>
                      <w14:textFill>
                        <w14:solidFill>
                          <w14:schemeClr w14:val="tx1"/>
                        </w14:solidFill>
                      </w14:textFill>
                    </w:rPr>
                    <w:t>）</w:t>
                  </w:r>
                  <w:r>
                    <w:rPr>
                      <w:rFonts w:hint="default"/>
                      <w:color w:val="000000" w:themeColor="text1"/>
                      <w:szCs w:val="21"/>
                      <w:highlight w:val="none"/>
                      <w:lang w:val="en-US" w:eastAsia="zh-CN"/>
                      <w14:textFill>
                        <w14:solidFill>
                          <w14:schemeClr w14:val="tx1"/>
                        </w14:solidFill>
                      </w14:textFill>
                    </w:rPr>
                    <w:t>1</w:t>
                  </w:r>
                  <w:r>
                    <w:rPr>
                      <w:rFonts w:hint="eastAsia"/>
                      <w:color w:val="000000" w:themeColor="text1"/>
                      <w:szCs w:val="21"/>
                      <w:highlight w:val="none"/>
                      <w:lang w:val="en-US" w:eastAsia="zh-CN"/>
                      <w14:textFill>
                        <w14:solidFill>
                          <w14:schemeClr w14:val="tx1"/>
                        </w14:solidFill>
                      </w14:textFill>
                    </w:rPr>
                    <w:t>类标准</w:t>
                  </w:r>
                </w:p>
              </w:tc>
            </w:tr>
            <w:tr w14:paraId="77C1E3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pct"/>
                  <w:vMerge w:val="continue"/>
                  <w:tcBorders>
                    <w:tl2br w:val="nil"/>
                    <w:tr2bl w:val="nil"/>
                  </w:tcBorders>
                  <w:vAlign w:val="center"/>
                </w:tcPr>
                <w:p w14:paraId="4DF0F932">
                  <w:pPr>
                    <w:jc w:val="center"/>
                    <w:rPr>
                      <w:color w:val="000000" w:themeColor="text1"/>
                      <w:szCs w:val="21"/>
                      <w:highlight w:val="yellow"/>
                      <w14:textFill>
                        <w14:solidFill>
                          <w14:schemeClr w14:val="tx1"/>
                        </w14:solidFill>
                      </w14:textFill>
                    </w:rPr>
                  </w:pPr>
                </w:p>
              </w:tc>
              <w:tc>
                <w:tcPr>
                  <w:tcW w:w="1173" w:type="dxa"/>
                  <w:tcBorders>
                    <w:tl2br w:val="nil"/>
                    <w:tr2bl w:val="nil"/>
                  </w:tcBorders>
                  <w:vAlign w:val="center"/>
                </w:tcPr>
                <w:p w14:paraId="521050FC">
                  <w:pPr>
                    <w:ind w:left="0" w:leftChars="0" w:right="0" w:rightChars="0" w:firstLine="0" w:firstLineChars="0"/>
                    <w:jc w:val="center"/>
                    <w:rPr>
                      <w:rFonts w:hint="eastAsia"/>
                      <w:color w:val="000000" w:themeColor="text1"/>
                      <w:szCs w:val="21"/>
                      <w:highlight w:val="yellow"/>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站南小区</w:t>
                  </w:r>
                </w:p>
              </w:tc>
              <w:tc>
                <w:tcPr>
                  <w:tcW w:w="1673" w:type="dxa"/>
                  <w:tcBorders>
                    <w:tl2br w:val="nil"/>
                    <w:tr2bl w:val="nil"/>
                  </w:tcBorders>
                  <w:vAlign w:val="center"/>
                </w:tcPr>
                <w:p w14:paraId="3D4461DE">
                  <w:pPr>
                    <w:jc w:val="center"/>
                    <w:rPr>
                      <w:color w:val="000000" w:themeColor="text1"/>
                      <w:szCs w:val="21"/>
                      <w:highlight w:val="yellow"/>
                      <w14:textFill>
                        <w14:solidFill>
                          <w14:schemeClr w14:val="tx1"/>
                        </w14:solidFill>
                      </w14:textFill>
                    </w:rPr>
                  </w:pPr>
                  <w:r>
                    <w:rPr>
                      <w:color w:val="000000" w:themeColor="text1"/>
                      <w:szCs w:val="21"/>
                      <w:highlight w:val="none"/>
                      <w14:textFill>
                        <w14:solidFill>
                          <w14:schemeClr w14:val="tx1"/>
                        </w14:solidFill>
                      </w14:textFill>
                    </w:rPr>
                    <w:t>等效连续A声级</w:t>
                  </w:r>
                </w:p>
              </w:tc>
              <w:tc>
                <w:tcPr>
                  <w:tcW w:w="1322" w:type="dxa"/>
                  <w:tcBorders>
                    <w:tl2br w:val="nil"/>
                    <w:tr2bl w:val="nil"/>
                  </w:tcBorders>
                  <w:vAlign w:val="center"/>
                </w:tcPr>
                <w:p w14:paraId="754A01B7">
                  <w:pPr>
                    <w:jc w:val="center"/>
                    <w:rPr>
                      <w:color w:val="000000" w:themeColor="text1"/>
                      <w:szCs w:val="21"/>
                      <w:highlight w:val="yellow"/>
                      <w14:textFill>
                        <w14:solidFill>
                          <w14:schemeClr w14:val="tx1"/>
                        </w14:solidFill>
                      </w14:textFill>
                    </w:rPr>
                  </w:pPr>
                  <w:r>
                    <w:rPr>
                      <w:color w:val="000000" w:themeColor="text1"/>
                      <w:szCs w:val="21"/>
                      <w:highlight w:val="none"/>
                      <w14:textFill>
                        <w14:solidFill>
                          <w14:schemeClr w14:val="tx1"/>
                        </w14:solidFill>
                      </w14:textFill>
                    </w:rPr>
                    <w:t>1次/季度</w:t>
                  </w:r>
                </w:p>
              </w:tc>
              <w:tc>
                <w:tcPr>
                  <w:tcW w:w="1674" w:type="pct"/>
                  <w:tcBorders>
                    <w:tl2br w:val="nil"/>
                    <w:tr2bl w:val="nil"/>
                  </w:tcBorders>
                  <w:vAlign w:val="center"/>
                </w:tcPr>
                <w:p w14:paraId="277C490B">
                  <w:pPr>
                    <w:jc w:val="center"/>
                    <w:rPr>
                      <w:rFonts w:hint="default"/>
                      <w:color w:val="000000" w:themeColor="text1"/>
                      <w:szCs w:val="21"/>
                      <w:highlight w:val="none"/>
                      <w:lang w:val="en-US"/>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《声环境质量标准》（</w:t>
                  </w:r>
                  <w:r>
                    <w:rPr>
                      <w:rFonts w:hint="default"/>
                      <w:color w:val="000000" w:themeColor="text1"/>
                      <w:szCs w:val="21"/>
                      <w:highlight w:val="none"/>
                      <w:lang w:val="en-US" w:eastAsia="zh-CN"/>
                      <w14:textFill>
                        <w14:solidFill>
                          <w14:schemeClr w14:val="tx1"/>
                        </w14:solidFill>
                      </w14:textFill>
                    </w:rPr>
                    <w:t>GB3096-2008</w:t>
                  </w:r>
                  <w:r>
                    <w:rPr>
                      <w:rFonts w:hint="eastAsia"/>
                      <w:color w:val="000000" w:themeColor="text1"/>
                      <w:szCs w:val="21"/>
                      <w:highlight w:val="none"/>
                      <w:lang w:val="en-US" w:eastAsia="zh-CN"/>
                      <w14:textFill>
                        <w14:solidFill>
                          <w14:schemeClr w14:val="tx1"/>
                        </w14:solidFill>
                      </w14:textFill>
                    </w:rPr>
                    <w:t>）2类标准</w:t>
                  </w:r>
                </w:p>
              </w:tc>
            </w:tr>
          </w:tbl>
          <w:p w14:paraId="31717E00">
            <w:pPr>
              <w:widowControl/>
              <w:spacing w:before="120" w:beforeLines="50" w:line="360" w:lineRule="auto"/>
              <w:ind w:firstLine="482" w:firstLineChars="200"/>
              <w:rPr>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4、</w:t>
            </w:r>
            <w:r>
              <w:rPr>
                <w:b/>
                <w:color w:val="000000" w:themeColor="text1"/>
                <w:sz w:val="24"/>
                <w:highlight w:val="none"/>
                <w14:textFill>
                  <w14:solidFill>
                    <w14:schemeClr w14:val="tx1"/>
                  </w14:solidFill>
                </w14:textFill>
              </w:rPr>
              <w:t>固体废物</w:t>
            </w:r>
          </w:p>
          <w:p w14:paraId="1E00711E">
            <w:pPr>
              <w:autoSpaceDE w:val="0"/>
              <w:autoSpaceDN w:val="0"/>
              <w:spacing w:line="360" w:lineRule="auto"/>
              <w:ind w:firstLine="480" w:firstLineChars="200"/>
              <w:rPr>
                <w:b w:val="0"/>
                <w:bCs w:val="0"/>
                <w:color w:val="000000" w:themeColor="text1"/>
                <w:sz w:val="24"/>
                <w:highlight w:val="none"/>
                <w14:textFill>
                  <w14:solidFill>
                    <w14:schemeClr w14:val="tx1"/>
                  </w14:solidFill>
                </w14:textFill>
              </w:rPr>
            </w:pPr>
            <w:r>
              <w:rPr>
                <w:b w:val="0"/>
                <w:bCs w:val="0"/>
                <w:color w:val="000000" w:themeColor="text1"/>
                <w:sz w:val="24"/>
                <w:highlight w:val="none"/>
                <w14:textFill>
                  <w14:solidFill>
                    <w14:schemeClr w14:val="tx1"/>
                  </w14:solidFill>
                </w14:textFill>
              </w:rPr>
              <w:t>（1）</w:t>
            </w:r>
            <w:r>
              <w:rPr>
                <w:rFonts w:hint="eastAsia"/>
                <w:b w:val="0"/>
                <w:bCs w:val="0"/>
                <w:color w:val="000000" w:themeColor="text1"/>
                <w:sz w:val="24"/>
                <w:highlight w:val="none"/>
                <w:lang w:val="en-US" w:eastAsia="zh-CN"/>
                <w14:textFill>
                  <w14:solidFill>
                    <w14:schemeClr w14:val="tx1"/>
                  </w14:solidFill>
                </w14:textFill>
              </w:rPr>
              <w:t>源强</w:t>
            </w:r>
            <w:r>
              <w:rPr>
                <w:b w:val="0"/>
                <w:bCs w:val="0"/>
                <w:color w:val="000000" w:themeColor="text1"/>
                <w:sz w:val="24"/>
                <w:highlight w:val="none"/>
                <w14:textFill>
                  <w14:solidFill>
                    <w14:schemeClr w14:val="tx1"/>
                  </w14:solidFill>
                </w14:textFill>
              </w:rPr>
              <w:t>核算</w:t>
            </w:r>
          </w:p>
          <w:p w14:paraId="61481A19">
            <w:pPr>
              <w:spacing w:line="360" w:lineRule="auto"/>
              <w:ind w:firstLine="480" w:firstLineChars="200"/>
              <w:jc w:val="left"/>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本项目运营期固体废物主要为煤泥、矸石、</w:t>
            </w:r>
            <w:r>
              <w:rPr>
                <w:rFonts w:hint="eastAsia" w:cs="Times New Roman"/>
                <w:color w:val="FF0000"/>
                <w:kern w:val="2"/>
                <w:sz w:val="24"/>
                <w:szCs w:val="21"/>
                <w:highlight w:val="none"/>
                <w:lang w:val="en-US" w:eastAsia="zh-CN" w:bidi="ar-SA"/>
              </w:rPr>
              <w:t>废油脂、试验灰渣、</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废机油</w:t>
            </w:r>
            <w:r>
              <w:rPr>
                <w:rFonts w:hint="eastAsia" w:cs="Times New Roman"/>
                <w:color w:val="000000" w:themeColor="text1"/>
                <w:kern w:val="2"/>
                <w:sz w:val="24"/>
                <w:szCs w:val="21"/>
                <w:highlight w:val="none"/>
                <w:lang w:val="en-US" w:eastAsia="zh-CN" w:bidi="ar-SA"/>
                <w14:textFill>
                  <w14:solidFill>
                    <w14:schemeClr w14:val="tx1"/>
                  </w14:solidFill>
                </w14:textFill>
              </w:rPr>
              <w:t>、废油桶、</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生活垃圾等。</w:t>
            </w:r>
          </w:p>
          <w:p w14:paraId="7DE19D0A">
            <w:pPr>
              <w:spacing w:line="360" w:lineRule="auto"/>
              <w:ind w:firstLine="480" w:firstLineChars="200"/>
              <w:jc w:val="left"/>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 xml:space="preserve">①矸石 </w:t>
            </w:r>
          </w:p>
          <w:p w14:paraId="1CC4C202">
            <w:pPr>
              <w:spacing w:line="360" w:lineRule="auto"/>
              <w:ind w:firstLine="480" w:firstLineChars="200"/>
              <w:jc w:val="left"/>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本项目矸石量约</w:t>
            </w:r>
            <w:r>
              <w:rPr>
                <w:rFonts w:hint="eastAsia" w:cs="Times New Roman"/>
                <w:color w:val="000000" w:themeColor="text1"/>
                <w:kern w:val="2"/>
                <w:sz w:val="24"/>
                <w:szCs w:val="21"/>
                <w:highlight w:val="none"/>
                <w:lang w:val="en-US" w:eastAsia="zh-CN" w:bidi="ar-SA"/>
                <w14:textFill>
                  <w14:solidFill>
                    <w14:schemeClr w14:val="tx1"/>
                  </w14:solidFill>
                </w14:textFill>
              </w:rPr>
              <w:t>72</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万</w:t>
            </w:r>
            <w:r>
              <w:rPr>
                <w:rFonts w:hint="eastAsia" w:ascii="Times New Roman" w:hAnsi="Times New Roman" w:cs="Times New Roman"/>
                <w:color w:val="000000" w:themeColor="text1"/>
                <w:kern w:val="2"/>
                <w:sz w:val="24"/>
                <w:szCs w:val="21"/>
                <w:highlight w:val="none"/>
                <w:lang w:val="en-US" w:eastAsia="zh-CN" w:bidi="ar-SA"/>
                <w14:textFill>
                  <w14:solidFill>
                    <w14:schemeClr w14:val="tx1"/>
                  </w14:solidFill>
                </w14:textFill>
              </w:rPr>
              <w:t>吨</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w:t>
            </w:r>
            <w:r>
              <w:rPr>
                <w:rFonts w:hint="eastAsia" w:cs="Times New Roman"/>
                <w:color w:val="000000" w:themeColor="text1"/>
                <w:kern w:val="2"/>
                <w:sz w:val="24"/>
                <w:szCs w:val="21"/>
                <w:highlight w:val="none"/>
                <w:lang w:val="en-US" w:eastAsia="zh-CN" w:bidi="ar-SA"/>
                <w14:textFill>
                  <w14:solidFill>
                    <w14:schemeClr w14:val="tx1"/>
                  </w14:solidFill>
                </w14:textFill>
              </w:rPr>
              <w:t>用于集贤矿的井下回填以及填充东荣二矿和东荣三矿的沉陷区</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 xml:space="preserve">。 </w:t>
            </w:r>
          </w:p>
          <w:p w14:paraId="30E54C10">
            <w:pPr>
              <w:spacing w:line="360" w:lineRule="auto"/>
              <w:ind w:firstLine="480" w:firstLineChars="200"/>
              <w:jc w:val="left"/>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 xml:space="preserve">②煤泥 </w:t>
            </w:r>
          </w:p>
          <w:p w14:paraId="57201C48">
            <w:pPr>
              <w:spacing w:line="360" w:lineRule="auto"/>
              <w:ind w:firstLine="480" w:firstLineChars="200"/>
              <w:jc w:val="left"/>
              <w:rPr>
                <w:rFonts w:hint="eastAsia" w:ascii="Times New Roman" w:hAnsi="Times New Roman" w:eastAsia="宋体" w:cs="Times New Roman"/>
                <w:color w:val="000000" w:themeColor="text1"/>
                <w:kern w:val="2"/>
                <w:sz w:val="24"/>
                <w:szCs w:val="21"/>
                <w:highlight w:val="yellow"/>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本项目煤泥水经浓缩压滤后煤泥产量约</w:t>
            </w:r>
            <w:r>
              <w:rPr>
                <w:rFonts w:hint="eastAsia" w:cs="Times New Roman"/>
                <w:color w:val="000000" w:themeColor="text1"/>
                <w:kern w:val="2"/>
                <w:sz w:val="24"/>
                <w:szCs w:val="21"/>
                <w:highlight w:val="none"/>
                <w:lang w:val="en-US" w:eastAsia="zh-CN" w:bidi="ar-SA"/>
                <w14:textFill>
                  <w14:solidFill>
                    <w14:schemeClr w14:val="tx1"/>
                  </w14:solidFill>
                </w14:textFill>
              </w:rPr>
              <w:t>18</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万</w:t>
            </w:r>
            <w:r>
              <w:rPr>
                <w:rFonts w:hint="eastAsia" w:ascii="Times New Roman" w:hAnsi="Times New Roman" w:cs="Times New Roman"/>
                <w:color w:val="000000" w:themeColor="text1"/>
                <w:kern w:val="2"/>
                <w:sz w:val="24"/>
                <w:szCs w:val="21"/>
                <w:highlight w:val="none"/>
                <w:lang w:val="en-US" w:eastAsia="zh-CN" w:bidi="ar-SA"/>
                <w14:textFill>
                  <w14:solidFill>
                    <w14:schemeClr w14:val="tx1"/>
                  </w14:solidFill>
                </w14:textFill>
              </w:rPr>
              <w:t>吨</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w:t>
            </w:r>
            <w:r>
              <w:rPr>
                <w:rFonts w:hint="eastAsia" w:cs="Times New Roman"/>
                <w:color w:val="FF0000"/>
                <w:kern w:val="2"/>
                <w:sz w:val="24"/>
                <w:szCs w:val="21"/>
                <w:highlight w:val="none"/>
                <w:lang w:val="en-US" w:eastAsia="zh-CN" w:bidi="ar-SA"/>
              </w:rPr>
              <w:t>日产日清，冬季直接运往虹焱热电，夏季外售给大唐双鸭山热电有限公司；循环水池清掏的煤泥较少，外售综合利用。</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 xml:space="preserve"> </w:t>
            </w:r>
          </w:p>
          <w:p w14:paraId="3C5BF10C">
            <w:pPr>
              <w:spacing w:line="360" w:lineRule="auto"/>
              <w:ind w:firstLine="480" w:firstLineChars="200"/>
              <w:jc w:val="left"/>
              <w:rPr>
                <w:rFonts w:hint="default" w:ascii="Times New Roman" w:hAnsi="Times New Roman" w:eastAsia="宋体" w:cs="Times New Roman"/>
                <w:color w:val="FF0000"/>
                <w:kern w:val="2"/>
                <w:sz w:val="24"/>
                <w:szCs w:val="21"/>
                <w:highlight w:val="none"/>
                <w:lang w:val="en-US" w:eastAsia="zh-CN" w:bidi="ar-SA"/>
              </w:rPr>
            </w:pPr>
            <w:r>
              <w:rPr>
                <w:rFonts w:hint="eastAsia" w:ascii="Times New Roman" w:hAnsi="Times New Roman" w:eastAsia="宋体" w:cs="Times New Roman"/>
                <w:color w:val="FF0000"/>
                <w:kern w:val="2"/>
                <w:sz w:val="24"/>
                <w:szCs w:val="21"/>
                <w:highlight w:val="none"/>
                <w:lang w:val="en-US" w:eastAsia="zh-CN" w:bidi="ar-SA"/>
              </w:rPr>
              <w:t>③</w:t>
            </w:r>
            <w:r>
              <w:rPr>
                <w:rFonts w:hint="eastAsia" w:cs="Times New Roman"/>
                <w:color w:val="FF0000"/>
                <w:kern w:val="2"/>
                <w:sz w:val="24"/>
                <w:szCs w:val="21"/>
                <w:highlight w:val="none"/>
                <w:lang w:val="en-US" w:eastAsia="zh-CN" w:bidi="ar-SA"/>
              </w:rPr>
              <w:t>废油脂</w:t>
            </w:r>
          </w:p>
          <w:p w14:paraId="06545EDE">
            <w:pPr>
              <w:spacing w:line="360" w:lineRule="auto"/>
              <w:ind w:firstLine="480" w:firstLineChars="200"/>
              <w:jc w:val="left"/>
              <w:rPr>
                <w:rFonts w:hint="eastAsia" w:ascii="Times New Roman" w:hAnsi="Times New Roman" w:eastAsia="宋体" w:cs="Times New Roman"/>
                <w:color w:val="FF0000"/>
                <w:kern w:val="2"/>
                <w:sz w:val="24"/>
                <w:szCs w:val="21"/>
                <w:highlight w:val="none"/>
                <w:lang w:val="en-US" w:eastAsia="zh-CN" w:bidi="ar-SA"/>
              </w:rPr>
            </w:pPr>
            <w:r>
              <w:rPr>
                <w:rFonts w:hint="eastAsia" w:ascii="Times New Roman" w:hAnsi="Times New Roman" w:eastAsia="宋体" w:cs="Times New Roman"/>
                <w:color w:val="FF0000"/>
                <w:kern w:val="2"/>
                <w:sz w:val="24"/>
                <w:szCs w:val="21"/>
                <w:highlight w:val="none"/>
                <w:lang w:val="en-US" w:eastAsia="zh-CN" w:bidi="ar-SA"/>
              </w:rPr>
              <w:t>本项目废油脂产生量约为0.1t/a，统一收集，送有资质的餐厨垃圾处理单位处置。</w:t>
            </w:r>
          </w:p>
          <w:p w14:paraId="3436E4E5">
            <w:pPr>
              <w:spacing w:line="360" w:lineRule="auto"/>
              <w:ind w:firstLine="480" w:firstLineChars="200"/>
              <w:jc w:val="left"/>
              <w:rPr>
                <w:rFonts w:hint="default" w:ascii="Times New Roman" w:hAnsi="Times New Roman" w:cs="Times New Roman"/>
                <w:color w:val="FF0000"/>
                <w:kern w:val="2"/>
                <w:sz w:val="24"/>
                <w:szCs w:val="21"/>
                <w:highlight w:val="green"/>
                <w:lang w:val="en-US" w:eastAsia="zh-CN" w:bidi="ar-SA"/>
              </w:rPr>
            </w:pPr>
            <w:r>
              <w:rPr>
                <w:rFonts w:hint="eastAsia" w:ascii="Times New Roman" w:hAnsi="Times New Roman" w:cs="Times New Roman"/>
                <w:color w:val="FF0000"/>
                <w:kern w:val="2"/>
                <w:sz w:val="24"/>
                <w:szCs w:val="21"/>
                <w:highlight w:val="green"/>
                <w:lang w:val="en-US" w:eastAsia="zh-CN" w:bidi="ar-SA"/>
              </w:rPr>
              <w:t>④</w:t>
            </w:r>
            <w:r>
              <w:rPr>
                <w:rFonts w:hint="eastAsia" w:cs="Times New Roman"/>
                <w:color w:val="FF0000"/>
                <w:kern w:val="2"/>
                <w:sz w:val="24"/>
                <w:szCs w:val="21"/>
                <w:highlight w:val="green"/>
                <w:lang w:val="en-US" w:eastAsia="zh-CN" w:bidi="ar-SA"/>
              </w:rPr>
              <w:t>试验灰渣</w:t>
            </w:r>
          </w:p>
          <w:p w14:paraId="3047FA27">
            <w:pPr>
              <w:spacing w:line="360" w:lineRule="auto"/>
              <w:ind w:firstLine="480" w:firstLineChars="200"/>
              <w:jc w:val="left"/>
              <w:rPr>
                <w:rFonts w:hint="eastAsia" w:ascii="Times New Roman" w:hAnsi="Times New Roman" w:cs="Times New Roman"/>
                <w:color w:val="FF0000"/>
                <w:kern w:val="2"/>
                <w:sz w:val="24"/>
                <w:szCs w:val="21"/>
                <w:highlight w:val="green"/>
                <w:lang w:val="en-US" w:eastAsia="zh-CN" w:bidi="ar-SA"/>
              </w:rPr>
            </w:pPr>
            <w:r>
              <w:rPr>
                <w:rFonts w:hint="eastAsia" w:ascii="Times New Roman" w:hAnsi="Times New Roman" w:cs="Times New Roman"/>
                <w:color w:val="FF0000"/>
                <w:kern w:val="2"/>
                <w:sz w:val="24"/>
                <w:szCs w:val="21"/>
                <w:highlight w:val="green"/>
                <w:lang w:val="en-US" w:eastAsia="zh-CN" w:bidi="ar-SA"/>
              </w:rPr>
              <w:t>化验室试验后灰渣产生量较少，</w:t>
            </w:r>
            <w:r>
              <w:rPr>
                <w:rFonts w:hint="eastAsia" w:cs="Times New Roman"/>
                <w:color w:val="FF0000"/>
                <w:kern w:val="2"/>
                <w:sz w:val="24"/>
                <w:szCs w:val="21"/>
                <w:highlight w:val="green"/>
                <w:lang w:val="en-US" w:eastAsia="zh-CN" w:bidi="ar-SA"/>
              </w:rPr>
              <w:t>约0.01t/a，</w:t>
            </w:r>
            <w:r>
              <w:rPr>
                <w:rFonts w:hint="eastAsia" w:ascii="Times New Roman" w:hAnsi="Times New Roman" w:cs="Times New Roman"/>
                <w:color w:val="FF0000"/>
                <w:kern w:val="2"/>
                <w:sz w:val="24"/>
                <w:szCs w:val="21"/>
                <w:highlight w:val="green"/>
                <w:lang w:val="en-US" w:eastAsia="zh-CN" w:bidi="ar-SA"/>
              </w:rPr>
              <w:t>与矸石一同综合利用</w:t>
            </w:r>
            <w:r>
              <w:rPr>
                <w:rFonts w:hint="eastAsia" w:cs="Times New Roman"/>
                <w:color w:val="FF0000"/>
                <w:kern w:val="2"/>
                <w:sz w:val="24"/>
                <w:szCs w:val="21"/>
                <w:highlight w:val="green"/>
                <w:lang w:val="en-US" w:eastAsia="zh-CN" w:bidi="ar-SA"/>
              </w:rPr>
              <w:t>。</w:t>
            </w:r>
          </w:p>
          <w:p w14:paraId="4D9C174F">
            <w:pPr>
              <w:spacing w:line="360" w:lineRule="auto"/>
              <w:ind w:firstLine="480" w:firstLineChars="200"/>
              <w:jc w:val="left"/>
              <w:rPr>
                <w:rFonts w:hint="eastAsia" w:ascii="Times New Roman" w:hAnsi="Times New Roman" w:cs="Times New Roman"/>
                <w:color w:val="000000" w:themeColor="text1"/>
                <w:kern w:val="2"/>
                <w:sz w:val="24"/>
                <w:szCs w:val="21"/>
                <w:highlight w:val="none"/>
                <w:lang w:val="en-US" w:eastAsia="zh-CN" w:bidi="ar-SA"/>
                <w14:textFill>
                  <w14:solidFill>
                    <w14:schemeClr w14:val="tx1"/>
                  </w14:solidFill>
                </w14:textFill>
              </w:rPr>
            </w:pPr>
            <w:r>
              <w:rPr>
                <w:rFonts w:hint="eastAsia" w:cs="Times New Roman"/>
                <w:color w:val="000000" w:themeColor="text1"/>
                <w:kern w:val="2"/>
                <w:sz w:val="24"/>
                <w:szCs w:val="21"/>
                <w:highlight w:val="none"/>
                <w:lang w:val="en-US" w:eastAsia="zh-CN" w:bidi="ar-SA"/>
                <w14:textFill>
                  <w14:solidFill>
                    <w14:schemeClr w14:val="tx1"/>
                  </w14:solidFill>
                </w14:textFill>
              </w:rPr>
              <w:t>⑤</w:t>
            </w:r>
            <w:r>
              <w:rPr>
                <w:rFonts w:hint="eastAsia" w:ascii="Times New Roman" w:hAnsi="Times New Roman" w:cs="Times New Roman"/>
                <w:color w:val="000000" w:themeColor="text1"/>
                <w:kern w:val="2"/>
                <w:sz w:val="24"/>
                <w:szCs w:val="21"/>
                <w:highlight w:val="none"/>
                <w:lang w:val="en-US" w:eastAsia="zh-CN" w:bidi="ar-SA"/>
                <w14:textFill>
                  <w14:solidFill>
                    <w14:schemeClr w14:val="tx1"/>
                  </w14:solidFill>
                </w14:textFill>
              </w:rPr>
              <w:t>废机油</w:t>
            </w:r>
            <w:r>
              <w:rPr>
                <w:rFonts w:hint="eastAsia" w:cs="Times New Roman"/>
                <w:color w:val="000000" w:themeColor="text1"/>
                <w:kern w:val="2"/>
                <w:sz w:val="24"/>
                <w:szCs w:val="21"/>
                <w:highlight w:val="none"/>
                <w:lang w:val="en-US" w:eastAsia="zh-CN" w:bidi="ar-SA"/>
                <w14:textFill>
                  <w14:solidFill>
                    <w14:schemeClr w14:val="tx1"/>
                  </w14:solidFill>
                </w14:textFill>
              </w:rPr>
              <w:t>、废油桶</w:t>
            </w:r>
            <w:r>
              <w:rPr>
                <w:rFonts w:hint="eastAsia" w:ascii="Times New Roman" w:hAnsi="Times New Roman" w:cs="Times New Roman"/>
                <w:color w:val="000000" w:themeColor="text1"/>
                <w:kern w:val="2"/>
                <w:sz w:val="24"/>
                <w:szCs w:val="21"/>
                <w:highlight w:val="none"/>
                <w:lang w:val="en-US" w:eastAsia="zh-CN" w:bidi="ar-SA"/>
                <w14:textFill>
                  <w14:solidFill>
                    <w14:schemeClr w14:val="tx1"/>
                  </w14:solidFill>
                </w14:textFill>
              </w:rPr>
              <w:t xml:space="preserve"> </w:t>
            </w:r>
          </w:p>
          <w:p w14:paraId="7009AEE0">
            <w:pPr>
              <w:spacing w:line="360" w:lineRule="auto"/>
              <w:ind w:firstLine="480" w:firstLineChars="200"/>
              <w:jc w:val="left"/>
              <w:rPr>
                <w:rFonts w:hint="default" w:ascii="Times New Roman" w:hAnsi="Times New Roman" w:eastAsia="宋体" w:cs="Times New Roman"/>
                <w:color w:val="000000" w:themeColor="text1"/>
                <w:kern w:val="2"/>
                <w:sz w:val="24"/>
                <w:szCs w:val="21"/>
                <w:highlight w:val="yellow"/>
                <w:lang w:val="en-US" w:eastAsia="zh-CN" w:bidi="ar-SA"/>
                <w14:textFill>
                  <w14:solidFill>
                    <w14:schemeClr w14:val="tx1"/>
                  </w14:solidFill>
                </w14:textFill>
              </w:rPr>
            </w:pPr>
            <w:r>
              <w:rPr>
                <w:rFonts w:hint="eastAsia" w:ascii="Times New Roman" w:hAnsi="Times New Roman" w:cs="Times New Roman"/>
                <w:color w:val="000000" w:themeColor="text1"/>
                <w:kern w:val="2"/>
                <w:sz w:val="24"/>
                <w:szCs w:val="21"/>
                <w:highlight w:val="none"/>
                <w:lang w:val="en-US" w:eastAsia="zh-CN" w:bidi="ar-SA"/>
                <w14:textFill>
                  <w14:solidFill>
                    <w14:schemeClr w14:val="tx1"/>
                  </w14:solidFill>
                </w14:textFill>
              </w:rPr>
              <w:t>项目设备检修时会产生少量废机油，产生量约为0.</w:t>
            </w:r>
            <w:r>
              <w:rPr>
                <w:rFonts w:hint="eastAsia" w:cs="Times New Roman"/>
                <w:color w:val="000000" w:themeColor="text1"/>
                <w:kern w:val="2"/>
                <w:sz w:val="24"/>
                <w:szCs w:val="21"/>
                <w:highlight w:val="none"/>
                <w:lang w:val="en-US" w:eastAsia="zh-CN" w:bidi="ar-SA"/>
                <w14:textFill>
                  <w14:solidFill>
                    <w14:schemeClr w14:val="tx1"/>
                  </w14:solidFill>
                </w14:textFill>
              </w:rPr>
              <w:t>5</w:t>
            </w:r>
            <w:r>
              <w:rPr>
                <w:rFonts w:hint="eastAsia" w:ascii="Times New Roman" w:hAnsi="Times New Roman" w:cs="Times New Roman"/>
                <w:color w:val="000000" w:themeColor="text1"/>
                <w:kern w:val="2"/>
                <w:sz w:val="24"/>
                <w:szCs w:val="21"/>
                <w:highlight w:val="none"/>
                <w:lang w:val="en-US" w:eastAsia="zh-CN" w:bidi="ar-SA"/>
                <w14:textFill>
                  <w14:solidFill>
                    <w14:schemeClr w14:val="tx1"/>
                  </w14:solidFill>
                </w14:textFill>
              </w:rPr>
              <w:t>t/a，根据《国家危险废物名录》（202</w:t>
            </w:r>
            <w:r>
              <w:rPr>
                <w:rFonts w:hint="eastAsia" w:cs="Times New Roman"/>
                <w:color w:val="000000" w:themeColor="text1"/>
                <w:kern w:val="2"/>
                <w:sz w:val="24"/>
                <w:szCs w:val="21"/>
                <w:highlight w:val="none"/>
                <w:lang w:val="en-US" w:eastAsia="zh-CN" w:bidi="ar-SA"/>
                <w14:textFill>
                  <w14:solidFill>
                    <w14:schemeClr w14:val="tx1"/>
                  </w14:solidFill>
                </w14:textFill>
              </w:rPr>
              <w:t>5</w:t>
            </w:r>
            <w:r>
              <w:rPr>
                <w:rFonts w:hint="eastAsia" w:ascii="Times New Roman" w:hAnsi="Times New Roman" w:cs="Times New Roman"/>
                <w:color w:val="000000" w:themeColor="text1"/>
                <w:kern w:val="2"/>
                <w:sz w:val="24"/>
                <w:szCs w:val="21"/>
                <w:highlight w:val="none"/>
                <w:lang w:val="en-US" w:eastAsia="zh-CN" w:bidi="ar-SA"/>
                <w14:textFill>
                  <w14:solidFill>
                    <w14:schemeClr w14:val="tx1"/>
                  </w14:solidFill>
                </w14:textFill>
              </w:rPr>
              <w:t>年版），废机油</w:t>
            </w:r>
            <w:r>
              <w:rPr>
                <w:rFonts w:hint="eastAsia" w:cs="Times New Roman"/>
                <w:color w:val="000000" w:themeColor="text1"/>
                <w:kern w:val="2"/>
                <w:sz w:val="24"/>
                <w:szCs w:val="21"/>
                <w:highlight w:val="none"/>
                <w:lang w:val="en-US" w:eastAsia="zh-CN" w:bidi="ar-SA"/>
                <w14:textFill>
                  <w14:solidFill>
                    <w14:schemeClr w14:val="tx1"/>
                  </w14:solidFill>
                </w14:textFill>
              </w:rPr>
              <w:t>、废油桶均</w:t>
            </w:r>
            <w:r>
              <w:rPr>
                <w:rFonts w:hint="eastAsia" w:ascii="Times New Roman" w:hAnsi="Times New Roman" w:cs="Times New Roman"/>
                <w:color w:val="000000" w:themeColor="text1"/>
                <w:kern w:val="2"/>
                <w:sz w:val="24"/>
                <w:szCs w:val="21"/>
                <w:highlight w:val="none"/>
                <w:lang w:val="en-US" w:eastAsia="zh-CN" w:bidi="ar-SA"/>
                <w14:textFill>
                  <w14:solidFill>
                    <w14:schemeClr w14:val="tx1"/>
                  </w14:solidFill>
                </w14:textFill>
              </w:rPr>
              <w:t>属于HW08危险废物，本项目废机油</w:t>
            </w:r>
            <w:r>
              <w:rPr>
                <w:rFonts w:hint="eastAsia" w:cs="Times New Roman"/>
                <w:color w:val="000000" w:themeColor="text1"/>
                <w:kern w:val="2"/>
                <w:sz w:val="24"/>
                <w:szCs w:val="21"/>
                <w:highlight w:val="none"/>
                <w:lang w:val="en-US" w:eastAsia="zh-CN" w:bidi="ar-SA"/>
                <w14:textFill>
                  <w14:solidFill>
                    <w14:schemeClr w14:val="tx1"/>
                  </w14:solidFill>
                </w14:textFill>
              </w:rPr>
              <w:t>、废油桶</w:t>
            </w:r>
            <w:r>
              <w:rPr>
                <w:rFonts w:hint="eastAsia" w:ascii="Times New Roman" w:hAnsi="Times New Roman" w:cs="Times New Roman"/>
                <w:color w:val="000000" w:themeColor="text1"/>
                <w:kern w:val="2"/>
                <w:sz w:val="24"/>
                <w:szCs w:val="21"/>
                <w:highlight w:val="none"/>
                <w:lang w:val="en-US" w:eastAsia="zh-CN" w:bidi="ar-SA"/>
                <w14:textFill>
                  <w14:solidFill>
                    <w14:schemeClr w14:val="tx1"/>
                  </w14:solidFill>
                </w14:textFill>
              </w:rPr>
              <w:t>分区暂存，定期委托有资质单位处置。</w:t>
            </w:r>
          </w:p>
          <w:p w14:paraId="5EDA95CC">
            <w:pPr>
              <w:spacing w:line="360" w:lineRule="auto"/>
              <w:ind w:firstLine="480" w:firstLineChars="200"/>
              <w:jc w:val="left"/>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eastAsia" w:cs="Times New Roman"/>
                <w:color w:val="000000" w:themeColor="text1"/>
                <w:kern w:val="2"/>
                <w:sz w:val="24"/>
                <w:szCs w:val="21"/>
                <w:highlight w:val="none"/>
                <w:lang w:val="en-US" w:eastAsia="zh-CN" w:bidi="ar-SA"/>
                <w14:textFill>
                  <w14:solidFill>
                    <w14:schemeClr w14:val="tx1"/>
                  </w14:solidFill>
                </w14:textFill>
              </w:rPr>
              <w:t>⑥</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生活垃圾</w:t>
            </w:r>
          </w:p>
          <w:p w14:paraId="0FC107EE">
            <w:pPr>
              <w:adjustRightInd w:val="0"/>
              <w:snapToGrid w:val="0"/>
              <w:spacing w:line="360" w:lineRule="auto"/>
              <w:ind w:firstLine="480" w:firstLineChars="200"/>
              <w:rPr>
                <w:color w:val="000000" w:themeColor="text1"/>
                <w:sz w:val="24"/>
                <w:highlight w:val="yellow"/>
                <w14:textFill>
                  <w14:solidFill>
                    <w14:schemeClr w14:val="tx1"/>
                  </w14:solidFill>
                </w14:textFill>
              </w:rPr>
            </w:pP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项目运营期劳动定员</w:t>
            </w:r>
            <w:r>
              <w:rPr>
                <w:rFonts w:hint="eastAsia" w:cs="Times New Roman"/>
                <w:color w:val="000000" w:themeColor="text1"/>
                <w:kern w:val="2"/>
                <w:sz w:val="24"/>
                <w:szCs w:val="21"/>
                <w:highlight w:val="none"/>
                <w:lang w:val="en-US" w:eastAsia="zh-CN" w:bidi="ar-SA"/>
                <w14:textFill>
                  <w14:solidFill>
                    <w14:schemeClr w14:val="tx1"/>
                  </w14:solidFill>
                </w14:textFill>
              </w:rPr>
              <w:t>130</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人，生活垃圾产生量按0.5kg/人.d计，项目年生产</w:t>
            </w:r>
            <w:r>
              <w:rPr>
                <w:rFonts w:hint="eastAsia" w:ascii="Times New Roman" w:hAnsi="Times New Roman" w:cs="Times New Roman"/>
                <w:color w:val="000000" w:themeColor="text1"/>
                <w:kern w:val="2"/>
                <w:sz w:val="24"/>
                <w:szCs w:val="21"/>
                <w:highlight w:val="none"/>
                <w:lang w:val="en-US" w:eastAsia="zh-CN" w:bidi="ar-SA"/>
                <w14:textFill>
                  <w14:solidFill>
                    <w14:schemeClr w14:val="tx1"/>
                  </w14:solidFill>
                </w14:textFill>
              </w:rPr>
              <w:t>330</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天，则本项目职工生活垃圾产生量为</w:t>
            </w:r>
            <w:r>
              <w:rPr>
                <w:rFonts w:hint="eastAsia" w:cs="Times New Roman"/>
                <w:color w:val="000000" w:themeColor="text1"/>
                <w:kern w:val="2"/>
                <w:sz w:val="24"/>
                <w:szCs w:val="21"/>
                <w:highlight w:val="none"/>
                <w:lang w:val="en-US" w:eastAsia="zh-CN" w:bidi="ar-SA"/>
                <w14:textFill>
                  <w14:solidFill>
                    <w14:schemeClr w14:val="tx1"/>
                  </w14:solidFill>
                </w14:textFill>
              </w:rPr>
              <w:t>21.45</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t/a。生活垃圾分类收集，定期按照市政环卫部门要求处置。</w:t>
            </w:r>
          </w:p>
          <w:p w14:paraId="77EC1F84">
            <w:pPr>
              <w:autoSpaceDE w:val="0"/>
              <w:autoSpaceDN w:val="0"/>
              <w:spacing w:line="360" w:lineRule="auto"/>
              <w:ind w:firstLine="480" w:firstLineChars="200"/>
              <w:rPr>
                <w:color w:val="000000" w:themeColor="text1"/>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一般工业</w:t>
            </w:r>
            <w:r>
              <w:rPr>
                <w:rFonts w:hint="eastAsia"/>
                <w:color w:val="000000" w:themeColor="text1"/>
                <w:sz w:val="24"/>
                <w:highlight w:val="none"/>
                <w14:textFill>
                  <w14:solidFill>
                    <w14:schemeClr w14:val="tx1"/>
                  </w14:solidFill>
                </w14:textFill>
              </w:rPr>
              <w:t>固体废物</w:t>
            </w:r>
            <w:r>
              <w:rPr>
                <w:color w:val="000000" w:themeColor="text1"/>
                <w:sz w:val="24"/>
                <w:highlight w:val="none"/>
                <w14:textFill>
                  <w14:solidFill>
                    <w14:schemeClr w14:val="tx1"/>
                  </w14:solidFill>
                </w14:textFill>
              </w:rPr>
              <w:t>产生情况详见表4-</w:t>
            </w:r>
            <w:r>
              <w:rPr>
                <w:rFonts w:hint="eastAsia"/>
                <w:color w:val="000000" w:themeColor="text1"/>
                <w:sz w:val="24"/>
                <w:highlight w:val="none"/>
                <w:lang w:val="en-US" w:eastAsia="zh-CN"/>
                <w14:textFill>
                  <w14:solidFill>
                    <w14:schemeClr w14:val="tx1"/>
                  </w14:solidFill>
                </w14:textFill>
              </w:rPr>
              <w:t>9</w:t>
            </w:r>
            <w:r>
              <w:rPr>
                <w:color w:val="000000" w:themeColor="text1"/>
                <w:sz w:val="24"/>
                <w:highlight w:val="none"/>
                <w14:textFill>
                  <w14:solidFill>
                    <w14:schemeClr w14:val="tx1"/>
                  </w14:solidFill>
                </w14:textFill>
              </w:rPr>
              <w:t>。</w:t>
            </w:r>
          </w:p>
          <w:p w14:paraId="57DB5744">
            <w:pPr>
              <w:autoSpaceDE w:val="0"/>
              <w:autoSpaceDN w:val="0"/>
              <w:spacing w:line="360" w:lineRule="auto"/>
              <w:jc w:val="center"/>
              <w:rPr>
                <w:b/>
                <w:bCs/>
                <w:color w:val="000000" w:themeColor="text1"/>
                <w:kern w:val="0"/>
                <w:sz w:val="24"/>
                <w:highlight w:val="none"/>
                <w:lang w:bidi="zh-CN"/>
                <w14:textFill>
                  <w14:solidFill>
                    <w14:schemeClr w14:val="tx1"/>
                  </w14:solidFill>
                </w14:textFill>
              </w:rPr>
            </w:pPr>
            <w:r>
              <w:rPr>
                <w:b/>
                <w:bCs/>
                <w:color w:val="000000" w:themeColor="text1"/>
                <w:kern w:val="0"/>
                <w:sz w:val="24"/>
                <w:highlight w:val="none"/>
                <w:lang w:bidi="zh-CN"/>
                <w14:textFill>
                  <w14:solidFill>
                    <w14:schemeClr w14:val="tx1"/>
                  </w14:solidFill>
                </w14:textFill>
              </w:rPr>
              <w:t>表4-</w:t>
            </w:r>
            <w:r>
              <w:rPr>
                <w:rFonts w:hint="eastAsia"/>
                <w:b/>
                <w:bCs/>
                <w:color w:val="000000" w:themeColor="text1"/>
                <w:kern w:val="0"/>
                <w:sz w:val="24"/>
                <w:highlight w:val="none"/>
                <w:lang w:val="en-US" w:bidi="zh-CN"/>
                <w14:textFill>
                  <w14:solidFill>
                    <w14:schemeClr w14:val="tx1"/>
                  </w14:solidFill>
                </w14:textFill>
              </w:rPr>
              <w:t>9</w:t>
            </w:r>
            <w:r>
              <w:rPr>
                <w:b/>
                <w:bCs/>
                <w:color w:val="000000" w:themeColor="text1"/>
                <w:kern w:val="0"/>
                <w:sz w:val="24"/>
                <w:highlight w:val="none"/>
                <w:lang w:bidi="zh-CN"/>
                <w14:textFill>
                  <w14:solidFill>
                    <w14:schemeClr w14:val="tx1"/>
                  </w14:solidFill>
                </w14:textFill>
              </w:rPr>
              <w:t xml:space="preserve"> 一般</w:t>
            </w:r>
            <w:r>
              <w:rPr>
                <w:rFonts w:hint="eastAsia"/>
                <w:b/>
                <w:bCs/>
                <w:color w:val="000000" w:themeColor="text1"/>
                <w:kern w:val="0"/>
                <w:sz w:val="24"/>
                <w:highlight w:val="none"/>
                <w:lang w:bidi="zh-CN"/>
                <w14:textFill>
                  <w14:solidFill>
                    <w14:schemeClr w14:val="tx1"/>
                  </w14:solidFill>
                </w14:textFill>
              </w:rPr>
              <w:t>工业</w:t>
            </w:r>
            <w:r>
              <w:rPr>
                <w:b/>
                <w:bCs/>
                <w:color w:val="000000" w:themeColor="text1"/>
                <w:kern w:val="0"/>
                <w:sz w:val="24"/>
                <w:highlight w:val="none"/>
                <w:lang w:bidi="zh-CN"/>
                <w14:textFill>
                  <w14:solidFill>
                    <w14:schemeClr w14:val="tx1"/>
                  </w14:solidFill>
                </w14:textFill>
              </w:rPr>
              <w:t>固</w:t>
            </w:r>
            <w:r>
              <w:rPr>
                <w:rFonts w:hint="eastAsia"/>
                <w:b/>
                <w:bCs/>
                <w:color w:val="000000" w:themeColor="text1"/>
                <w:kern w:val="0"/>
                <w:sz w:val="24"/>
                <w:highlight w:val="none"/>
                <w:lang w:bidi="zh-CN"/>
                <w14:textFill>
                  <w14:solidFill>
                    <w14:schemeClr w14:val="tx1"/>
                  </w14:solidFill>
                </w14:textFill>
              </w:rPr>
              <w:t>体</w:t>
            </w:r>
            <w:r>
              <w:rPr>
                <w:b/>
                <w:bCs/>
                <w:color w:val="000000" w:themeColor="text1"/>
                <w:kern w:val="0"/>
                <w:sz w:val="24"/>
                <w:highlight w:val="none"/>
                <w:lang w:bidi="zh-CN"/>
                <w14:textFill>
                  <w14:solidFill>
                    <w14:schemeClr w14:val="tx1"/>
                  </w14:solidFill>
                </w14:textFill>
              </w:rPr>
              <w:t>废</w:t>
            </w:r>
            <w:r>
              <w:rPr>
                <w:rFonts w:hint="eastAsia"/>
                <w:b/>
                <w:bCs/>
                <w:color w:val="000000" w:themeColor="text1"/>
                <w:kern w:val="0"/>
                <w:sz w:val="24"/>
                <w:highlight w:val="none"/>
                <w:lang w:bidi="zh-CN"/>
                <w14:textFill>
                  <w14:solidFill>
                    <w14:schemeClr w14:val="tx1"/>
                  </w14:solidFill>
                </w14:textFill>
              </w:rPr>
              <w:t>物</w:t>
            </w:r>
            <w:r>
              <w:rPr>
                <w:b/>
                <w:bCs/>
                <w:color w:val="000000" w:themeColor="text1"/>
                <w:kern w:val="0"/>
                <w:sz w:val="24"/>
                <w:highlight w:val="none"/>
                <w:lang w:bidi="zh-CN"/>
                <w14:textFill>
                  <w14:solidFill>
                    <w14:schemeClr w14:val="tx1"/>
                  </w14:solidFill>
                </w14:textFill>
              </w:rPr>
              <w:t>产生情况</w:t>
            </w:r>
          </w:p>
          <w:tbl>
            <w:tblPr>
              <w:tblStyle w:val="28"/>
              <w:tblW w:w="791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3"/>
              <w:gridCol w:w="640"/>
              <w:gridCol w:w="1075"/>
              <w:gridCol w:w="755"/>
              <w:gridCol w:w="684"/>
              <w:gridCol w:w="858"/>
              <w:gridCol w:w="735"/>
              <w:gridCol w:w="554"/>
              <w:gridCol w:w="654"/>
              <w:gridCol w:w="1312"/>
            </w:tblGrid>
            <w:tr w14:paraId="299D8D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406" w:type="pct"/>
                  <w:vMerge w:val="restart"/>
                  <w:vAlign w:val="center"/>
                </w:tcPr>
                <w:p w14:paraId="17385021">
                  <w:pPr>
                    <w:spacing w:line="0" w:lineRule="atLeast"/>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工序/生产线</w:t>
                  </w:r>
                </w:p>
              </w:tc>
              <w:tc>
                <w:tcPr>
                  <w:tcW w:w="404" w:type="pct"/>
                  <w:vMerge w:val="restart"/>
                  <w:vAlign w:val="center"/>
                </w:tcPr>
                <w:p w14:paraId="69F41B65">
                  <w:pPr>
                    <w:spacing w:line="0" w:lineRule="atLeast"/>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装置</w:t>
                  </w:r>
                </w:p>
              </w:tc>
              <w:tc>
                <w:tcPr>
                  <w:tcW w:w="679" w:type="pct"/>
                  <w:vMerge w:val="restart"/>
                  <w:shd w:val="clear" w:color="auto" w:fill="auto"/>
                  <w:vAlign w:val="center"/>
                </w:tcPr>
                <w:p w14:paraId="252637E1">
                  <w:pPr>
                    <w:spacing w:line="0" w:lineRule="atLeast"/>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固体废物</w:t>
                  </w:r>
                </w:p>
                <w:p w14:paraId="0B91F631">
                  <w:pPr>
                    <w:spacing w:line="0" w:lineRule="atLeast"/>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名称</w:t>
                  </w:r>
                </w:p>
              </w:tc>
              <w:tc>
                <w:tcPr>
                  <w:tcW w:w="477" w:type="pct"/>
                  <w:vMerge w:val="restart"/>
                  <w:shd w:val="clear" w:color="auto" w:fill="auto"/>
                  <w:vAlign w:val="center"/>
                </w:tcPr>
                <w:p w14:paraId="01587449">
                  <w:pPr>
                    <w:spacing w:line="0" w:lineRule="atLeast"/>
                    <w:jc w:val="center"/>
                    <w:rPr>
                      <w:b w:val="0"/>
                      <w:bCs w:val="0"/>
                      <w:color w:val="000000" w:themeColor="text1"/>
                      <w:szCs w:val="21"/>
                      <w:highlight w:val="none"/>
                      <w14:textFill>
                        <w14:solidFill>
                          <w14:schemeClr w14:val="tx1"/>
                        </w14:solidFill>
                      </w14:textFill>
                    </w:rPr>
                  </w:pPr>
                  <w:r>
                    <w:rPr>
                      <w:rFonts w:hint="eastAsia"/>
                      <w:b w:val="0"/>
                      <w:bCs w:val="0"/>
                      <w:color w:val="000000" w:themeColor="text1"/>
                      <w:szCs w:val="21"/>
                      <w:highlight w:val="none"/>
                      <w14:textFill>
                        <w14:solidFill>
                          <w14:schemeClr w14:val="tx1"/>
                        </w14:solidFill>
                      </w14:textFill>
                    </w:rPr>
                    <w:t>固体废物代码</w:t>
                  </w:r>
                </w:p>
              </w:tc>
              <w:tc>
                <w:tcPr>
                  <w:tcW w:w="432" w:type="pct"/>
                  <w:vMerge w:val="restart"/>
                  <w:shd w:val="clear" w:color="auto" w:fill="auto"/>
                  <w:vAlign w:val="center"/>
                </w:tcPr>
                <w:p w14:paraId="3F2EADB0">
                  <w:pPr>
                    <w:spacing w:line="0" w:lineRule="atLeast"/>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固体废物属性</w:t>
                  </w:r>
                </w:p>
              </w:tc>
              <w:tc>
                <w:tcPr>
                  <w:tcW w:w="1006" w:type="pct"/>
                  <w:gridSpan w:val="2"/>
                  <w:shd w:val="clear" w:color="auto" w:fill="auto"/>
                  <w:vAlign w:val="center"/>
                </w:tcPr>
                <w:p w14:paraId="089B61C7">
                  <w:pPr>
                    <w:spacing w:line="0" w:lineRule="atLeast"/>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产生情况</w:t>
                  </w:r>
                </w:p>
              </w:tc>
              <w:tc>
                <w:tcPr>
                  <w:tcW w:w="763" w:type="pct"/>
                  <w:gridSpan w:val="2"/>
                  <w:shd w:val="clear" w:color="auto" w:fill="auto"/>
                  <w:vAlign w:val="center"/>
                </w:tcPr>
                <w:p w14:paraId="20B287A2">
                  <w:pPr>
                    <w:spacing w:line="0" w:lineRule="atLeast"/>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处置措施</w:t>
                  </w:r>
                </w:p>
              </w:tc>
              <w:tc>
                <w:tcPr>
                  <w:tcW w:w="829" w:type="pct"/>
                  <w:vMerge w:val="restart"/>
                  <w:vAlign w:val="center"/>
                </w:tcPr>
                <w:p w14:paraId="5D5787F5">
                  <w:pPr>
                    <w:spacing w:line="0" w:lineRule="atLeast"/>
                    <w:jc w:val="center"/>
                    <w:rPr>
                      <w:b/>
                      <w:bCs/>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最终去向</w:t>
                  </w:r>
                </w:p>
              </w:tc>
            </w:tr>
            <w:tr w14:paraId="7423E0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406" w:type="pct"/>
                  <w:vMerge w:val="continue"/>
                  <w:tcBorders>
                    <w:bottom w:val="single" w:color="auto" w:sz="4" w:space="0"/>
                  </w:tcBorders>
                  <w:vAlign w:val="center"/>
                </w:tcPr>
                <w:p w14:paraId="3048016F">
                  <w:pPr>
                    <w:spacing w:line="0" w:lineRule="atLeast"/>
                    <w:jc w:val="center"/>
                    <w:rPr>
                      <w:b w:val="0"/>
                      <w:bCs w:val="0"/>
                      <w:color w:val="000000" w:themeColor="text1"/>
                      <w:szCs w:val="21"/>
                      <w:highlight w:val="none"/>
                      <w14:textFill>
                        <w14:solidFill>
                          <w14:schemeClr w14:val="tx1"/>
                        </w14:solidFill>
                      </w14:textFill>
                    </w:rPr>
                  </w:pPr>
                </w:p>
              </w:tc>
              <w:tc>
                <w:tcPr>
                  <w:tcW w:w="404" w:type="pct"/>
                  <w:vMerge w:val="continue"/>
                  <w:tcBorders>
                    <w:bottom w:val="single" w:color="auto" w:sz="4" w:space="0"/>
                  </w:tcBorders>
                  <w:vAlign w:val="center"/>
                </w:tcPr>
                <w:p w14:paraId="054DD8A7">
                  <w:pPr>
                    <w:spacing w:line="0" w:lineRule="atLeast"/>
                    <w:jc w:val="center"/>
                    <w:rPr>
                      <w:b w:val="0"/>
                      <w:bCs w:val="0"/>
                      <w:color w:val="000000" w:themeColor="text1"/>
                      <w:szCs w:val="21"/>
                      <w:highlight w:val="none"/>
                      <w14:textFill>
                        <w14:solidFill>
                          <w14:schemeClr w14:val="tx1"/>
                        </w14:solidFill>
                      </w14:textFill>
                    </w:rPr>
                  </w:pPr>
                </w:p>
              </w:tc>
              <w:tc>
                <w:tcPr>
                  <w:tcW w:w="679" w:type="pct"/>
                  <w:vMerge w:val="continue"/>
                  <w:shd w:val="clear" w:color="auto" w:fill="auto"/>
                  <w:vAlign w:val="center"/>
                </w:tcPr>
                <w:p w14:paraId="694D17A3">
                  <w:pPr>
                    <w:spacing w:line="0" w:lineRule="atLeast"/>
                    <w:jc w:val="center"/>
                    <w:rPr>
                      <w:b w:val="0"/>
                      <w:bCs w:val="0"/>
                      <w:color w:val="000000" w:themeColor="text1"/>
                      <w:szCs w:val="21"/>
                      <w:highlight w:val="none"/>
                      <w14:textFill>
                        <w14:solidFill>
                          <w14:schemeClr w14:val="tx1"/>
                        </w14:solidFill>
                      </w14:textFill>
                    </w:rPr>
                  </w:pPr>
                </w:p>
              </w:tc>
              <w:tc>
                <w:tcPr>
                  <w:tcW w:w="477" w:type="pct"/>
                  <w:vMerge w:val="continue"/>
                  <w:shd w:val="clear" w:color="auto" w:fill="auto"/>
                  <w:vAlign w:val="center"/>
                </w:tcPr>
                <w:p w14:paraId="2E427169">
                  <w:pPr>
                    <w:spacing w:line="0" w:lineRule="atLeast"/>
                    <w:jc w:val="center"/>
                    <w:rPr>
                      <w:b w:val="0"/>
                      <w:bCs w:val="0"/>
                      <w:color w:val="000000" w:themeColor="text1"/>
                      <w:szCs w:val="21"/>
                      <w:highlight w:val="none"/>
                      <w14:textFill>
                        <w14:solidFill>
                          <w14:schemeClr w14:val="tx1"/>
                        </w14:solidFill>
                      </w14:textFill>
                    </w:rPr>
                  </w:pPr>
                </w:p>
              </w:tc>
              <w:tc>
                <w:tcPr>
                  <w:tcW w:w="432" w:type="pct"/>
                  <w:vMerge w:val="continue"/>
                  <w:shd w:val="clear" w:color="auto" w:fill="auto"/>
                  <w:vAlign w:val="center"/>
                </w:tcPr>
                <w:p w14:paraId="7F7B0E46">
                  <w:pPr>
                    <w:spacing w:line="0" w:lineRule="atLeast"/>
                    <w:jc w:val="center"/>
                    <w:rPr>
                      <w:b w:val="0"/>
                      <w:bCs w:val="0"/>
                      <w:color w:val="000000" w:themeColor="text1"/>
                      <w:szCs w:val="21"/>
                      <w:highlight w:val="none"/>
                      <w14:textFill>
                        <w14:solidFill>
                          <w14:schemeClr w14:val="tx1"/>
                        </w14:solidFill>
                      </w14:textFill>
                    </w:rPr>
                  </w:pPr>
                </w:p>
              </w:tc>
              <w:tc>
                <w:tcPr>
                  <w:tcW w:w="542" w:type="pct"/>
                  <w:shd w:val="clear" w:color="auto" w:fill="auto"/>
                  <w:vAlign w:val="center"/>
                </w:tcPr>
                <w:p w14:paraId="5CBC8D3B">
                  <w:pPr>
                    <w:spacing w:line="0" w:lineRule="atLeast"/>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核算</w:t>
                  </w:r>
                </w:p>
                <w:p w14:paraId="40E9ED7A">
                  <w:pPr>
                    <w:spacing w:line="0" w:lineRule="atLeast"/>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方法</w:t>
                  </w:r>
                </w:p>
              </w:tc>
              <w:tc>
                <w:tcPr>
                  <w:tcW w:w="464" w:type="pct"/>
                  <w:shd w:val="clear" w:color="auto" w:fill="auto"/>
                  <w:vAlign w:val="center"/>
                </w:tcPr>
                <w:p w14:paraId="70BA1C4A">
                  <w:pPr>
                    <w:spacing w:line="0" w:lineRule="atLeast"/>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产生量t/a</w:t>
                  </w:r>
                </w:p>
              </w:tc>
              <w:tc>
                <w:tcPr>
                  <w:tcW w:w="350" w:type="pct"/>
                  <w:shd w:val="clear" w:color="auto" w:fill="auto"/>
                  <w:vAlign w:val="center"/>
                </w:tcPr>
                <w:p w14:paraId="363221A2">
                  <w:pPr>
                    <w:spacing w:line="0" w:lineRule="atLeast"/>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工艺</w:t>
                  </w:r>
                </w:p>
              </w:tc>
              <w:tc>
                <w:tcPr>
                  <w:tcW w:w="413" w:type="pct"/>
                  <w:shd w:val="clear" w:color="auto" w:fill="auto"/>
                  <w:vAlign w:val="center"/>
                </w:tcPr>
                <w:p w14:paraId="2A23C1E6">
                  <w:pPr>
                    <w:spacing w:line="0" w:lineRule="atLeast"/>
                    <w:jc w:val="center"/>
                    <w:rPr>
                      <w:b w:val="0"/>
                      <w:bCs w:val="0"/>
                      <w:color w:val="000000" w:themeColor="text1"/>
                      <w:szCs w:val="21"/>
                      <w:highlight w:val="none"/>
                      <w14:textFill>
                        <w14:solidFill>
                          <w14:schemeClr w14:val="tx1"/>
                        </w14:solidFill>
                      </w14:textFill>
                    </w:rPr>
                  </w:pPr>
                  <w:r>
                    <w:rPr>
                      <w:b w:val="0"/>
                      <w:bCs w:val="0"/>
                      <w:color w:val="000000" w:themeColor="text1"/>
                      <w:szCs w:val="21"/>
                      <w:highlight w:val="none"/>
                      <w14:textFill>
                        <w14:solidFill>
                          <w14:schemeClr w14:val="tx1"/>
                        </w14:solidFill>
                      </w14:textFill>
                    </w:rPr>
                    <w:t>处置量t/a</w:t>
                  </w:r>
                </w:p>
              </w:tc>
              <w:tc>
                <w:tcPr>
                  <w:tcW w:w="829" w:type="pct"/>
                  <w:vMerge w:val="continue"/>
                  <w:vAlign w:val="center"/>
                </w:tcPr>
                <w:p w14:paraId="4820E4F3">
                  <w:pPr>
                    <w:spacing w:line="0" w:lineRule="atLeast"/>
                    <w:jc w:val="center"/>
                    <w:rPr>
                      <w:b/>
                      <w:bCs/>
                      <w:color w:val="000000" w:themeColor="text1"/>
                      <w:szCs w:val="21"/>
                      <w:highlight w:val="none"/>
                      <w14:textFill>
                        <w14:solidFill>
                          <w14:schemeClr w14:val="tx1"/>
                        </w14:solidFill>
                      </w14:textFill>
                    </w:rPr>
                  </w:pPr>
                </w:p>
              </w:tc>
            </w:tr>
            <w:tr w14:paraId="448C7C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3" w:hRule="atLeast"/>
                <w:jc w:val="center"/>
              </w:trPr>
              <w:tc>
                <w:tcPr>
                  <w:tcW w:w="406" w:type="pct"/>
                  <w:shd w:val="clear" w:color="auto" w:fill="auto"/>
                  <w:vAlign w:val="center"/>
                </w:tcPr>
                <w:p w14:paraId="0580B033">
                  <w:pPr>
                    <w:spacing w:line="0" w:lineRule="atLeas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煤泥</w:t>
                  </w:r>
                </w:p>
              </w:tc>
              <w:tc>
                <w:tcPr>
                  <w:tcW w:w="404" w:type="pct"/>
                  <w:shd w:val="clear" w:color="auto" w:fill="auto"/>
                  <w:vAlign w:val="center"/>
                </w:tcPr>
                <w:p w14:paraId="28DE2C82">
                  <w:pPr>
                    <w:spacing w:line="0" w:lineRule="atLeas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压滤机</w:t>
                  </w:r>
                </w:p>
              </w:tc>
              <w:tc>
                <w:tcPr>
                  <w:tcW w:w="679" w:type="pct"/>
                  <w:shd w:val="clear" w:color="auto" w:fill="auto"/>
                  <w:vAlign w:val="center"/>
                </w:tcPr>
                <w:p w14:paraId="40F56030">
                  <w:pPr>
                    <w:spacing w:line="0" w:lineRule="atLeas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煤泥</w:t>
                  </w:r>
                </w:p>
              </w:tc>
              <w:tc>
                <w:tcPr>
                  <w:tcW w:w="477" w:type="pct"/>
                  <w:shd w:val="clear" w:color="auto" w:fill="auto"/>
                  <w:vAlign w:val="center"/>
                </w:tcPr>
                <w:p w14:paraId="34472104">
                  <w:pPr>
                    <w:spacing w:line="0" w:lineRule="atLeast"/>
                    <w:jc w:val="center"/>
                    <w:rPr>
                      <w:rFonts w:ascii="Times New Roman" w:hAnsi="Times New Roman" w:eastAsia="宋体" w:cs="Times New Roman"/>
                      <w:color w:val="000000" w:themeColor="text1"/>
                      <w:kern w:val="2"/>
                      <w:sz w:val="21"/>
                      <w:szCs w:val="21"/>
                      <w:highlight w:val="yellow"/>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900-099-S05</w:t>
                  </w:r>
                </w:p>
              </w:tc>
              <w:tc>
                <w:tcPr>
                  <w:tcW w:w="432" w:type="pct"/>
                  <w:vMerge w:val="restart"/>
                  <w:shd w:val="clear" w:color="auto" w:fill="auto"/>
                  <w:vAlign w:val="center"/>
                </w:tcPr>
                <w:p w14:paraId="7F5C6AEF">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一般工业固体废物</w:t>
                  </w:r>
                </w:p>
              </w:tc>
              <w:tc>
                <w:tcPr>
                  <w:tcW w:w="542" w:type="pct"/>
                  <w:shd w:val="clear" w:color="auto" w:fill="auto"/>
                  <w:vAlign w:val="center"/>
                </w:tcPr>
                <w:p w14:paraId="1D9819D7">
                  <w:pPr>
                    <w:shd w:val="clear" w:color="auto" w:fill="FFFFFF"/>
                    <w:spacing w:line="0" w:lineRule="atLeast"/>
                    <w:jc w:val="center"/>
                    <w:rPr>
                      <w:color w:val="000000" w:themeColor="text1"/>
                      <w:szCs w:val="21"/>
                      <w:highlight w:val="none"/>
                      <w14:textFill>
                        <w14:solidFill>
                          <w14:schemeClr w14:val="tx1"/>
                        </w14:solidFill>
                      </w14:textFill>
                    </w:rPr>
                  </w:pPr>
                  <w:r>
                    <w:rPr>
                      <w:rFonts w:hint="eastAsia"/>
                      <w:color w:val="000000" w:themeColor="text1"/>
                      <w:szCs w:val="21"/>
                      <w:highlight w:val="none"/>
                      <w:shd w:val="clear" w:fill="FFFFFF" w:themeFill="background1"/>
                      <w14:textFill>
                        <w14:solidFill>
                          <w14:schemeClr w14:val="tx1"/>
                        </w14:solidFill>
                      </w14:textFill>
                    </w:rPr>
                    <w:t>物料衡算</w:t>
                  </w:r>
                  <w:r>
                    <w:rPr>
                      <w:color w:val="000000" w:themeColor="text1"/>
                      <w:szCs w:val="21"/>
                      <w:highlight w:val="none"/>
                      <w:shd w:val="clear" w:fill="FFFFFF" w:themeFill="background1"/>
                      <w14:textFill>
                        <w14:solidFill>
                          <w14:schemeClr w14:val="tx1"/>
                        </w14:solidFill>
                      </w14:textFill>
                    </w:rPr>
                    <w:t>法</w:t>
                  </w:r>
                </w:p>
              </w:tc>
              <w:tc>
                <w:tcPr>
                  <w:tcW w:w="464" w:type="pct"/>
                  <w:shd w:val="clear" w:color="auto" w:fill="auto"/>
                  <w:vAlign w:val="center"/>
                </w:tcPr>
                <w:p w14:paraId="26B494DD">
                  <w:pPr>
                    <w:spacing w:line="0" w:lineRule="atLeast"/>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18万</w:t>
                  </w:r>
                </w:p>
              </w:tc>
              <w:tc>
                <w:tcPr>
                  <w:tcW w:w="350" w:type="pct"/>
                  <w:vMerge w:val="restart"/>
                  <w:shd w:val="clear" w:color="auto" w:fill="auto"/>
                  <w:vAlign w:val="center"/>
                </w:tcPr>
                <w:p w14:paraId="3F48E5C9">
                  <w:pPr>
                    <w:spacing w:line="0" w:lineRule="atLeast"/>
                    <w:jc w:val="center"/>
                    <w:rPr>
                      <w:color w:val="000000" w:themeColor="text1"/>
                      <w:spacing w:val="-6"/>
                      <w:szCs w:val="21"/>
                      <w:highlight w:val="none"/>
                      <w14:textFill>
                        <w14:solidFill>
                          <w14:schemeClr w14:val="tx1"/>
                        </w14:solidFill>
                      </w14:textFill>
                    </w:rPr>
                  </w:pPr>
                  <w:r>
                    <w:rPr>
                      <w:color w:val="000000" w:themeColor="text1"/>
                      <w:szCs w:val="21"/>
                      <w:highlight w:val="none"/>
                      <w14:textFill>
                        <w14:solidFill>
                          <w14:schemeClr w14:val="tx1"/>
                        </w14:solidFill>
                      </w14:textFill>
                    </w:rPr>
                    <w:t>集中收集</w:t>
                  </w:r>
                </w:p>
              </w:tc>
              <w:tc>
                <w:tcPr>
                  <w:tcW w:w="413" w:type="pct"/>
                  <w:shd w:val="clear" w:color="auto" w:fill="auto"/>
                  <w:vAlign w:val="center"/>
                </w:tcPr>
                <w:p w14:paraId="052D6ABA">
                  <w:pPr>
                    <w:spacing w:line="0" w:lineRule="atLeast"/>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18万</w:t>
                  </w:r>
                </w:p>
              </w:tc>
              <w:tc>
                <w:tcPr>
                  <w:tcW w:w="829" w:type="pct"/>
                  <w:vAlign w:val="center"/>
                </w:tcPr>
                <w:p w14:paraId="7EA4A20A">
                  <w:pPr>
                    <w:spacing w:line="0" w:lineRule="atLeast"/>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日产日清，冬季直接运往虹焱热电，夏季外售给大唐双鸭山热电有限公司</w:t>
                  </w:r>
                </w:p>
              </w:tc>
            </w:tr>
            <w:tr w14:paraId="25A8AC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406" w:type="pct"/>
                  <w:shd w:val="clear" w:color="auto" w:fill="auto"/>
                  <w:vAlign w:val="center"/>
                </w:tcPr>
                <w:p w14:paraId="7BBC08BB">
                  <w:pPr>
                    <w:spacing w:line="0" w:lineRule="atLeas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煤炭洗选</w:t>
                  </w:r>
                </w:p>
              </w:tc>
              <w:tc>
                <w:tcPr>
                  <w:tcW w:w="404" w:type="pct"/>
                  <w:shd w:val="clear" w:color="auto" w:fill="auto"/>
                  <w:vAlign w:val="center"/>
                </w:tcPr>
                <w:p w14:paraId="3C1A7D2C">
                  <w:pPr>
                    <w:spacing w:line="0" w:lineRule="atLeas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脱介筛等</w:t>
                  </w:r>
                </w:p>
              </w:tc>
              <w:tc>
                <w:tcPr>
                  <w:tcW w:w="679" w:type="pct"/>
                  <w:shd w:val="clear" w:color="auto" w:fill="auto"/>
                  <w:vAlign w:val="center"/>
                </w:tcPr>
                <w:p w14:paraId="54BBE6FD">
                  <w:pPr>
                    <w:spacing w:line="0" w:lineRule="atLeas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煤矸石</w:t>
                  </w:r>
                </w:p>
              </w:tc>
              <w:tc>
                <w:tcPr>
                  <w:tcW w:w="477" w:type="pct"/>
                  <w:shd w:val="clear" w:color="auto" w:fill="auto"/>
                  <w:vAlign w:val="center"/>
                </w:tcPr>
                <w:p w14:paraId="73A3FD28">
                  <w:pPr>
                    <w:spacing w:line="0" w:lineRule="atLeast"/>
                    <w:jc w:val="center"/>
                    <w:rPr>
                      <w:color w:val="000000" w:themeColor="text1"/>
                      <w:szCs w:val="21"/>
                      <w:highlight w:val="yellow"/>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060-001-S04</w:t>
                  </w:r>
                </w:p>
              </w:tc>
              <w:tc>
                <w:tcPr>
                  <w:tcW w:w="432" w:type="pct"/>
                  <w:vMerge w:val="continue"/>
                  <w:shd w:val="clear" w:color="auto" w:fill="auto"/>
                  <w:vAlign w:val="center"/>
                </w:tcPr>
                <w:p w14:paraId="25FA232C">
                  <w:pPr>
                    <w:spacing w:line="0" w:lineRule="atLeast"/>
                    <w:jc w:val="center"/>
                    <w:rPr>
                      <w:color w:val="000000" w:themeColor="text1"/>
                      <w:szCs w:val="21"/>
                      <w:highlight w:val="none"/>
                      <w14:textFill>
                        <w14:solidFill>
                          <w14:schemeClr w14:val="tx1"/>
                        </w14:solidFill>
                      </w14:textFill>
                    </w:rPr>
                  </w:pPr>
                </w:p>
              </w:tc>
              <w:tc>
                <w:tcPr>
                  <w:tcW w:w="542" w:type="pct"/>
                  <w:shd w:val="clear" w:color="auto" w:fill="auto"/>
                  <w:vAlign w:val="center"/>
                </w:tcPr>
                <w:p w14:paraId="61ECAD0B">
                  <w:pPr>
                    <w:shd w:val="clear" w:color="auto" w:fill="FFFFFF"/>
                    <w:spacing w:line="0" w:lineRule="atLeas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物料衡算</w:t>
                  </w:r>
                  <w:r>
                    <w:rPr>
                      <w:color w:val="000000" w:themeColor="text1"/>
                      <w:szCs w:val="21"/>
                      <w:highlight w:val="none"/>
                      <w14:textFill>
                        <w14:solidFill>
                          <w14:schemeClr w14:val="tx1"/>
                        </w14:solidFill>
                      </w14:textFill>
                    </w:rPr>
                    <w:t>法</w:t>
                  </w:r>
                </w:p>
              </w:tc>
              <w:tc>
                <w:tcPr>
                  <w:tcW w:w="464" w:type="pct"/>
                  <w:shd w:val="clear" w:color="auto" w:fill="auto"/>
                  <w:vAlign w:val="center"/>
                </w:tcPr>
                <w:p w14:paraId="556C1B64">
                  <w:pPr>
                    <w:spacing w:line="0" w:lineRule="atLeast"/>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72万</w:t>
                  </w:r>
                </w:p>
              </w:tc>
              <w:tc>
                <w:tcPr>
                  <w:tcW w:w="350" w:type="pct"/>
                  <w:vMerge w:val="continue"/>
                  <w:shd w:val="clear" w:color="auto" w:fill="auto"/>
                  <w:vAlign w:val="center"/>
                </w:tcPr>
                <w:p w14:paraId="0A990F97">
                  <w:pPr>
                    <w:spacing w:line="0" w:lineRule="atLeast"/>
                    <w:jc w:val="center"/>
                    <w:rPr>
                      <w:color w:val="000000" w:themeColor="text1"/>
                      <w:szCs w:val="21"/>
                      <w:highlight w:val="none"/>
                      <w14:textFill>
                        <w14:solidFill>
                          <w14:schemeClr w14:val="tx1"/>
                        </w14:solidFill>
                      </w14:textFill>
                    </w:rPr>
                  </w:pPr>
                </w:p>
              </w:tc>
              <w:tc>
                <w:tcPr>
                  <w:tcW w:w="413" w:type="pct"/>
                  <w:shd w:val="clear" w:color="auto" w:fill="auto"/>
                  <w:vAlign w:val="center"/>
                </w:tcPr>
                <w:p w14:paraId="2F1ACEBF">
                  <w:pPr>
                    <w:spacing w:line="0" w:lineRule="atLeast"/>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72万</w:t>
                  </w:r>
                </w:p>
              </w:tc>
              <w:tc>
                <w:tcPr>
                  <w:tcW w:w="829" w:type="pct"/>
                  <w:tcBorders>
                    <w:top w:val="single" w:color="000000" w:sz="4" w:space="0"/>
                    <w:bottom w:val="single" w:color="000000" w:sz="4" w:space="0"/>
                  </w:tcBorders>
                  <w:vAlign w:val="center"/>
                </w:tcPr>
                <w:p w14:paraId="73F90E0D">
                  <w:pPr>
                    <w:spacing w:line="0" w:lineRule="atLeast"/>
                    <w:jc w:val="center"/>
                    <w:rPr>
                      <w:rFonts w:hint="default"/>
                      <w:color w:val="000000" w:themeColor="text1"/>
                      <w:spacing w:val="-6"/>
                      <w:szCs w:val="21"/>
                      <w:highlight w:val="none"/>
                      <w:lang w:val="en-US"/>
                      <w14:textFill>
                        <w14:solidFill>
                          <w14:schemeClr w14:val="tx1"/>
                        </w14:solidFill>
                      </w14:textFill>
                    </w:rPr>
                  </w:pPr>
                  <w:r>
                    <w:rPr>
                      <w:rFonts w:hint="eastAsia"/>
                      <w:color w:val="000000" w:themeColor="text1"/>
                      <w:spacing w:val="-6"/>
                      <w:szCs w:val="21"/>
                      <w:highlight w:val="none"/>
                      <w:lang w:val="en-US" w:eastAsia="zh-CN"/>
                      <w14:textFill>
                        <w14:solidFill>
                          <w14:schemeClr w14:val="tx1"/>
                        </w14:solidFill>
                      </w14:textFill>
                    </w:rPr>
                    <w:t>用于集贤矿的井下回填以及填充东荣二矿和东荣三矿的沉陷区，综合利用</w:t>
                  </w:r>
                </w:p>
              </w:tc>
            </w:tr>
            <w:tr w14:paraId="0BE314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406" w:type="pct"/>
                  <w:shd w:val="clear" w:color="auto" w:fill="auto"/>
                  <w:vAlign w:val="center"/>
                </w:tcPr>
                <w:p w14:paraId="147AFC86">
                  <w:pPr>
                    <w:spacing w:line="0" w:lineRule="atLeast"/>
                    <w:jc w:val="center"/>
                    <w:rPr>
                      <w:rFonts w:hint="default" w:eastAsia="宋体"/>
                      <w:color w:val="FF0000"/>
                      <w:szCs w:val="21"/>
                      <w:highlight w:val="none"/>
                      <w:lang w:val="en-US" w:eastAsia="zh-CN"/>
                    </w:rPr>
                  </w:pPr>
                  <w:r>
                    <w:rPr>
                      <w:rFonts w:hint="eastAsia"/>
                      <w:color w:val="FF0000"/>
                      <w:szCs w:val="21"/>
                      <w:highlight w:val="none"/>
                      <w:lang w:val="en-US" w:eastAsia="zh-CN"/>
                    </w:rPr>
                    <w:t>食堂废水处理</w:t>
                  </w:r>
                </w:p>
              </w:tc>
              <w:tc>
                <w:tcPr>
                  <w:tcW w:w="404" w:type="pct"/>
                  <w:shd w:val="clear" w:color="auto" w:fill="auto"/>
                  <w:vAlign w:val="center"/>
                </w:tcPr>
                <w:p w14:paraId="63E3098D">
                  <w:pPr>
                    <w:spacing w:line="0" w:lineRule="atLeast"/>
                    <w:jc w:val="center"/>
                    <w:rPr>
                      <w:rFonts w:hint="eastAsia" w:eastAsia="宋体"/>
                      <w:color w:val="FF0000"/>
                      <w:szCs w:val="21"/>
                      <w:highlight w:val="none"/>
                      <w:lang w:val="en-US" w:eastAsia="zh-CN"/>
                    </w:rPr>
                  </w:pPr>
                  <w:r>
                    <w:rPr>
                      <w:rFonts w:hint="eastAsia"/>
                      <w:color w:val="FF0000"/>
                      <w:szCs w:val="21"/>
                      <w:highlight w:val="none"/>
                      <w:lang w:val="en-US" w:eastAsia="zh-CN"/>
                    </w:rPr>
                    <w:t>隔油池</w:t>
                  </w:r>
                </w:p>
              </w:tc>
              <w:tc>
                <w:tcPr>
                  <w:tcW w:w="679" w:type="pct"/>
                  <w:shd w:val="clear" w:color="auto" w:fill="auto"/>
                  <w:vAlign w:val="center"/>
                </w:tcPr>
                <w:p w14:paraId="26DA3AE6">
                  <w:pPr>
                    <w:spacing w:line="0" w:lineRule="atLeast"/>
                    <w:jc w:val="center"/>
                    <w:rPr>
                      <w:rFonts w:hint="eastAsia"/>
                      <w:color w:val="FF0000"/>
                      <w:szCs w:val="21"/>
                      <w:highlight w:val="none"/>
                    </w:rPr>
                  </w:pPr>
                  <w:r>
                    <w:rPr>
                      <w:rFonts w:hint="eastAsia"/>
                      <w:color w:val="FF0000"/>
                      <w:szCs w:val="21"/>
                      <w:highlight w:val="none"/>
                      <w:lang w:val="en-US" w:eastAsia="zh-CN"/>
                    </w:rPr>
                    <w:t>废油脂</w:t>
                  </w:r>
                </w:p>
              </w:tc>
              <w:tc>
                <w:tcPr>
                  <w:tcW w:w="477" w:type="pct"/>
                  <w:shd w:val="clear" w:color="auto" w:fill="auto"/>
                  <w:vAlign w:val="center"/>
                </w:tcPr>
                <w:p w14:paraId="5D4F5149">
                  <w:pPr>
                    <w:spacing w:line="0" w:lineRule="atLeast"/>
                    <w:jc w:val="center"/>
                    <w:rPr>
                      <w:rFonts w:hint="eastAsia"/>
                      <w:color w:val="FF0000"/>
                      <w:szCs w:val="21"/>
                      <w:highlight w:val="none"/>
                      <w:lang w:val="en-US" w:eastAsia="zh-CN"/>
                    </w:rPr>
                  </w:pPr>
                  <w:r>
                    <w:rPr>
                      <w:rFonts w:hint="eastAsia"/>
                      <w:color w:val="FF0000"/>
                      <w:szCs w:val="21"/>
                      <w:highlight w:val="none"/>
                      <w:lang w:val="en-US" w:eastAsia="zh-CN"/>
                    </w:rPr>
                    <w:t>900-002-S61</w:t>
                  </w:r>
                </w:p>
              </w:tc>
              <w:tc>
                <w:tcPr>
                  <w:tcW w:w="432" w:type="pct"/>
                  <w:vMerge w:val="continue"/>
                  <w:shd w:val="clear" w:color="auto" w:fill="auto"/>
                  <w:vAlign w:val="center"/>
                </w:tcPr>
                <w:p w14:paraId="6DB4D488">
                  <w:pPr>
                    <w:spacing w:line="0" w:lineRule="atLeast"/>
                    <w:jc w:val="center"/>
                    <w:rPr>
                      <w:color w:val="FF0000"/>
                      <w:szCs w:val="21"/>
                      <w:highlight w:val="none"/>
                    </w:rPr>
                  </w:pPr>
                </w:p>
              </w:tc>
              <w:tc>
                <w:tcPr>
                  <w:tcW w:w="542" w:type="pct"/>
                  <w:shd w:val="clear" w:color="auto" w:fill="auto"/>
                  <w:vAlign w:val="center"/>
                </w:tcPr>
                <w:p w14:paraId="360F5C93">
                  <w:pPr>
                    <w:shd w:val="clear" w:color="auto" w:fill="FFFFFF"/>
                    <w:spacing w:line="0" w:lineRule="atLeast"/>
                    <w:jc w:val="center"/>
                    <w:rPr>
                      <w:rFonts w:hint="eastAsia" w:eastAsia="宋体"/>
                      <w:color w:val="FF0000"/>
                      <w:szCs w:val="21"/>
                      <w:highlight w:val="none"/>
                      <w:lang w:val="en-US" w:eastAsia="zh-CN"/>
                    </w:rPr>
                  </w:pPr>
                  <w:r>
                    <w:rPr>
                      <w:rFonts w:hint="eastAsia"/>
                      <w:color w:val="FF0000"/>
                      <w:szCs w:val="21"/>
                      <w:highlight w:val="none"/>
                      <w:lang w:val="en-US" w:eastAsia="zh-CN"/>
                    </w:rPr>
                    <w:t>类比法</w:t>
                  </w:r>
                </w:p>
              </w:tc>
              <w:tc>
                <w:tcPr>
                  <w:tcW w:w="464" w:type="pct"/>
                  <w:shd w:val="clear" w:color="auto" w:fill="auto"/>
                  <w:vAlign w:val="center"/>
                </w:tcPr>
                <w:p w14:paraId="22213012">
                  <w:pPr>
                    <w:spacing w:line="0" w:lineRule="atLeast"/>
                    <w:jc w:val="center"/>
                    <w:rPr>
                      <w:rFonts w:hint="default"/>
                      <w:color w:val="FF0000"/>
                      <w:szCs w:val="21"/>
                      <w:highlight w:val="none"/>
                      <w:lang w:val="en-US" w:eastAsia="zh-CN"/>
                    </w:rPr>
                  </w:pPr>
                  <w:r>
                    <w:rPr>
                      <w:rFonts w:hint="eastAsia"/>
                      <w:color w:val="FF0000"/>
                      <w:szCs w:val="21"/>
                      <w:highlight w:val="none"/>
                      <w:lang w:val="en-US" w:eastAsia="zh-CN"/>
                    </w:rPr>
                    <w:t>0.1</w:t>
                  </w:r>
                </w:p>
              </w:tc>
              <w:tc>
                <w:tcPr>
                  <w:tcW w:w="350" w:type="pct"/>
                  <w:vMerge w:val="continue"/>
                  <w:shd w:val="clear" w:color="auto" w:fill="auto"/>
                  <w:vAlign w:val="center"/>
                </w:tcPr>
                <w:p w14:paraId="3AF45517">
                  <w:pPr>
                    <w:spacing w:line="0" w:lineRule="atLeast"/>
                    <w:jc w:val="center"/>
                    <w:rPr>
                      <w:color w:val="FF0000"/>
                      <w:szCs w:val="21"/>
                      <w:highlight w:val="none"/>
                    </w:rPr>
                  </w:pPr>
                </w:p>
              </w:tc>
              <w:tc>
                <w:tcPr>
                  <w:tcW w:w="413" w:type="pct"/>
                  <w:shd w:val="clear" w:color="auto" w:fill="auto"/>
                  <w:vAlign w:val="center"/>
                </w:tcPr>
                <w:p w14:paraId="62F6BE3E">
                  <w:pPr>
                    <w:spacing w:line="0" w:lineRule="atLeast"/>
                    <w:jc w:val="center"/>
                    <w:rPr>
                      <w:rFonts w:hint="default"/>
                      <w:color w:val="FF0000"/>
                      <w:szCs w:val="21"/>
                      <w:highlight w:val="none"/>
                      <w:lang w:val="en-US" w:eastAsia="zh-CN"/>
                    </w:rPr>
                  </w:pPr>
                  <w:r>
                    <w:rPr>
                      <w:rFonts w:hint="eastAsia"/>
                      <w:color w:val="FF0000"/>
                      <w:szCs w:val="21"/>
                      <w:highlight w:val="none"/>
                      <w:lang w:val="en-US" w:eastAsia="zh-CN"/>
                    </w:rPr>
                    <w:t>0.1</w:t>
                  </w:r>
                </w:p>
              </w:tc>
              <w:tc>
                <w:tcPr>
                  <w:tcW w:w="829" w:type="pct"/>
                  <w:tcBorders>
                    <w:top w:val="single" w:color="000000" w:sz="4" w:space="0"/>
                    <w:bottom w:val="single" w:color="000000" w:sz="4" w:space="0"/>
                  </w:tcBorders>
                  <w:vAlign w:val="center"/>
                </w:tcPr>
                <w:p w14:paraId="1A301F43">
                  <w:pPr>
                    <w:spacing w:line="0" w:lineRule="atLeast"/>
                    <w:jc w:val="center"/>
                    <w:rPr>
                      <w:rFonts w:hint="eastAsia"/>
                      <w:color w:val="FF0000"/>
                      <w:spacing w:val="-6"/>
                      <w:szCs w:val="21"/>
                      <w:highlight w:val="none"/>
                      <w:lang w:val="en-US" w:eastAsia="zh-CN"/>
                    </w:rPr>
                  </w:pPr>
                  <w:r>
                    <w:rPr>
                      <w:rFonts w:hint="eastAsia"/>
                      <w:color w:val="FF0000"/>
                      <w:spacing w:val="-6"/>
                      <w:szCs w:val="21"/>
                      <w:highlight w:val="none"/>
                      <w:lang w:val="en-US" w:eastAsia="zh-CN"/>
                    </w:rPr>
                    <w:t>统一收集，送有资质的餐厨垃圾处理单位处置</w:t>
                  </w:r>
                </w:p>
              </w:tc>
            </w:tr>
            <w:tr w14:paraId="52ED0B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406" w:type="pct"/>
                  <w:shd w:val="clear" w:color="auto" w:fill="auto"/>
                  <w:vAlign w:val="center"/>
                </w:tcPr>
                <w:p w14:paraId="348B5CB9">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员工生活</w:t>
                  </w:r>
                </w:p>
              </w:tc>
              <w:tc>
                <w:tcPr>
                  <w:tcW w:w="404" w:type="pct"/>
                  <w:shd w:val="clear" w:color="auto" w:fill="auto"/>
                  <w:vAlign w:val="center"/>
                </w:tcPr>
                <w:p w14:paraId="79817D3E">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员工生活</w:t>
                  </w:r>
                </w:p>
              </w:tc>
              <w:tc>
                <w:tcPr>
                  <w:tcW w:w="679" w:type="pct"/>
                  <w:shd w:val="clear" w:color="auto" w:fill="auto"/>
                  <w:vAlign w:val="center"/>
                </w:tcPr>
                <w:p w14:paraId="133A618E">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生活垃圾</w:t>
                  </w:r>
                </w:p>
              </w:tc>
              <w:tc>
                <w:tcPr>
                  <w:tcW w:w="477" w:type="pct"/>
                  <w:shd w:val="clear" w:color="auto" w:fill="auto"/>
                  <w:vAlign w:val="center"/>
                </w:tcPr>
                <w:p w14:paraId="45163080">
                  <w:pPr>
                    <w:spacing w:line="0" w:lineRule="atLeast"/>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900-099-S64</w:t>
                  </w:r>
                </w:p>
              </w:tc>
              <w:tc>
                <w:tcPr>
                  <w:tcW w:w="432" w:type="pct"/>
                  <w:tcBorders>
                    <w:top w:val="single" w:color="000000" w:sz="4" w:space="0"/>
                  </w:tcBorders>
                  <w:shd w:val="clear" w:color="auto" w:fill="auto"/>
                  <w:vAlign w:val="center"/>
                </w:tcPr>
                <w:p w14:paraId="52E0F119">
                  <w:pPr>
                    <w:spacing w:line="0" w:lineRule="atLeast"/>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542" w:type="pct"/>
                  <w:shd w:val="clear" w:color="auto" w:fill="auto"/>
                  <w:vAlign w:val="center"/>
                </w:tcPr>
                <w:p w14:paraId="0CE16D8D">
                  <w:pPr>
                    <w:shd w:val="clear" w:color="auto" w:fill="FFFFFF"/>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系数法</w:t>
                  </w:r>
                </w:p>
              </w:tc>
              <w:tc>
                <w:tcPr>
                  <w:tcW w:w="464" w:type="pct"/>
                  <w:shd w:val="clear" w:color="auto" w:fill="auto"/>
                  <w:vAlign w:val="center"/>
                </w:tcPr>
                <w:p w14:paraId="3AAE0329">
                  <w:pPr>
                    <w:spacing w:line="0" w:lineRule="atLeast"/>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21.45</w:t>
                  </w:r>
                </w:p>
              </w:tc>
              <w:tc>
                <w:tcPr>
                  <w:tcW w:w="350" w:type="pct"/>
                  <w:vMerge w:val="continue"/>
                  <w:shd w:val="clear" w:color="auto" w:fill="auto"/>
                  <w:vAlign w:val="center"/>
                </w:tcPr>
                <w:p w14:paraId="54745D23">
                  <w:pPr>
                    <w:spacing w:line="0" w:lineRule="atLeast"/>
                    <w:jc w:val="center"/>
                    <w:rPr>
                      <w:color w:val="000000" w:themeColor="text1"/>
                      <w:spacing w:val="-6"/>
                      <w:szCs w:val="21"/>
                      <w:highlight w:val="none"/>
                      <w14:textFill>
                        <w14:solidFill>
                          <w14:schemeClr w14:val="tx1"/>
                        </w14:solidFill>
                      </w14:textFill>
                    </w:rPr>
                  </w:pPr>
                </w:p>
              </w:tc>
              <w:tc>
                <w:tcPr>
                  <w:tcW w:w="413" w:type="pct"/>
                  <w:shd w:val="clear" w:color="auto" w:fill="auto"/>
                  <w:vAlign w:val="center"/>
                </w:tcPr>
                <w:p w14:paraId="0E6EA686">
                  <w:pPr>
                    <w:spacing w:line="0" w:lineRule="atLeast"/>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21.45</w:t>
                  </w:r>
                </w:p>
              </w:tc>
              <w:tc>
                <w:tcPr>
                  <w:tcW w:w="829" w:type="pct"/>
                  <w:vAlign w:val="center"/>
                </w:tcPr>
                <w:p w14:paraId="4E4ADF90">
                  <w:pPr>
                    <w:spacing w:line="0" w:lineRule="atLeast"/>
                    <w:jc w:val="center"/>
                    <w:rPr>
                      <w:color w:val="000000" w:themeColor="text1"/>
                      <w:spacing w:val="-6"/>
                      <w:szCs w:val="21"/>
                      <w:highlight w:val="none"/>
                      <w14:textFill>
                        <w14:solidFill>
                          <w14:schemeClr w14:val="tx1"/>
                        </w14:solidFill>
                      </w14:textFill>
                    </w:rPr>
                  </w:pPr>
                  <w:r>
                    <w:rPr>
                      <w:rFonts w:hint="eastAsia"/>
                      <w:color w:val="000000" w:themeColor="text1"/>
                      <w:spacing w:val="-6"/>
                      <w:szCs w:val="21"/>
                      <w:highlight w:val="none"/>
                      <w:lang w:val="en-US" w:eastAsia="zh-CN"/>
                      <w14:textFill>
                        <w14:solidFill>
                          <w14:schemeClr w14:val="tx1"/>
                        </w14:solidFill>
                      </w14:textFill>
                    </w:rPr>
                    <w:t>定期按照市政环卫部门要求处置</w:t>
                  </w:r>
                </w:p>
              </w:tc>
            </w:tr>
          </w:tbl>
          <w:p w14:paraId="5347DD45">
            <w:pPr>
              <w:spacing w:line="360" w:lineRule="auto"/>
              <w:jc w:val="center"/>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表4-</w:t>
            </w:r>
            <w:r>
              <w:rPr>
                <w:rFonts w:hint="eastAsia"/>
                <w:b/>
                <w:bCs/>
                <w:color w:val="000000" w:themeColor="text1"/>
                <w:sz w:val="24"/>
                <w:highlight w:val="none"/>
                <w14:textFill>
                  <w14:solidFill>
                    <w14:schemeClr w14:val="tx1"/>
                  </w14:solidFill>
                </w14:textFill>
              </w:rPr>
              <w:t>1</w:t>
            </w:r>
            <w:r>
              <w:rPr>
                <w:rFonts w:hint="eastAsia"/>
                <w:b/>
                <w:bCs/>
                <w:color w:val="000000" w:themeColor="text1"/>
                <w:sz w:val="24"/>
                <w:highlight w:val="none"/>
                <w:lang w:val="en-US" w:eastAsia="zh-CN"/>
                <w14:textFill>
                  <w14:solidFill>
                    <w14:schemeClr w14:val="tx1"/>
                  </w14:solidFill>
                </w14:textFill>
              </w:rPr>
              <w:t xml:space="preserve">0 </w:t>
            </w:r>
            <w:r>
              <w:rPr>
                <w:b/>
                <w:bCs/>
                <w:color w:val="000000" w:themeColor="text1"/>
                <w:sz w:val="24"/>
                <w:highlight w:val="none"/>
                <w14:textFill>
                  <w14:solidFill>
                    <w14:schemeClr w14:val="tx1"/>
                  </w14:solidFill>
                </w14:textFill>
              </w:rPr>
              <w:t>危险废物产生情况</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1"/>
              <w:gridCol w:w="640"/>
              <w:gridCol w:w="836"/>
              <w:gridCol w:w="1182"/>
              <w:gridCol w:w="783"/>
              <w:gridCol w:w="650"/>
              <w:gridCol w:w="516"/>
              <w:gridCol w:w="742"/>
              <w:gridCol w:w="818"/>
              <w:gridCol w:w="1209"/>
            </w:tblGrid>
            <w:tr w14:paraId="53427E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2" w:hRule="atLeast"/>
                <w:jc w:val="center"/>
              </w:trPr>
              <w:tc>
                <w:tcPr>
                  <w:tcW w:w="294" w:type="pct"/>
                  <w:tcBorders>
                    <w:tl2br w:val="nil"/>
                    <w:tr2bl w:val="nil"/>
                  </w:tcBorders>
                  <w:vAlign w:val="center"/>
                </w:tcPr>
                <w:p w14:paraId="6A6F8DE1">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序号</w:t>
                  </w:r>
                </w:p>
              </w:tc>
              <w:tc>
                <w:tcPr>
                  <w:tcW w:w="408" w:type="pct"/>
                  <w:tcBorders>
                    <w:tl2br w:val="nil"/>
                    <w:tr2bl w:val="nil"/>
                  </w:tcBorders>
                  <w:vAlign w:val="center"/>
                </w:tcPr>
                <w:p w14:paraId="36E90052">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危险废物名称</w:t>
                  </w:r>
                </w:p>
              </w:tc>
              <w:tc>
                <w:tcPr>
                  <w:tcW w:w="533" w:type="pct"/>
                  <w:tcBorders>
                    <w:tl2br w:val="nil"/>
                    <w:tr2bl w:val="nil"/>
                  </w:tcBorders>
                  <w:vAlign w:val="center"/>
                </w:tcPr>
                <w:p w14:paraId="7B68DA17">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危险废物类别</w:t>
                  </w:r>
                </w:p>
              </w:tc>
              <w:tc>
                <w:tcPr>
                  <w:tcW w:w="754" w:type="pct"/>
                  <w:tcBorders>
                    <w:tl2br w:val="nil"/>
                    <w:tr2bl w:val="nil"/>
                  </w:tcBorders>
                  <w:vAlign w:val="center"/>
                </w:tcPr>
                <w:p w14:paraId="6643B1CF">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危险废物代码</w:t>
                  </w:r>
                </w:p>
              </w:tc>
              <w:tc>
                <w:tcPr>
                  <w:tcW w:w="499" w:type="pct"/>
                  <w:tcBorders>
                    <w:tl2br w:val="nil"/>
                    <w:tr2bl w:val="nil"/>
                  </w:tcBorders>
                  <w:vAlign w:val="center"/>
                </w:tcPr>
                <w:p w14:paraId="43F982EE">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产生量（t/a）</w:t>
                  </w:r>
                </w:p>
              </w:tc>
              <w:tc>
                <w:tcPr>
                  <w:tcW w:w="414" w:type="pct"/>
                  <w:tcBorders>
                    <w:tl2br w:val="nil"/>
                    <w:tr2bl w:val="nil"/>
                  </w:tcBorders>
                  <w:vAlign w:val="center"/>
                </w:tcPr>
                <w:p w14:paraId="196F0518">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产生工序及置</w:t>
                  </w:r>
                </w:p>
              </w:tc>
              <w:tc>
                <w:tcPr>
                  <w:tcW w:w="329" w:type="pct"/>
                  <w:tcBorders>
                    <w:tl2br w:val="nil"/>
                    <w:tr2bl w:val="nil"/>
                  </w:tcBorders>
                  <w:vAlign w:val="center"/>
                </w:tcPr>
                <w:p w14:paraId="2D896C93">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形态</w:t>
                  </w:r>
                </w:p>
              </w:tc>
              <w:tc>
                <w:tcPr>
                  <w:tcW w:w="473" w:type="pct"/>
                  <w:tcBorders>
                    <w:tl2br w:val="nil"/>
                    <w:tr2bl w:val="nil"/>
                  </w:tcBorders>
                  <w:vAlign w:val="center"/>
                </w:tcPr>
                <w:p w14:paraId="4FCA88B9">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主要成分</w:t>
                  </w:r>
                </w:p>
              </w:tc>
              <w:tc>
                <w:tcPr>
                  <w:tcW w:w="521" w:type="pct"/>
                  <w:tcBorders>
                    <w:tl2br w:val="nil"/>
                    <w:tr2bl w:val="nil"/>
                  </w:tcBorders>
                  <w:shd w:val="clear" w:color="auto" w:fill="auto"/>
                  <w:vAlign w:val="center"/>
                </w:tcPr>
                <w:p w14:paraId="11CD936B">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危险</w:t>
                  </w:r>
                </w:p>
                <w:p w14:paraId="2F1F49EA">
                  <w:pPr>
                    <w:topLinePunct/>
                    <w:adjustRightInd w:val="0"/>
                    <w:snapToGrid w:val="0"/>
                    <w:jc w:val="center"/>
                    <w:rPr>
                      <w:rFonts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b w:val="0"/>
                      <w:bCs/>
                      <w:color w:val="000000" w:themeColor="text1"/>
                      <w:kern w:val="0"/>
                      <w:szCs w:val="21"/>
                      <w:highlight w:val="none"/>
                      <w14:textFill>
                        <w14:solidFill>
                          <w14:schemeClr w14:val="tx1"/>
                        </w14:solidFill>
                      </w14:textFill>
                    </w:rPr>
                    <w:t>特性</w:t>
                  </w:r>
                </w:p>
              </w:tc>
              <w:tc>
                <w:tcPr>
                  <w:tcW w:w="771" w:type="pct"/>
                  <w:tcBorders>
                    <w:tl2br w:val="nil"/>
                    <w:tr2bl w:val="nil"/>
                  </w:tcBorders>
                  <w:vAlign w:val="center"/>
                </w:tcPr>
                <w:p w14:paraId="61820CE4">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污染防治措施</w:t>
                  </w:r>
                </w:p>
              </w:tc>
            </w:tr>
            <w:tr w14:paraId="3C5F9C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9" w:hRule="atLeast"/>
                <w:jc w:val="center"/>
              </w:trPr>
              <w:tc>
                <w:tcPr>
                  <w:tcW w:w="294" w:type="pct"/>
                  <w:tcBorders>
                    <w:tl2br w:val="nil"/>
                    <w:tr2bl w:val="nil"/>
                  </w:tcBorders>
                  <w:vAlign w:val="center"/>
                </w:tcPr>
                <w:p w14:paraId="0D623E33">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1</w:t>
                  </w:r>
                </w:p>
              </w:tc>
              <w:tc>
                <w:tcPr>
                  <w:tcW w:w="408" w:type="pct"/>
                  <w:tcBorders>
                    <w:tl2br w:val="nil"/>
                    <w:tr2bl w:val="nil"/>
                  </w:tcBorders>
                  <w:vAlign w:val="center"/>
                </w:tcPr>
                <w:p w14:paraId="2FDE707D">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废机油</w:t>
                  </w:r>
                </w:p>
              </w:tc>
              <w:tc>
                <w:tcPr>
                  <w:tcW w:w="533" w:type="pct"/>
                  <w:tcBorders>
                    <w:tl2br w:val="nil"/>
                    <w:tr2bl w:val="nil"/>
                  </w:tcBorders>
                  <w:vAlign w:val="center"/>
                </w:tcPr>
                <w:p w14:paraId="59AF67A9">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HW08</w:t>
                  </w:r>
                </w:p>
              </w:tc>
              <w:tc>
                <w:tcPr>
                  <w:tcW w:w="754" w:type="pct"/>
                  <w:tcBorders>
                    <w:tl2br w:val="nil"/>
                    <w:tr2bl w:val="nil"/>
                  </w:tcBorders>
                  <w:vAlign w:val="center"/>
                </w:tcPr>
                <w:p w14:paraId="069A08D9">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900-214-08</w:t>
                  </w:r>
                </w:p>
              </w:tc>
              <w:tc>
                <w:tcPr>
                  <w:tcW w:w="499" w:type="pct"/>
                  <w:tcBorders>
                    <w:tl2br w:val="nil"/>
                    <w:tr2bl w:val="nil"/>
                  </w:tcBorders>
                  <w:vAlign w:val="center"/>
                </w:tcPr>
                <w:p w14:paraId="39D038F7">
                  <w:pPr>
                    <w:jc w:val="center"/>
                    <w:rPr>
                      <w:rFonts w:hint="eastAsia" w:eastAsia="宋体"/>
                      <w:b w:val="0"/>
                      <w:bCs/>
                      <w:color w:val="000000" w:themeColor="text1"/>
                      <w:szCs w:val="21"/>
                      <w:highlight w:val="none"/>
                      <w:lang w:eastAsia="zh-CN"/>
                      <w14:textFill>
                        <w14:solidFill>
                          <w14:schemeClr w14:val="tx1"/>
                        </w14:solidFill>
                      </w14:textFill>
                    </w:rPr>
                  </w:pPr>
                  <w:r>
                    <w:rPr>
                      <w:b w:val="0"/>
                      <w:bCs/>
                      <w:color w:val="000000" w:themeColor="text1"/>
                      <w:szCs w:val="21"/>
                      <w:highlight w:val="none"/>
                      <w14:textFill>
                        <w14:solidFill>
                          <w14:schemeClr w14:val="tx1"/>
                        </w14:solidFill>
                      </w14:textFill>
                    </w:rPr>
                    <w:t>0.</w:t>
                  </w:r>
                  <w:r>
                    <w:rPr>
                      <w:rFonts w:hint="eastAsia"/>
                      <w:b w:val="0"/>
                      <w:bCs/>
                      <w:color w:val="000000" w:themeColor="text1"/>
                      <w:szCs w:val="21"/>
                      <w:highlight w:val="none"/>
                      <w:lang w:val="en-US" w:eastAsia="zh-CN"/>
                      <w14:textFill>
                        <w14:solidFill>
                          <w14:schemeClr w14:val="tx1"/>
                        </w14:solidFill>
                      </w14:textFill>
                    </w:rPr>
                    <w:t>5</w:t>
                  </w:r>
                </w:p>
              </w:tc>
              <w:tc>
                <w:tcPr>
                  <w:tcW w:w="414" w:type="pct"/>
                  <w:tcBorders>
                    <w:tl2br w:val="nil"/>
                    <w:tr2bl w:val="nil"/>
                  </w:tcBorders>
                  <w:vAlign w:val="center"/>
                </w:tcPr>
                <w:p w14:paraId="0237E549">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维修设备</w:t>
                  </w:r>
                </w:p>
              </w:tc>
              <w:tc>
                <w:tcPr>
                  <w:tcW w:w="329" w:type="pct"/>
                  <w:tcBorders>
                    <w:tl2br w:val="nil"/>
                    <w:tr2bl w:val="nil"/>
                  </w:tcBorders>
                  <w:vAlign w:val="center"/>
                </w:tcPr>
                <w:p w14:paraId="4D7B4D11">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液态</w:t>
                  </w:r>
                </w:p>
              </w:tc>
              <w:tc>
                <w:tcPr>
                  <w:tcW w:w="473" w:type="pct"/>
                  <w:tcBorders>
                    <w:tl2br w:val="nil"/>
                    <w:tr2bl w:val="nil"/>
                  </w:tcBorders>
                  <w:vAlign w:val="center"/>
                </w:tcPr>
                <w:p w14:paraId="69C9F0C5">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废机油</w:t>
                  </w:r>
                </w:p>
              </w:tc>
              <w:tc>
                <w:tcPr>
                  <w:tcW w:w="521" w:type="pct"/>
                  <w:tcBorders>
                    <w:tl2br w:val="nil"/>
                    <w:tr2bl w:val="nil"/>
                  </w:tcBorders>
                  <w:vAlign w:val="center"/>
                </w:tcPr>
                <w:p w14:paraId="3BB0BA25">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T</w:t>
                  </w:r>
                  <w:r>
                    <w:rPr>
                      <w:rFonts w:hint="eastAsia"/>
                      <w:b w:val="0"/>
                      <w:bCs/>
                      <w:color w:val="000000" w:themeColor="text1"/>
                      <w:kern w:val="0"/>
                      <w:szCs w:val="21"/>
                      <w:highlight w:val="none"/>
                      <w14:textFill>
                        <w14:solidFill>
                          <w14:schemeClr w14:val="tx1"/>
                        </w14:solidFill>
                      </w14:textFill>
                    </w:rPr>
                    <w:t>/</w:t>
                  </w:r>
                  <w:r>
                    <w:rPr>
                      <w:b w:val="0"/>
                      <w:bCs/>
                      <w:color w:val="000000" w:themeColor="text1"/>
                      <w:kern w:val="0"/>
                      <w:szCs w:val="21"/>
                      <w:highlight w:val="none"/>
                      <w14:textFill>
                        <w14:solidFill>
                          <w14:schemeClr w14:val="tx1"/>
                        </w14:solidFill>
                      </w14:textFill>
                    </w:rPr>
                    <w:t>I</w:t>
                  </w:r>
                </w:p>
              </w:tc>
              <w:tc>
                <w:tcPr>
                  <w:tcW w:w="771" w:type="pct"/>
                  <w:vMerge w:val="restart"/>
                  <w:tcBorders>
                    <w:tl2br w:val="nil"/>
                    <w:tr2bl w:val="nil"/>
                  </w:tcBorders>
                  <w:vAlign w:val="center"/>
                </w:tcPr>
                <w:p w14:paraId="403DBB58">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危险废物在</w:t>
                  </w:r>
                  <w:r>
                    <w:rPr>
                      <w:rFonts w:hint="eastAsia"/>
                      <w:b w:val="0"/>
                      <w:bCs/>
                      <w:color w:val="000000" w:themeColor="text1"/>
                      <w:kern w:val="0"/>
                      <w:szCs w:val="21"/>
                      <w:highlight w:val="none"/>
                      <w:lang w:val="en-US" w:eastAsia="zh-CN"/>
                      <w14:textFill>
                        <w14:solidFill>
                          <w14:schemeClr w14:val="tx1"/>
                        </w14:solidFill>
                      </w14:textFill>
                    </w:rPr>
                    <w:t>危险废物贮存点</w:t>
                  </w:r>
                  <w:r>
                    <w:rPr>
                      <w:b w:val="0"/>
                      <w:bCs/>
                      <w:color w:val="000000" w:themeColor="text1"/>
                      <w:kern w:val="0"/>
                      <w:szCs w:val="21"/>
                      <w:highlight w:val="none"/>
                      <w14:textFill>
                        <w14:solidFill>
                          <w14:schemeClr w14:val="tx1"/>
                        </w14:solidFill>
                      </w14:textFill>
                    </w:rPr>
                    <w:t>分区暂存，定期委托有资质单位处置。</w:t>
                  </w:r>
                </w:p>
              </w:tc>
            </w:tr>
            <w:tr w14:paraId="7A74D1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9" w:hRule="atLeast"/>
                <w:jc w:val="center"/>
              </w:trPr>
              <w:tc>
                <w:tcPr>
                  <w:tcW w:w="294" w:type="pct"/>
                  <w:tcBorders>
                    <w:tl2br w:val="nil"/>
                    <w:tr2bl w:val="nil"/>
                  </w:tcBorders>
                  <w:vAlign w:val="center"/>
                </w:tcPr>
                <w:p w14:paraId="4D607C9B">
                  <w:pPr>
                    <w:topLinePunct/>
                    <w:adjustRightInd w:val="0"/>
                    <w:snapToGrid w:val="0"/>
                    <w:jc w:val="center"/>
                    <w:rPr>
                      <w:rFonts w:hint="eastAsia" w:eastAsia="宋体"/>
                      <w:b w:val="0"/>
                      <w:bCs/>
                      <w:color w:val="000000" w:themeColor="text1"/>
                      <w:kern w:val="0"/>
                      <w:szCs w:val="21"/>
                      <w:highlight w:val="none"/>
                      <w:lang w:val="en-US" w:eastAsia="zh-CN"/>
                      <w14:textFill>
                        <w14:solidFill>
                          <w14:schemeClr w14:val="tx1"/>
                        </w14:solidFill>
                      </w14:textFill>
                    </w:rPr>
                  </w:pPr>
                  <w:r>
                    <w:rPr>
                      <w:rFonts w:hint="eastAsia"/>
                      <w:b w:val="0"/>
                      <w:bCs/>
                      <w:color w:val="000000" w:themeColor="text1"/>
                      <w:kern w:val="0"/>
                      <w:szCs w:val="21"/>
                      <w:highlight w:val="none"/>
                      <w:lang w:val="en-US" w:eastAsia="zh-CN"/>
                      <w14:textFill>
                        <w14:solidFill>
                          <w14:schemeClr w14:val="tx1"/>
                        </w14:solidFill>
                      </w14:textFill>
                    </w:rPr>
                    <w:t>2</w:t>
                  </w:r>
                </w:p>
              </w:tc>
              <w:tc>
                <w:tcPr>
                  <w:tcW w:w="408" w:type="pct"/>
                  <w:tcBorders>
                    <w:tl2br w:val="nil"/>
                    <w:tr2bl w:val="nil"/>
                  </w:tcBorders>
                  <w:vAlign w:val="center"/>
                </w:tcPr>
                <w:p w14:paraId="16472A55">
                  <w:pPr>
                    <w:topLinePunct/>
                    <w:adjustRightInd w:val="0"/>
                    <w:snapToGrid w:val="0"/>
                    <w:jc w:val="center"/>
                    <w:rPr>
                      <w:b w:val="0"/>
                      <w:bCs/>
                      <w:color w:val="000000" w:themeColor="text1"/>
                      <w:kern w:val="0"/>
                      <w:szCs w:val="21"/>
                      <w:highlight w:val="none"/>
                      <w14:textFill>
                        <w14:solidFill>
                          <w14:schemeClr w14:val="tx1"/>
                        </w14:solidFill>
                      </w14:textFill>
                    </w:rPr>
                  </w:pPr>
                  <w:r>
                    <w:rPr>
                      <w:rFonts w:hint="eastAsia"/>
                      <w:b w:val="0"/>
                      <w:bCs/>
                      <w:color w:val="000000" w:themeColor="text1"/>
                      <w:kern w:val="0"/>
                      <w:szCs w:val="21"/>
                      <w:highlight w:val="none"/>
                      <w:lang w:val="en-US" w:eastAsia="zh-CN"/>
                      <w14:textFill>
                        <w14:solidFill>
                          <w14:schemeClr w14:val="tx1"/>
                        </w14:solidFill>
                      </w14:textFill>
                    </w:rPr>
                    <w:t>废油桶</w:t>
                  </w:r>
                </w:p>
              </w:tc>
              <w:tc>
                <w:tcPr>
                  <w:tcW w:w="533" w:type="pct"/>
                  <w:tcBorders>
                    <w:tl2br w:val="nil"/>
                    <w:tr2bl w:val="nil"/>
                  </w:tcBorders>
                  <w:vAlign w:val="center"/>
                </w:tcPr>
                <w:p w14:paraId="4D25364C">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HW08</w:t>
                  </w:r>
                </w:p>
              </w:tc>
              <w:tc>
                <w:tcPr>
                  <w:tcW w:w="754" w:type="pct"/>
                  <w:tcBorders>
                    <w:tl2br w:val="nil"/>
                    <w:tr2bl w:val="nil"/>
                  </w:tcBorders>
                  <w:vAlign w:val="center"/>
                </w:tcPr>
                <w:p w14:paraId="5DA1922E">
                  <w:pPr>
                    <w:topLinePunct/>
                    <w:adjustRightInd w:val="0"/>
                    <w:snapToGrid w:val="0"/>
                    <w:jc w:val="center"/>
                    <w:rPr>
                      <w:b w:val="0"/>
                      <w:bCs/>
                      <w:color w:val="000000" w:themeColor="text1"/>
                      <w:kern w:val="0"/>
                      <w:szCs w:val="21"/>
                      <w:highlight w:val="none"/>
                      <w14:textFill>
                        <w14:solidFill>
                          <w14:schemeClr w14:val="tx1"/>
                        </w14:solidFill>
                      </w14:textFill>
                    </w:rPr>
                  </w:pPr>
                  <w:r>
                    <w:rPr>
                      <w:rFonts w:hint="eastAsia"/>
                      <w:b w:val="0"/>
                      <w:bCs/>
                      <w:color w:val="000000" w:themeColor="text1"/>
                      <w:kern w:val="0"/>
                      <w:szCs w:val="21"/>
                      <w:highlight w:val="none"/>
                      <w:lang w:val="en-US" w:eastAsia="zh-CN"/>
                      <w14:textFill>
                        <w14:solidFill>
                          <w14:schemeClr w14:val="tx1"/>
                        </w14:solidFill>
                      </w14:textFill>
                    </w:rPr>
                    <w:t>900-249-08</w:t>
                  </w:r>
                </w:p>
              </w:tc>
              <w:tc>
                <w:tcPr>
                  <w:tcW w:w="499" w:type="pct"/>
                  <w:tcBorders>
                    <w:tl2br w:val="nil"/>
                    <w:tr2bl w:val="nil"/>
                  </w:tcBorders>
                  <w:vAlign w:val="center"/>
                </w:tcPr>
                <w:p w14:paraId="537124EC">
                  <w:pPr>
                    <w:jc w:val="center"/>
                    <w:rPr>
                      <w:rFonts w:hint="default" w:eastAsia="宋体"/>
                      <w:b w:val="0"/>
                      <w:bCs/>
                      <w:color w:val="000000" w:themeColor="text1"/>
                      <w:szCs w:val="21"/>
                      <w:highlight w:val="none"/>
                      <w:lang w:val="en-US" w:eastAsia="zh-CN"/>
                      <w14:textFill>
                        <w14:solidFill>
                          <w14:schemeClr w14:val="tx1"/>
                        </w14:solidFill>
                      </w14:textFill>
                    </w:rPr>
                  </w:pPr>
                  <w:r>
                    <w:rPr>
                      <w:rFonts w:hint="eastAsia"/>
                      <w:b w:val="0"/>
                      <w:bCs/>
                      <w:color w:val="000000" w:themeColor="text1"/>
                      <w:szCs w:val="21"/>
                      <w:highlight w:val="none"/>
                      <w:lang w:val="en-US" w:eastAsia="zh-CN"/>
                      <w14:textFill>
                        <w14:solidFill>
                          <w14:schemeClr w14:val="tx1"/>
                        </w14:solidFill>
                      </w14:textFill>
                    </w:rPr>
                    <w:t>10个</w:t>
                  </w:r>
                </w:p>
              </w:tc>
              <w:tc>
                <w:tcPr>
                  <w:tcW w:w="414" w:type="pct"/>
                  <w:tcBorders>
                    <w:tl2br w:val="nil"/>
                    <w:tr2bl w:val="nil"/>
                  </w:tcBorders>
                  <w:vAlign w:val="center"/>
                </w:tcPr>
                <w:p w14:paraId="1FA30F4B">
                  <w:pPr>
                    <w:topLinePunct/>
                    <w:adjustRightInd w:val="0"/>
                    <w:snapToGrid w:val="0"/>
                    <w:jc w:val="center"/>
                    <w:rPr>
                      <w:rFonts w:hint="default" w:eastAsia="宋体"/>
                      <w:b w:val="0"/>
                      <w:bCs/>
                      <w:color w:val="000000" w:themeColor="text1"/>
                      <w:kern w:val="0"/>
                      <w:szCs w:val="21"/>
                      <w:highlight w:val="none"/>
                      <w:lang w:val="en-US" w:eastAsia="zh-CN"/>
                      <w14:textFill>
                        <w14:solidFill>
                          <w14:schemeClr w14:val="tx1"/>
                        </w14:solidFill>
                      </w14:textFill>
                    </w:rPr>
                  </w:pPr>
                  <w:r>
                    <w:rPr>
                      <w:rFonts w:hint="eastAsia"/>
                      <w:b w:val="0"/>
                      <w:bCs/>
                      <w:color w:val="000000" w:themeColor="text1"/>
                      <w:kern w:val="0"/>
                      <w:szCs w:val="21"/>
                      <w:highlight w:val="none"/>
                      <w:lang w:val="en-US" w:eastAsia="zh-CN"/>
                      <w14:textFill>
                        <w14:solidFill>
                          <w14:schemeClr w14:val="tx1"/>
                        </w14:solidFill>
                      </w14:textFill>
                    </w:rPr>
                    <w:t>废油储存</w:t>
                  </w:r>
                </w:p>
              </w:tc>
              <w:tc>
                <w:tcPr>
                  <w:tcW w:w="329" w:type="pct"/>
                  <w:tcBorders>
                    <w:tl2br w:val="nil"/>
                    <w:tr2bl w:val="nil"/>
                  </w:tcBorders>
                  <w:vAlign w:val="center"/>
                </w:tcPr>
                <w:p w14:paraId="03EA17A8">
                  <w:pPr>
                    <w:topLinePunct/>
                    <w:adjustRightInd w:val="0"/>
                    <w:snapToGrid w:val="0"/>
                    <w:jc w:val="center"/>
                    <w:rPr>
                      <w:rFonts w:hint="eastAsia" w:eastAsia="宋体"/>
                      <w:b w:val="0"/>
                      <w:bCs/>
                      <w:color w:val="000000" w:themeColor="text1"/>
                      <w:kern w:val="0"/>
                      <w:szCs w:val="21"/>
                      <w:highlight w:val="none"/>
                      <w:lang w:val="en-US" w:eastAsia="zh-CN"/>
                      <w14:textFill>
                        <w14:solidFill>
                          <w14:schemeClr w14:val="tx1"/>
                        </w14:solidFill>
                      </w14:textFill>
                    </w:rPr>
                  </w:pPr>
                  <w:r>
                    <w:rPr>
                      <w:rFonts w:hint="eastAsia"/>
                      <w:b w:val="0"/>
                      <w:bCs/>
                      <w:color w:val="000000" w:themeColor="text1"/>
                      <w:kern w:val="0"/>
                      <w:szCs w:val="21"/>
                      <w:highlight w:val="none"/>
                      <w:lang w:val="en-US" w:eastAsia="zh-CN"/>
                      <w14:textFill>
                        <w14:solidFill>
                          <w14:schemeClr w14:val="tx1"/>
                        </w14:solidFill>
                      </w14:textFill>
                    </w:rPr>
                    <w:t>固态</w:t>
                  </w:r>
                </w:p>
              </w:tc>
              <w:tc>
                <w:tcPr>
                  <w:tcW w:w="473" w:type="pct"/>
                  <w:tcBorders>
                    <w:tl2br w:val="nil"/>
                    <w:tr2bl w:val="nil"/>
                  </w:tcBorders>
                  <w:vAlign w:val="center"/>
                </w:tcPr>
                <w:p w14:paraId="5BD599D2">
                  <w:pPr>
                    <w:topLinePunct/>
                    <w:adjustRightInd w:val="0"/>
                    <w:snapToGrid w:val="0"/>
                    <w:jc w:val="center"/>
                    <w:rPr>
                      <w:rFonts w:hint="eastAsia" w:eastAsia="宋体"/>
                      <w:b w:val="0"/>
                      <w:bCs/>
                      <w:color w:val="000000" w:themeColor="text1"/>
                      <w:kern w:val="0"/>
                      <w:szCs w:val="21"/>
                      <w:highlight w:val="none"/>
                      <w:lang w:val="en-US" w:eastAsia="zh-CN"/>
                      <w14:textFill>
                        <w14:solidFill>
                          <w14:schemeClr w14:val="tx1"/>
                        </w14:solidFill>
                      </w14:textFill>
                    </w:rPr>
                  </w:pPr>
                  <w:r>
                    <w:rPr>
                      <w:rFonts w:hint="eastAsia"/>
                      <w:b w:val="0"/>
                      <w:bCs/>
                      <w:color w:val="000000" w:themeColor="text1"/>
                      <w:kern w:val="0"/>
                      <w:szCs w:val="21"/>
                      <w:highlight w:val="none"/>
                      <w:lang w:val="en-US" w:eastAsia="zh-CN"/>
                      <w14:textFill>
                        <w14:solidFill>
                          <w14:schemeClr w14:val="tx1"/>
                        </w14:solidFill>
                      </w14:textFill>
                    </w:rPr>
                    <w:t>废油桶</w:t>
                  </w:r>
                </w:p>
              </w:tc>
              <w:tc>
                <w:tcPr>
                  <w:tcW w:w="521" w:type="pct"/>
                  <w:tcBorders>
                    <w:tl2br w:val="nil"/>
                    <w:tr2bl w:val="nil"/>
                  </w:tcBorders>
                  <w:vAlign w:val="center"/>
                </w:tcPr>
                <w:p w14:paraId="730E5DCC">
                  <w:pPr>
                    <w:topLinePunct/>
                    <w:adjustRightInd w:val="0"/>
                    <w:snapToGrid w:val="0"/>
                    <w:jc w:val="center"/>
                    <w:rPr>
                      <w:b w:val="0"/>
                      <w:bCs/>
                      <w:color w:val="000000" w:themeColor="text1"/>
                      <w:kern w:val="0"/>
                      <w:szCs w:val="21"/>
                      <w:highlight w:val="none"/>
                      <w14:textFill>
                        <w14:solidFill>
                          <w14:schemeClr w14:val="tx1"/>
                        </w14:solidFill>
                      </w14:textFill>
                    </w:rPr>
                  </w:pPr>
                  <w:r>
                    <w:rPr>
                      <w:b w:val="0"/>
                      <w:bCs/>
                      <w:color w:val="000000" w:themeColor="text1"/>
                      <w:kern w:val="0"/>
                      <w:szCs w:val="21"/>
                      <w:highlight w:val="none"/>
                      <w14:textFill>
                        <w14:solidFill>
                          <w14:schemeClr w14:val="tx1"/>
                        </w14:solidFill>
                      </w14:textFill>
                    </w:rPr>
                    <w:t>T</w:t>
                  </w:r>
                  <w:r>
                    <w:rPr>
                      <w:rFonts w:hint="eastAsia"/>
                      <w:b w:val="0"/>
                      <w:bCs/>
                      <w:color w:val="000000" w:themeColor="text1"/>
                      <w:kern w:val="0"/>
                      <w:szCs w:val="21"/>
                      <w:highlight w:val="none"/>
                      <w14:textFill>
                        <w14:solidFill>
                          <w14:schemeClr w14:val="tx1"/>
                        </w14:solidFill>
                      </w14:textFill>
                    </w:rPr>
                    <w:t>/</w:t>
                  </w:r>
                  <w:r>
                    <w:rPr>
                      <w:b w:val="0"/>
                      <w:bCs/>
                      <w:color w:val="000000" w:themeColor="text1"/>
                      <w:kern w:val="0"/>
                      <w:szCs w:val="21"/>
                      <w:highlight w:val="none"/>
                      <w14:textFill>
                        <w14:solidFill>
                          <w14:schemeClr w14:val="tx1"/>
                        </w14:solidFill>
                      </w14:textFill>
                    </w:rPr>
                    <w:t>I</w:t>
                  </w:r>
                </w:p>
              </w:tc>
              <w:tc>
                <w:tcPr>
                  <w:tcW w:w="771" w:type="pct"/>
                  <w:vMerge w:val="continue"/>
                  <w:tcBorders>
                    <w:tl2br w:val="nil"/>
                    <w:tr2bl w:val="nil"/>
                  </w:tcBorders>
                  <w:vAlign w:val="center"/>
                </w:tcPr>
                <w:p w14:paraId="38B7083E">
                  <w:pPr>
                    <w:topLinePunct/>
                    <w:adjustRightInd w:val="0"/>
                    <w:snapToGrid w:val="0"/>
                    <w:jc w:val="center"/>
                    <w:rPr>
                      <w:b w:val="0"/>
                      <w:bCs/>
                      <w:color w:val="000000" w:themeColor="text1"/>
                      <w:kern w:val="0"/>
                      <w:szCs w:val="21"/>
                      <w:highlight w:val="none"/>
                      <w14:textFill>
                        <w14:solidFill>
                          <w14:schemeClr w14:val="tx1"/>
                        </w14:solidFill>
                      </w14:textFill>
                    </w:rPr>
                  </w:pPr>
                </w:p>
              </w:tc>
            </w:tr>
          </w:tbl>
          <w:p w14:paraId="07B7EFDA">
            <w:pPr>
              <w:pStyle w:val="97"/>
              <w:spacing w:line="360" w:lineRule="auto"/>
              <w:ind w:left="0" w:leftChars="0" w:firstLine="480" w:firstLineChars="200"/>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 xml:space="preserve">（2）影响分析 </w:t>
            </w:r>
          </w:p>
          <w:p w14:paraId="589E3451">
            <w:pPr>
              <w:pStyle w:val="97"/>
              <w:spacing w:line="360" w:lineRule="auto"/>
              <w:ind w:left="0" w:leftChars="0" w:firstLine="480" w:firstLineChars="200"/>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综上所述，本项目运营期固体废物处置率可达100%，对周边环境影响较小，可被环境所接受。</w:t>
            </w:r>
          </w:p>
          <w:p w14:paraId="1C0A460C">
            <w:pPr>
              <w:pStyle w:val="97"/>
              <w:spacing w:line="360" w:lineRule="auto"/>
              <w:ind w:firstLine="480" w:firstLineChars="20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 xml:space="preserve">环境管理要求 </w:t>
            </w:r>
          </w:p>
          <w:p w14:paraId="23AE3AAA">
            <w:pPr>
              <w:pStyle w:val="97"/>
              <w:spacing w:line="360" w:lineRule="auto"/>
              <w:ind w:firstLine="480" w:firstLineChars="20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①</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 xml:space="preserve">记录固体废物产生、贮存、利用、处置的种类及数量； </w:t>
            </w:r>
          </w:p>
          <w:p w14:paraId="3C83FC08">
            <w:pPr>
              <w:pStyle w:val="97"/>
              <w:spacing w:line="360" w:lineRule="auto"/>
              <w:ind w:firstLine="480" w:firstLineChars="20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②</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一般工业固体废物其贮存场、处置场应符合GB18599的相关要求。</w:t>
            </w:r>
          </w:p>
          <w:p w14:paraId="18624186">
            <w:pPr>
              <w:widowControl/>
              <w:spacing w:line="360" w:lineRule="auto"/>
              <w:ind w:firstLine="480" w:firstLineChars="200"/>
              <w:textAlignment w:val="baseline"/>
              <w:rPr>
                <w:b/>
                <w:bCs/>
                <w:color w:val="000000" w:themeColor="text1"/>
                <w:kern w:val="0"/>
                <w:sz w:val="24"/>
                <w:highlight w:val="none"/>
                <w:u w:color="000000"/>
                <w14:textFill>
                  <w14:solidFill>
                    <w14:schemeClr w14:val="tx1"/>
                  </w14:solidFill>
                </w14:textFill>
              </w:rPr>
            </w:pP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③</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危险废物及其贮存设施严格按照《危险废物贮存污染控制标准》（GB18597-20</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23</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）要求进行管理。</w:t>
            </w:r>
          </w:p>
          <w:p w14:paraId="2BF34898">
            <w:pPr>
              <w:spacing w:line="360" w:lineRule="auto"/>
              <w:ind w:firstLine="482" w:firstLineChars="200"/>
              <w:jc w:val="left"/>
              <w:rPr>
                <w:b/>
                <w:bCs/>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5、</w:t>
            </w: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地下水、土壤环境影响分析</w:t>
            </w:r>
          </w:p>
          <w:p w14:paraId="7E340484">
            <w:pPr>
              <w:spacing w:line="360" w:lineRule="auto"/>
              <w:ind w:firstLine="480" w:firstLineChars="200"/>
              <w:rPr>
                <w:rFonts w:ascii="Times New Roman" w:hAnsi="Times New Roman" w:eastAsia="宋体"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 xml:space="preserve">污染防治措施 </w:t>
            </w:r>
          </w:p>
          <w:p w14:paraId="45573665">
            <w:pPr>
              <w:spacing w:line="360" w:lineRule="auto"/>
              <w:ind w:firstLine="480" w:firstLineChars="200"/>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①</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土壤污染防治措施以预防为主，加强管理，定期巡检，杜绝跑、冒、滴、漏现象。</w:t>
            </w:r>
          </w:p>
          <w:p w14:paraId="0F85C298">
            <w:pPr>
              <w:spacing w:line="360" w:lineRule="auto"/>
              <w:ind w:firstLine="480" w:firstLineChars="200"/>
              <w:rPr>
                <w:rFonts w:hint="eastAsia" w:ascii="Times New Roman" w:hAnsi="Times New Roman" w:cs="Times New Roman"/>
                <w:color w:val="000000" w:themeColor="text1"/>
                <w:sz w:val="24"/>
                <w:szCs w:val="24"/>
                <w:highlight w:val="yellow"/>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②</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做好地下水污染防治措施，项目地下水污染防治分区要依据相关行业标准或防渗技术规范，本项目</w:t>
            </w:r>
            <w:r>
              <w:rPr>
                <w:rFonts w:hint="eastAsia" w:cs="Times New Roman"/>
                <w:color w:val="000000" w:themeColor="text1"/>
                <w:sz w:val="24"/>
                <w:szCs w:val="24"/>
                <w:highlight w:val="none"/>
                <w:lang w:val="en-US" w:eastAsia="zh-CN"/>
                <w14:textFill>
                  <w14:solidFill>
                    <w14:schemeClr w14:val="tx1"/>
                  </w14:solidFill>
                </w14:textFill>
              </w:rPr>
              <w:t>厂区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地下水防治分区</w:t>
            </w:r>
            <w:r>
              <w:rPr>
                <w:rFonts w:hint="eastAsia" w:cs="Times New Roman"/>
                <w:color w:val="000000" w:themeColor="text1"/>
                <w:sz w:val="24"/>
                <w:szCs w:val="24"/>
                <w:highlight w:val="none"/>
                <w:lang w:val="en-US" w:eastAsia="zh-CN"/>
                <w14:textFill>
                  <w14:solidFill>
                    <w14:schemeClr w14:val="tx1"/>
                  </w14:solidFill>
                </w14:textFill>
              </w:rPr>
              <w:t>已按照</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《环境影响评价技术导则 地下水环境》（HJ610-2016）确定。根据各区域防渗要求不同，厂区划分为重点防渗区、一般防渗区和简单防渗区。</w:t>
            </w:r>
            <w:r>
              <w:rPr>
                <w:rFonts w:hint="eastAsia" w:cs="Times New Roman"/>
                <w:color w:val="000000" w:themeColor="text1"/>
                <w:sz w:val="24"/>
                <w:szCs w:val="24"/>
                <w:highlight w:val="none"/>
                <w:lang w:val="en-US" w:eastAsia="zh-CN"/>
                <w14:textFill>
                  <w14:solidFill>
                    <w14:schemeClr w14:val="tx1"/>
                  </w14:solidFill>
                </w14:textFill>
              </w:rPr>
              <w:t>危险废物贮存点、油罐区为重点防渗区，等效黏土防渗层Mb≥6m，K≤1×10</w:t>
            </w:r>
            <w:r>
              <w:rPr>
                <w:rFonts w:hint="eastAsia" w:cs="Times New Roman"/>
                <w:color w:val="000000" w:themeColor="text1"/>
                <w:sz w:val="24"/>
                <w:szCs w:val="24"/>
                <w:highlight w:val="none"/>
                <w:vertAlign w:val="superscript"/>
                <w:lang w:val="en-US" w:eastAsia="zh-CN"/>
                <w14:textFill>
                  <w14:solidFill>
                    <w14:schemeClr w14:val="tx1"/>
                  </w14:solidFill>
                </w14:textFill>
              </w:rPr>
              <w:t>-7</w:t>
            </w:r>
            <w:r>
              <w:rPr>
                <w:rFonts w:hint="eastAsia" w:cs="Times New Roman"/>
                <w:color w:val="000000" w:themeColor="text1"/>
                <w:sz w:val="24"/>
                <w:szCs w:val="24"/>
                <w:highlight w:val="none"/>
                <w:lang w:val="en-US" w:eastAsia="zh-CN"/>
                <w14:textFill>
                  <w14:solidFill>
                    <w14:schemeClr w14:val="tx1"/>
                  </w14:solidFill>
                </w14:textFill>
              </w:rPr>
              <w:t>cm/s，</w:t>
            </w:r>
            <w:r>
              <w:rPr>
                <w:rFonts w:hint="eastAsia" w:cs="Times New Roman"/>
                <w:color w:val="FF0000"/>
                <w:sz w:val="24"/>
                <w:szCs w:val="24"/>
                <w:highlight w:val="none"/>
                <w:lang w:val="en-US" w:eastAsia="zh-CN"/>
              </w:rPr>
              <w:t>危险废物贮存点防渗还应满足《危险废物贮存污染控制标准》（GB18597-2023）中相关规定，地面防渗、裙角防渗，防渗层为至少1米厚粘土层（渗透系数≤10</w:t>
            </w:r>
            <w:r>
              <w:rPr>
                <w:rFonts w:hint="eastAsia" w:cs="Times New Roman"/>
                <w:color w:val="FF0000"/>
                <w:sz w:val="24"/>
                <w:szCs w:val="24"/>
                <w:highlight w:val="none"/>
                <w:vertAlign w:val="superscript"/>
                <w:lang w:val="en-US" w:eastAsia="zh-CN"/>
              </w:rPr>
              <w:t>-7</w:t>
            </w:r>
            <w:r>
              <w:rPr>
                <w:rFonts w:hint="eastAsia" w:cs="Times New Roman"/>
                <w:color w:val="FF0000"/>
                <w:sz w:val="24"/>
                <w:szCs w:val="24"/>
                <w:highlight w:val="none"/>
                <w:lang w:val="en-US" w:eastAsia="zh-CN"/>
              </w:rPr>
              <w:t>cm/s）</w:t>
            </w:r>
            <w:r>
              <w:rPr>
                <w:rFonts w:hint="eastAsia" w:cs="Times New Roman"/>
                <w:color w:val="000000" w:themeColor="text1"/>
                <w:sz w:val="24"/>
                <w:szCs w:val="24"/>
                <w:highlight w:val="none"/>
                <w:lang w:val="en-US" w:eastAsia="zh-CN"/>
                <w14:textFill>
                  <w14:solidFill>
                    <w14:schemeClr w14:val="tx1"/>
                  </w14:solidFill>
                </w14:textFill>
              </w:rPr>
              <w:t>；主厂房、精煤仓、原煤仓、矸石仓及各个水池为一般防渗区，等效黏土防渗层Mb≥1.5m，K≤1×10</w:t>
            </w:r>
            <w:r>
              <w:rPr>
                <w:rFonts w:hint="eastAsia" w:cs="Times New Roman"/>
                <w:color w:val="000000" w:themeColor="text1"/>
                <w:sz w:val="24"/>
                <w:szCs w:val="24"/>
                <w:highlight w:val="none"/>
                <w:vertAlign w:val="superscript"/>
                <w:lang w:val="en-US" w:eastAsia="zh-CN"/>
                <w14:textFill>
                  <w14:solidFill>
                    <w14:schemeClr w14:val="tx1"/>
                  </w14:solidFill>
                </w14:textFill>
              </w:rPr>
              <w:t>-7</w:t>
            </w:r>
            <w:r>
              <w:rPr>
                <w:rFonts w:hint="eastAsia" w:cs="Times New Roman"/>
                <w:color w:val="000000" w:themeColor="text1"/>
                <w:sz w:val="24"/>
                <w:szCs w:val="24"/>
                <w:highlight w:val="none"/>
                <w:lang w:val="en-US" w:eastAsia="zh-CN"/>
                <w14:textFill>
                  <w14:solidFill>
                    <w14:schemeClr w14:val="tx1"/>
                  </w14:solidFill>
                </w14:textFill>
              </w:rPr>
              <w:t>cm/s；除重点防渗区及一般防渗区以外的区域为简单防渗区，简单防渗区进行一般地面硬化。本项目厂区分区防渗图见附图6。</w:t>
            </w:r>
          </w:p>
          <w:p w14:paraId="390103AE">
            <w:pPr>
              <w:spacing w:line="360" w:lineRule="auto"/>
              <w:ind w:firstLine="480" w:firstLineChars="200"/>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地下水、土壤环境影响分析</w:t>
            </w:r>
          </w:p>
          <w:p w14:paraId="76EC1576">
            <w:pPr>
              <w:pStyle w:val="22"/>
              <w:spacing w:line="360" w:lineRule="auto"/>
              <w:ind w:left="0" w:leftChars="0" w:firstLine="480" w:firstLineChars="200"/>
              <w:rPr>
                <w:rFonts w:hint="default"/>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本项目废气经处理后均可达标排放，通过大气沉降到土壤中的污染物量较小；本项目废水处理各单元构筑物及</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危险废物贮存点</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等均采用防渗结构和相应的跟踪监测措施；项目各类固体废物及时处理，不再厂区内长期储存，经采取以上防治措施后，可以有效防止废物污染</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地下水、</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土壤，确保污染物不扩散。</w:t>
            </w:r>
          </w:p>
          <w:p w14:paraId="332C3C19">
            <w:pPr>
              <w:spacing w:line="360" w:lineRule="auto"/>
              <w:ind w:firstLine="480" w:firstLineChars="200"/>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综上所述，经采取防治措施后，本项目对地下水、土壤的影响较小，可被环境所接受。</w:t>
            </w:r>
          </w:p>
          <w:p w14:paraId="183AD533">
            <w:pPr>
              <w:spacing w:line="360" w:lineRule="auto"/>
              <w:ind w:firstLine="482" w:firstLineChars="200"/>
              <w:jc w:val="left"/>
              <w:rPr>
                <w:rFonts w:hint="eastAsia" w:ascii="Times New Roman" w:hAnsi="Times New Roman" w:eastAsia="宋体" w:cs="Times New Roman"/>
                <w:b/>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b/>
                <w:color w:val="000000" w:themeColor="text1"/>
                <w:sz w:val="24"/>
                <w:highlight w:val="none"/>
                <w:lang w:val="en-US" w:eastAsia="zh-CN"/>
                <w14:textFill>
                  <w14:solidFill>
                    <w14:schemeClr w14:val="tx1"/>
                  </w14:solidFill>
                </w14:textFill>
              </w:rPr>
              <w:t>6、辐射</w:t>
            </w:r>
          </w:p>
          <w:p w14:paraId="18843625">
            <w:pPr>
              <w:spacing w:line="360" w:lineRule="auto"/>
              <w:ind w:firstLine="480" w:firstLineChars="200"/>
              <w:jc w:val="left"/>
              <w:rPr>
                <w:color w:val="000000" w:themeColor="text1"/>
                <w:highlight w:val="yellow"/>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根据关于发布《矿产资源开发利用辐射环境监督管理名录》的公告要求：“依照《建设项目环境影响评价分类管理名录》环评类别为环境影响报告书（表）且已纳入《名录》，并且原矿、中间产品、尾矿、尾渣或者其他残留物中铀（钍）系单个核素活度浓度超过1贝可/克（Bq/g）的矿产资源开发利用建设项目，建设单位应当组织编制辐射环境影响评价专篇。”本项目所洗选的原煤均来自黑龙江龙煤双鸭山矿业有限责任公司</w:t>
            </w:r>
            <w:r>
              <w:rPr>
                <w:rFonts w:hint="eastAsia" w:cs="Times New Roman"/>
                <w:color w:val="000000" w:themeColor="text1"/>
                <w:sz w:val="24"/>
                <w:szCs w:val="24"/>
                <w:highlight w:val="none"/>
                <w:lang w:val="en-US" w:eastAsia="zh-CN" w:bidi="ar"/>
                <w14:textFill>
                  <w14:solidFill>
                    <w14:schemeClr w14:val="tx1"/>
                  </w14:solidFill>
                </w14:textFill>
              </w:rPr>
              <w:t>下属煤</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矿，因此类比黑龙江龙煤双鸭山矿业有限责任公司东荣三矿的原煤、矸石、煤泥中放射性核素活度浓度检测报告（2021T14），检测时间2021年11月18日，根据检测报告，被检样品煤泥中</w:t>
            </w:r>
            <w:r>
              <w:rPr>
                <w:rFonts w:hint="eastAsia" w:cs="Times New Roman"/>
                <w:color w:val="000000" w:themeColor="text1"/>
                <w:sz w:val="24"/>
                <w:szCs w:val="24"/>
                <w:highlight w:val="none"/>
                <w:vertAlign w:val="superscript"/>
                <w:lang w:val="en-US" w:eastAsia="zh-CN" w:bidi="ar"/>
                <w14:textFill>
                  <w14:solidFill>
                    <w14:schemeClr w14:val="tx1"/>
                  </w14:solidFill>
                </w14:textFill>
              </w:rPr>
              <w:t>238</w:t>
            </w:r>
            <w:r>
              <w:rPr>
                <w:rFonts w:hint="eastAsia" w:cs="Times New Roman"/>
                <w:color w:val="000000" w:themeColor="text1"/>
                <w:sz w:val="24"/>
                <w:szCs w:val="24"/>
                <w:highlight w:val="none"/>
                <w:lang w:val="en-US" w:eastAsia="zh-CN" w:bidi="ar"/>
                <w14:textFill>
                  <w14:solidFill>
                    <w14:schemeClr w14:val="tx1"/>
                  </w14:solidFill>
                </w14:textFill>
              </w:rPr>
              <w:t>U=0.04</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Bq/g、</w:t>
            </w:r>
            <w:r>
              <w:rPr>
                <w:rFonts w:hint="eastAsia" w:ascii="Times New Roman" w:hAnsi="Times New Roman" w:eastAsia="宋体" w:cs="Times New Roman"/>
                <w:color w:val="000000" w:themeColor="text1"/>
                <w:sz w:val="24"/>
                <w:szCs w:val="24"/>
                <w:highlight w:val="none"/>
                <w:vertAlign w:val="superscript"/>
                <w:lang w:val="en-US" w:eastAsia="zh-CN" w:bidi="ar"/>
                <w14:textFill>
                  <w14:solidFill>
                    <w14:schemeClr w14:val="tx1"/>
                  </w14:solidFill>
                </w14:textFill>
              </w:rPr>
              <w:t>232</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Th=0.05Bq/g、</w:t>
            </w:r>
            <w:r>
              <w:rPr>
                <w:rFonts w:hint="eastAsia" w:ascii="Times New Roman" w:hAnsi="Times New Roman" w:eastAsia="宋体" w:cs="Times New Roman"/>
                <w:color w:val="000000" w:themeColor="text1"/>
                <w:sz w:val="24"/>
                <w:szCs w:val="24"/>
                <w:highlight w:val="none"/>
                <w:vertAlign w:val="superscript"/>
                <w:lang w:val="en-US" w:eastAsia="zh-CN" w:bidi="ar"/>
                <w14:textFill>
                  <w14:solidFill>
                    <w14:schemeClr w14:val="tx1"/>
                  </w14:solidFill>
                </w14:textFill>
              </w:rPr>
              <w:t>226</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Ra=0.49Bq/g；矸石中</w:t>
            </w:r>
            <w:r>
              <w:rPr>
                <w:rFonts w:hint="eastAsia" w:cs="Times New Roman"/>
                <w:color w:val="000000" w:themeColor="text1"/>
                <w:sz w:val="24"/>
                <w:szCs w:val="24"/>
                <w:highlight w:val="none"/>
                <w:vertAlign w:val="superscript"/>
                <w:lang w:val="en-US" w:eastAsia="zh-CN" w:bidi="ar"/>
                <w14:textFill>
                  <w14:solidFill>
                    <w14:schemeClr w14:val="tx1"/>
                  </w14:solidFill>
                </w14:textFill>
              </w:rPr>
              <w:t>238</w:t>
            </w:r>
            <w:r>
              <w:rPr>
                <w:rFonts w:hint="eastAsia" w:cs="Times New Roman"/>
                <w:color w:val="000000" w:themeColor="text1"/>
                <w:sz w:val="24"/>
                <w:szCs w:val="24"/>
                <w:highlight w:val="none"/>
                <w:lang w:val="en-US" w:eastAsia="zh-CN" w:bidi="ar"/>
                <w14:textFill>
                  <w14:solidFill>
                    <w14:schemeClr w14:val="tx1"/>
                  </w14:solidFill>
                </w14:textFill>
              </w:rPr>
              <w:t>U=0.07</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Bq/g、</w:t>
            </w:r>
            <w:r>
              <w:rPr>
                <w:rFonts w:hint="eastAsia" w:ascii="Times New Roman" w:hAnsi="Times New Roman" w:eastAsia="宋体" w:cs="Times New Roman"/>
                <w:color w:val="000000" w:themeColor="text1"/>
                <w:sz w:val="24"/>
                <w:szCs w:val="24"/>
                <w:highlight w:val="none"/>
                <w:vertAlign w:val="superscript"/>
                <w:lang w:val="en-US" w:eastAsia="zh-CN" w:bidi="ar"/>
                <w14:textFill>
                  <w14:solidFill>
                    <w14:schemeClr w14:val="tx1"/>
                  </w14:solidFill>
                </w14:textFill>
              </w:rPr>
              <w:t>232</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Th=0.09Bq/g、</w:t>
            </w:r>
            <w:r>
              <w:rPr>
                <w:rFonts w:hint="eastAsia" w:ascii="Times New Roman" w:hAnsi="Times New Roman" w:eastAsia="宋体" w:cs="Times New Roman"/>
                <w:color w:val="000000" w:themeColor="text1"/>
                <w:sz w:val="24"/>
                <w:szCs w:val="24"/>
                <w:highlight w:val="none"/>
                <w:vertAlign w:val="superscript"/>
                <w:lang w:val="en-US" w:eastAsia="zh-CN" w:bidi="ar"/>
                <w14:textFill>
                  <w14:solidFill>
                    <w14:schemeClr w14:val="tx1"/>
                  </w14:solidFill>
                </w14:textFill>
              </w:rPr>
              <w:t>226</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Ra=0.41Bq/g；原煤中</w:t>
            </w:r>
            <w:r>
              <w:rPr>
                <w:rFonts w:hint="eastAsia" w:cs="Times New Roman"/>
                <w:color w:val="000000" w:themeColor="text1"/>
                <w:sz w:val="24"/>
                <w:szCs w:val="24"/>
                <w:highlight w:val="none"/>
                <w:vertAlign w:val="superscript"/>
                <w:lang w:val="en-US" w:eastAsia="zh-CN" w:bidi="ar"/>
                <w14:textFill>
                  <w14:solidFill>
                    <w14:schemeClr w14:val="tx1"/>
                  </w14:solidFill>
                </w14:textFill>
              </w:rPr>
              <w:t>238</w:t>
            </w:r>
            <w:r>
              <w:rPr>
                <w:rFonts w:hint="eastAsia" w:cs="Times New Roman"/>
                <w:color w:val="000000" w:themeColor="text1"/>
                <w:sz w:val="24"/>
                <w:szCs w:val="24"/>
                <w:highlight w:val="none"/>
                <w:lang w:val="en-US" w:eastAsia="zh-CN" w:bidi="ar"/>
                <w14:textFill>
                  <w14:solidFill>
                    <w14:schemeClr w14:val="tx1"/>
                  </w14:solidFill>
                </w14:textFill>
              </w:rPr>
              <w:t>U=0.03</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Bq/g、</w:t>
            </w:r>
            <w:r>
              <w:rPr>
                <w:rFonts w:hint="eastAsia" w:ascii="Times New Roman" w:hAnsi="Times New Roman" w:eastAsia="宋体" w:cs="Times New Roman"/>
                <w:color w:val="000000" w:themeColor="text1"/>
                <w:sz w:val="24"/>
                <w:szCs w:val="24"/>
                <w:highlight w:val="none"/>
                <w:vertAlign w:val="superscript"/>
                <w:lang w:val="en-US" w:eastAsia="zh-CN" w:bidi="ar"/>
                <w14:textFill>
                  <w14:solidFill>
                    <w14:schemeClr w14:val="tx1"/>
                  </w14:solidFill>
                </w14:textFill>
              </w:rPr>
              <w:t>232</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Th=0.04Bq/g、</w:t>
            </w:r>
            <w:r>
              <w:rPr>
                <w:rFonts w:hint="eastAsia" w:ascii="Times New Roman" w:hAnsi="Times New Roman" w:eastAsia="宋体" w:cs="Times New Roman"/>
                <w:color w:val="000000" w:themeColor="text1"/>
                <w:sz w:val="24"/>
                <w:szCs w:val="24"/>
                <w:highlight w:val="none"/>
                <w:vertAlign w:val="superscript"/>
                <w:lang w:val="en-US" w:eastAsia="zh-CN" w:bidi="ar"/>
                <w14:textFill>
                  <w14:solidFill>
                    <w14:schemeClr w14:val="tx1"/>
                  </w14:solidFill>
                </w14:textFill>
              </w:rPr>
              <w:t>226</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Ra=0.58Bq/g；单个核素活度浓度均小于1贝可/克（Bq/g）</w:t>
            </w:r>
            <w:r>
              <w:rPr>
                <w:rFonts w:hint="eastAsia" w:ascii="Times New Roman" w:hAnsi="Times New Roman" w:cs="Times New Roman"/>
                <w:color w:val="000000" w:themeColor="text1"/>
                <w:sz w:val="24"/>
                <w:szCs w:val="24"/>
                <w:highlight w:val="none"/>
                <w:lang w:val="en-US" w:eastAsia="zh-CN" w:bidi="ar"/>
                <w14:textFill>
                  <w14:solidFill>
                    <w14:schemeClr w14:val="tx1"/>
                  </w14:solidFill>
                </w14:textFill>
              </w:rPr>
              <w:t>。</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因此，不需要编制辐射环境影响评价专篇</w:t>
            </w:r>
            <w:r>
              <w:rPr>
                <w:rFonts w:hint="eastAsia" w:ascii="Times New Roman" w:hAnsi="Times New Roman" w:eastAsia="宋体" w:cs="Times New Roman"/>
                <w:b w:val="0"/>
                <w:bCs w:val="0"/>
                <w:color w:val="000000" w:themeColor="text1"/>
                <w:sz w:val="24"/>
                <w:szCs w:val="24"/>
                <w:highlight w:val="none"/>
                <w:lang w:val="en-US" w:eastAsia="zh-CN" w:bidi="ar"/>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检测报告见附件</w:t>
            </w:r>
            <w:r>
              <w:rPr>
                <w:rFonts w:hint="eastAsia" w:cs="Times New Roman"/>
                <w:color w:val="000000" w:themeColor="text1"/>
                <w:sz w:val="24"/>
                <w:szCs w:val="24"/>
                <w:highlight w:val="none"/>
                <w:lang w:val="en-US" w:eastAsia="zh-CN" w:bidi="ar"/>
                <w14:textFill>
                  <w14:solidFill>
                    <w14:schemeClr w14:val="tx1"/>
                  </w14:solidFill>
                </w14:textFill>
              </w:rPr>
              <w:t>3</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w:t>
            </w:r>
          </w:p>
          <w:p w14:paraId="2126403B">
            <w:pPr>
              <w:spacing w:line="360" w:lineRule="auto"/>
              <w:ind w:firstLine="482" w:firstLineChars="200"/>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7、环境风险分析</w:t>
            </w:r>
          </w:p>
          <w:p w14:paraId="3D4E0459">
            <w:pPr>
              <w:spacing w:line="360" w:lineRule="auto"/>
              <w:ind w:firstLine="480" w:firstLineChars="200"/>
              <w:jc w:val="left"/>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（1）</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环境风险评价等级</w:t>
            </w:r>
          </w:p>
          <w:p w14:paraId="30B673D4">
            <w:pPr>
              <w:spacing w:line="360" w:lineRule="auto"/>
              <w:ind w:firstLine="480" w:firstLineChars="200"/>
              <w:jc w:val="left"/>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 xml:space="preserve">根据《建设项目环境风险评价技术导则》（HJ169-2018）的评价工作等级确定要求，环境风险评价工作等级划分为一级、二级、三级、简单分析。根据建设项目涉及的物质和工艺系统的危险性及其所在地的环境敏感性确定环境风险潜势，计算所涉及的每种危险物质在厂界内的最大存在总量与其在《建设项目环境风险评价技术导则》（HJ169-2018）附录B中对应临界量的比值Q。在不同厂区的每一种物质，按其在厂界内的最大存在总量计算。当只涉及一种危险物质时，计算该物质的总量与其临界量比值，即为Q；当存在多种危险物质时，则按下式计算物质总量与其临界量比值（Q）： </w:t>
            </w:r>
          </w:p>
          <w:p w14:paraId="27066D46">
            <w:pPr>
              <w:spacing w:line="360" w:lineRule="auto"/>
              <w:ind w:left="0" w:leftChars="0" w:right="0" w:rightChars="0" w:firstLine="0" w:firstLineChars="0"/>
              <w:jc w:val="cente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drawing>
                <wp:inline distT="0" distB="0" distL="114300" distR="114300">
                  <wp:extent cx="2514600" cy="609600"/>
                  <wp:effectExtent l="0" t="0" r="0" b="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27"/>
                          <a:stretch>
                            <a:fillRect/>
                          </a:stretch>
                        </pic:blipFill>
                        <pic:spPr>
                          <a:xfrm>
                            <a:off x="0" y="0"/>
                            <a:ext cx="2514600" cy="609600"/>
                          </a:xfrm>
                          <a:prstGeom prst="rect">
                            <a:avLst/>
                          </a:prstGeom>
                          <a:noFill/>
                          <a:ln>
                            <a:noFill/>
                          </a:ln>
                        </pic:spPr>
                      </pic:pic>
                    </a:graphicData>
                  </a:graphic>
                </wp:inline>
              </w:drawing>
            </w:r>
          </w:p>
          <w:p w14:paraId="1809C8F6">
            <w:pPr>
              <w:spacing w:line="360" w:lineRule="auto"/>
              <w:ind w:firstLine="480" w:firstLineChars="200"/>
              <w:jc w:val="left"/>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 xml:space="preserve">式中：q1，q2，q3…qn——每种危险物质的最大存在总量，t； </w:t>
            </w:r>
          </w:p>
          <w:p w14:paraId="636B6D5C">
            <w:pPr>
              <w:spacing w:line="360" w:lineRule="auto"/>
              <w:ind w:firstLine="480" w:firstLineChars="200"/>
              <w:jc w:val="left"/>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 xml:space="preserve">Q1，Q2，Q3…Qn——每种危险物质的的临界量，t。 </w:t>
            </w:r>
          </w:p>
          <w:p w14:paraId="57C1F8D6">
            <w:pPr>
              <w:spacing w:line="360" w:lineRule="auto"/>
              <w:ind w:firstLine="480" w:firstLineChars="200"/>
              <w:jc w:val="left"/>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 xml:space="preserve">当Q＜1时，该项目环境风险潜势为Ⅰ。 </w:t>
            </w:r>
          </w:p>
          <w:p w14:paraId="379E8F28">
            <w:pPr>
              <w:spacing w:line="360" w:lineRule="auto"/>
              <w:ind w:firstLine="480" w:firstLineChars="200"/>
              <w:jc w:val="left"/>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 xml:space="preserve">当Q≥1时，将Q值划分为：（1）1≤Q＜10；（2）10≤Q＜100；（3）Q≥100。 </w:t>
            </w:r>
          </w:p>
          <w:p w14:paraId="633FA330">
            <w:pPr>
              <w:spacing w:line="360" w:lineRule="auto"/>
              <w:ind w:firstLine="480" w:firstLineChars="200"/>
              <w:jc w:val="left"/>
              <w:rPr>
                <w:rFonts w:hint="eastAsia" w:ascii="Times New Roman" w:hAnsi="Times New Roman" w:eastAsia="宋体" w:cs="Times New Roman"/>
                <w:color w:val="000000" w:themeColor="text1"/>
                <w:kern w:val="2"/>
                <w:sz w:val="24"/>
                <w:szCs w:val="24"/>
                <w:highlight w:val="yellow"/>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本项目为煤</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碳</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洗选项目，根据《建设项目环境风险评价技术导则》（HJ169-2018）附录B和附录C，本项目使用絮凝剂、</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混凝剂</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不属于《建设项目环境风险评价技术导则》（HJ169-2018）附录B中的危险物质，</w:t>
            </w:r>
            <w:r>
              <w:rPr>
                <w:rFonts w:hint="eastAsia" w:cs="Times New Roman"/>
                <w:color w:val="000000" w:themeColor="text1"/>
                <w:kern w:val="2"/>
                <w:sz w:val="24"/>
                <w:szCs w:val="24"/>
                <w:highlight w:val="none"/>
                <w:lang w:val="en-US" w:eastAsia="zh-CN" w:bidi="ar-SA"/>
                <w14:textFill>
                  <w14:solidFill>
                    <w14:schemeClr w14:val="tx1"/>
                  </w14:solidFill>
                </w14:textFill>
              </w:rPr>
              <w:t>柴油、</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废机油属于《建设项目环境风险评价技术导则》（HJ169-2018）附录C中“油类物质（矿物油类，如石油、汽油、柴油等；生物柴油等）”，本项目柴油</w:t>
            </w:r>
            <w:r>
              <w:rPr>
                <w:rFonts w:hint="eastAsia" w:cs="Times New Roman"/>
                <w:color w:val="000000" w:themeColor="text1"/>
                <w:kern w:val="2"/>
                <w:sz w:val="24"/>
                <w:szCs w:val="24"/>
                <w:highlight w:val="none"/>
                <w:lang w:val="en-US" w:eastAsia="zh-CN" w:bidi="ar-SA"/>
                <w14:textFill>
                  <w14:solidFill>
                    <w14:schemeClr w14:val="tx1"/>
                  </w14:solidFill>
                </w14:textFill>
              </w:rPr>
              <w:t>最大储存量为20t，</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废机油最大暂存量为0.</w:t>
            </w:r>
            <w:r>
              <w:rPr>
                <w:rFonts w:hint="eastAsia" w:cs="Times New Roman"/>
                <w:color w:val="000000" w:themeColor="text1"/>
                <w:kern w:val="2"/>
                <w:sz w:val="24"/>
                <w:szCs w:val="24"/>
                <w:highlight w:val="none"/>
                <w:lang w:val="en-US" w:eastAsia="zh-CN" w:bidi="ar-SA"/>
                <w14:textFill>
                  <w14:solidFill>
                    <w14:schemeClr w14:val="tx1"/>
                  </w14:solidFill>
                </w14:textFill>
              </w:rPr>
              <w:t>5</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t，根据《建设项目环境风险评价技术导则》（HJ169-2018）附录B，油类物质临界量2</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5</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00t，因此，本项目危险物质的量与临界量比值Q为0.00</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8</w:t>
            </w:r>
            <w:r>
              <w:rPr>
                <w:rFonts w:hint="eastAsia" w:cs="Times New Roman"/>
                <w:color w:val="000000" w:themeColor="text1"/>
                <w:kern w:val="2"/>
                <w:sz w:val="24"/>
                <w:szCs w:val="24"/>
                <w:highlight w:val="none"/>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 xml:space="preserve">＜1。 </w:t>
            </w:r>
          </w:p>
          <w:p w14:paraId="4DCFBC62">
            <w:pPr>
              <w:spacing w:line="360" w:lineRule="auto"/>
              <w:ind w:firstLine="480" w:firstLineChars="200"/>
              <w:jc w:val="left"/>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（2）风险识别类型及内容</w:t>
            </w:r>
          </w:p>
          <w:p w14:paraId="0F4A71BA">
            <w:pPr>
              <w:spacing w:line="360" w:lineRule="auto"/>
              <w:ind w:firstLine="480" w:firstLineChars="200"/>
              <w:jc w:val="left"/>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color w:val="000000" w:themeColor="text1"/>
                <w:kern w:val="2"/>
                <w:sz w:val="24"/>
                <w:szCs w:val="24"/>
                <w:highlight w:val="none"/>
                <w:lang w:val="en-US" w:eastAsia="zh-CN" w:bidi="ar-SA"/>
                <w14:textFill>
                  <w14:solidFill>
                    <w14:schemeClr w14:val="tx1"/>
                  </w14:solidFill>
                </w14:textFill>
              </w:rPr>
              <w:t>①</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根据工程分析本项目通过重介选煤法最终获得产品。本项目存在原料堆</w:t>
            </w:r>
            <w:r>
              <w:rPr>
                <w:rFonts w:hint="eastAsia" w:cs="Times New Roman"/>
                <w:color w:val="000000" w:themeColor="text1"/>
                <w:kern w:val="2"/>
                <w:sz w:val="24"/>
                <w:szCs w:val="24"/>
                <w:highlight w:val="none"/>
                <w:lang w:val="en-US" w:eastAsia="zh-CN" w:bidi="ar-SA"/>
                <w14:textFill>
                  <w14:solidFill>
                    <w14:schemeClr w14:val="tx1"/>
                  </w14:solidFill>
                </w14:textFill>
              </w:rPr>
              <w:t>存</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和产品</w:t>
            </w:r>
            <w:r>
              <w:rPr>
                <w:rFonts w:hint="eastAsia" w:cs="Times New Roman"/>
                <w:color w:val="000000" w:themeColor="text1"/>
                <w:kern w:val="2"/>
                <w:sz w:val="24"/>
                <w:szCs w:val="24"/>
                <w:highlight w:val="none"/>
                <w:lang w:val="en-US" w:eastAsia="zh-CN" w:bidi="ar-SA"/>
                <w14:textFill>
                  <w14:solidFill>
                    <w14:schemeClr w14:val="tx1"/>
                  </w14:solidFill>
                </w14:textFill>
              </w:rPr>
              <w:t>储存过程</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自燃的危险；带式输送机的皮带及传输的煤块为可燃物，有发生火灾的危险；柴油</w:t>
            </w:r>
            <w:r>
              <w:rPr>
                <w:rFonts w:hint="eastAsia" w:cs="Times New Roman"/>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废机油在装卸或存储过程中有泄漏的可能。</w:t>
            </w:r>
          </w:p>
          <w:p w14:paraId="6B704250">
            <w:pPr>
              <w:spacing w:line="360" w:lineRule="auto"/>
              <w:ind w:firstLine="480" w:firstLineChars="200"/>
              <w:jc w:val="left"/>
              <w:rPr>
                <w:rFonts w:hint="eastAsia"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color w:val="000000" w:themeColor="text1"/>
                <w:kern w:val="2"/>
                <w:sz w:val="24"/>
                <w:szCs w:val="24"/>
                <w:highlight w:val="none"/>
                <w:lang w:val="en-US" w:eastAsia="zh-CN" w:bidi="ar-SA"/>
                <w14:textFill>
                  <w14:solidFill>
                    <w14:schemeClr w14:val="tx1"/>
                  </w14:solidFill>
                </w14:textFill>
              </w:rPr>
              <w:t>②本项目生产用水循环使用，当生产设备发生故障时，需将生产废水存放于事故池中，事故废水主要污染物质为COD和石油类等，若事故池存在渗漏，可能会对周边地下水环境产生影响，地下水收到污染可能导致区域地下水水质降低或污染周边区域土壤，导致地下水无法被人们利用，还会导致植物不能正产生长。因此本评价要求建设单位定期对事故池进行检查和维护，厂区跟踪监测井定期进行监测，可有效预防和发现事故池渗漏情况，可将地下水风险降至最低，可被环境所接受。</w:t>
            </w:r>
          </w:p>
          <w:p w14:paraId="14A1DF6A">
            <w:pPr>
              <w:spacing w:line="360" w:lineRule="auto"/>
              <w:ind w:firstLine="480" w:firstLineChars="200"/>
              <w:jc w:val="left"/>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color w:val="000000" w:themeColor="text1"/>
                <w:kern w:val="2"/>
                <w:sz w:val="24"/>
                <w:szCs w:val="24"/>
                <w:highlight w:val="none"/>
                <w:lang w:val="en-US" w:eastAsia="zh-CN" w:bidi="ar-SA"/>
                <w14:textFill>
                  <w14:solidFill>
                    <w14:schemeClr w14:val="tx1"/>
                  </w14:solidFill>
                </w14:textFill>
              </w:rPr>
              <w:t>（3）</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环境风险分析</w:t>
            </w:r>
          </w:p>
          <w:p w14:paraId="6D989F2A">
            <w:pPr>
              <w:spacing w:line="360" w:lineRule="auto"/>
              <w:ind w:firstLine="480" w:firstLineChars="200"/>
              <w:jc w:val="left"/>
              <w:rPr>
                <w:rFonts w:hint="eastAsia" w:ascii="Times New Roman" w:hAnsi="Times New Roman" w:cs="Times New Roman"/>
                <w:color w:val="000000" w:themeColor="text1"/>
                <w:kern w:val="2"/>
                <w:sz w:val="24"/>
                <w:szCs w:val="24"/>
                <w:highlight w:val="yellow"/>
                <w:lang w:val="en-US" w:eastAsia="zh-CN" w:bidi="ar-SA"/>
                <w14:textFill>
                  <w14:solidFill>
                    <w14:schemeClr w14:val="tx1"/>
                  </w14:solidFill>
                </w14:textFill>
              </w:rPr>
            </w:pP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本项目原煤及产品</w:t>
            </w:r>
            <w:r>
              <w:rPr>
                <w:rFonts w:hint="eastAsia" w:cs="Times New Roman"/>
                <w:color w:val="000000" w:themeColor="text1"/>
                <w:kern w:val="2"/>
                <w:sz w:val="24"/>
                <w:szCs w:val="24"/>
                <w:highlight w:val="none"/>
                <w:lang w:val="en-US" w:eastAsia="zh-CN" w:bidi="ar-SA"/>
                <w14:textFill>
                  <w14:solidFill>
                    <w14:schemeClr w14:val="tx1"/>
                  </w14:solidFill>
                </w14:textFill>
              </w:rPr>
              <w:t>储存</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自燃及输送皮带遇明火易发生火灾，一旦发生火灾，煤炭燃烧可释放大量大气污染物质，主要污染物为颗粒物、二氧化硫和氮氧化物，如果为不完全燃烧还会产生一氧化碳等物质。这些释放的污染物可严重影响周围大气环境，为周围的人群健康造成危害。</w:t>
            </w:r>
          </w:p>
          <w:p w14:paraId="0BF682C1">
            <w:pPr>
              <w:spacing w:line="360" w:lineRule="auto"/>
              <w:ind w:firstLine="480" w:firstLineChars="200"/>
              <w:jc w:val="left"/>
              <w:rPr>
                <w:rFonts w:hint="eastAsia" w:ascii="Times New Roman" w:hAnsi="Times New Roman" w:cs="Times New Roman"/>
                <w:color w:val="000000" w:themeColor="text1"/>
                <w:kern w:val="2"/>
                <w:sz w:val="24"/>
                <w:szCs w:val="24"/>
                <w:highlight w:val="yellow"/>
                <w:lang w:val="en-US" w:eastAsia="zh-CN" w:bidi="ar-SA"/>
                <w14:textFill>
                  <w14:solidFill>
                    <w14:schemeClr w14:val="tx1"/>
                  </w14:solidFill>
                </w14:textFill>
              </w:rPr>
            </w:pPr>
            <w:r>
              <w:rPr>
                <w:rFonts w:hint="eastAsia" w:cs="Times New Roman"/>
                <w:color w:val="000000" w:themeColor="text1"/>
                <w:kern w:val="2"/>
                <w:sz w:val="24"/>
                <w:szCs w:val="24"/>
                <w:highlight w:val="none"/>
                <w:lang w:val="en-US" w:eastAsia="zh-CN" w:bidi="ar-SA"/>
                <w14:textFill>
                  <w14:solidFill>
                    <w14:schemeClr w14:val="tx1"/>
                  </w14:solidFill>
                </w14:textFill>
              </w:rPr>
              <w:t>柴油、</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废机油如发生泄漏可能污染地下水，或由于恶劣天气影响，导致雨水渗入等。</w:t>
            </w:r>
          </w:p>
          <w:p w14:paraId="4EE8BF68">
            <w:pPr>
              <w:spacing w:line="360" w:lineRule="auto"/>
              <w:ind w:firstLine="480" w:firstLineChars="200"/>
              <w:jc w:val="left"/>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color w:val="000000" w:themeColor="text1"/>
                <w:kern w:val="2"/>
                <w:sz w:val="24"/>
                <w:szCs w:val="24"/>
                <w:highlight w:val="none"/>
                <w:lang w:val="en-US" w:eastAsia="zh-CN" w:bidi="ar-SA"/>
                <w14:textFill>
                  <w14:solidFill>
                    <w14:schemeClr w14:val="tx1"/>
                  </w14:solidFill>
                </w14:textFill>
              </w:rPr>
              <w:t>（4）</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环境风险防范措施及应急要求</w:t>
            </w:r>
          </w:p>
          <w:p w14:paraId="3EAA3B38">
            <w:pPr>
              <w:spacing w:line="360" w:lineRule="auto"/>
              <w:ind w:firstLine="480" w:firstLineChars="200"/>
              <w:jc w:val="left"/>
              <w:rPr>
                <w:rFonts w:hint="eastAsia" w:ascii="Times New Roman" w:hAnsi="Times New Roman" w:cs="Times New Roman"/>
                <w:color w:val="FF0000"/>
                <w:kern w:val="2"/>
                <w:sz w:val="24"/>
                <w:szCs w:val="24"/>
                <w:highlight w:val="none"/>
                <w:lang w:val="en-US" w:eastAsia="zh-CN" w:bidi="ar-SA"/>
              </w:rPr>
            </w:pPr>
            <w:r>
              <w:rPr>
                <w:rFonts w:hint="eastAsia" w:ascii="Times New Roman" w:hAnsi="Times New Roman" w:cs="Times New Roman"/>
                <w:color w:val="FF0000"/>
                <w:kern w:val="2"/>
                <w:sz w:val="24"/>
                <w:szCs w:val="24"/>
                <w:highlight w:val="none"/>
                <w:lang w:val="en-US" w:eastAsia="zh-CN" w:bidi="ar-SA"/>
              </w:rPr>
              <w:t>①本项目原煤</w:t>
            </w:r>
            <w:r>
              <w:rPr>
                <w:rFonts w:hint="eastAsia" w:cs="Times New Roman"/>
                <w:color w:val="FF0000"/>
                <w:kern w:val="2"/>
                <w:sz w:val="24"/>
                <w:szCs w:val="24"/>
                <w:highlight w:val="none"/>
                <w:lang w:val="en-US" w:eastAsia="zh-CN" w:bidi="ar-SA"/>
              </w:rPr>
              <w:t>、</w:t>
            </w:r>
            <w:r>
              <w:rPr>
                <w:rFonts w:hint="eastAsia" w:ascii="Times New Roman" w:hAnsi="Times New Roman" w:cs="Times New Roman"/>
                <w:color w:val="FF0000"/>
                <w:kern w:val="2"/>
                <w:sz w:val="24"/>
                <w:szCs w:val="24"/>
                <w:highlight w:val="none"/>
                <w:lang w:val="en-US" w:eastAsia="zh-CN" w:bidi="ar-SA"/>
              </w:rPr>
              <w:t>产品</w:t>
            </w:r>
            <w:r>
              <w:rPr>
                <w:rFonts w:hint="eastAsia" w:cs="Times New Roman"/>
                <w:color w:val="FF0000"/>
                <w:kern w:val="2"/>
                <w:sz w:val="24"/>
                <w:szCs w:val="24"/>
                <w:highlight w:val="none"/>
                <w:lang w:val="en-US" w:eastAsia="zh-CN" w:bidi="ar-SA"/>
              </w:rPr>
              <w:t>、矸石储存</w:t>
            </w:r>
            <w:r>
              <w:rPr>
                <w:rFonts w:hint="eastAsia" w:ascii="Times New Roman" w:hAnsi="Times New Roman" w:cs="Times New Roman"/>
                <w:color w:val="FF0000"/>
                <w:kern w:val="2"/>
                <w:sz w:val="24"/>
                <w:szCs w:val="24"/>
                <w:highlight w:val="none"/>
                <w:lang w:val="en-US" w:eastAsia="zh-CN" w:bidi="ar-SA"/>
              </w:rPr>
              <w:t>周转周期较短，不会长期堆存，且存量较小，</w:t>
            </w:r>
            <w:r>
              <w:rPr>
                <w:rFonts w:hint="eastAsia" w:cs="Times New Roman"/>
                <w:color w:val="FF0000"/>
                <w:kern w:val="2"/>
                <w:sz w:val="24"/>
                <w:szCs w:val="24"/>
                <w:highlight w:val="none"/>
                <w:lang w:val="en-US" w:eastAsia="zh-CN" w:bidi="ar-SA"/>
              </w:rPr>
              <w:t>定期洒水降尘，保持一定的湿度，</w:t>
            </w:r>
            <w:r>
              <w:rPr>
                <w:rFonts w:hint="eastAsia" w:ascii="Times New Roman" w:hAnsi="Times New Roman" w:cs="Times New Roman"/>
                <w:color w:val="FF0000"/>
                <w:kern w:val="2"/>
                <w:sz w:val="24"/>
                <w:szCs w:val="24"/>
                <w:highlight w:val="none"/>
                <w:lang w:val="en-US" w:eastAsia="zh-CN" w:bidi="ar-SA"/>
              </w:rPr>
              <w:t xml:space="preserve">可降低自燃现象发生的概率，基本不会发生自燃； </w:t>
            </w:r>
          </w:p>
          <w:p w14:paraId="497A321D">
            <w:pPr>
              <w:spacing w:line="360" w:lineRule="auto"/>
              <w:ind w:firstLine="480" w:firstLineChars="200"/>
              <w:jc w:val="left"/>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②</w:t>
            </w:r>
            <w:r>
              <w:rPr>
                <w:rFonts w:hint="eastAsia" w:cs="Times New Roman"/>
                <w:color w:val="000000" w:themeColor="text1"/>
                <w:kern w:val="2"/>
                <w:sz w:val="24"/>
                <w:szCs w:val="24"/>
                <w:highlight w:val="none"/>
                <w:lang w:val="en-US" w:eastAsia="zh-CN" w:bidi="ar-SA"/>
                <w14:textFill>
                  <w14:solidFill>
                    <w14:schemeClr w14:val="tx1"/>
                  </w14:solidFill>
                </w14:textFill>
              </w:rPr>
              <w:t>堆存过程</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和输送皮带定期洒水，保持一定的湿度，可有效避免自燃现象的发生；</w:t>
            </w:r>
          </w:p>
          <w:p w14:paraId="5CCCBF8F">
            <w:pPr>
              <w:spacing w:line="360" w:lineRule="auto"/>
              <w:ind w:firstLine="480" w:firstLineChars="200"/>
              <w:jc w:val="left"/>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③厂区内应</w:t>
            </w:r>
            <w:r>
              <w:rPr>
                <w:rFonts w:hint="eastAsia" w:cs="Times New Roman"/>
                <w:color w:val="000000" w:themeColor="text1"/>
                <w:kern w:val="2"/>
                <w:sz w:val="24"/>
                <w:szCs w:val="24"/>
                <w:highlight w:val="none"/>
                <w:lang w:val="en-US" w:eastAsia="zh-CN" w:bidi="ar-SA"/>
                <w14:textFill>
                  <w14:solidFill>
                    <w14:schemeClr w14:val="tx1"/>
                  </w14:solidFill>
                </w14:textFill>
              </w:rPr>
              <w:t>设置</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消火栓系统和火灾报警系统，并配备相应的灭火装置</w:t>
            </w:r>
            <w:r>
              <w:rPr>
                <w:rFonts w:hint="eastAsia" w:cs="Times New Roman"/>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 xml:space="preserve"> </w:t>
            </w:r>
          </w:p>
          <w:p w14:paraId="621E5C05">
            <w:pPr>
              <w:spacing w:line="360" w:lineRule="auto"/>
              <w:ind w:firstLine="480" w:firstLineChars="200"/>
              <w:jc w:val="left"/>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color w:val="000000" w:themeColor="text1"/>
                <w:kern w:val="2"/>
                <w:sz w:val="24"/>
                <w:szCs w:val="24"/>
                <w:highlight w:val="none"/>
                <w:lang w:val="en-US" w:eastAsia="zh-CN" w:bidi="ar-SA"/>
                <w14:textFill>
                  <w14:solidFill>
                    <w14:schemeClr w14:val="tx1"/>
                  </w14:solidFill>
                </w14:textFill>
              </w:rPr>
              <w:t>④</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输煤皮带应定期进行轮换、试验，及时清除输煤皮带、辅助设备、电缆排架等各处的积煤和积粉，保证输煤系统无积煤和积粉</w:t>
            </w:r>
            <w:r>
              <w:rPr>
                <w:rFonts w:hint="eastAsia" w:cs="Times New Roman"/>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 xml:space="preserve"> </w:t>
            </w:r>
          </w:p>
          <w:p w14:paraId="093368DE">
            <w:pPr>
              <w:spacing w:line="360" w:lineRule="auto"/>
              <w:ind w:firstLine="480" w:firstLineChars="200"/>
              <w:jc w:val="left"/>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color w:val="000000" w:themeColor="text1"/>
                <w:kern w:val="2"/>
                <w:sz w:val="24"/>
                <w:szCs w:val="24"/>
                <w:highlight w:val="none"/>
                <w:lang w:val="en-US" w:eastAsia="zh-CN" w:bidi="ar-SA"/>
                <w14:textFill>
                  <w14:solidFill>
                    <w14:schemeClr w14:val="tx1"/>
                  </w14:solidFill>
                </w14:textFill>
              </w:rPr>
              <w:t>⑤</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运行人员要按规定对运行和停用输煤皮带进行全面巡视检查，当发现输煤皮带上有带火种的煤时，应立即停止上煤，并查明原因，及时消除。输煤皮带停用时，要将皮带上的煤走完以后再停，确保皮带不存煤</w:t>
            </w:r>
            <w:r>
              <w:rPr>
                <w:rFonts w:hint="eastAsia" w:cs="Times New Roman"/>
                <w:color w:val="000000" w:themeColor="text1"/>
                <w:kern w:val="2"/>
                <w:sz w:val="24"/>
                <w:szCs w:val="24"/>
                <w:highlight w:val="none"/>
                <w:lang w:val="en-US" w:eastAsia="zh-CN" w:bidi="ar-SA"/>
                <w14:textFill>
                  <w14:solidFill>
                    <w14:schemeClr w14:val="tx1"/>
                  </w14:solidFill>
                </w14:textFill>
              </w:rPr>
              <w:t>；</w:t>
            </w:r>
          </w:p>
          <w:p w14:paraId="4E42BB2B">
            <w:pPr>
              <w:spacing w:line="360" w:lineRule="auto"/>
              <w:ind w:firstLine="480" w:firstLineChars="200"/>
              <w:jc w:val="left"/>
              <w:rPr>
                <w:rFonts w:hint="eastAsia" w:ascii="Times New Roman" w:hAnsi="Times New Roman" w:cs="Times New Roman"/>
                <w:color w:val="000000" w:themeColor="text1"/>
                <w:kern w:val="2"/>
                <w:sz w:val="24"/>
                <w:szCs w:val="24"/>
                <w:highlight w:val="yellow"/>
                <w:lang w:val="en-US" w:eastAsia="zh-CN" w:bidi="ar-SA"/>
                <w14:textFill>
                  <w14:solidFill>
                    <w14:schemeClr w14:val="tx1"/>
                  </w14:solidFill>
                </w14:textFill>
              </w:rPr>
            </w:pPr>
            <w:r>
              <w:rPr>
                <w:rFonts w:hint="eastAsia" w:cs="Times New Roman"/>
                <w:color w:val="000000" w:themeColor="text1"/>
                <w:kern w:val="2"/>
                <w:sz w:val="24"/>
                <w:szCs w:val="24"/>
                <w:highlight w:val="none"/>
                <w:lang w:val="en-US" w:eastAsia="zh-CN" w:bidi="ar-SA"/>
                <w14:textFill>
                  <w14:solidFill>
                    <w14:schemeClr w14:val="tx1"/>
                  </w14:solidFill>
                </w14:textFill>
              </w:rPr>
              <w:t>⑥</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车间及设施安排专人负责看管并日常性巡查，巡查主要包括管道、阀门等工况是否正常，是否出现漏、滴等现象。</w:t>
            </w:r>
          </w:p>
          <w:p w14:paraId="7A82A183">
            <w:pPr>
              <w:spacing w:line="360" w:lineRule="auto"/>
              <w:ind w:firstLine="480" w:firstLineChars="200"/>
              <w:jc w:val="left"/>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color w:val="000000" w:themeColor="text1"/>
                <w:kern w:val="2"/>
                <w:sz w:val="24"/>
                <w:szCs w:val="24"/>
                <w:highlight w:val="none"/>
                <w:lang w:val="en-US" w:eastAsia="zh-CN" w:bidi="ar-SA"/>
                <w14:textFill>
                  <w14:solidFill>
                    <w14:schemeClr w14:val="tx1"/>
                  </w14:solidFill>
                </w14:textFill>
              </w:rPr>
              <w:t>⑦</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生产过程中，使用絮凝剂、混凝剂时工作人员要按照规定穿戴防护衣具。</w:t>
            </w:r>
          </w:p>
          <w:p w14:paraId="48719575">
            <w:pPr>
              <w:spacing w:line="360" w:lineRule="auto"/>
              <w:ind w:firstLine="480" w:firstLineChars="200"/>
              <w:jc w:val="left"/>
              <w:rPr>
                <w:rFonts w:hint="default" w:ascii="Times New Roman" w:hAnsi="Times New Roman" w:eastAsia="宋体" w:cs="Times New Roman"/>
                <w:color w:val="000000" w:themeColor="text1"/>
                <w:kern w:val="2"/>
                <w:sz w:val="24"/>
                <w:szCs w:val="24"/>
                <w:highlight w:val="yellow"/>
                <w:lang w:val="en-US" w:eastAsia="zh-CN" w:bidi="ar-SA"/>
                <w14:textFill>
                  <w14:solidFill>
                    <w14:schemeClr w14:val="tx1"/>
                  </w14:solidFill>
                </w14:textFill>
              </w:rPr>
            </w:pPr>
            <w:r>
              <w:rPr>
                <w:rFonts w:hint="eastAsia" w:cs="Times New Roman"/>
                <w:color w:val="FF0000"/>
                <w:kern w:val="2"/>
                <w:sz w:val="24"/>
                <w:szCs w:val="24"/>
                <w:highlight w:val="none"/>
                <w:lang w:val="en-US" w:eastAsia="zh-CN" w:bidi="ar-SA"/>
              </w:rPr>
              <w:t>⑧柴油、废机油在装卸或存储过程中有泄漏的可能，柴油、废机油泄漏可能会污染土壤和地下水环境，短时间内难以消除。</w:t>
            </w:r>
            <w:r>
              <w:rPr>
                <w:rFonts w:hint="eastAsia" w:ascii="Times New Roman" w:hAnsi="Times New Roman" w:cs="Times New Roman"/>
                <w:color w:val="FF0000"/>
                <w:kern w:val="2"/>
                <w:sz w:val="24"/>
                <w:szCs w:val="24"/>
                <w:highlight w:val="none"/>
                <w:lang w:val="en-US" w:eastAsia="zh-CN" w:bidi="ar-SA"/>
              </w:rPr>
              <w:t>废机油必须严实包装，</w:t>
            </w:r>
            <w:r>
              <w:rPr>
                <w:rFonts w:hint="default" w:ascii="Times New Roman" w:hAnsi="Times New Roman" w:eastAsia="宋体" w:cs="Times New Roman"/>
                <w:color w:val="FF0000"/>
                <w:kern w:val="2"/>
                <w:sz w:val="24"/>
                <w:szCs w:val="24"/>
                <w:highlight w:val="none"/>
                <w:lang w:val="en-US" w:eastAsia="zh-CN" w:bidi="ar-SA"/>
              </w:rPr>
              <w:t>严格按照《危险废物贮存污染控制标准》(GB18597-20</w:t>
            </w:r>
            <w:r>
              <w:rPr>
                <w:rFonts w:hint="eastAsia" w:ascii="Times New Roman" w:hAnsi="Times New Roman" w:cs="Times New Roman"/>
                <w:color w:val="FF0000"/>
                <w:kern w:val="2"/>
                <w:sz w:val="24"/>
                <w:szCs w:val="24"/>
                <w:highlight w:val="none"/>
                <w:lang w:val="en-US" w:eastAsia="zh-CN" w:bidi="ar-SA"/>
              </w:rPr>
              <w:t>23</w:t>
            </w:r>
            <w:r>
              <w:rPr>
                <w:rFonts w:hint="default" w:ascii="Times New Roman" w:hAnsi="Times New Roman" w:eastAsia="宋体" w:cs="Times New Roman"/>
                <w:color w:val="FF0000"/>
                <w:kern w:val="2"/>
                <w:sz w:val="24"/>
                <w:szCs w:val="24"/>
                <w:highlight w:val="none"/>
                <w:lang w:val="en-US" w:eastAsia="zh-CN" w:bidi="ar-SA"/>
              </w:rPr>
              <w:t>)要求</w:t>
            </w:r>
            <w:r>
              <w:rPr>
                <w:rFonts w:hint="eastAsia" w:cs="Times New Roman"/>
                <w:color w:val="FF0000"/>
                <w:kern w:val="2"/>
                <w:sz w:val="24"/>
                <w:szCs w:val="24"/>
                <w:highlight w:val="none"/>
                <w:lang w:val="en-US" w:eastAsia="zh-CN" w:bidi="ar-SA"/>
              </w:rPr>
              <w:t>暂存</w:t>
            </w:r>
            <w:r>
              <w:rPr>
                <w:rFonts w:hint="eastAsia" w:cs="Times New Roman"/>
                <w:color w:val="000000" w:themeColor="text1"/>
                <w:kern w:val="2"/>
                <w:sz w:val="24"/>
                <w:szCs w:val="24"/>
                <w:highlight w:val="none"/>
                <w:lang w:val="en-US" w:eastAsia="zh-CN" w:bidi="ar-SA"/>
                <w14:textFill>
                  <w14:solidFill>
                    <w14:schemeClr w14:val="tx1"/>
                  </w14:solidFill>
                </w14:textFill>
              </w:rPr>
              <w:t>。</w:t>
            </w:r>
          </w:p>
          <w:p w14:paraId="652FB465">
            <w:pPr>
              <w:pStyle w:val="65"/>
              <w:spacing w:line="360" w:lineRule="auto"/>
              <w:ind w:firstLine="482"/>
              <w:rPr>
                <w:b w:val="0"/>
                <w:bCs w:val="0"/>
                <w:color w:val="000000" w:themeColor="text1"/>
                <w:highlight w:val="none"/>
                <w14:textFill>
                  <w14:solidFill>
                    <w14:schemeClr w14:val="tx1"/>
                  </w14:solidFill>
                </w14:textFill>
              </w:rPr>
            </w:pPr>
            <w:r>
              <w:rPr>
                <w:rFonts w:hint="eastAsia"/>
                <w:b w:val="0"/>
                <w:bCs w:val="0"/>
                <w:color w:val="FF0000"/>
                <w:highlight w:val="none"/>
                <w:lang w:val="en-US" w:eastAsia="zh-CN"/>
              </w:rPr>
              <w:t>油类</w:t>
            </w:r>
            <w:r>
              <w:rPr>
                <w:rFonts w:hint="default"/>
                <w:b w:val="0"/>
                <w:bCs w:val="0"/>
                <w:color w:val="FF0000"/>
                <w:highlight w:val="none"/>
                <w:lang w:val="en-US" w:eastAsia="zh-CN"/>
              </w:rPr>
              <w:t>泄漏应急处理</w:t>
            </w:r>
            <w:r>
              <w:rPr>
                <w:rFonts w:hint="eastAsia"/>
                <w:b w:val="0"/>
                <w:bCs w:val="0"/>
                <w:color w:val="FF0000"/>
                <w:highlight w:val="none"/>
                <w:lang w:val="en-US" w:eastAsia="zh-CN"/>
              </w:rPr>
              <w:t>措施</w:t>
            </w:r>
            <w:r>
              <w:rPr>
                <w:rFonts w:hint="default"/>
                <w:b w:val="0"/>
                <w:bCs w:val="0"/>
                <w:color w:val="FF0000"/>
                <w:highlight w:val="none"/>
                <w:lang w:val="en-US" w:eastAsia="zh-CN"/>
              </w:rPr>
              <w:t>：对发生油泄漏的区域进行临时封锁，划定安全区域，确保人员安全。避免非应急人员进入事故现场，防止连锁事故的发生。尽快停止油类液体的泄漏源，采取措施封堵破裂管道或设备利用防泄装置、防渗透膜等工具进行物理隔离和控制。使用吸油设备和油水分离器进行油类液体的收集和回收，避免进一步扩散。</w:t>
            </w:r>
          </w:p>
          <w:p w14:paraId="5DA03CFD">
            <w:pPr>
              <w:pStyle w:val="65"/>
              <w:spacing w:line="360" w:lineRule="auto"/>
              <w:ind w:firstLine="482"/>
              <w:rPr>
                <w:b w:val="0"/>
                <w:bCs w:val="0"/>
                <w:color w:val="000000" w:themeColor="text1"/>
                <w:highlight w:val="none"/>
                <w14:textFill>
                  <w14:solidFill>
                    <w14:schemeClr w14:val="tx1"/>
                  </w14:solidFill>
                </w14:textFill>
              </w:rPr>
            </w:pPr>
            <w:r>
              <w:rPr>
                <w:b w:val="0"/>
                <w:bCs w:val="0"/>
                <w:color w:val="000000" w:themeColor="text1"/>
                <w:highlight w:val="none"/>
                <w14:textFill>
                  <w14:solidFill>
                    <w14:schemeClr w14:val="tx1"/>
                  </w14:solidFill>
                </w14:textFill>
              </w:rPr>
              <w:t>（</w:t>
            </w:r>
            <w:r>
              <w:rPr>
                <w:rFonts w:hint="eastAsia"/>
                <w:b w:val="0"/>
                <w:bCs w:val="0"/>
                <w:color w:val="000000" w:themeColor="text1"/>
                <w:highlight w:val="none"/>
                <w:lang w:val="en-US" w:eastAsia="zh-CN"/>
                <w14:textFill>
                  <w14:solidFill>
                    <w14:schemeClr w14:val="tx1"/>
                  </w14:solidFill>
                </w14:textFill>
              </w:rPr>
              <w:t>5</w:t>
            </w:r>
            <w:r>
              <w:rPr>
                <w:b w:val="0"/>
                <w:bCs w:val="0"/>
                <w:color w:val="000000" w:themeColor="text1"/>
                <w:highlight w:val="none"/>
                <w14:textFill>
                  <w14:solidFill>
                    <w14:schemeClr w14:val="tx1"/>
                  </w14:solidFill>
                </w14:textFill>
              </w:rPr>
              <w:t>）分析结论</w:t>
            </w:r>
          </w:p>
          <w:p w14:paraId="559C16C4">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通过本次环境风险评价可以看出，建设项目在全面落实设计、建设和运行中各项环境风险防范措施制定的各项环保、安全规章制度的基础上，在加强日常风险管理的条件下，项目建设从环境风险的角度考虑是可以接受的。</w:t>
            </w:r>
          </w:p>
          <w:p w14:paraId="7DAE811D">
            <w:pPr>
              <w:spacing w:line="360" w:lineRule="auto"/>
              <w:ind w:firstLine="480" w:firstLineChars="200"/>
              <w:rPr>
                <w:rFonts w:hint="eastAsia"/>
                <w:color w:val="000000" w:themeColor="text1"/>
                <w:sz w:val="24"/>
                <w:highlight w:val="yellow"/>
                <w:lang w:eastAsia="zh-CN"/>
                <w14:textFill>
                  <w14:solidFill>
                    <w14:schemeClr w14:val="tx1"/>
                  </w14:solidFill>
                </w14:textFill>
              </w:rPr>
            </w:pPr>
          </w:p>
          <w:p w14:paraId="4432D3ED">
            <w:pPr>
              <w:spacing w:line="360" w:lineRule="auto"/>
              <w:rPr>
                <w:rFonts w:hint="eastAsia"/>
                <w:bCs/>
                <w:color w:val="000000" w:themeColor="text1"/>
                <w:spacing w:val="-10"/>
                <w:sz w:val="24"/>
                <w:highlight w:val="yellow"/>
                <w:lang w:eastAsia="zh-CN"/>
                <w14:textFill>
                  <w14:solidFill>
                    <w14:schemeClr w14:val="tx1"/>
                  </w14:solidFill>
                </w14:textFill>
              </w:rPr>
            </w:pPr>
          </w:p>
          <w:p w14:paraId="72580DDC">
            <w:pPr>
              <w:spacing w:line="360" w:lineRule="auto"/>
              <w:rPr>
                <w:rFonts w:hint="eastAsia"/>
                <w:bCs/>
                <w:color w:val="000000" w:themeColor="text1"/>
                <w:spacing w:val="-10"/>
                <w:sz w:val="24"/>
                <w:highlight w:val="yellow"/>
                <w:lang w:eastAsia="zh-CN"/>
                <w14:textFill>
                  <w14:solidFill>
                    <w14:schemeClr w14:val="tx1"/>
                  </w14:solidFill>
                </w14:textFill>
              </w:rPr>
            </w:pPr>
          </w:p>
          <w:p w14:paraId="4A0A92B5">
            <w:pPr>
              <w:spacing w:line="360" w:lineRule="auto"/>
              <w:rPr>
                <w:rFonts w:hint="eastAsia"/>
                <w:bCs/>
                <w:color w:val="000000" w:themeColor="text1"/>
                <w:spacing w:val="-10"/>
                <w:sz w:val="24"/>
                <w:highlight w:val="yellow"/>
                <w:lang w:eastAsia="zh-CN"/>
                <w14:textFill>
                  <w14:solidFill>
                    <w14:schemeClr w14:val="tx1"/>
                  </w14:solidFill>
                </w14:textFill>
              </w:rPr>
            </w:pPr>
          </w:p>
          <w:p w14:paraId="6DC5BB58">
            <w:pPr>
              <w:spacing w:line="360" w:lineRule="auto"/>
              <w:rPr>
                <w:rFonts w:hint="eastAsia"/>
                <w:bCs/>
                <w:color w:val="000000" w:themeColor="text1"/>
                <w:spacing w:val="-10"/>
                <w:sz w:val="24"/>
                <w:highlight w:val="yellow"/>
                <w:lang w:eastAsia="zh-CN"/>
                <w14:textFill>
                  <w14:solidFill>
                    <w14:schemeClr w14:val="tx1"/>
                  </w14:solidFill>
                </w14:textFill>
              </w:rPr>
            </w:pPr>
          </w:p>
          <w:p w14:paraId="2EA8DCA5">
            <w:pPr>
              <w:spacing w:line="360" w:lineRule="auto"/>
              <w:rPr>
                <w:rFonts w:hint="eastAsia"/>
                <w:bCs/>
                <w:color w:val="000000" w:themeColor="text1"/>
                <w:spacing w:val="-10"/>
                <w:sz w:val="24"/>
                <w:highlight w:val="yellow"/>
                <w:lang w:eastAsia="zh-CN"/>
                <w14:textFill>
                  <w14:solidFill>
                    <w14:schemeClr w14:val="tx1"/>
                  </w14:solidFill>
                </w14:textFill>
              </w:rPr>
            </w:pPr>
          </w:p>
          <w:p w14:paraId="66F40CDA">
            <w:pPr>
              <w:spacing w:line="360" w:lineRule="auto"/>
              <w:rPr>
                <w:rFonts w:hint="eastAsia" w:eastAsia="宋体"/>
                <w:bCs/>
                <w:color w:val="000000" w:themeColor="text1"/>
                <w:spacing w:val="-10"/>
                <w:sz w:val="24"/>
                <w:highlight w:val="yellow"/>
                <w:lang w:eastAsia="zh-CN"/>
                <w14:textFill>
                  <w14:solidFill>
                    <w14:schemeClr w14:val="tx1"/>
                  </w14:solidFill>
                </w14:textFill>
              </w:rPr>
            </w:pPr>
          </w:p>
        </w:tc>
      </w:tr>
    </w:tbl>
    <w:p w14:paraId="34C7DC00">
      <w:pPr>
        <w:pStyle w:val="24"/>
        <w:adjustRightInd w:val="0"/>
        <w:snapToGrid w:val="0"/>
        <w:spacing w:before="0" w:beforeAutospacing="0" w:after="0" w:afterAutospacing="0"/>
        <w:jc w:val="center"/>
        <w:rPr>
          <w:rFonts w:ascii="Times New Roman" w:hAnsi="Times New Roman"/>
          <w:bCs/>
          <w:color w:val="000000" w:themeColor="text1"/>
          <w:kern w:val="2"/>
          <w:szCs w:val="24"/>
          <w14:textFill>
            <w14:solidFill>
              <w14:schemeClr w14:val="tx1"/>
            </w14:solidFill>
          </w14:textFill>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34539B1E">
      <w:pPr>
        <w:pStyle w:val="24"/>
        <w:spacing w:before="0" w:beforeAutospacing="0" w:after="0" w:afterAutospacing="0" w:line="360" w:lineRule="auto"/>
        <w:jc w:val="center"/>
        <w:outlineLvl w:val="0"/>
        <w:rPr>
          <w:rFonts w:ascii="Times New Roman" w:hAnsi="Times New Roman" w:eastAsia="黑体"/>
          <w:snapToGrid w:val="0"/>
          <w:color w:val="000000" w:themeColor="text1"/>
          <w:sz w:val="30"/>
          <w:szCs w:val="30"/>
          <w14:textFill>
            <w14:solidFill>
              <w14:schemeClr w14:val="tx1"/>
            </w14:solidFill>
          </w14:textFill>
        </w:rPr>
      </w:pPr>
      <w:bookmarkStart w:id="26" w:name="_Toc21317"/>
      <w:r>
        <w:rPr>
          <w:rFonts w:ascii="Times New Roman" w:hAnsi="Times New Roman" w:eastAsia="黑体"/>
          <w:snapToGrid w:val="0"/>
          <w:color w:val="000000" w:themeColor="text1"/>
          <w:sz w:val="30"/>
          <w:szCs w:val="30"/>
          <w14:textFill>
            <w14:solidFill>
              <w14:schemeClr w14:val="tx1"/>
            </w14:solidFill>
          </w14:textFill>
        </w:rPr>
        <w:t>五、</w:t>
      </w:r>
      <w:bookmarkStart w:id="27" w:name="_Hlk54167917"/>
      <w:r>
        <w:rPr>
          <w:rFonts w:ascii="Times New Roman" w:hAnsi="Times New Roman" w:eastAsia="黑体"/>
          <w:snapToGrid w:val="0"/>
          <w:color w:val="000000" w:themeColor="text1"/>
          <w:sz w:val="30"/>
          <w:szCs w:val="30"/>
          <w14:textFill>
            <w14:solidFill>
              <w14:schemeClr w14:val="tx1"/>
            </w14:solidFill>
          </w14:textFill>
        </w:rPr>
        <w:t>环境保护措施监督检查清单</w:t>
      </w:r>
      <w:bookmarkEnd w:id="26"/>
      <w:bookmarkEnd w:id="27"/>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41"/>
        <w:gridCol w:w="1500"/>
        <w:gridCol w:w="1275"/>
        <w:gridCol w:w="1890"/>
        <w:gridCol w:w="2794"/>
      </w:tblGrid>
      <w:tr w14:paraId="7F8982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41" w:type="dxa"/>
            <w:tcBorders>
              <w:tl2br w:val="single" w:color="auto" w:sz="4" w:space="0"/>
            </w:tcBorders>
            <w:vAlign w:val="center"/>
          </w:tcPr>
          <w:p w14:paraId="639078B4">
            <w:pPr>
              <w:jc w:val="right"/>
              <w:rPr>
                <w:b w:val="0"/>
                <w:bCs w:val="0"/>
                <w:color w:val="000000" w:themeColor="text1"/>
                <w:kern w:val="21"/>
                <w:sz w:val="24"/>
                <w:szCs w:val="24"/>
                <w14:textFill>
                  <w14:solidFill>
                    <w14:schemeClr w14:val="tx1"/>
                  </w14:solidFill>
                </w14:textFill>
              </w:rPr>
            </w:pPr>
            <w:r>
              <w:rPr>
                <w:b w:val="0"/>
                <w:bCs w:val="0"/>
                <w:color w:val="000000" w:themeColor="text1"/>
                <w:kern w:val="21"/>
                <w:sz w:val="24"/>
                <w:szCs w:val="24"/>
                <w14:textFill>
                  <w14:solidFill>
                    <w14:schemeClr w14:val="tx1"/>
                  </w14:solidFill>
                </w14:textFill>
              </w:rPr>
              <w:t>内容</w:t>
            </w:r>
          </w:p>
          <w:p w14:paraId="1156D3D0">
            <w:pPr>
              <w:jc w:val="left"/>
              <w:rPr>
                <w:b w:val="0"/>
                <w:bCs w:val="0"/>
                <w:color w:val="000000" w:themeColor="text1"/>
                <w:kern w:val="21"/>
                <w:sz w:val="24"/>
                <w:szCs w:val="24"/>
                <w14:textFill>
                  <w14:solidFill>
                    <w14:schemeClr w14:val="tx1"/>
                  </w14:solidFill>
                </w14:textFill>
              </w:rPr>
            </w:pPr>
            <w:r>
              <w:rPr>
                <w:b w:val="0"/>
                <w:bCs w:val="0"/>
                <w:color w:val="000000" w:themeColor="text1"/>
                <w:kern w:val="21"/>
                <w:sz w:val="24"/>
                <w:szCs w:val="24"/>
                <w14:textFill>
                  <w14:solidFill>
                    <w14:schemeClr w14:val="tx1"/>
                  </w14:solidFill>
                </w14:textFill>
              </w:rPr>
              <w:t>要素</w:t>
            </w:r>
          </w:p>
        </w:tc>
        <w:tc>
          <w:tcPr>
            <w:tcW w:w="1500" w:type="dxa"/>
            <w:vAlign w:val="center"/>
          </w:tcPr>
          <w:p w14:paraId="3D59660D">
            <w:pPr>
              <w:jc w:val="center"/>
              <w:rPr>
                <w:b w:val="0"/>
                <w:bCs w:val="0"/>
                <w:color w:val="000000" w:themeColor="text1"/>
                <w:kern w:val="21"/>
                <w:sz w:val="24"/>
                <w:szCs w:val="24"/>
                <w:highlight w:val="none"/>
                <w14:textFill>
                  <w14:solidFill>
                    <w14:schemeClr w14:val="tx1"/>
                  </w14:solidFill>
                </w14:textFill>
              </w:rPr>
            </w:pPr>
            <w:r>
              <w:rPr>
                <w:b w:val="0"/>
                <w:bCs w:val="0"/>
                <w:color w:val="000000" w:themeColor="text1"/>
                <w:kern w:val="21"/>
                <w:sz w:val="24"/>
                <w:szCs w:val="24"/>
                <w:highlight w:val="none"/>
                <w14:textFill>
                  <w14:solidFill>
                    <w14:schemeClr w14:val="tx1"/>
                  </w14:solidFill>
                </w14:textFill>
              </w:rPr>
              <w:t>排放口(编号、名称)/污染源</w:t>
            </w:r>
          </w:p>
        </w:tc>
        <w:tc>
          <w:tcPr>
            <w:tcW w:w="1275" w:type="dxa"/>
            <w:vAlign w:val="center"/>
          </w:tcPr>
          <w:p w14:paraId="2422D29E">
            <w:pPr>
              <w:jc w:val="center"/>
              <w:rPr>
                <w:b w:val="0"/>
                <w:bCs w:val="0"/>
                <w:color w:val="000000" w:themeColor="text1"/>
                <w:kern w:val="21"/>
                <w:sz w:val="24"/>
                <w:szCs w:val="24"/>
                <w:highlight w:val="none"/>
                <w14:textFill>
                  <w14:solidFill>
                    <w14:schemeClr w14:val="tx1"/>
                  </w14:solidFill>
                </w14:textFill>
              </w:rPr>
            </w:pPr>
            <w:r>
              <w:rPr>
                <w:b w:val="0"/>
                <w:bCs w:val="0"/>
                <w:color w:val="000000" w:themeColor="text1"/>
                <w:kern w:val="21"/>
                <w:sz w:val="24"/>
                <w:szCs w:val="24"/>
                <w:highlight w:val="none"/>
                <w14:textFill>
                  <w14:solidFill>
                    <w14:schemeClr w14:val="tx1"/>
                  </w14:solidFill>
                </w14:textFill>
              </w:rPr>
              <w:t>污染物项目</w:t>
            </w:r>
          </w:p>
        </w:tc>
        <w:tc>
          <w:tcPr>
            <w:tcW w:w="1890" w:type="dxa"/>
            <w:vAlign w:val="center"/>
          </w:tcPr>
          <w:p w14:paraId="6F28A8E4">
            <w:pPr>
              <w:jc w:val="center"/>
              <w:rPr>
                <w:b w:val="0"/>
                <w:bCs w:val="0"/>
                <w:color w:val="000000" w:themeColor="text1"/>
                <w:kern w:val="21"/>
                <w:sz w:val="24"/>
                <w:szCs w:val="24"/>
                <w:highlight w:val="none"/>
                <w14:textFill>
                  <w14:solidFill>
                    <w14:schemeClr w14:val="tx1"/>
                  </w14:solidFill>
                </w14:textFill>
              </w:rPr>
            </w:pPr>
            <w:r>
              <w:rPr>
                <w:b w:val="0"/>
                <w:bCs w:val="0"/>
                <w:color w:val="000000" w:themeColor="text1"/>
                <w:kern w:val="21"/>
                <w:sz w:val="24"/>
                <w:szCs w:val="24"/>
                <w:highlight w:val="none"/>
                <w14:textFill>
                  <w14:solidFill>
                    <w14:schemeClr w14:val="tx1"/>
                  </w14:solidFill>
                </w14:textFill>
              </w:rPr>
              <w:t>环境保护措施</w:t>
            </w:r>
          </w:p>
        </w:tc>
        <w:tc>
          <w:tcPr>
            <w:tcW w:w="2794" w:type="dxa"/>
            <w:vAlign w:val="center"/>
          </w:tcPr>
          <w:p w14:paraId="11597E91">
            <w:pPr>
              <w:jc w:val="center"/>
              <w:rPr>
                <w:b w:val="0"/>
                <w:bCs w:val="0"/>
                <w:color w:val="000000" w:themeColor="text1"/>
                <w:kern w:val="21"/>
                <w:sz w:val="24"/>
                <w:szCs w:val="24"/>
                <w:highlight w:val="none"/>
                <w14:textFill>
                  <w14:solidFill>
                    <w14:schemeClr w14:val="tx1"/>
                  </w14:solidFill>
                </w14:textFill>
              </w:rPr>
            </w:pPr>
            <w:r>
              <w:rPr>
                <w:b w:val="0"/>
                <w:bCs w:val="0"/>
                <w:color w:val="000000" w:themeColor="text1"/>
                <w:kern w:val="21"/>
                <w:sz w:val="24"/>
                <w:szCs w:val="24"/>
                <w:highlight w:val="none"/>
                <w14:textFill>
                  <w14:solidFill>
                    <w14:schemeClr w14:val="tx1"/>
                  </w14:solidFill>
                </w14:textFill>
              </w:rPr>
              <w:t>执行标准</w:t>
            </w:r>
          </w:p>
        </w:tc>
      </w:tr>
      <w:tr w14:paraId="4B092B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5" w:hRule="atLeast"/>
          <w:jc w:val="center"/>
        </w:trPr>
        <w:tc>
          <w:tcPr>
            <w:tcW w:w="1341" w:type="dxa"/>
            <w:vMerge w:val="restart"/>
            <w:vAlign w:val="center"/>
          </w:tcPr>
          <w:p w14:paraId="6D1B11F7">
            <w:pPr>
              <w:jc w:val="center"/>
              <w:rPr>
                <w:color w:val="000000" w:themeColor="text1"/>
                <w:kern w:val="21"/>
                <w:szCs w:val="21"/>
                <w:highlight w:val="yellow"/>
                <w14:textFill>
                  <w14:solidFill>
                    <w14:schemeClr w14:val="tx1"/>
                  </w14:solidFill>
                </w14:textFill>
              </w:rPr>
            </w:pPr>
            <w:r>
              <w:rPr>
                <w:color w:val="000000" w:themeColor="text1"/>
                <w:kern w:val="21"/>
                <w:sz w:val="24"/>
                <w:szCs w:val="24"/>
                <w:highlight w:val="none"/>
                <w14:textFill>
                  <w14:solidFill>
                    <w14:schemeClr w14:val="tx1"/>
                  </w14:solidFill>
                </w14:textFill>
              </w:rPr>
              <w:t>大气环境</w:t>
            </w:r>
          </w:p>
        </w:tc>
        <w:tc>
          <w:tcPr>
            <w:tcW w:w="1500" w:type="dxa"/>
            <w:shd w:val="clear" w:color="auto" w:fill="auto"/>
            <w:vAlign w:val="center"/>
          </w:tcPr>
          <w:p w14:paraId="1A7F3EF3">
            <w:pPr>
              <w:adjustRightInd w:val="0"/>
              <w:snapToGrid w:val="0"/>
              <w:jc w:val="center"/>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破碎筛分工序</w:t>
            </w:r>
          </w:p>
        </w:tc>
        <w:tc>
          <w:tcPr>
            <w:tcW w:w="1275" w:type="dxa"/>
            <w:shd w:val="clear" w:color="auto" w:fill="auto"/>
            <w:vAlign w:val="center"/>
          </w:tcPr>
          <w:p w14:paraId="119D8C0F">
            <w:pPr>
              <w:adjustRightInd w:val="0"/>
              <w:snapToGrid w:val="0"/>
              <w:jc w:val="center"/>
              <w:rPr>
                <w:rFonts w:ascii="Times New Roman" w:hAnsi="Times New Roman" w:eastAsia="宋体" w:cs="Times New Roman"/>
                <w:color w:val="000000" w:themeColor="text1"/>
                <w:kern w:val="21"/>
                <w:sz w:val="21"/>
                <w:szCs w:val="21"/>
                <w:highlight w:val="none"/>
                <w:lang w:val="en-US" w:eastAsia="zh-CN" w:bidi="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颗粒物</w:t>
            </w:r>
          </w:p>
        </w:tc>
        <w:tc>
          <w:tcPr>
            <w:tcW w:w="1890" w:type="dxa"/>
            <w:vAlign w:val="center"/>
          </w:tcPr>
          <w:p w14:paraId="182ACEE4">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破碎、筛分等各产尘点进行喷淋降尘，车间内定期洒水降尘，定期冲洗车间地面</w:t>
            </w:r>
          </w:p>
        </w:tc>
        <w:tc>
          <w:tcPr>
            <w:tcW w:w="2794" w:type="dxa"/>
            <w:vAlign w:val="center"/>
          </w:tcPr>
          <w:p w14:paraId="5CC59B5B">
            <w:pPr>
              <w:adjustRightInd w:val="0"/>
              <w:snapToGrid w:val="0"/>
              <w:jc w:val="center"/>
              <w:rPr>
                <w:color w:val="000000" w:themeColor="text1"/>
                <w:kern w:val="21"/>
                <w:szCs w:val="21"/>
                <w:highlight w:val="none"/>
                <w:lang w:val="zh-CN" w:bidi="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《煤炭工业污染物排放标准》（GB20426-2006）表5</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污</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染物排放限值要求</w:t>
            </w:r>
          </w:p>
        </w:tc>
      </w:tr>
      <w:tr w14:paraId="317BBD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41" w:type="dxa"/>
            <w:vMerge w:val="continue"/>
            <w:vAlign w:val="center"/>
          </w:tcPr>
          <w:p w14:paraId="5EF0B063">
            <w:pPr>
              <w:jc w:val="center"/>
              <w:rPr>
                <w:color w:val="000000" w:themeColor="text1"/>
                <w:kern w:val="21"/>
                <w:szCs w:val="21"/>
                <w:highlight w:val="yellow"/>
                <w14:textFill>
                  <w14:solidFill>
                    <w14:schemeClr w14:val="tx1"/>
                  </w14:solidFill>
                </w14:textFill>
              </w:rPr>
            </w:pPr>
          </w:p>
        </w:tc>
        <w:tc>
          <w:tcPr>
            <w:tcW w:w="1500" w:type="dxa"/>
            <w:vAlign w:val="center"/>
          </w:tcPr>
          <w:p w14:paraId="014BA04F">
            <w:pPr>
              <w:adjustRightInd w:val="0"/>
              <w:snapToGrid w:val="0"/>
              <w:jc w:val="center"/>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原料及产品转运、贮存</w:t>
            </w:r>
          </w:p>
        </w:tc>
        <w:tc>
          <w:tcPr>
            <w:tcW w:w="1275" w:type="dxa"/>
            <w:vAlign w:val="center"/>
          </w:tcPr>
          <w:p w14:paraId="2AA012F0">
            <w:pPr>
              <w:adjustRightInd w:val="0"/>
              <w:snapToGrid w:val="0"/>
              <w:jc w:val="center"/>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颗粒物</w:t>
            </w:r>
          </w:p>
        </w:tc>
        <w:tc>
          <w:tcPr>
            <w:tcW w:w="1890" w:type="dxa"/>
            <w:vAlign w:val="center"/>
          </w:tcPr>
          <w:p w14:paraId="684EAE44">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原煤仓、精煤仓、矸石仓均采取全封闭措施，定期洒水降尘</w:t>
            </w:r>
          </w:p>
        </w:tc>
        <w:tc>
          <w:tcPr>
            <w:tcW w:w="2794" w:type="dxa"/>
            <w:vAlign w:val="center"/>
          </w:tcPr>
          <w:p w14:paraId="1811F610">
            <w:pPr>
              <w:adjustRightInd w:val="0"/>
              <w:snapToGrid w:val="0"/>
              <w:jc w:val="center"/>
              <w:rPr>
                <w:color w:val="000000" w:themeColor="text1"/>
                <w:kern w:val="21"/>
                <w:szCs w:val="21"/>
                <w:highlight w:val="none"/>
                <w:lang w:val="zh-CN" w:bidi="zh-CN"/>
                <w14:textFill>
                  <w14:solidFill>
                    <w14:schemeClr w14:val="tx1"/>
                  </w14:solidFill>
                </w14:textFill>
              </w:rPr>
            </w:pPr>
            <w:r>
              <w:rPr>
                <w:rFonts w:hint="default" w:ascii="Times New Roman" w:hAnsi="Times New Roman" w:cs="Times New Roman"/>
                <w:color w:val="000000" w:themeColor="text1"/>
                <w:sz w:val="24"/>
                <w:szCs w:val="24"/>
                <w:highlight w:val="none"/>
                <w:lang w:val="zh-CN" w:eastAsia="zh-CN"/>
                <w14:textFill>
                  <w14:solidFill>
                    <w14:schemeClr w14:val="tx1"/>
                  </w14:solidFill>
                </w14:textFill>
              </w:rPr>
              <w:t>《煤炭工业污染物排放标准》（GB20426-2006）表5</w:t>
            </w:r>
            <w:r>
              <w:rPr>
                <w:rFonts w:hint="eastAsia" w:ascii="Times New Roman" w:hAnsi="Times New Roman" w:cs="Times New Roman"/>
                <w:color w:val="000000" w:themeColor="text1"/>
                <w:sz w:val="24"/>
                <w:szCs w:val="24"/>
                <w:highlight w:val="none"/>
                <w:lang w:val="zh-CN" w:eastAsia="zh-CN"/>
                <w14:textFill>
                  <w14:solidFill>
                    <w14:schemeClr w14:val="tx1"/>
                  </w14:solidFill>
                </w14:textFill>
              </w:rPr>
              <w:t>污</w:t>
            </w:r>
            <w:r>
              <w:rPr>
                <w:rFonts w:hint="default" w:ascii="Times New Roman" w:hAnsi="Times New Roman" w:cs="Times New Roman"/>
                <w:color w:val="000000" w:themeColor="text1"/>
                <w:sz w:val="24"/>
                <w:szCs w:val="24"/>
                <w:highlight w:val="none"/>
                <w:lang w:val="zh-CN" w:eastAsia="zh-CN"/>
                <w14:textFill>
                  <w14:solidFill>
                    <w14:schemeClr w14:val="tx1"/>
                  </w14:solidFill>
                </w14:textFill>
              </w:rPr>
              <w:t>染物排放限值要求</w:t>
            </w:r>
          </w:p>
        </w:tc>
      </w:tr>
      <w:tr w14:paraId="6882B4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42" w:hRule="atLeast"/>
          <w:jc w:val="center"/>
        </w:trPr>
        <w:tc>
          <w:tcPr>
            <w:tcW w:w="1341" w:type="dxa"/>
            <w:vMerge w:val="continue"/>
            <w:vAlign w:val="center"/>
          </w:tcPr>
          <w:p w14:paraId="496B09F1">
            <w:pPr>
              <w:jc w:val="center"/>
              <w:rPr>
                <w:color w:val="000000" w:themeColor="text1"/>
                <w:kern w:val="21"/>
                <w:szCs w:val="21"/>
                <w:highlight w:val="yellow"/>
                <w14:textFill>
                  <w14:solidFill>
                    <w14:schemeClr w14:val="tx1"/>
                  </w14:solidFill>
                </w14:textFill>
              </w:rPr>
            </w:pPr>
          </w:p>
        </w:tc>
        <w:tc>
          <w:tcPr>
            <w:tcW w:w="1500" w:type="dxa"/>
            <w:vAlign w:val="center"/>
          </w:tcPr>
          <w:p w14:paraId="334ADB15">
            <w:pPr>
              <w:adjustRightInd w:val="0"/>
              <w:snapToGrid w:val="0"/>
              <w:jc w:val="center"/>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物料输送</w:t>
            </w:r>
          </w:p>
        </w:tc>
        <w:tc>
          <w:tcPr>
            <w:tcW w:w="1275" w:type="dxa"/>
            <w:vAlign w:val="center"/>
          </w:tcPr>
          <w:p w14:paraId="543DB408">
            <w:pPr>
              <w:adjustRightInd w:val="0"/>
              <w:snapToGrid w:val="0"/>
              <w:jc w:val="center"/>
              <w:rPr>
                <w:color w:val="000000" w:themeColor="text1"/>
                <w:kern w:val="21"/>
                <w:szCs w:val="21"/>
                <w:highlight w:val="none"/>
                <w:lang w:bidi="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颗粒物</w:t>
            </w:r>
          </w:p>
        </w:tc>
        <w:tc>
          <w:tcPr>
            <w:tcW w:w="1890" w:type="dxa"/>
            <w:vAlign w:val="center"/>
          </w:tcPr>
          <w:p w14:paraId="59032F12">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在运输过程中应采取减速行驶且运输车辆运输时车身加盖苫布，防止物料洒落</w:t>
            </w:r>
          </w:p>
        </w:tc>
        <w:tc>
          <w:tcPr>
            <w:tcW w:w="2794" w:type="dxa"/>
            <w:vAlign w:val="center"/>
          </w:tcPr>
          <w:p w14:paraId="43853C3F">
            <w:pPr>
              <w:adjustRightInd w:val="0"/>
              <w:snapToGrid w:val="0"/>
              <w:jc w:val="center"/>
              <w:rPr>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《煤炭工业污染物排放标准》（GB20426-2006）表5</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污</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染物排放限值要求</w:t>
            </w:r>
          </w:p>
        </w:tc>
      </w:tr>
      <w:tr w14:paraId="5C4E39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42" w:hRule="atLeast"/>
          <w:jc w:val="center"/>
        </w:trPr>
        <w:tc>
          <w:tcPr>
            <w:tcW w:w="1341" w:type="dxa"/>
            <w:vMerge w:val="continue"/>
            <w:vAlign w:val="center"/>
          </w:tcPr>
          <w:p w14:paraId="0CB2C8FF">
            <w:pPr>
              <w:jc w:val="center"/>
              <w:rPr>
                <w:color w:val="000000" w:themeColor="text1"/>
                <w:kern w:val="21"/>
                <w:szCs w:val="21"/>
                <w:highlight w:val="yellow"/>
                <w14:textFill>
                  <w14:solidFill>
                    <w14:schemeClr w14:val="tx1"/>
                  </w14:solidFill>
                </w14:textFill>
              </w:rPr>
            </w:pPr>
          </w:p>
        </w:tc>
        <w:tc>
          <w:tcPr>
            <w:tcW w:w="1500" w:type="dxa"/>
            <w:vAlign w:val="center"/>
          </w:tcPr>
          <w:p w14:paraId="56D39CBF">
            <w:pPr>
              <w:adjustRightInd w:val="0"/>
              <w:snapToGrid w:val="0"/>
              <w:jc w:val="center"/>
              <w:rPr>
                <w:rFonts w:hint="default" w:ascii="Times New Roman" w:hAnsi="Times New Roman" w:cs="Times New Roman"/>
                <w:color w:val="FF0000"/>
                <w:sz w:val="24"/>
                <w:szCs w:val="24"/>
                <w:highlight w:val="none"/>
                <w:lang w:val="en-US" w:eastAsia="zh-CN"/>
              </w:rPr>
            </w:pPr>
            <w:r>
              <w:rPr>
                <w:rFonts w:hint="eastAsia" w:cs="Times New Roman"/>
                <w:color w:val="FF0000"/>
                <w:sz w:val="24"/>
                <w:szCs w:val="24"/>
                <w:highlight w:val="none"/>
                <w:lang w:val="en-US" w:eastAsia="zh-CN"/>
              </w:rPr>
              <w:t>浮选</w:t>
            </w:r>
          </w:p>
        </w:tc>
        <w:tc>
          <w:tcPr>
            <w:tcW w:w="1275" w:type="dxa"/>
            <w:vAlign w:val="center"/>
          </w:tcPr>
          <w:p w14:paraId="06776C93">
            <w:pPr>
              <w:adjustRightInd w:val="0"/>
              <w:snapToGrid w:val="0"/>
              <w:jc w:val="center"/>
              <w:rPr>
                <w:rFonts w:hint="default" w:ascii="Times New Roman" w:hAnsi="Times New Roman" w:cs="Times New Roman"/>
                <w:color w:val="FF0000"/>
                <w:sz w:val="24"/>
                <w:szCs w:val="24"/>
                <w:highlight w:val="none"/>
                <w:lang w:val="en-US" w:eastAsia="zh-CN"/>
              </w:rPr>
            </w:pPr>
            <w:r>
              <w:rPr>
                <w:rFonts w:hint="eastAsia" w:cs="Times New Roman"/>
                <w:color w:val="FF0000"/>
                <w:sz w:val="24"/>
                <w:szCs w:val="24"/>
                <w:highlight w:val="none"/>
                <w:lang w:val="en-US" w:eastAsia="zh-CN"/>
              </w:rPr>
              <w:t>非甲烷总烃</w:t>
            </w:r>
          </w:p>
        </w:tc>
        <w:tc>
          <w:tcPr>
            <w:tcW w:w="1890" w:type="dxa"/>
            <w:vAlign w:val="center"/>
          </w:tcPr>
          <w:p w14:paraId="78E5EE51">
            <w:pPr>
              <w:adjustRightInd w:val="0"/>
              <w:snapToGrid w:val="0"/>
              <w:jc w:val="center"/>
              <w:rPr>
                <w:rFonts w:hint="default" w:ascii="Times New Roman" w:hAnsi="Times New Roman" w:eastAsia="宋体" w:cs="Times New Roman"/>
                <w:color w:val="FF0000"/>
                <w:sz w:val="24"/>
                <w:szCs w:val="24"/>
                <w:highlight w:val="none"/>
                <w:lang w:val="en-US" w:eastAsia="zh-CN"/>
              </w:rPr>
            </w:pPr>
            <w:r>
              <w:rPr>
                <w:rFonts w:hint="eastAsia" w:cs="Times New Roman"/>
                <w:color w:val="FF0000"/>
                <w:sz w:val="24"/>
                <w:szCs w:val="24"/>
                <w:highlight w:val="none"/>
                <w:lang w:val="en-US" w:eastAsia="zh-CN"/>
              </w:rPr>
              <w:t>浮选工序位于主厂房五楼，通过车间通风口排放</w:t>
            </w:r>
          </w:p>
        </w:tc>
        <w:tc>
          <w:tcPr>
            <w:tcW w:w="2794" w:type="dxa"/>
            <w:vMerge w:val="restart"/>
            <w:vAlign w:val="center"/>
          </w:tcPr>
          <w:p w14:paraId="543E5BD1">
            <w:pPr>
              <w:adjustRightInd w:val="0"/>
              <w:snapToGrid w:val="0"/>
              <w:jc w:val="center"/>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FF0000"/>
                <w:sz w:val="24"/>
                <w:szCs w:val="24"/>
                <w:highlight w:val="none"/>
                <w:lang w:val="en-US" w:eastAsia="zh-CN"/>
              </w:rPr>
              <w:t>厂</w:t>
            </w:r>
            <w:r>
              <w:rPr>
                <w:rFonts w:hint="eastAsia" w:cs="Times New Roman"/>
                <w:color w:val="FF0000"/>
                <w:sz w:val="24"/>
                <w:szCs w:val="24"/>
                <w:highlight w:val="none"/>
                <w:lang w:val="en-US" w:eastAsia="zh-CN"/>
              </w:rPr>
              <w:t>内</w:t>
            </w:r>
            <w:r>
              <w:rPr>
                <w:rFonts w:hint="default" w:ascii="Times New Roman" w:hAnsi="Times New Roman" w:cs="Times New Roman"/>
                <w:color w:val="FF0000"/>
                <w:sz w:val="24"/>
                <w:szCs w:val="24"/>
                <w:highlight w:val="none"/>
                <w:lang w:val="en-US" w:eastAsia="zh-CN"/>
              </w:rPr>
              <w:t>无组织非甲烷总烃《挥发性有机物无组织排放控制标准》（GB37822-2019）附录A表A.1中无组织排放限值，厂界无组织非甲烷总烃《大气污染物综合排放标准》（GB16297-1996）表2中周界外浓度最高点无组织排放标准限值</w:t>
            </w:r>
            <w:r>
              <w:rPr>
                <w:rFonts w:hint="eastAsia" w:cs="Times New Roman"/>
                <w:color w:val="FF0000"/>
                <w:sz w:val="24"/>
                <w:szCs w:val="24"/>
                <w:highlight w:val="none"/>
                <w:lang w:val="en-US" w:eastAsia="zh-CN"/>
              </w:rPr>
              <w:t>要求</w:t>
            </w:r>
          </w:p>
        </w:tc>
      </w:tr>
      <w:tr w14:paraId="0B7A2D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42" w:hRule="atLeast"/>
          <w:jc w:val="center"/>
        </w:trPr>
        <w:tc>
          <w:tcPr>
            <w:tcW w:w="1341" w:type="dxa"/>
            <w:vMerge w:val="continue"/>
            <w:vAlign w:val="center"/>
          </w:tcPr>
          <w:p w14:paraId="7F9968CC">
            <w:pPr>
              <w:jc w:val="center"/>
              <w:rPr>
                <w:color w:val="000000" w:themeColor="text1"/>
                <w:kern w:val="21"/>
                <w:szCs w:val="21"/>
                <w:highlight w:val="yellow"/>
                <w14:textFill>
                  <w14:solidFill>
                    <w14:schemeClr w14:val="tx1"/>
                  </w14:solidFill>
                </w14:textFill>
              </w:rPr>
            </w:pPr>
          </w:p>
        </w:tc>
        <w:tc>
          <w:tcPr>
            <w:tcW w:w="1500" w:type="dxa"/>
            <w:vAlign w:val="center"/>
          </w:tcPr>
          <w:p w14:paraId="46C73298">
            <w:pPr>
              <w:adjustRightInd w:val="0"/>
              <w:snapToGrid w:val="0"/>
              <w:jc w:val="center"/>
              <w:rPr>
                <w:rFonts w:hint="default" w:ascii="Times New Roman" w:hAnsi="Times New Roman" w:cs="Times New Roman"/>
                <w:color w:val="FF0000"/>
                <w:sz w:val="24"/>
                <w:szCs w:val="24"/>
                <w:highlight w:val="none"/>
                <w:lang w:val="en-US" w:eastAsia="zh-CN"/>
              </w:rPr>
            </w:pPr>
            <w:r>
              <w:rPr>
                <w:rFonts w:hint="eastAsia" w:cs="Times New Roman"/>
                <w:color w:val="FF0000"/>
                <w:sz w:val="24"/>
                <w:szCs w:val="24"/>
                <w:highlight w:val="none"/>
                <w:lang w:val="en-US" w:eastAsia="zh-CN"/>
              </w:rPr>
              <w:t>柴油贮存</w:t>
            </w:r>
          </w:p>
        </w:tc>
        <w:tc>
          <w:tcPr>
            <w:tcW w:w="1275" w:type="dxa"/>
            <w:vAlign w:val="center"/>
          </w:tcPr>
          <w:p w14:paraId="17ED7B7D">
            <w:pPr>
              <w:adjustRightInd w:val="0"/>
              <w:snapToGrid w:val="0"/>
              <w:jc w:val="center"/>
              <w:rPr>
                <w:rFonts w:hint="default" w:ascii="Times New Roman" w:hAnsi="Times New Roman" w:cs="Times New Roman"/>
                <w:color w:val="FF0000"/>
                <w:sz w:val="24"/>
                <w:szCs w:val="24"/>
                <w:highlight w:val="none"/>
                <w:lang w:val="en-US" w:eastAsia="zh-CN"/>
              </w:rPr>
            </w:pPr>
            <w:r>
              <w:rPr>
                <w:rFonts w:hint="eastAsia" w:cs="Times New Roman"/>
                <w:color w:val="FF0000"/>
                <w:sz w:val="24"/>
                <w:szCs w:val="24"/>
                <w:highlight w:val="none"/>
                <w:lang w:val="en-US" w:eastAsia="zh-CN"/>
              </w:rPr>
              <w:t>非甲烷总烃</w:t>
            </w:r>
          </w:p>
        </w:tc>
        <w:tc>
          <w:tcPr>
            <w:tcW w:w="1890" w:type="dxa"/>
            <w:vAlign w:val="center"/>
          </w:tcPr>
          <w:p w14:paraId="337E4EF0">
            <w:pPr>
              <w:adjustRightInd w:val="0"/>
              <w:snapToGrid w:val="0"/>
              <w:jc w:val="center"/>
              <w:rPr>
                <w:rFonts w:hint="eastAsia" w:ascii="Times New Roman" w:hAnsi="Times New Roman" w:eastAsia="宋体" w:cs="Times New Roman"/>
                <w:color w:val="FF0000"/>
                <w:sz w:val="24"/>
                <w:szCs w:val="24"/>
                <w:highlight w:val="none"/>
                <w:lang w:val="en-US" w:eastAsia="zh-CN"/>
              </w:rPr>
            </w:pPr>
            <w:r>
              <w:rPr>
                <w:rFonts w:hint="eastAsia" w:ascii="Times New Roman" w:hAnsi="Times New Roman" w:eastAsia="宋体" w:cs="Times New Roman"/>
                <w:color w:val="FF0000"/>
                <w:sz w:val="24"/>
                <w:szCs w:val="24"/>
                <w:highlight w:val="none"/>
                <w:lang w:val="en-US" w:eastAsia="zh-CN"/>
              </w:rPr>
              <w:t>油料的装卸、运输过程中采用密闭管道和封闭接口，减少油料的空气暴露量</w:t>
            </w:r>
          </w:p>
        </w:tc>
        <w:tc>
          <w:tcPr>
            <w:tcW w:w="2794" w:type="dxa"/>
            <w:vMerge w:val="continue"/>
            <w:vAlign w:val="center"/>
          </w:tcPr>
          <w:p w14:paraId="721C475F">
            <w:pPr>
              <w:adjustRightInd w:val="0"/>
              <w:snapToGrid w:val="0"/>
              <w:jc w:val="center"/>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p>
        </w:tc>
      </w:tr>
      <w:tr w14:paraId="245017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5" w:hRule="atLeast"/>
          <w:jc w:val="center"/>
        </w:trPr>
        <w:tc>
          <w:tcPr>
            <w:tcW w:w="1341" w:type="dxa"/>
            <w:vMerge w:val="continue"/>
            <w:vAlign w:val="center"/>
          </w:tcPr>
          <w:p w14:paraId="3F3F6D12">
            <w:pPr>
              <w:jc w:val="center"/>
              <w:rPr>
                <w:color w:val="000000" w:themeColor="text1"/>
                <w:kern w:val="21"/>
                <w:szCs w:val="21"/>
                <w:highlight w:val="yellow"/>
                <w14:textFill>
                  <w14:solidFill>
                    <w14:schemeClr w14:val="tx1"/>
                  </w14:solidFill>
                </w14:textFill>
              </w:rPr>
            </w:pPr>
          </w:p>
        </w:tc>
        <w:tc>
          <w:tcPr>
            <w:tcW w:w="1500" w:type="dxa"/>
            <w:vAlign w:val="center"/>
          </w:tcPr>
          <w:p w14:paraId="5BD7D1FB">
            <w:pPr>
              <w:adjustRightInd w:val="0"/>
              <w:snapToGrid w:val="0"/>
              <w:jc w:val="center"/>
              <w:rPr>
                <w:color w:val="000000" w:themeColor="text1"/>
                <w:kern w:val="21"/>
                <w:szCs w:val="21"/>
                <w:highlight w:val="none"/>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食堂</w:t>
            </w:r>
          </w:p>
        </w:tc>
        <w:tc>
          <w:tcPr>
            <w:tcW w:w="1275" w:type="dxa"/>
            <w:vAlign w:val="center"/>
          </w:tcPr>
          <w:p w14:paraId="00053142">
            <w:pPr>
              <w:adjustRightInd w:val="0"/>
              <w:snapToGrid w:val="0"/>
              <w:jc w:val="center"/>
              <w:rPr>
                <w:color w:val="000000" w:themeColor="text1"/>
                <w:kern w:val="21"/>
                <w:szCs w:val="21"/>
                <w:highlight w:val="none"/>
                <w:lang w:bidi="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油烟</w:t>
            </w:r>
          </w:p>
        </w:tc>
        <w:tc>
          <w:tcPr>
            <w:tcW w:w="1890" w:type="dxa"/>
            <w:vAlign w:val="center"/>
          </w:tcPr>
          <w:p w14:paraId="4F7CBFEC">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油烟净化器</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专用烟道引至屋顶排放</w:t>
            </w:r>
          </w:p>
        </w:tc>
        <w:tc>
          <w:tcPr>
            <w:tcW w:w="2794" w:type="dxa"/>
            <w:vAlign w:val="center"/>
          </w:tcPr>
          <w:p w14:paraId="29B1376A">
            <w:pPr>
              <w:adjustRightInd w:val="0"/>
              <w:snapToGrid w:val="0"/>
              <w:jc w:val="center"/>
              <w:rPr>
                <w:rFonts w:hint="eastAsia"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《饮食业油烟排放标准（试行）》（GB18483-2001）</w:t>
            </w:r>
          </w:p>
        </w:tc>
      </w:tr>
      <w:tr w14:paraId="7C2ABD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41" w:type="dxa"/>
            <w:vAlign w:val="center"/>
          </w:tcPr>
          <w:p w14:paraId="72D74747">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地表水环境</w:t>
            </w:r>
          </w:p>
        </w:tc>
        <w:tc>
          <w:tcPr>
            <w:tcW w:w="1500" w:type="dxa"/>
            <w:vAlign w:val="center"/>
          </w:tcPr>
          <w:p w14:paraId="5E396210">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生活污水</w:t>
            </w:r>
          </w:p>
        </w:tc>
        <w:tc>
          <w:tcPr>
            <w:tcW w:w="1275" w:type="dxa"/>
            <w:vAlign w:val="center"/>
          </w:tcPr>
          <w:p w14:paraId="04AA6AE0">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COD、BOD</w:t>
            </w:r>
            <w:r>
              <w:rPr>
                <w:rFonts w:hint="eastAsia"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5</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、SS、氨氮、动植物油</w:t>
            </w:r>
          </w:p>
        </w:tc>
        <w:tc>
          <w:tcPr>
            <w:tcW w:w="1890" w:type="dxa"/>
            <w:vAlign w:val="center"/>
          </w:tcPr>
          <w:p w14:paraId="2A9A4D19">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通过市政管网进入双鸭山市城市污水处理厂处理</w:t>
            </w:r>
          </w:p>
        </w:tc>
        <w:tc>
          <w:tcPr>
            <w:tcW w:w="2794" w:type="dxa"/>
            <w:vAlign w:val="center"/>
          </w:tcPr>
          <w:p w14:paraId="18B86B14">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《污水综合排放标准》（GB8978-1996）三级标准</w:t>
            </w:r>
          </w:p>
        </w:tc>
      </w:tr>
      <w:tr w14:paraId="5108C9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41" w:type="dxa"/>
            <w:vAlign w:val="center"/>
          </w:tcPr>
          <w:p w14:paraId="27040FC6">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声环境</w:t>
            </w:r>
          </w:p>
        </w:tc>
        <w:tc>
          <w:tcPr>
            <w:tcW w:w="1500" w:type="dxa"/>
            <w:vAlign w:val="center"/>
          </w:tcPr>
          <w:p w14:paraId="7109601B">
            <w:pPr>
              <w:adjustRightInd w:val="0"/>
              <w:snapToGrid w:val="0"/>
              <w:jc w:val="center"/>
              <w:rPr>
                <w:color w:val="000000" w:themeColor="text1"/>
                <w:kern w:val="21"/>
                <w:szCs w:val="21"/>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生产设备</w:t>
            </w:r>
          </w:p>
        </w:tc>
        <w:tc>
          <w:tcPr>
            <w:tcW w:w="1275" w:type="dxa"/>
            <w:vAlign w:val="center"/>
          </w:tcPr>
          <w:p w14:paraId="5B5ED152">
            <w:pPr>
              <w:adjustRightInd w:val="0"/>
              <w:snapToGrid w:val="0"/>
              <w:jc w:val="center"/>
              <w:rPr>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Leq(A)</w:t>
            </w:r>
          </w:p>
        </w:tc>
        <w:tc>
          <w:tcPr>
            <w:tcW w:w="1890" w:type="dxa"/>
            <w:vAlign w:val="center"/>
          </w:tcPr>
          <w:p w14:paraId="62AA0929">
            <w:pPr>
              <w:adjustRightInd w:val="0"/>
              <w:snapToGrid w:val="0"/>
              <w:jc w:val="center"/>
              <w:rPr>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 xml:space="preserve">选用低噪声设备、基础减振、安装隔声罩、车间全封闭、加强厂区绿化等措施 </w:t>
            </w:r>
          </w:p>
        </w:tc>
        <w:tc>
          <w:tcPr>
            <w:tcW w:w="2794" w:type="dxa"/>
            <w:vAlign w:val="center"/>
          </w:tcPr>
          <w:p w14:paraId="7FF4A2C2">
            <w:pPr>
              <w:adjustRightInd w:val="0"/>
              <w:snapToGrid w:val="0"/>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《工业企业厂界环境噪声排放标准》</w:t>
            </w:r>
          </w:p>
          <w:p w14:paraId="29166F71">
            <w:pPr>
              <w:adjustRightInd w:val="0"/>
              <w:snapToGrid w:val="0"/>
              <w:jc w:val="center"/>
              <w:rPr>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（GB12348-2008）中</w:t>
            </w:r>
            <w:r>
              <w:rPr>
                <w:rFonts w:hint="eastAsia"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 xml:space="preserve">类标准 </w:t>
            </w:r>
          </w:p>
        </w:tc>
      </w:tr>
      <w:tr w14:paraId="0D230E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41" w:type="dxa"/>
            <w:vAlign w:val="center"/>
          </w:tcPr>
          <w:p w14:paraId="4EE3D355">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电磁辐射</w:t>
            </w:r>
          </w:p>
        </w:tc>
        <w:tc>
          <w:tcPr>
            <w:tcW w:w="1500" w:type="dxa"/>
            <w:vAlign w:val="center"/>
          </w:tcPr>
          <w:p w14:paraId="45FE9F61">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w:t>
            </w:r>
          </w:p>
        </w:tc>
        <w:tc>
          <w:tcPr>
            <w:tcW w:w="1275" w:type="dxa"/>
            <w:vAlign w:val="center"/>
          </w:tcPr>
          <w:p w14:paraId="381D32D5">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w:t>
            </w:r>
          </w:p>
        </w:tc>
        <w:tc>
          <w:tcPr>
            <w:tcW w:w="1890" w:type="dxa"/>
            <w:vAlign w:val="center"/>
          </w:tcPr>
          <w:p w14:paraId="229512BD">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w:t>
            </w:r>
          </w:p>
        </w:tc>
        <w:tc>
          <w:tcPr>
            <w:tcW w:w="2794" w:type="dxa"/>
            <w:vAlign w:val="center"/>
          </w:tcPr>
          <w:p w14:paraId="4E7C633A">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w:t>
            </w:r>
          </w:p>
        </w:tc>
      </w:tr>
      <w:tr w14:paraId="7086CF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9" w:hRule="atLeast"/>
          <w:jc w:val="center"/>
        </w:trPr>
        <w:tc>
          <w:tcPr>
            <w:tcW w:w="1341" w:type="dxa"/>
            <w:vMerge w:val="restart"/>
            <w:vAlign w:val="center"/>
          </w:tcPr>
          <w:p w14:paraId="3CE287E3">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固体废物</w:t>
            </w:r>
          </w:p>
        </w:tc>
        <w:tc>
          <w:tcPr>
            <w:tcW w:w="1500" w:type="dxa"/>
            <w:vMerge w:val="restart"/>
            <w:tcBorders>
              <w:right w:val="single" w:color="000000" w:sz="4" w:space="0"/>
            </w:tcBorders>
            <w:vAlign w:val="center"/>
          </w:tcPr>
          <w:p w14:paraId="46A490E6">
            <w:pPr>
              <w:jc w:val="center"/>
              <w:rPr>
                <w:color w:val="000000" w:themeColor="text1"/>
                <w:kern w:val="21"/>
                <w:szCs w:val="21"/>
                <w:highlight w:val="none"/>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生产过程</w:t>
            </w:r>
          </w:p>
        </w:tc>
        <w:tc>
          <w:tcPr>
            <w:tcW w:w="1275" w:type="dxa"/>
            <w:tcBorders>
              <w:left w:val="single" w:color="000000" w:sz="4" w:space="0"/>
              <w:right w:val="single" w:color="000000" w:sz="4" w:space="0"/>
            </w:tcBorders>
            <w:vAlign w:val="center"/>
          </w:tcPr>
          <w:p w14:paraId="0700B4E0">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矸石</w:t>
            </w:r>
          </w:p>
        </w:tc>
        <w:tc>
          <w:tcPr>
            <w:tcW w:w="1890" w:type="dxa"/>
            <w:tcBorders>
              <w:left w:val="single" w:color="000000" w:sz="4" w:space="0"/>
              <w:right w:val="single" w:color="000000" w:sz="4" w:space="0"/>
            </w:tcBorders>
            <w:vAlign w:val="center"/>
          </w:tcPr>
          <w:p w14:paraId="10A1E85D">
            <w:pPr>
              <w:adjustRightInd w:val="0"/>
              <w:snapToGrid w:val="0"/>
              <w:jc w:val="center"/>
              <w:rPr>
                <w:rFonts w:hint="default" w:ascii="Times New Roman" w:hAnsi="Times New Roman" w:eastAsia="宋体" w:cs="Times New Roman"/>
                <w:color w:val="000000" w:themeColor="text1"/>
                <w:sz w:val="24"/>
                <w:szCs w:val="24"/>
                <w:highlight w:val="yellow"/>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用于集贤矿的井下回填以及填充东荣二矿和东荣三矿的沉陷区，综合利用</w:t>
            </w:r>
          </w:p>
        </w:tc>
        <w:tc>
          <w:tcPr>
            <w:tcW w:w="2794" w:type="dxa"/>
            <w:vMerge w:val="restart"/>
            <w:tcBorders>
              <w:left w:val="single" w:color="000000" w:sz="4" w:space="0"/>
            </w:tcBorders>
            <w:vAlign w:val="center"/>
          </w:tcPr>
          <w:p w14:paraId="2EB6154E">
            <w:pPr>
              <w:adjustRightInd w:val="0"/>
              <w:snapToGrid w:val="0"/>
              <w:jc w:val="center"/>
              <w:rPr>
                <w:rFonts w:hint="eastAsia" w:ascii="Times New Roman" w:hAnsi="Times New Roman" w:eastAsia="宋体" w:cs="Times New Roman"/>
                <w:color w:val="000000" w:themeColor="text1"/>
                <w:sz w:val="24"/>
                <w:szCs w:val="24"/>
                <w:highlight w:val="yellow"/>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《一般工业固体废物贮存和填埋污染控制标准》（GB18599-2020）</w:t>
            </w:r>
          </w:p>
        </w:tc>
      </w:tr>
      <w:tr w14:paraId="2D44C0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4" w:hRule="atLeast"/>
          <w:jc w:val="center"/>
        </w:trPr>
        <w:tc>
          <w:tcPr>
            <w:tcW w:w="1341" w:type="dxa"/>
            <w:vMerge w:val="continue"/>
            <w:vAlign w:val="center"/>
          </w:tcPr>
          <w:p w14:paraId="53EB8A17">
            <w:pPr>
              <w:jc w:val="center"/>
              <w:rPr>
                <w:color w:val="000000" w:themeColor="text1"/>
                <w:kern w:val="21"/>
                <w:szCs w:val="21"/>
                <w:highlight w:val="yellow"/>
                <w14:textFill>
                  <w14:solidFill>
                    <w14:schemeClr w14:val="tx1"/>
                  </w14:solidFill>
                </w14:textFill>
              </w:rPr>
            </w:pPr>
          </w:p>
        </w:tc>
        <w:tc>
          <w:tcPr>
            <w:tcW w:w="1500" w:type="dxa"/>
            <w:vMerge w:val="continue"/>
            <w:tcBorders>
              <w:right w:val="single" w:color="000000" w:sz="4" w:space="0"/>
            </w:tcBorders>
            <w:vAlign w:val="center"/>
          </w:tcPr>
          <w:p w14:paraId="4A238AFF">
            <w:pPr>
              <w:jc w:val="center"/>
              <w:rPr>
                <w:color w:val="000000" w:themeColor="text1"/>
                <w:kern w:val="21"/>
                <w:szCs w:val="21"/>
                <w:highlight w:val="yellow"/>
                <w14:textFill>
                  <w14:solidFill>
                    <w14:schemeClr w14:val="tx1"/>
                  </w14:solidFill>
                </w14:textFill>
              </w:rPr>
            </w:pPr>
          </w:p>
        </w:tc>
        <w:tc>
          <w:tcPr>
            <w:tcW w:w="1275" w:type="dxa"/>
            <w:tcBorders>
              <w:left w:val="single" w:color="000000" w:sz="4" w:space="0"/>
              <w:right w:val="single" w:color="000000" w:sz="4" w:space="0"/>
            </w:tcBorders>
            <w:vAlign w:val="center"/>
          </w:tcPr>
          <w:p w14:paraId="0D03D7CE">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煤泥</w:t>
            </w:r>
          </w:p>
        </w:tc>
        <w:tc>
          <w:tcPr>
            <w:tcW w:w="1890" w:type="dxa"/>
            <w:tcBorders>
              <w:left w:val="single" w:color="000000" w:sz="4" w:space="0"/>
              <w:right w:val="single" w:color="000000" w:sz="4" w:space="0"/>
            </w:tcBorders>
            <w:vAlign w:val="center"/>
          </w:tcPr>
          <w:p w14:paraId="381785F6">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日产日清，冬季直接运往虹焱热电，夏季外售给大唐双鸭山热电有限公司</w:t>
            </w:r>
            <w:r>
              <w:rPr>
                <w:rFonts w:hint="eastAsia" w:cs="Times New Roman"/>
                <w:color w:val="000000" w:themeColor="text1"/>
                <w:sz w:val="24"/>
                <w:szCs w:val="24"/>
                <w:highlight w:val="none"/>
                <w:lang w:val="en-US" w:eastAsia="zh-CN"/>
                <w14:textFill>
                  <w14:solidFill>
                    <w14:schemeClr w14:val="tx1"/>
                  </w14:solidFill>
                </w14:textFill>
              </w:rPr>
              <w:t>，全部综合利用</w:t>
            </w:r>
          </w:p>
        </w:tc>
        <w:tc>
          <w:tcPr>
            <w:tcW w:w="2794" w:type="dxa"/>
            <w:vMerge w:val="continue"/>
            <w:tcBorders>
              <w:left w:val="single" w:color="000000" w:sz="4" w:space="0"/>
            </w:tcBorders>
            <w:vAlign w:val="center"/>
          </w:tcPr>
          <w:p w14:paraId="59BB781E">
            <w:pPr>
              <w:jc w:val="center"/>
              <w:rPr>
                <w:color w:val="000000" w:themeColor="text1"/>
                <w:kern w:val="21"/>
                <w:szCs w:val="21"/>
                <w:highlight w:val="yellow"/>
                <w14:textFill>
                  <w14:solidFill>
                    <w14:schemeClr w14:val="tx1"/>
                  </w14:solidFill>
                </w14:textFill>
              </w:rPr>
            </w:pPr>
          </w:p>
        </w:tc>
      </w:tr>
      <w:tr w14:paraId="3F7FF1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4" w:hRule="atLeast"/>
          <w:jc w:val="center"/>
        </w:trPr>
        <w:tc>
          <w:tcPr>
            <w:tcW w:w="1341" w:type="dxa"/>
            <w:vMerge w:val="continue"/>
            <w:vAlign w:val="center"/>
          </w:tcPr>
          <w:p w14:paraId="49C90F4F">
            <w:pPr>
              <w:jc w:val="center"/>
              <w:rPr>
                <w:color w:val="000000" w:themeColor="text1"/>
                <w:kern w:val="21"/>
                <w:szCs w:val="21"/>
                <w:highlight w:val="yellow"/>
                <w14:textFill>
                  <w14:solidFill>
                    <w14:schemeClr w14:val="tx1"/>
                  </w14:solidFill>
                </w14:textFill>
              </w:rPr>
            </w:pPr>
          </w:p>
        </w:tc>
        <w:tc>
          <w:tcPr>
            <w:tcW w:w="1500" w:type="dxa"/>
            <w:tcBorders>
              <w:right w:val="single" w:color="000000" w:sz="4" w:space="0"/>
            </w:tcBorders>
            <w:shd w:val="clear" w:color="auto" w:fill="auto"/>
            <w:vAlign w:val="center"/>
          </w:tcPr>
          <w:p w14:paraId="6D3FBAD3">
            <w:pPr>
              <w:adjustRightInd w:val="0"/>
              <w:snapToGrid w:val="0"/>
              <w:jc w:val="center"/>
              <w:rPr>
                <w:rFonts w:hint="default" w:ascii="Times New Roman" w:hAnsi="Times New Roman" w:eastAsia="宋体" w:cs="Times New Roman"/>
                <w:color w:val="FF0000"/>
                <w:kern w:val="2"/>
                <w:sz w:val="24"/>
                <w:szCs w:val="24"/>
                <w:highlight w:val="none"/>
                <w:lang w:val="en-US" w:eastAsia="zh-CN" w:bidi="ar-SA"/>
              </w:rPr>
            </w:pPr>
            <w:r>
              <w:rPr>
                <w:rFonts w:hint="eastAsia" w:cs="Times New Roman"/>
                <w:color w:val="FF0000"/>
                <w:sz w:val="24"/>
                <w:szCs w:val="24"/>
                <w:highlight w:val="none"/>
                <w:lang w:val="en-US" w:eastAsia="zh-CN"/>
              </w:rPr>
              <w:t>食堂废水处理</w:t>
            </w:r>
          </w:p>
        </w:tc>
        <w:tc>
          <w:tcPr>
            <w:tcW w:w="1275" w:type="dxa"/>
            <w:tcBorders>
              <w:left w:val="single" w:color="000000" w:sz="4" w:space="0"/>
              <w:right w:val="single" w:color="000000" w:sz="4" w:space="0"/>
            </w:tcBorders>
            <w:shd w:val="clear" w:color="auto" w:fill="auto"/>
            <w:vAlign w:val="center"/>
          </w:tcPr>
          <w:p w14:paraId="01C100C9">
            <w:pPr>
              <w:adjustRightInd w:val="0"/>
              <w:snapToGrid w:val="0"/>
              <w:jc w:val="center"/>
              <w:rPr>
                <w:rFonts w:hint="eastAsia" w:ascii="Times New Roman" w:hAnsi="Times New Roman" w:eastAsia="宋体" w:cs="Times New Roman"/>
                <w:color w:val="FF0000"/>
                <w:kern w:val="2"/>
                <w:sz w:val="24"/>
                <w:szCs w:val="24"/>
                <w:highlight w:val="none"/>
                <w:lang w:val="en-US" w:eastAsia="zh-CN" w:bidi="ar-SA"/>
              </w:rPr>
            </w:pPr>
            <w:r>
              <w:rPr>
                <w:rFonts w:hint="eastAsia" w:cs="Times New Roman"/>
                <w:color w:val="FF0000"/>
                <w:sz w:val="24"/>
                <w:szCs w:val="24"/>
                <w:highlight w:val="none"/>
                <w:lang w:val="en-US" w:eastAsia="zh-CN"/>
              </w:rPr>
              <w:t>废油脂</w:t>
            </w:r>
          </w:p>
        </w:tc>
        <w:tc>
          <w:tcPr>
            <w:tcW w:w="1890" w:type="dxa"/>
            <w:tcBorders>
              <w:left w:val="single" w:color="000000" w:sz="4" w:space="0"/>
              <w:right w:val="single" w:color="000000" w:sz="4" w:space="0"/>
            </w:tcBorders>
            <w:vAlign w:val="center"/>
          </w:tcPr>
          <w:p w14:paraId="4A448362">
            <w:pPr>
              <w:adjustRightInd w:val="0"/>
              <w:snapToGrid w:val="0"/>
              <w:jc w:val="center"/>
              <w:rPr>
                <w:rFonts w:hint="eastAsia" w:ascii="Times New Roman" w:hAnsi="Times New Roman" w:eastAsia="宋体" w:cs="Times New Roman"/>
                <w:color w:val="FF0000"/>
                <w:sz w:val="24"/>
                <w:szCs w:val="24"/>
                <w:highlight w:val="none"/>
                <w:lang w:val="en-US" w:eastAsia="zh-CN"/>
              </w:rPr>
            </w:pPr>
            <w:r>
              <w:rPr>
                <w:rFonts w:hint="eastAsia" w:ascii="Times New Roman" w:hAnsi="Times New Roman" w:eastAsia="宋体" w:cs="Times New Roman"/>
                <w:color w:val="FF0000"/>
                <w:sz w:val="24"/>
                <w:szCs w:val="24"/>
                <w:highlight w:val="none"/>
                <w:lang w:val="en-US" w:eastAsia="zh-CN"/>
              </w:rPr>
              <w:t>统一收集，送有资质的餐厨垃圾处理单位处置</w:t>
            </w:r>
          </w:p>
        </w:tc>
        <w:tc>
          <w:tcPr>
            <w:tcW w:w="2794" w:type="dxa"/>
            <w:vMerge w:val="continue"/>
            <w:tcBorders>
              <w:left w:val="single" w:color="000000" w:sz="4" w:space="0"/>
            </w:tcBorders>
            <w:vAlign w:val="center"/>
          </w:tcPr>
          <w:p w14:paraId="7060E80E">
            <w:pPr>
              <w:jc w:val="center"/>
              <w:rPr>
                <w:color w:val="000000" w:themeColor="text1"/>
                <w:kern w:val="21"/>
                <w:szCs w:val="21"/>
                <w:highlight w:val="yellow"/>
                <w14:textFill>
                  <w14:solidFill>
                    <w14:schemeClr w14:val="tx1"/>
                  </w14:solidFill>
                </w14:textFill>
              </w:rPr>
            </w:pPr>
          </w:p>
        </w:tc>
      </w:tr>
      <w:tr w14:paraId="374745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341" w:type="dxa"/>
            <w:vMerge w:val="continue"/>
            <w:vAlign w:val="center"/>
          </w:tcPr>
          <w:p w14:paraId="419566F5">
            <w:pPr>
              <w:jc w:val="center"/>
              <w:rPr>
                <w:color w:val="000000" w:themeColor="text1"/>
                <w:kern w:val="21"/>
                <w:szCs w:val="21"/>
                <w:highlight w:val="yellow"/>
                <w14:textFill>
                  <w14:solidFill>
                    <w14:schemeClr w14:val="tx1"/>
                  </w14:solidFill>
                </w14:textFill>
              </w:rPr>
            </w:pPr>
          </w:p>
        </w:tc>
        <w:tc>
          <w:tcPr>
            <w:tcW w:w="1500" w:type="dxa"/>
            <w:tcBorders>
              <w:right w:val="single" w:color="000000" w:sz="4" w:space="0"/>
            </w:tcBorders>
            <w:shd w:val="clear" w:color="auto" w:fill="auto"/>
            <w:vAlign w:val="center"/>
          </w:tcPr>
          <w:p w14:paraId="0B14ADF4">
            <w:pPr>
              <w:adjustRightInd w:val="0"/>
              <w:snapToGrid w:val="0"/>
              <w:jc w:val="center"/>
              <w:rPr>
                <w:rFonts w:hint="default" w:cs="Times New Roman"/>
                <w:color w:val="FF0000"/>
                <w:sz w:val="24"/>
                <w:szCs w:val="24"/>
                <w:highlight w:val="none"/>
                <w:lang w:val="en-US" w:eastAsia="zh-CN"/>
              </w:rPr>
            </w:pPr>
            <w:r>
              <w:rPr>
                <w:rFonts w:hint="eastAsia" w:cs="Times New Roman"/>
                <w:color w:val="FF0000"/>
                <w:sz w:val="24"/>
                <w:szCs w:val="24"/>
                <w:highlight w:val="none"/>
                <w:lang w:val="en-US" w:eastAsia="zh-CN"/>
              </w:rPr>
              <w:t>化验室</w:t>
            </w:r>
          </w:p>
        </w:tc>
        <w:tc>
          <w:tcPr>
            <w:tcW w:w="1275" w:type="dxa"/>
            <w:tcBorders>
              <w:left w:val="single" w:color="000000" w:sz="4" w:space="0"/>
              <w:right w:val="single" w:color="000000" w:sz="4" w:space="0"/>
            </w:tcBorders>
            <w:shd w:val="clear" w:color="auto" w:fill="auto"/>
            <w:vAlign w:val="center"/>
          </w:tcPr>
          <w:p w14:paraId="60143E5D">
            <w:pPr>
              <w:adjustRightInd w:val="0"/>
              <w:snapToGrid w:val="0"/>
              <w:jc w:val="center"/>
              <w:rPr>
                <w:rFonts w:hint="default" w:cs="Times New Roman"/>
                <w:color w:val="FF0000"/>
                <w:sz w:val="24"/>
                <w:szCs w:val="24"/>
                <w:highlight w:val="none"/>
                <w:lang w:val="en-US" w:eastAsia="zh-CN"/>
              </w:rPr>
            </w:pPr>
            <w:r>
              <w:rPr>
                <w:rFonts w:hint="eastAsia" w:cs="Times New Roman"/>
                <w:color w:val="FF0000"/>
                <w:sz w:val="24"/>
                <w:szCs w:val="24"/>
                <w:highlight w:val="none"/>
                <w:lang w:val="en-US" w:eastAsia="zh-CN"/>
              </w:rPr>
              <w:t>试验灰渣</w:t>
            </w:r>
          </w:p>
        </w:tc>
        <w:tc>
          <w:tcPr>
            <w:tcW w:w="1890" w:type="dxa"/>
            <w:tcBorders>
              <w:left w:val="single" w:color="000000" w:sz="4" w:space="0"/>
              <w:right w:val="single" w:color="000000" w:sz="4" w:space="0"/>
            </w:tcBorders>
            <w:vAlign w:val="center"/>
          </w:tcPr>
          <w:p w14:paraId="6ECD95EE">
            <w:pPr>
              <w:adjustRightInd w:val="0"/>
              <w:snapToGrid w:val="0"/>
              <w:jc w:val="center"/>
              <w:rPr>
                <w:rFonts w:hint="default" w:ascii="Times New Roman" w:hAnsi="Times New Roman" w:eastAsia="宋体" w:cs="Times New Roman"/>
                <w:color w:val="FF0000"/>
                <w:sz w:val="24"/>
                <w:szCs w:val="24"/>
                <w:highlight w:val="none"/>
                <w:lang w:val="en-US" w:eastAsia="zh-CN"/>
              </w:rPr>
            </w:pPr>
            <w:r>
              <w:rPr>
                <w:rFonts w:hint="eastAsia" w:cs="Times New Roman"/>
                <w:color w:val="FF0000"/>
                <w:sz w:val="24"/>
                <w:szCs w:val="24"/>
                <w:highlight w:val="none"/>
                <w:lang w:val="en-US" w:eastAsia="zh-CN"/>
              </w:rPr>
              <w:t>与矸石一同综合利用</w:t>
            </w:r>
          </w:p>
        </w:tc>
        <w:tc>
          <w:tcPr>
            <w:tcW w:w="2794" w:type="dxa"/>
            <w:vMerge w:val="continue"/>
            <w:tcBorders>
              <w:left w:val="single" w:color="000000" w:sz="4" w:space="0"/>
            </w:tcBorders>
            <w:vAlign w:val="center"/>
          </w:tcPr>
          <w:p w14:paraId="16190227">
            <w:pPr>
              <w:jc w:val="center"/>
              <w:rPr>
                <w:color w:val="000000" w:themeColor="text1"/>
                <w:kern w:val="21"/>
                <w:szCs w:val="21"/>
                <w:highlight w:val="yellow"/>
                <w14:textFill>
                  <w14:solidFill>
                    <w14:schemeClr w14:val="tx1"/>
                  </w14:solidFill>
                </w14:textFill>
              </w:rPr>
            </w:pPr>
          </w:p>
        </w:tc>
      </w:tr>
      <w:tr w14:paraId="706D3F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1341" w:type="dxa"/>
            <w:vMerge w:val="continue"/>
            <w:vAlign w:val="center"/>
          </w:tcPr>
          <w:p w14:paraId="650CC5F3">
            <w:pPr>
              <w:jc w:val="center"/>
              <w:rPr>
                <w:color w:val="000000" w:themeColor="text1"/>
                <w:kern w:val="21"/>
                <w:szCs w:val="21"/>
                <w:highlight w:val="yellow"/>
                <w14:textFill>
                  <w14:solidFill>
                    <w14:schemeClr w14:val="tx1"/>
                  </w14:solidFill>
                </w14:textFill>
              </w:rPr>
            </w:pPr>
          </w:p>
        </w:tc>
        <w:tc>
          <w:tcPr>
            <w:tcW w:w="1500" w:type="dxa"/>
            <w:tcBorders>
              <w:right w:val="single" w:color="000000" w:sz="4" w:space="0"/>
            </w:tcBorders>
            <w:vAlign w:val="center"/>
          </w:tcPr>
          <w:p w14:paraId="4A85DAAE">
            <w:pPr>
              <w:adjustRightInd w:val="0"/>
              <w:snapToGrid w:val="0"/>
              <w:jc w:val="cente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员工</w:t>
            </w:r>
          </w:p>
        </w:tc>
        <w:tc>
          <w:tcPr>
            <w:tcW w:w="1275" w:type="dxa"/>
            <w:tcBorders>
              <w:left w:val="single" w:color="000000" w:sz="4" w:space="0"/>
              <w:right w:val="single" w:color="000000" w:sz="4" w:space="0"/>
            </w:tcBorders>
            <w:vAlign w:val="center"/>
          </w:tcPr>
          <w:p w14:paraId="7A2351C7">
            <w:pPr>
              <w:adjustRightInd w:val="0"/>
              <w:snapToGrid w:val="0"/>
              <w:jc w:val="cente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生活垃圾</w:t>
            </w:r>
          </w:p>
        </w:tc>
        <w:tc>
          <w:tcPr>
            <w:tcW w:w="1890" w:type="dxa"/>
            <w:tcBorders>
              <w:left w:val="single" w:color="000000" w:sz="4" w:space="0"/>
              <w:right w:val="single" w:color="000000" w:sz="4" w:space="0"/>
            </w:tcBorders>
            <w:vAlign w:val="center"/>
          </w:tcPr>
          <w:p w14:paraId="287028A4">
            <w:pPr>
              <w:adjustRightInd w:val="0"/>
              <w:snapToGrid w:val="0"/>
              <w:jc w:val="cente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定期按照市政环卫部门要求处置</w:t>
            </w:r>
          </w:p>
        </w:tc>
        <w:tc>
          <w:tcPr>
            <w:tcW w:w="2794" w:type="dxa"/>
            <w:tcBorders>
              <w:left w:val="single" w:color="000000" w:sz="4" w:space="0"/>
            </w:tcBorders>
            <w:vAlign w:val="center"/>
          </w:tcPr>
          <w:p w14:paraId="0AE797CE">
            <w:pPr>
              <w:jc w:val="center"/>
              <w:rPr>
                <w:rFonts w:hint="eastAsia" w:eastAsia="宋体"/>
                <w:color w:val="000000" w:themeColor="text1"/>
                <w:kern w:val="21"/>
                <w:szCs w:val="21"/>
                <w:highlight w:val="none"/>
                <w:lang w:val="en-US" w:eastAsia="zh-CN"/>
                <w14:textFill>
                  <w14:solidFill>
                    <w14:schemeClr w14:val="tx1"/>
                  </w14:solidFill>
                </w14:textFill>
              </w:rPr>
            </w:pPr>
            <w:r>
              <w:rPr>
                <w:rFonts w:hint="eastAsia"/>
                <w:color w:val="000000" w:themeColor="text1"/>
                <w:kern w:val="21"/>
                <w:szCs w:val="21"/>
                <w:highlight w:val="none"/>
                <w:lang w:val="en-US" w:eastAsia="zh-CN"/>
                <w14:textFill>
                  <w14:solidFill>
                    <w14:schemeClr w14:val="tx1"/>
                  </w14:solidFill>
                </w14:textFill>
              </w:rPr>
              <w:t>/</w:t>
            </w:r>
          </w:p>
        </w:tc>
      </w:tr>
      <w:tr w14:paraId="789FF6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1341" w:type="dxa"/>
            <w:vMerge w:val="continue"/>
            <w:vAlign w:val="center"/>
          </w:tcPr>
          <w:p w14:paraId="57A37D56">
            <w:pPr>
              <w:jc w:val="center"/>
              <w:rPr>
                <w:color w:val="000000" w:themeColor="text1"/>
                <w:kern w:val="21"/>
                <w:szCs w:val="21"/>
                <w:highlight w:val="yellow"/>
                <w14:textFill>
                  <w14:solidFill>
                    <w14:schemeClr w14:val="tx1"/>
                  </w14:solidFill>
                </w14:textFill>
              </w:rPr>
            </w:pPr>
          </w:p>
        </w:tc>
        <w:tc>
          <w:tcPr>
            <w:tcW w:w="1500" w:type="dxa"/>
            <w:tcBorders>
              <w:right w:val="single" w:color="000000" w:sz="4" w:space="0"/>
            </w:tcBorders>
            <w:vAlign w:val="center"/>
          </w:tcPr>
          <w:p w14:paraId="285A8750">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废油暂存</w:t>
            </w:r>
          </w:p>
        </w:tc>
        <w:tc>
          <w:tcPr>
            <w:tcW w:w="1275" w:type="dxa"/>
            <w:tcBorders>
              <w:left w:val="single" w:color="000000" w:sz="4" w:space="0"/>
              <w:right w:val="single" w:color="000000" w:sz="4" w:space="0"/>
            </w:tcBorders>
            <w:vAlign w:val="center"/>
          </w:tcPr>
          <w:p w14:paraId="0961211B">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废油桶</w:t>
            </w:r>
          </w:p>
        </w:tc>
        <w:tc>
          <w:tcPr>
            <w:tcW w:w="1890" w:type="dxa"/>
            <w:vMerge w:val="restart"/>
            <w:tcBorders>
              <w:left w:val="single" w:color="000000" w:sz="4" w:space="0"/>
              <w:right w:val="single" w:color="000000" w:sz="4" w:space="0"/>
            </w:tcBorders>
            <w:vAlign w:val="center"/>
          </w:tcPr>
          <w:p w14:paraId="2D862B09">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危险废物暂存间内</w:t>
            </w:r>
            <w:r>
              <w:rPr>
                <w:rFonts w:hint="eastAsia" w:cs="Times New Roman"/>
                <w:color w:val="000000" w:themeColor="text1"/>
                <w:sz w:val="24"/>
                <w:szCs w:val="24"/>
                <w:highlight w:val="none"/>
                <w:lang w:val="en-US" w:eastAsia="zh-CN"/>
                <w14:textFill>
                  <w14:solidFill>
                    <w14:schemeClr w14:val="tx1"/>
                  </w14:solidFill>
                </w14:textFill>
              </w:rPr>
              <w:t>分区暂 存</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，定期委托有资质单位处置</w:t>
            </w:r>
          </w:p>
        </w:tc>
        <w:tc>
          <w:tcPr>
            <w:tcW w:w="2794" w:type="dxa"/>
            <w:vMerge w:val="restart"/>
            <w:tcBorders>
              <w:left w:val="single" w:color="000000" w:sz="4" w:space="0"/>
            </w:tcBorders>
            <w:vAlign w:val="center"/>
          </w:tcPr>
          <w:p w14:paraId="1963C53E">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《危险废物贮存污染控制标准》（GB 18597-2023）</w:t>
            </w:r>
          </w:p>
        </w:tc>
      </w:tr>
      <w:tr w14:paraId="17E499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7" w:hRule="atLeast"/>
          <w:jc w:val="center"/>
        </w:trPr>
        <w:tc>
          <w:tcPr>
            <w:tcW w:w="1341" w:type="dxa"/>
            <w:vMerge w:val="continue"/>
            <w:vAlign w:val="center"/>
          </w:tcPr>
          <w:p w14:paraId="4D36CB6F">
            <w:pPr>
              <w:jc w:val="center"/>
              <w:rPr>
                <w:color w:val="000000" w:themeColor="text1"/>
                <w:kern w:val="21"/>
                <w:szCs w:val="21"/>
                <w:highlight w:val="yellow"/>
                <w14:textFill>
                  <w14:solidFill>
                    <w14:schemeClr w14:val="tx1"/>
                  </w14:solidFill>
                </w14:textFill>
              </w:rPr>
            </w:pPr>
          </w:p>
        </w:tc>
        <w:tc>
          <w:tcPr>
            <w:tcW w:w="1500" w:type="dxa"/>
            <w:tcBorders>
              <w:right w:val="single" w:color="000000" w:sz="4" w:space="0"/>
            </w:tcBorders>
            <w:vAlign w:val="center"/>
          </w:tcPr>
          <w:p w14:paraId="339A9468">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维修设备</w:t>
            </w:r>
          </w:p>
        </w:tc>
        <w:tc>
          <w:tcPr>
            <w:tcW w:w="1275" w:type="dxa"/>
            <w:tcBorders>
              <w:left w:val="single" w:color="000000" w:sz="4" w:space="0"/>
              <w:right w:val="single" w:color="000000" w:sz="4" w:space="0"/>
            </w:tcBorders>
            <w:vAlign w:val="center"/>
          </w:tcPr>
          <w:p w14:paraId="7F45B76F">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废机油</w:t>
            </w:r>
          </w:p>
        </w:tc>
        <w:tc>
          <w:tcPr>
            <w:tcW w:w="1890" w:type="dxa"/>
            <w:vMerge w:val="continue"/>
            <w:tcBorders>
              <w:left w:val="single" w:color="000000" w:sz="4" w:space="0"/>
              <w:right w:val="single" w:color="000000" w:sz="4" w:space="0"/>
            </w:tcBorders>
            <w:vAlign w:val="center"/>
          </w:tcPr>
          <w:p w14:paraId="104CE38E">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p>
        </w:tc>
        <w:tc>
          <w:tcPr>
            <w:tcW w:w="2794" w:type="dxa"/>
            <w:vMerge w:val="continue"/>
            <w:tcBorders>
              <w:left w:val="single" w:color="000000" w:sz="4" w:space="0"/>
            </w:tcBorders>
            <w:vAlign w:val="center"/>
          </w:tcPr>
          <w:p w14:paraId="0942F730">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p>
        </w:tc>
      </w:tr>
      <w:tr w14:paraId="0BBCDF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1341" w:type="dxa"/>
            <w:vAlign w:val="center"/>
          </w:tcPr>
          <w:p w14:paraId="42B4FDD6">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土壤及地下水污染防治措施</w:t>
            </w:r>
          </w:p>
        </w:tc>
        <w:tc>
          <w:tcPr>
            <w:tcW w:w="7459" w:type="dxa"/>
            <w:gridSpan w:val="4"/>
            <w:vAlign w:val="center"/>
          </w:tcPr>
          <w:p w14:paraId="11DBCF63">
            <w:pPr>
              <w:pStyle w:val="58"/>
              <w:autoSpaceDE w:val="0"/>
              <w:autoSpaceDN w:val="0"/>
              <w:spacing w:line="360" w:lineRule="auto"/>
              <w:ind w:firstLine="480" w:firstLineChars="200"/>
              <w:rPr>
                <w:rFonts w:ascii="Times New Roman" w:hAnsi="Times New Roman" w:cs="Times New Roman"/>
                <w:color w:val="000000" w:themeColor="text1"/>
                <w:kern w:val="21"/>
                <w:szCs w:val="21"/>
                <w:highlight w:val="yellow"/>
                <w14:textFill>
                  <w14:solidFill>
                    <w14:schemeClr w14:val="tx1"/>
                  </w14:solidFill>
                </w14:textFill>
              </w:rPr>
            </w:pP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危险废物贮存点、油罐区</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采取重点防渗措施，原煤仓、</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精煤</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仓、</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主厂房</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、事故池、浓缩池、</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初期雨水</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池等建构筑物采取一般防渗措施。单位面积防渗能力达到等效黏土防渗层Mb≥1.5m，渗透系数≤1×10</w:t>
            </w:r>
            <w:r>
              <w:rPr>
                <w:rFonts w:hint="eastAsia"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-7</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cm/s，符合《环境影响评价技术导则 地下水环境》（HJ 610-2016）一般防渗区要求。除一般防渗区以外，其他厂房为简单防渗区，采取水泥地面硬化。项目采取严格的防渗措施，可有效避免由于污水下渗造成的地下水环境污染。</w:t>
            </w:r>
          </w:p>
        </w:tc>
      </w:tr>
      <w:tr w14:paraId="295D61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341" w:type="dxa"/>
            <w:vAlign w:val="center"/>
          </w:tcPr>
          <w:p w14:paraId="38EABBEF">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生态保护措施</w:t>
            </w:r>
          </w:p>
        </w:tc>
        <w:tc>
          <w:tcPr>
            <w:tcW w:w="7459" w:type="dxa"/>
            <w:gridSpan w:val="4"/>
            <w:vAlign w:val="center"/>
          </w:tcPr>
          <w:p w14:paraId="3C937F82">
            <w:pPr>
              <w:pStyle w:val="58"/>
              <w:autoSpaceDE w:val="0"/>
              <w:autoSpaceDN w:val="0"/>
              <w:spacing w:line="360" w:lineRule="auto"/>
              <w:ind w:firstLine="480" w:firstLineChars="200"/>
              <w:rPr>
                <w:rFonts w:ascii="Times New Roman" w:hAnsi="Times New Roman" w:cs="Times New Roman"/>
                <w:color w:val="000000" w:themeColor="text1"/>
                <w:kern w:val="21"/>
                <w:szCs w:val="21"/>
                <w:highlight w:val="yellow"/>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建设单位应对厂区进行合理规划，进行绿化。落实各项环保措施，减少运营中污染物对周边环境的影响，尽量做到厂区与周边生态环境的和谐统一。</w:t>
            </w:r>
          </w:p>
        </w:tc>
      </w:tr>
      <w:tr w14:paraId="089F8B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41" w:type="dxa"/>
            <w:vAlign w:val="center"/>
          </w:tcPr>
          <w:p w14:paraId="01FE1AC1">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环境风险</w:t>
            </w:r>
          </w:p>
          <w:p w14:paraId="79CEF0F0">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防范措施</w:t>
            </w:r>
          </w:p>
        </w:tc>
        <w:tc>
          <w:tcPr>
            <w:tcW w:w="7459" w:type="dxa"/>
            <w:gridSpan w:val="4"/>
            <w:vAlign w:val="center"/>
          </w:tcPr>
          <w:p w14:paraId="34FB525B">
            <w:pPr>
              <w:pStyle w:val="58"/>
              <w:autoSpaceDE w:val="0"/>
              <w:autoSpaceDN w:val="0"/>
              <w:spacing w:line="360" w:lineRule="auto"/>
              <w:ind w:firstLine="480" w:firstLineChars="200"/>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各类事故及非正常生产情况的发生大多数与操作不当、管理不严有直接关系，因此必须建立健全一整套严格的管理制度。管理制度应在以下几个方面予以关注：</w:t>
            </w:r>
          </w:p>
          <w:p w14:paraId="6FEF732D">
            <w:pPr>
              <w:pStyle w:val="58"/>
              <w:autoSpaceDE w:val="0"/>
              <w:autoSpaceDN w:val="0"/>
              <w:spacing w:line="360" w:lineRule="auto"/>
              <w:ind w:firstLine="480" w:firstLineChars="200"/>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 xml:space="preserve">①本项目原煤及产品储存周转周期较短，不会长期堆存，且存量较小，可降低自燃现象发生的概率，基本不会发生自燃； </w:t>
            </w:r>
          </w:p>
          <w:p w14:paraId="0C8DC0AD">
            <w:pPr>
              <w:pStyle w:val="58"/>
              <w:autoSpaceDE w:val="0"/>
              <w:autoSpaceDN w:val="0"/>
              <w:spacing w:line="360" w:lineRule="auto"/>
              <w:ind w:firstLine="480" w:firstLineChars="200"/>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②堆存过程和输送皮带定期洒水，保持一定的湿度，可有效避免自燃现象的发生；</w:t>
            </w:r>
          </w:p>
          <w:p w14:paraId="2A01C008">
            <w:pPr>
              <w:pStyle w:val="58"/>
              <w:autoSpaceDE w:val="0"/>
              <w:autoSpaceDN w:val="0"/>
              <w:spacing w:line="360" w:lineRule="auto"/>
              <w:ind w:firstLine="480" w:firstLineChars="200"/>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③厂区内应</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设置</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 xml:space="preserve">消火栓系统和火灾报警系统，并配备相应的灭火装置； </w:t>
            </w:r>
          </w:p>
          <w:p w14:paraId="75057E65">
            <w:pPr>
              <w:pStyle w:val="58"/>
              <w:autoSpaceDE w:val="0"/>
              <w:autoSpaceDN w:val="0"/>
              <w:spacing w:line="360" w:lineRule="auto"/>
              <w:ind w:firstLine="480" w:firstLineChars="200"/>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 xml:space="preserve">④输煤皮带应定期进行轮换、试验，及时清除输煤皮带、辅助设备、电缆排架等各处的积煤和积粉，保证输煤系统无积煤和积粉； </w:t>
            </w:r>
          </w:p>
          <w:p w14:paraId="4B63668B">
            <w:pPr>
              <w:pStyle w:val="58"/>
              <w:autoSpaceDE w:val="0"/>
              <w:autoSpaceDN w:val="0"/>
              <w:spacing w:line="360" w:lineRule="auto"/>
              <w:ind w:firstLine="480" w:firstLineChars="200"/>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⑤运行人员要按规定对运行和停用输煤皮带进行全面巡视检查，当发现输煤皮带上有带火种的煤时，应立即停止上煤，并查明原因，及时消除。输煤皮带停用时，要将皮带上的煤走完以后再停，确保皮带不存煤；</w:t>
            </w:r>
          </w:p>
          <w:p w14:paraId="25960FEF">
            <w:pPr>
              <w:pStyle w:val="58"/>
              <w:autoSpaceDE w:val="0"/>
              <w:autoSpaceDN w:val="0"/>
              <w:spacing w:line="360" w:lineRule="auto"/>
              <w:ind w:firstLine="480" w:firstLineChars="200"/>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⑥车间及设施安排专人负责看管并日常性巡查，巡查主要包括管道、阀门等工况是否正常，是否出现漏、滴等现象</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w:t>
            </w:r>
          </w:p>
          <w:p w14:paraId="266822D8">
            <w:pPr>
              <w:pStyle w:val="58"/>
              <w:autoSpaceDE w:val="0"/>
              <w:autoSpaceDN w:val="0"/>
              <w:spacing w:line="360" w:lineRule="auto"/>
              <w:ind w:firstLine="480" w:firstLineChars="200"/>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⑦生产过程中，使用絮凝剂、混凝剂时工作人员要按照规定穿戴防护衣具</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w:t>
            </w:r>
          </w:p>
          <w:p w14:paraId="62A7AF70">
            <w:pPr>
              <w:pStyle w:val="58"/>
              <w:autoSpaceDE w:val="0"/>
              <w:autoSpaceDN w:val="0"/>
              <w:spacing w:line="360" w:lineRule="auto"/>
              <w:ind w:firstLine="480" w:firstLineChars="200"/>
              <w:rPr>
                <w:rFonts w:ascii="Times New Roman" w:hAnsi="Times New Roman" w:cs="Times New Roman"/>
                <w:color w:val="000000" w:themeColor="text1"/>
                <w:kern w:val="21"/>
                <w:szCs w:val="21"/>
                <w:highlight w:val="yellow"/>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⑧废机油必须严实包装，严格按照《危险废物贮存污染控制标准》(GB18597-2023)要求暂存。</w:t>
            </w:r>
          </w:p>
        </w:tc>
      </w:tr>
      <w:tr w14:paraId="70A362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71" w:hRule="atLeast"/>
          <w:jc w:val="center"/>
        </w:trPr>
        <w:tc>
          <w:tcPr>
            <w:tcW w:w="1341" w:type="dxa"/>
            <w:vAlign w:val="center"/>
          </w:tcPr>
          <w:p w14:paraId="7EA21FA7">
            <w:pPr>
              <w:adjustRightInd w:val="0"/>
              <w:snapToGrid w:val="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其他环境</w:t>
            </w:r>
          </w:p>
          <w:p w14:paraId="6C276BEB">
            <w:pPr>
              <w:adjustRightInd w:val="0"/>
              <w:snapToGrid w:val="0"/>
              <w:jc w:val="center"/>
              <w:rPr>
                <w:color w:val="000000" w:themeColor="text1"/>
                <w:kern w:val="21"/>
                <w:szCs w:val="21"/>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管理要求</w:t>
            </w:r>
          </w:p>
        </w:tc>
        <w:tc>
          <w:tcPr>
            <w:tcW w:w="7459" w:type="dxa"/>
            <w:gridSpan w:val="4"/>
            <w:vAlign w:val="center"/>
          </w:tcPr>
          <w:p w14:paraId="3EFB9392">
            <w:pPr>
              <w:spacing w:line="360" w:lineRule="auto"/>
              <w:ind w:firstLine="480" w:firstLineChars="200"/>
              <w:rPr>
                <w:rFonts w:hint="eastAsia"/>
                <w:color w:val="000000" w:themeColor="text1"/>
                <w:sz w:val="24"/>
                <w:highlight w:val="none"/>
                <w:lang w:eastAsia="zh-CN"/>
                <w14:textFill>
                  <w14:solidFill>
                    <w14:schemeClr w14:val="tx1"/>
                  </w14:solidFill>
                </w14:textFill>
              </w:rPr>
            </w:pPr>
            <w:r>
              <w:rPr>
                <w:color w:val="000000" w:themeColor="text1"/>
                <w:sz w:val="24"/>
                <w:highlight w:val="none"/>
                <w14:textFill>
                  <w14:solidFill>
                    <w14:schemeClr w14:val="tx1"/>
                  </w14:solidFill>
                </w14:textFill>
              </w:rPr>
              <w:t>根据《国务院办公厅关于印发控制污染物排放许可制实施方案的通知》（国办发[2016]81号），将排污许可</w:t>
            </w:r>
            <w:r>
              <w:rPr>
                <w:rFonts w:hint="eastAsia"/>
                <w:color w:val="000000" w:themeColor="text1"/>
                <w:sz w:val="24"/>
                <w:highlight w:val="none"/>
                <w:lang w:eastAsia="zh-CN"/>
                <w14:textFill>
                  <w14:solidFill>
                    <w14:schemeClr w14:val="tx1"/>
                  </w14:solidFill>
                </w14:textFill>
              </w:rPr>
              <w:t>制度</w:t>
            </w:r>
            <w:r>
              <w:rPr>
                <w:color w:val="000000" w:themeColor="text1"/>
                <w:sz w:val="24"/>
                <w:highlight w:val="none"/>
                <w14:textFill>
                  <w14:solidFill>
                    <w14:schemeClr w14:val="tx1"/>
                  </w14:solidFill>
                </w14:textFill>
              </w:rPr>
              <w:t>建设成为固定污染源环境管理的核心制度。本项目应严格按照国家排污许可证改革的要求，推进刷卡排污及污染源</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一证式</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管理工作，并作为建设单位在生产</w:t>
            </w:r>
            <w:r>
              <w:rPr>
                <w:rFonts w:hint="eastAsia"/>
                <w:color w:val="000000" w:themeColor="text1"/>
                <w:sz w:val="24"/>
                <w:highlight w:val="none"/>
                <w14:textFill>
                  <w14:solidFill>
                    <w14:schemeClr w14:val="tx1"/>
                  </w14:solidFill>
                </w14:textFill>
              </w:rPr>
              <w:t>营运</w:t>
            </w:r>
            <w:r>
              <w:rPr>
                <w:color w:val="000000" w:themeColor="text1"/>
                <w:sz w:val="24"/>
                <w:highlight w:val="none"/>
                <w14:textFill>
                  <w14:solidFill>
                    <w14:schemeClr w14:val="tx1"/>
                  </w14:solidFill>
                </w14:textFill>
              </w:rPr>
              <w:t>期接受环境监管和环境保护部门实施监管的主要法律文书，单位依法申领排污许可证，按证排污，自证守法。环境保护部门基于企事业单位守法承诺，依法发放排污许可证，依证强化事中事后监管</w:t>
            </w:r>
            <w:r>
              <w:rPr>
                <w:rFonts w:hint="eastAsia"/>
                <w:color w:val="000000" w:themeColor="text1"/>
                <w:sz w:val="24"/>
                <w:highlight w:val="none"/>
                <w:lang w:eastAsia="zh-CN"/>
                <w14:textFill>
                  <w14:solidFill>
                    <w14:schemeClr w14:val="tx1"/>
                  </w14:solidFill>
                </w14:textFill>
              </w:rPr>
              <w:t>。</w:t>
            </w:r>
          </w:p>
          <w:p w14:paraId="768AFC53">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4A98B50D">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18B7EB86">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03FD206C">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0C9CE0E4">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39090E2B">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629EAF37">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20AA069E">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649C94A2">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59D921BB">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0A9A0A32">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6A7EC632">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7DC89DC4">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2BC81D5A">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6628C580">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4B21718E">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39499948">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319D7EEF">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2BBCBA38">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6AECE1B3">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31059541">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408AF201">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02208BEA">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0E28008D">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64A98728">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551EF92A">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090ADE9D">
            <w:pPr>
              <w:spacing w:line="360" w:lineRule="auto"/>
              <w:ind w:firstLine="480" w:firstLineChars="200"/>
              <w:rPr>
                <w:rFonts w:hint="eastAsia"/>
                <w:color w:val="000000" w:themeColor="text1"/>
                <w:sz w:val="24"/>
                <w:highlight w:val="none"/>
                <w:lang w:eastAsia="zh-CN"/>
                <w14:textFill>
                  <w14:solidFill>
                    <w14:schemeClr w14:val="tx1"/>
                  </w14:solidFill>
                </w14:textFill>
              </w:rPr>
            </w:pPr>
          </w:p>
          <w:p w14:paraId="0B2B007C">
            <w:pPr>
              <w:spacing w:line="360" w:lineRule="auto"/>
              <w:ind w:firstLine="420" w:firstLineChars="200"/>
              <w:rPr>
                <w:color w:val="000000" w:themeColor="text1"/>
                <w:kern w:val="21"/>
                <w:sz w:val="21"/>
                <w:szCs w:val="21"/>
                <w:lang w:val="zh-CN" w:bidi="zh-CN"/>
                <w14:textFill>
                  <w14:solidFill>
                    <w14:schemeClr w14:val="tx1"/>
                  </w14:solidFill>
                </w14:textFill>
              </w:rPr>
            </w:pPr>
          </w:p>
        </w:tc>
      </w:tr>
    </w:tbl>
    <w:p w14:paraId="199B7D55">
      <w:pPr>
        <w:pStyle w:val="24"/>
        <w:spacing w:before="0" w:beforeAutospacing="0" w:after="0" w:afterAutospacing="0" w:line="360" w:lineRule="auto"/>
        <w:jc w:val="center"/>
        <w:outlineLvl w:val="0"/>
        <w:rPr>
          <w:rFonts w:ascii="Times New Roman" w:hAnsi="Times New Roman" w:eastAsia="黑体"/>
          <w:snapToGrid w:val="0"/>
          <w:color w:val="000000" w:themeColor="text1"/>
          <w:sz w:val="30"/>
          <w:szCs w:val="30"/>
          <w14:textFill>
            <w14:solidFill>
              <w14:schemeClr w14:val="tx1"/>
            </w14:solidFill>
          </w14:textFill>
        </w:rPr>
      </w:pPr>
      <w:r>
        <w:rPr>
          <w:rFonts w:ascii="Times New Roman" w:hAnsi="Times New Roman"/>
          <w:snapToGrid w:val="0"/>
          <w:color w:val="000000" w:themeColor="text1"/>
          <w14:textFill>
            <w14:solidFill>
              <w14:schemeClr w14:val="tx1"/>
            </w14:solidFill>
          </w14:textFill>
        </w:rPr>
        <w:br w:type="page"/>
      </w:r>
      <w:bookmarkStart w:id="28" w:name="_Toc28639"/>
      <w:r>
        <w:rPr>
          <w:rFonts w:ascii="Times New Roman" w:hAnsi="Times New Roman" w:eastAsia="黑体"/>
          <w:snapToGrid w:val="0"/>
          <w:color w:val="000000" w:themeColor="text1"/>
          <w:sz w:val="30"/>
          <w:szCs w:val="30"/>
          <w14:textFill>
            <w14:solidFill>
              <w14:schemeClr w14:val="tx1"/>
            </w14:solidFill>
          </w14:textFill>
        </w:rPr>
        <w:t>六、结论</w:t>
      </w:r>
      <w:bookmarkEnd w:id="28"/>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744D1E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4A381184">
            <w:pPr>
              <w:spacing w:line="360" w:lineRule="auto"/>
              <w:ind w:firstLine="480" w:firstLineChars="200"/>
              <w:rPr>
                <w:color w:val="000000" w:themeColor="text1"/>
                <w:sz w:val="24"/>
                <w14:textFill>
                  <w14:solidFill>
                    <w14:schemeClr w14:val="tx1"/>
                  </w14:solidFill>
                </w14:textFill>
              </w:rPr>
            </w:pPr>
            <w:r>
              <w:rPr>
                <w:color w:val="000000" w:themeColor="text1"/>
                <w:sz w:val="24"/>
                <w:highlight w:val="none"/>
                <w14:textFill>
                  <w14:solidFill>
                    <w14:schemeClr w14:val="tx1"/>
                  </w14:solidFill>
                </w14:textFill>
              </w:rPr>
              <w:t>本项目符合国家和地方产业政策，选址布局合理，项目拟采用各项环境保护措施具有经济和技术可行性，可确保达标排放。项目产生的各种污染物经相应措施处理后能做到达标排放，产生的污染物对当地的环境影响</w:t>
            </w:r>
            <w:r>
              <w:rPr>
                <w:rFonts w:hint="eastAsia"/>
                <w:color w:val="000000" w:themeColor="text1"/>
                <w:sz w:val="24"/>
                <w:highlight w:val="none"/>
                <w:lang w:val="en-US" w:eastAsia="zh-CN"/>
                <w14:textFill>
                  <w14:solidFill>
                    <w14:schemeClr w14:val="tx1"/>
                  </w14:solidFill>
                </w14:textFill>
              </w:rPr>
              <w:t>较小</w:t>
            </w:r>
            <w:r>
              <w:rPr>
                <w:color w:val="000000" w:themeColor="text1"/>
                <w:sz w:val="24"/>
                <w:highlight w:val="none"/>
                <w14:textFill>
                  <w14:solidFill>
                    <w14:schemeClr w14:val="tx1"/>
                  </w14:solidFill>
                </w14:textFill>
              </w:rPr>
              <w:t>。本项目落实本环评中提出的各污染防治措施，从环保角度考虑，项目</w:t>
            </w:r>
            <w:r>
              <w:rPr>
                <w:rFonts w:hint="eastAsia"/>
                <w:color w:val="000000" w:themeColor="text1"/>
                <w:sz w:val="24"/>
                <w:highlight w:val="none"/>
                <w:lang w:val="en-US" w:eastAsia="zh-CN"/>
                <w14:textFill>
                  <w14:solidFill>
                    <w14:schemeClr w14:val="tx1"/>
                  </w14:solidFill>
                </w14:textFill>
              </w:rPr>
              <w:t>建设</w:t>
            </w:r>
            <w:r>
              <w:rPr>
                <w:color w:val="000000" w:themeColor="text1"/>
                <w:sz w:val="24"/>
                <w:highlight w:val="none"/>
                <w14:textFill>
                  <w14:solidFill>
                    <w14:schemeClr w14:val="tx1"/>
                  </w14:solidFill>
                </w14:textFill>
              </w:rPr>
              <w:t>可行。</w:t>
            </w:r>
          </w:p>
        </w:tc>
      </w:tr>
    </w:tbl>
    <w:p w14:paraId="40008163">
      <w:pPr>
        <w:rPr>
          <w:color w:val="000000" w:themeColor="text1"/>
          <w14:textFill>
            <w14:solidFill>
              <w14:schemeClr w14:val="tx1"/>
            </w14:solidFill>
          </w14:textFill>
        </w:rPr>
        <w:sectPr>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p>
    <w:p w14:paraId="40995D49">
      <w:pPr>
        <w:pStyle w:val="24"/>
        <w:spacing w:before="0" w:beforeAutospacing="0" w:after="0" w:afterAutospacing="0" w:line="360" w:lineRule="auto"/>
        <w:outlineLvl w:val="0"/>
        <w:rPr>
          <w:rFonts w:hint="default" w:ascii="Times New Roman" w:hAnsi="Times New Roman" w:cs="Times New Roman"/>
          <w:b/>
          <w:bCs/>
          <w:snapToGrid w:val="0"/>
          <w:color w:val="000000" w:themeColor="text1"/>
          <w:sz w:val="28"/>
          <w:szCs w:val="28"/>
          <w14:textFill>
            <w14:solidFill>
              <w14:schemeClr w14:val="tx1"/>
            </w14:solidFill>
          </w14:textFill>
        </w:rPr>
      </w:pPr>
      <w:bookmarkStart w:id="29" w:name="_Toc27618"/>
      <w:r>
        <w:rPr>
          <w:rFonts w:hint="default" w:ascii="Times New Roman" w:hAnsi="Times New Roman" w:cs="Times New Roman"/>
          <w:b/>
          <w:bCs/>
          <w:snapToGrid w:val="0"/>
          <w:color w:val="000000" w:themeColor="text1"/>
          <w:sz w:val="28"/>
          <w:szCs w:val="28"/>
          <w14:textFill>
            <w14:solidFill>
              <w14:schemeClr w14:val="tx1"/>
            </w14:solidFill>
          </w14:textFill>
        </w:rPr>
        <w:t>附表</w:t>
      </w:r>
      <w:r>
        <w:rPr>
          <w:rFonts w:hint="eastAsia" w:ascii="Times New Roman" w:hAnsi="Times New Roman" w:cs="Times New Roman"/>
          <w:b/>
          <w:bCs/>
          <w:snapToGrid w:val="0"/>
          <w:color w:val="000000" w:themeColor="text1"/>
          <w:sz w:val="28"/>
          <w:szCs w:val="28"/>
          <w:lang w:val="en-US" w:eastAsia="zh-CN"/>
          <w14:textFill>
            <w14:solidFill>
              <w14:schemeClr w14:val="tx1"/>
            </w14:solidFill>
          </w14:textFill>
        </w:rPr>
        <w:t xml:space="preserve"> </w:t>
      </w:r>
      <w:r>
        <w:rPr>
          <w:rFonts w:hint="default" w:ascii="Times New Roman" w:hAnsi="Times New Roman" w:cs="Times New Roman"/>
          <w:b/>
          <w:bCs/>
          <w:color w:val="000000" w:themeColor="text1"/>
          <w:sz w:val="28"/>
          <w:szCs w:val="28"/>
          <w14:textFill>
            <w14:solidFill>
              <w14:schemeClr w14:val="tx1"/>
            </w14:solidFill>
          </w14:textFill>
        </w:rPr>
        <w:t>建设项目污染物排放量汇总表</w:t>
      </w:r>
      <w:bookmarkEnd w:id="29"/>
    </w:p>
    <w:p w14:paraId="76339FE1">
      <w:pPr>
        <w:pStyle w:val="24"/>
        <w:spacing w:before="0" w:beforeAutospacing="0" w:after="0" w:afterAutospacing="0"/>
        <w:jc w:val="center"/>
        <w:rPr>
          <w:rFonts w:ascii="Times New Roman" w:hAnsi="Times New Roman" w:eastAsia="方正小标宋_GBK"/>
          <w:snapToGrid w:val="0"/>
          <w:color w:val="000000" w:themeColor="text1"/>
          <w:sz w:val="38"/>
          <w:szCs w:val="38"/>
          <w:highlight w:val="none"/>
          <w14:textFill>
            <w14:solidFill>
              <w14:schemeClr w14:val="tx1"/>
            </w14:solidFill>
          </w14:textFill>
        </w:rPr>
      </w:pPr>
      <w:r>
        <w:rPr>
          <w:rFonts w:ascii="Times New Roman" w:hAnsi="Times New Roman" w:eastAsia="方正小标宋_GBK"/>
          <w:snapToGrid w:val="0"/>
          <w:color w:val="000000" w:themeColor="text1"/>
          <w:sz w:val="38"/>
          <w:szCs w:val="38"/>
          <w:highlight w:val="none"/>
          <w14:textFill>
            <w14:solidFill>
              <w14:schemeClr w14:val="tx1"/>
            </w14:solidFill>
          </w14:textFill>
        </w:rPr>
        <w:t>建设项目污染物排放量汇总表</w:t>
      </w:r>
    </w:p>
    <w:tbl>
      <w:tblPr>
        <w:tblStyle w:val="28"/>
        <w:tblW w:w="4997"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19"/>
        <w:gridCol w:w="1885"/>
        <w:gridCol w:w="1648"/>
        <w:gridCol w:w="1320"/>
        <w:gridCol w:w="1691"/>
        <w:gridCol w:w="1451"/>
        <w:gridCol w:w="1614"/>
        <w:gridCol w:w="1593"/>
        <w:gridCol w:w="1505"/>
      </w:tblGrid>
      <w:tr w14:paraId="1DC863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9" w:type="dxa"/>
            <w:tcBorders>
              <w:tl2br w:val="single" w:color="auto" w:sz="4" w:space="0"/>
            </w:tcBorders>
            <w:tcMar>
              <w:left w:w="28" w:type="dxa"/>
              <w:right w:w="28" w:type="dxa"/>
            </w:tcMar>
            <w:vAlign w:val="center"/>
          </w:tcPr>
          <w:p w14:paraId="35FECC05">
            <w:pPr>
              <w:pStyle w:val="54"/>
              <w:spacing w:beforeLines="0" w:afterLines="0" w:line="240" w:lineRule="auto"/>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t>项目</w:t>
            </w:r>
          </w:p>
          <w:p w14:paraId="533A9795">
            <w:pPr>
              <w:pStyle w:val="54"/>
              <w:spacing w:beforeLines="0" w:afterLines="0" w:line="240" w:lineRule="auto"/>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t>分类</w:t>
            </w:r>
          </w:p>
        </w:tc>
        <w:tc>
          <w:tcPr>
            <w:tcW w:w="1885" w:type="dxa"/>
            <w:tcMar>
              <w:left w:w="28" w:type="dxa"/>
              <w:right w:w="28" w:type="dxa"/>
            </w:tcMar>
            <w:vAlign w:val="center"/>
          </w:tcPr>
          <w:p w14:paraId="14C53C3A">
            <w:pPr>
              <w:pStyle w:val="54"/>
              <w:spacing w:beforeLines="0" w:afterLines="0" w:line="240" w:lineRule="auto"/>
              <w:ind w:firstLine="0"/>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t>污染物名称</w:t>
            </w:r>
          </w:p>
        </w:tc>
        <w:tc>
          <w:tcPr>
            <w:tcW w:w="1648" w:type="dxa"/>
            <w:tcMar>
              <w:left w:w="28" w:type="dxa"/>
              <w:right w:w="28" w:type="dxa"/>
            </w:tcMar>
            <w:vAlign w:val="center"/>
          </w:tcPr>
          <w:p w14:paraId="49C99441">
            <w:pPr>
              <w:pStyle w:val="54"/>
              <w:spacing w:beforeLines="0" w:afterLines="0" w:line="240" w:lineRule="auto"/>
              <w:ind w:firstLine="0"/>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t>现有工程</w:t>
            </w:r>
          </w:p>
          <w:p w14:paraId="06F8A831">
            <w:pPr>
              <w:pStyle w:val="54"/>
              <w:spacing w:beforeLines="0" w:afterLines="0" w:line="240" w:lineRule="auto"/>
              <w:ind w:firstLine="0"/>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t>排放量（固体废物产生量）</w:t>
            </w:r>
            <w:r>
              <w:rPr>
                <w:rFonts w:ascii="Times New Roman" w:eastAsia="黑体"/>
                <w:snapToGrid w:val="0"/>
                <w:color w:val="000000" w:themeColor="text1"/>
                <w:spacing w:val="-6"/>
                <w:kern w:val="21"/>
                <w:szCs w:val="21"/>
                <w:highlight w:val="none"/>
                <w14:textFill>
                  <w14:solidFill>
                    <w14:schemeClr w14:val="tx1"/>
                  </w14:solidFill>
                </w14:textFill>
              </w:rPr>
              <w:fldChar w:fldCharType="begin"/>
            </w:r>
            <w:r>
              <w:rPr>
                <w:rFonts w:ascii="Times New Roman" w:eastAsia="黑体"/>
                <w:snapToGrid w:val="0"/>
                <w:color w:val="000000" w:themeColor="text1"/>
                <w:spacing w:val="-6"/>
                <w:kern w:val="21"/>
                <w:szCs w:val="21"/>
                <w:highlight w:val="none"/>
                <w14:textFill>
                  <w14:solidFill>
                    <w14:schemeClr w14:val="tx1"/>
                  </w14:solidFill>
                </w14:textFill>
              </w:rPr>
              <w:instrText xml:space="preserve"> = 1 \* GB3 \* MERGEFORMAT </w:instrText>
            </w:r>
            <w:r>
              <w:rPr>
                <w:rFonts w:ascii="Times New Roman" w:eastAsia="黑体"/>
                <w:snapToGrid w:val="0"/>
                <w:color w:val="000000" w:themeColor="text1"/>
                <w:spacing w:val="-6"/>
                <w:kern w:val="21"/>
                <w:szCs w:val="21"/>
                <w:highlight w:val="none"/>
                <w14:textFill>
                  <w14:solidFill>
                    <w14:schemeClr w14:val="tx1"/>
                  </w14:solidFill>
                </w14:textFill>
              </w:rPr>
              <w:fldChar w:fldCharType="separate"/>
            </w:r>
            <w:r>
              <w:rPr>
                <w:rFonts w:ascii="Times New Roman" w:eastAsia="黑体"/>
                <w:color w:val="000000" w:themeColor="text1"/>
                <w:kern w:val="2"/>
                <w:szCs w:val="21"/>
                <w:highlight w:val="none"/>
                <w14:textFill>
                  <w14:solidFill>
                    <w14:schemeClr w14:val="tx1"/>
                  </w14:solidFill>
                </w14:textFill>
              </w:rPr>
              <w:t>①</w:t>
            </w:r>
            <w:r>
              <w:rPr>
                <w:rFonts w:ascii="Times New Roman" w:eastAsia="黑体"/>
                <w:snapToGrid w:val="0"/>
                <w:color w:val="000000" w:themeColor="text1"/>
                <w:spacing w:val="-6"/>
                <w:kern w:val="21"/>
                <w:szCs w:val="21"/>
                <w:highlight w:val="none"/>
                <w14:textFill>
                  <w14:solidFill>
                    <w14:schemeClr w14:val="tx1"/>
                  </w14:solidFill>
                </w14:textFill>
              </w:rPr>
              <w:fldChar w:fldCharType="end"/>
            </w:r>
          </w:p>
        </w:tc>
        <w:tc>
          <w:tcPr>
            <w:tcW w:w="1320" w:type="dxa"/>
            <w:tcMar>
              <w:left w:w="28" w:type="dxa"/>
              <w:right w:w="28" w:type="dxa"/>
            </w:tcMar>
            <w:vAlign w:val="center"/>
          </w:tcPr>
          <w:p w14:paraId="69B577AE">
            <w:pPr>
              <w:pStyle w:val="54"/>
              <w:spacing w:beforeLines="0" w:afterLines="0" w:line="240" w:lineRule="auto"/>
              <w:ind w:firstLine="0"/>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t>现有工程</w:t>
            </w:r>
          </w:p>
          <w:p w14:paraId="73E5ED49">
            <w:pPr>
              <w:pStyle w:val="54"/>
              <w:spacing w:beforeLines="0" w:afterLines="0" w:line="240" w:lineRule="auto"/>
              <w:ind w:firstLine="0"/>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t>许可排放量</w:t>
            </w:r>
          </w:p>
          <w:p w14:paraId="029B0C79">
            <w:pPr>
              <w:pStyle w:val="54"/>
              <w:spacing w:beforeLines="0" w:afterLines="0"/>
              <w:ind w:firstLine="0"/>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fldChar w:fldCharType="begin"/>
            </w:r>
            <w:r>
              <w:rPr>
                <w:rFonts w:ascii="Times New Roman" w:eastAsia="黑体"/>
                <w:snapToGrid w:val="0"/>
                <w:color w:val="000000" w:themeColor="text1"/>
                <w:spacing w:val="-6"/>
                <w:kern w:val="21"/>
                <w:szCs w:val="21"/>
                <w:highlight w:val="none"/>
                <w14:textFill>
                  <w14:solidFill>
                    <w14:schemeClr w14:val="tx1"/>
                  </w14:solidFill>
                </w14:textFill>
              </w:rPr>
              <w:instrText xml:space="preserve"> = 2 \* GB3 \* MERGEFORMAT </w:instrText>
            </w:r>
            <w:r>
              <w:rPr>
                <w:rFonts w:ascii="Times New Roman" w:eastAsia="黑体"/>
                <w:snapToGrid w:val="0"/>
                <w:color w:val="000000" w:themeColor="text1"/>
                <w:spacing w:val="-6"/>
                <w:kern w:val="21"/>
                <w:szCs w:val="21"/>
                <w:highlight w:val="none"/>
                <w14:textFill>
                  <w14:solidFill>
                    <w14:schemeClr w14:val="tx1"/>
                  </w14:solidFill>
                </w14:textFill>
              </w:rPr>
              <w:fldChar w:fldCharType="separate"/>
            </w:r>
            <w:r>
              <w:rPr>
                <w:rFonts w:ascii="Times New Roman" w:eastAsia="黑体"/>
                <w:snapToGrid w:val="0"/>
                <w:color w:val="000000" w:themeColor="text1"/>
                <w:spacing w:val="-6"/>
                <w:kern w:val="21"/>
                <w:szCs w:val="21"/>
                <w:highlight w:val="none"/>
                <w14:textFill>
                  <w14:solidFill>
                    <w14:schemeClr w14:val="tx1"/>
                  </w14:solidFill>
                </w14:textFill>
              </w:rPr>
              <w:t>②</w:t>
            </w:r>
            <w:r>
              <w:rPr>
                <w:rFonts w:ascii="Times New Roman" w:eastAsia="黑体"/>
                <w:snapToGrid w:val="0"/>
                <w:color w:val="000000" w:themeColor="text1"/>
                <w:spacing w:val="-6"/>
                <w:kern w:val="21"/>
                <w:szCs w:val="21"/>
                <w:highlight w:val="none"/>
                <w14:textFill>
                  <w14:solidFill>
                    <w14:schemeClr w14:val="tx1"/>
                  </w14:solidFill>
                </w14:textFill>
              </w:rPr>
              <w:fldChar w:fldCharType="end"/>
            </w:r>
          </w:p>
        </w:tc>
        <w:tc>
          <w:tcPr>
            <w:tcW w:w="1691" w:type="dxa"/>
            <w:tcMar>
              <w:left w:w="28" w:type="dxa"/>
              <w:right w:w="28" w:type="dxa"/>
            </w:tcMar>
            <w:vAlign w:val="center"/>
          </w:tcPr>
          <w:p w14:paraId="1B105FDC">
            <w:pPr>
              <w:pStyle w:val="54"/>
              <w:spacing w:beforeLines="0" w:afterLines="0" w:line="240" w:lineRule="auto"/>
              <w:ind w:firstLine="0"/>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t>在建工程</w:t>
            </w:r>
          </w:p>
          <w:p w14:paraId="401DE7BF">
            <w:pPr>
              <w:pStyle w:val="54"/>
              <w:spacing w:beforeLines="0" w:afterLines="0" w:line="240" w:lineRule="auto"/>
              <w:ind w:firstLine="0"/>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t>排放量（固体废物产生量）</w:t>
            </w:r>
            <w:r>
              <w:rPr>
                <w:rFonts w:ascii="Times New Roman" w:eastAsia="黑体"/>
                <w:snapToGrid w:val="0"/>
                <w:color w:val="000000" w:themeColor="text1"/>
                <w:spacing w:val="-6"/>
                <w:kern w:val="21"/>
                <w:szCs w:val="21"/>
                <w:highlight w:val="none"/>
                <w14:textFill>
                  <w14:solidFill>
                    <w14:schemeClr w14:val="tx1"/>
                  </w14:solidFill>
                </w14:textFill>
              </w:rPr>
              <w:fldChar w:fldCharType="begin"/>
            </w:r>
            <w:r>
              <w:rPr>
                <w:rFonts w:ascii="Times New Roman" w:eastAsia="黑体"/>
                <w:snapToGrid w:val="0"/>
                <w:color w:val="000000" w:themeColor="text1"/>
                <w:spacing w:val="-6"/>
                <w:kern w:val="21"/>
                <w:szCs w:val="21"/>
                <w:highlight w:val="none"/>
                <w14:textFill>
                  <w14:solidFill>
                    <w14:schemeClr w14:val="tx1"/>
                  </w14:solidFill>
                </w14:textFill>
              </w:rPr>
              <w:instrText xml:space="preserve"> = 3 \* GB3 \* MERGEFORMAT </w:instrText>
            </w:r>
            <w:r>
              <w:rPr>
                <w:rFonts w:ascii="Times New Roman" w:eastAsia="黑体"/>
                <w:snapToGrid w:val="0"/>
                <w:color w:val="000000" w:themeColor="text1"/>
                <w:spacing w:val="-6"/>
                <w:kern w:val="21"/>
                <w:szCs w:val="21"/>
                <w:highlight w:val="none"/>
                <w14:textFill>
                  <w14:solidFill>
                    <w14:schemeClr w14:val="tx1"/>
                  </w14:solidFill>
                </w14:textFill>
              </w:rPr>
              <w:fldChar w:fldCharType="separate"/>
            </w:r>
            <w:r>
              <w:rPr>
                <w:rFonts w:ascii="Times New Roman" w:eastAsia="黑体"/>
                <w:color w:val="000000" w:themeColor="text1"/>
                <w:kern w:val="2"/>
                <w:szCs w:val="21"/>
                <w:highlight w:val="none"/>
                <w14:textFill>
                  <w14:solidFill>
                    <w14:schemeClr w14:val="tx1"/>
                  </w14:solidFill>
                </w14:textFill>
              </w:rPr>
              <w:t>③</w:t>
            </w:r>
            <w:r>
              <w:rPr>
                <w:rFonts w:ascii="Times New Roman" w:eastAsia="黑体"/>
                <w:snapToGrid w:val="0"/>
                <w:color w:val="000000" w:themeColor="text1"/>
                <w:spacing w:val="-6"/>
                <w:kern w:val="21"/>
                <w:szCs w:val="21"/>
                <w:highlight w:val="none"/>
                <w14:textFill>
                  <w14:solidFill>
                    <w14:schemeClr w14:val="tx1"/>
                  </w14:solidFill>
                </w14:textFill>
              </w:rPr>
              <w:fldChar w:fldCharType="end"/>
            </w:r>
          </w:p>
        </w:tc>
        <w:tc>
          <w:tcPr>
            <w:tcW w:w="1451" w:type="dxa"/>
            <w:tcMar>
              <w:left w:w="28" w:type="dxa"/>
              <w:right w:w="28" w:type="dxa"/>
            </w:tcMar>
            <w:vAlign w:val="center"/>
          </w:tcPr>
          <w:p w14:paraId="25849931">
            <w:pPr>
              <w:pStyle w:val="54"/>
              <w:spacing w:beforeLines="0" w:afterLines="0" w:line="240" w:lineRule="auto"/>
              <w:ind w:firstLine="0"/>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t>本项目</w:t>
            </w:r>
          </w:p>
          <w:p w14:paraId="7E26C0B7">
            <w:pPr>
              <w:pStyle w:val="54"/>
              <w:spacing w:beforeLines="0" w:afterLines="0" w:line="240" w:lineRule="auto"/>
              <w:ind w:firstLine="0"/>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t>排放量（固体废物产生量）</w:t>
            </w:r>
            <w:r>
              <w:rPr>
                <w:rFonts w:ascii="Times New Roman" w:eastAsia="黑体"/>
                <w:snapToGrid w:val="0"/>
                <w:color w:val="000000" w:themeColor="text1"/>
                <w:spacing w:val="-6"/>
                <w:kern w:val="21"/>
                <w:szCs w:val="21"/>
                <w:highlight w:val="none"/>
                <w14:textFill>
                  <w14:solidFill>
                    <w14:schemeClr w14:val="tx1"/>
                  </w14:solidFill>
                </w14:textFill>
              </w:rPr>
              <w:fldChar w:fldCharType="begin"/>
            </w:r>
            <w:r>
              <w:rPr>
                <w:rFonts w:ascii="Times New Roman" w:eastAsia="黑体"/>
                <w:snapToGrid w:val="0"/>
                <w:color w:val="000000" w:themeColor="text1"/>
                <w:spacing w:val="-6"/>
                <w:kern w:val="21"/>
                <w:szCs w:val="21"/>
                <w:highlight w:val="none"/>
                <w14:textFill>
                  <w14:solidFill>
                    <w14:schemeClr w14:val="tx1"/>
                  </w14:solidFill>
                </w14:textFill>
              </w:rPr>
              <w:instrText xml:space="preserve"> = 4 \* GB3 \* MERGEFORMAT </w:instrText>
            </w:r>
            <w:r>
              <w:rPr>
                <w:rFonts w:ascii="Times New Roman" w:eastAsia="黑体"/>
                <w:snapToGrid w:val="0"/>
                <w:color w:val="000000" w:themeColor="text1"/>
                <w:spacing w:val="-6"/>
                <w:kern w:val="21"/>
                <w:szCs w:val="21"/>
                <w:highlight w:val="none"/>
                <w14:textFill>
                  <w14:solidFill>
                    <w14:schemeClr w14:val="tx1"/>
                  </w14:solidFill>
                </w14:textFill>
              </w:rPr>
              <w:fldChar w:fldCharType="separate"/>
            </w:r>
            <w:r>
              <w:rPr>
                <w:rFonts w:ascii="Times New Roman" w:eastAsia="黑体"/>
                <w:color w:val="000000" w:themeColor="text1"/>
                <w:kern w:val="2"/>
                <w:szCs w:val="21"/>
                <w:highlight w:val="none"/>
                <w14:textFill>
                  <w14:solidFill>
                    <w14:schemeClr w14:val="tx1"/>
                  </w14:solidFill>
                </w14:textFill>
              </w:rPr>
              <w:t>④</w:t>
            </w:r>
            <w:r>
              <w:rPr>
                <w:rFonts w:ascii="Times New Roman" w:eastAsia="黑体"/>
                <w:snapToGrid w:val="0"/>
                <w:color w:val="000000" w:themeColor="text1"/>
                <w:spacing w:val="-6"/>
                <w:kern w:val="21"/>
                <w:szCs w:val="21"/>
                <w:highlight w:val="none"/>
                <w14:textFill>
                  <w14:solidFill>
                    <w14:schemeClr w14:val="tx1"/>
                  </w14:solidFill>
                </w14:textFill>
              </w:rPr>
              <w:fldChar w:fldCharType="end"/>
            </w:r>
          </w:p>
        </w:tc>
        <w:tc>
          <w:tcPr>
            <w:tcW w:w="1614" w:type="dxa"/>
            <w:tcMar>
              <w:left w:w="28" w:type="dxa"/>
              <w:right w:w="28" w:type="dxa"/>
            </w:tcMar>
            <w:vAlign w:val="center"/>
          </w:tcPr>
          <w:p w14:paraId="7AB97AAC">
            <w:pPr>
              <w:pStyle w:val="54"/>
              <w:spacing w:beforeLines="0" w:afterLines="0" w:line="240" w:lineRule="auto"/>
              <w:ind w:firstLine="0"/>
              <w:rPr>
                <w:rFonts w:ascii="Times New Roman" w:eastAsia="黑体"/>
                <w:snapToGrid w:val="0"/>
                <w:color w:val="000000" w:themeColor="text1"/>
                <w:spacing w:val="-16"/>
                <w:kern w:val="21"/>
                <w:szCs w:val="21"/>
                <w:highlight w:val="none"/>
                <w14:textFill>
                  <w14:solidFill>
                    <w14:schemeClr w14:val="tx1"/>
                  </w14:solidFill>
                </w14:textFill>
              </w:rPr>
            </w:pPr>
            <w:r>
              <w:rPr>
                <w:rFonts w:ascii="Times New Roman" w:eastAsia="黑体"/>
                <w:snapToGrid w:val="0"/>
                <w:color w:val="000000" w:themeColor="text1"/>
                <w:spacing w:val="-16"/>
                <w:kern w:val="21"/>
                <w:szCs w:val="21"/>
                <w:highlight w:val="none"/>
                <w14:textFill>
                  <w14:solidFill>
                    <w14:schemeClr w14:val="tx1"/>
                  </w14:solidFill>
                </w14:textFill>
              </w:rPr>
              <w:t>以新带老削减量</w:t>
            </w:r>
          </w:p>
          <w:p w14:paraId="1440E0E7">
            <w:pPr>
              <w:pStyle w:val="54"/>
              <w:spacing w:beforeLines="0" w:afterLines="0" w:line="240" w:lineRule="auto"/>
              <w:ind w:firstLine="0"/>
              <w:rPr>
                <w:rFonts w:ascii="Times New Roman" w:eastAsia="黑体"/>
                <w:snapToGrid w:val="0"/>
                <w:color w:val="000000" w:themeColor="text1"/>
                <w:spacing w:val="-16"/>
                <w:kern w:val="21"/>
                <w:szCs w:val="21"/>
                <w:highlight w:val="none"/>
                <w14:textFill>
                  <w14:solidFill>
                    <w14:schemeClr w14:val="tx1"/>
                  </w14:solidFill>
                </w14:textFill>
              </w:rPr>
            </w:pPr>
            <w:r>
              <w:rPr>
                <w:rFonts w:ascii="Times New Roman" w:eastAsia="黑体"/>
                <w:snapToGrid w:val="0"/>
                <w:color w:val="000000" w:themeColor="text1"/>
                <w:spacing w:val="-16"/>
                <w:kern w:val="21"/>
                <w:szCs w:val="21"/>
                <w:highlight w:val="none"/>
                <w14:textFill>
                  <w14:solidFill>
                    <w14:schemeClr w14:val="tx1"/>
                  </w14:solidFill>
                </w14:textFill>
              </w:rPr>
              <w:t>（新建项目不填）</w:t>
            </w:r>
            <w:r>
              <w:rPr>
                <w:rFonts w:ascii="Times New Roman" w:eastAsia="黑体"/>
                <w:snapToGrid w:val="0"/>
                <w:color w:val="000000" w:themeColor="text1"/>
                <w:spacing w:val="-16"/>
                <w:kern w:val="21"/>
                <w:szCs w:val="21"/>
                <w:highlight w:val="none"/>
                <w14:textFill>
                  <w14:solidFill>
                    <w14:schemeClr w14:val="tx1"/>
                  </w14:solidFill>
                </w14:textFill>
              </w:rPr>
              <w:fldChar w:fldCharType="begin"/>
            </w:r>
            <w:r>
              <w:rPr>
                <w:rFonts w:ascii="Times New Roman" w:eastAsia="黑体"/>
                <w:snapToGrid w:val="0"/>
                <w:color w:val="000000" w:themeColor="text1"/>
                <w:spacing w:val="-16"/>
                <w:kern w:val="21"/>
                <w:szCs w:val="21"/>
                <w:highlight w:val="none"/>
                <w14:textFill>
                  <w14:solidFill>
                    <w14:schemeClr w14:val="tx1"/>
                  </w14:solidFill>
                </w14:textFill>
              </w:rPr>
              <w:instrText xml:space="preserve"> = 5 \* GB3 \* MERGEFORMAT </w:instrText>
            </w:r>
            <w:r>
              <w:rPr>
                <w:rFonts w:ascii="Times New Roman" w:eastAsia="黑体"/>
                <w:snapToGrid w:val="0"/>
                <w:color w:val="000000" w:themeColor="text1"/>
                <w:spacing w:val="-16"/>
                <w:kern w:val="21"/>
                <w:szCs w:val="21"/>
                <w:highlight w:val="none"/>
                <w14:textFill>
                  <w14:solidFill>
                    <w14:schemeClr w14:val="tx1"/>
                  </w14:solidFill>
                </w14:textFill>
              </w:rPr>
              <w:fldChar w:fldCharType="separate"/>
            </w:r>
            <w:r>
              <w:rPr>
                <w:rFonts w:ascii="Times New Roman" w:eastAsia="黑体"/>
                <w:color w:val="000000" w:themeColor="text1"/>
                <w:kern w:val="2"/>
                <w:szCs w:val="21"/>
                <w:highlight w:val="none"/>
                <w14:textFill>
                  <w14:solidFill>
                    <w14:schemeClr w14:val="tx1"/>
                  </w14:solidFill>
                </w14:textFill>
              </w:rPr>
              <w:t>⑤</w:t>
            </w:r>
            <w:r>
              <w:rPr>
                <w:rFonts w:ascii="Times New Roman" w:eastAsia="黑体"/>
                <w:snapToGrid w:val="0"/>
                <w:color w:val="000000" w:themeColor="text1"/>
                <w:spacing w:val="-16"/>
                <w:kern w:val="21"/>
                <w:szCs w:val="21"/>
                <w:highlight w:val="none"/>
                <w14:textFill>
                  <w14:solidFill>
                    <w14:schemeClr w14:val="tx1"/>
                  </w14:solidFill>
                </w14:textFill>
              </w:rPr>
              <w:fldChar w:fldCharType="end"/>
            </w:r>
          </w:p>
        </w:tc>
        <w:tc>
          <w:tcPr>
            <w:tcW w:w="1593" w:type="dxa"/>
            <w:tcMar>
              <w:left w:w="28" w:type="dxa"/>
              <w:right w:w="28" w:type="dxa"/>
            </w:tcMar>
            <w:vAlign w:val="center"/>
          </w:tcPr>
          <w:p w14:paraId="7CED6059">
            <w:pPr>
              <w:pStyle w:val="54"/>
              <w:spacing w:beforeLines="0" w:afterLines="0" w:line="240" w:lineRule="auto"/>
              <w:ind w:firstLine="0"/>
              <w:rPr>
                <w:rFonts w:ascii="Times New Roman" w:eastAsia="黑体"/>
                <w:snapToGrid w:val="0"/>
                <w:color w:val="000000" w:themeColor="text1"/>
                <w:spacing w:val="-16"/>
                <w:kern w:val="21"/>
                <w:szCs w:val="21"/>
                <w:highlight w:val="none"/>
                <w14:textFill>
                  <w14:solidFill>
                    <w14:schemeClr w14:val="tx1"/>
                  </w14:solidFill>
                </w14:textFill>
              </w:rPr>
            </w:pPr>
            <w:r>
              <w:rPr>
                <w:rFonts w:ascii="Times New Roman" w:eastAsia="黑体"/>
                <w:snapToGrid w:val="0"/>
                <w:color w:val="000000" w:themeColor="text1"/>
                <w:spacing w:val="-16"/>
                <w:kern w:val="21"/>
                <w:szCs w:val="21"/>
                <w:highlight w:val="none"/>
                <w14:textFill>
                  <w14:solidFill>
                    <w14:schemeClr w14:val="tx1"/>
                  </w14:solidFill>
                </w14:textFill>
              </w:rPr>
              <w:t>本项目建成后</w:t>
            </w:r>
          </w:p>
          <w:p w14:paraId="066CAAFC">
            <w:pPr>
              <w:pStyle w:val="54"/>
              <w:spacing w:beforeLines="0" w:afterLines="0" w:line="240" w:lineRule="auto"/>
              <w:ind w:firstLine="0"/>
              <w:rPr>
                <w:rFonts w:ascii="Times New Roman" w:eastAsia="黑体"/>
                <w:snapToGrid w:val="0"/>
                <w:color w:val="000000" w:themeColor="text1"/>
                <w:spacing w:val="-16"/>
                <w:kern w:val="21"/>
                <w:szCs w:val="21"/>
                <w:highlight w:val="none"/>
                <w14:textFill>
                  <w14:solidFill>
                    <w14:schemeClr w14:val="tx1"/>
                  </w14:solidFill>
                </w14:textFill>
              </w:rPr>
            </w:pPr>
            <w:r>
              <w:rPr>
                <w:rFonts w:ascii="Times New Roman" w:eastAsia="黑体"/>
                <w:snapToGrid w:val="0"/>
                <w:color w:val="000000" w:themeColor="text1"/>
                <w:spacing w:val="-16"/>
                <w:kern w:val="21"/>
                <w:szCs w:val="21"/>
                <w:highlight w:val="none"/>
                <w14:textFill>
                  <w14:solidFill>
                    <w14:schemeClr w14:val="tx1"/>
                  </w14:solidFill>
                </w14:textFill>
              </w:rPr>
              <w:t>全厂排放量（固体废物产生量）</w:t>
            </w:r>
            <w:r>
              <w:rPr>
                <w:rFonts w:ascii="Times New Roman" w:eastAsia="黑体"/>
                <w:snapToGrid w:val="0"/>
                <w:color w:val="000000" w:themeColor="text1"/>
                <w:spacing w:val="-16"/>
                <w:kern w:val="21"/>
                <w:szCs w:val="21"/>
                <w:highlight w:val="none"/>
                <w14:textFill>
                  <w14:solidFill>
                    <w14:schemeClr w14:val="tx1"/>
                  </w14:solidFill>
                </w14:textFill>
              </w:rPr>
              <w:fldChar w:fldCharType="begin"/>
            </w:r>
            <w:r>
              <w:rPr>
                <w:rFonts w:ascii="Times New Roman" w:eastAsia="黑体"/>
                <w:snapToGrid w:val="0"/>
                <w:color w:val="000000" w:themeColor="text1"/>
                <w:spacing w:val="-16"/>
                <w:kern w:val="21"/>
                <w:szCs w:val="21"/>
                <w:highlight w:val="none"/>
                <w14:textFill>
                  <w14:solidFill>
                    <w14:schemeClr w14:val="tx1"/>
                  </w14:solidFill>
                </w14:textFill>
              </w:rPr>
              <w:instrText xml:space="preserve"> = 6 \* GB3 \* MERGEFORMAT </w:instrText>
            </w:r>
            <w:r>
              <w:rPr>
                <w:rFonts w:ascii="Times New Roman" w:eastAsia="黑体"/>
                <w:snapToGrid w:val="0"/>
                <w:color w:val="000000" w:themeColor="text1"/>
                <w:spacing w:val="-16"/>
                <w:kern w:val="21"/>
                <w:szCs w:val="21"/>
                <w:highlight w:val="none"/>
                <w14:textFill>
                  <w14:solidFill>
                    <w14:schemeClr w14:val="tx1"/>
                  </w14:solidFill>
                </w14:textFill>
              </w:rPr>
              <w:fldChar w:fldCharType="separate"/>
            </w:r>
            <w:r>
              <w:rPr>
                <w:rFonts w:ascii="Times New Roman" w:eastAsia="黑体"/>
                <w:color w:val="000000" w:themeColor="text1"/>
                <w:kern w:val="2"/>
                <w:szCs w:val="21"/>
                <w:highlight w:val="none"/>
                <w14:textFill>
                  <w14:solidFill>
                    <w14:schemeClr w14:val="tx1"/>
                  </w14:solidFill>
                </w14:textFill>
              </w:rPr>
              <w:t>⑥</w:t>
            </w:r>
            <w:r>
              <w:rPr>
                <w:rFonts w:ascii="Times New Roman" w:eastAsia="黑体"/>
                <w:snapToGrid w:val="0"/>
                <w:color w:val="000000" w:themeColor="text1"/>
                <w:spacing w:val="-16"/>
                <w:kern w:val="21"/>
                <w:szCs w:val="21"/>
                <w:highlight w:val="none"/>
                <w14:textFill>
                  <w14:solidFill>
                    <w14:schemeClr w14:val="tx1"/>
                  </w14:solidFill>
                </w14:textFill>
              </w:rPr>
              <w:fldChar w:fldCharType="end"/>
            </w:r>
          </w:p>
        </w:tc>
        <w:tc>
          <w:tcPr>
            <w:tcW w:w="1505" w:type="dxa"/>
            <w:tcMar>
              <w:left w:w="28" w:type="dxa"/>
              <w:right w:w="28" w:type="dxa"/>
            </w:tcMar>
            <w:vAlign w:val="center"/>
          </w:tcPr>
          <w:p w14:paraId="35047332">
            <w:pPr>
              <w:pStyle w:val="54"/>
              <w:spacing w:beforeLines="0" w:afterLines="0" w:line="240" w:lineRule="auto"/>
              <w:ind w:left="0" w:leftChars="0" w:right="0" w:rightChars="0" w:firstLine="0" w:firstLineChars="0"/>
              <w:jc w:val="center"/>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t>变化量</w:t>
            </w:r>
          </w:p>
          <w:p w14:paraId="5D2556F8">
            <w:pPr>
              <w:pStyle w:val="54"/>
              <w:spacing w:beforeLines="0" w:afterLines="0" w:line="240" w:lineRule="auto"/>
              <w:ind w:left="0" w:leftChars="0" w:right="0" w:rightChars="0" w:firstLine="0" w:firstLineChars="0"/>
              <w:jc w:val="center"/>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fldChar w:fldCharType="begin"/>
            </w:r>
            <w:r>
              <w:rPr>
                <w:rFonts w:ascii="Times New Roman" w:eastAsia="黑体"/>
                <w:snapToGrid w:val="0"/>
                <w:color w:val="000000" w:themeColor="text1"/>
                <w:spacing w:val="-6"/>
                <w:kern w:val="21"/>
                <w:szCs w:val="21"/>
                <w:highlight w:val="none"/>
                <w14:textFill>
                  <w14:solidFill>
                    <w14:schemeClr w14:val="tx1"/>
                  </w14:solidFill>
                </w14:textFill>
              </w:rPr>
              <w:instrText xml:space="preserve"> = 7 \* GB3 \* MERGEFORMAT </w:instrText>
            </w:r>
            <w:r>
              <w:rPr>
                <w:rFonts w:ascii="Times New Roman" w:eastAsia="黑体"/>
                <w:snapToGrid w:val="0"/>
                <w:color w:val="000000" w:themeColor="text1"/>
                <w:spacing w:val="-6"/>
                <w:kern w:val="21"/>
                <w:szCs w:val="21"/>
                <w:highlight w:val="none"/>
                <w14:textFill>
                  <w14:solidFill>
                    <w14:schemeClr w14:val="tx1"/>
                  </w14:solidFill>
                </w14:textFill>
              </w:rPr>
              <w:fldChar w:fldCharType="separate"/>
            </w:r>
            <w:r>
              <w:rPr>
                <w:rFonts w:ascii="Times New Roman" w:eastAsia="黑体"/>
                <w:color w:val="000000" w:themeColor="text1"/>
                <w:kern w:val="2"/>
                <w:szCs w:val="21"/>
                <w:highlight w:val="none"/>
                <w14:textFill>
                  <w14:solidFill>
                    <w14:schemeClr w14:val="tx1"/>
                  </w14:solidFill>
                </w14:textFill>
              </w:rPr>
              <w:t>⑦</w:t>
            </w:r>
            <w:r>
              <w:rPr>
                <w:rFonts w:ascii="Times New Roman" w:eastAsia="黑体"/>
                <w:snapToGrid w:val="0"/>
                <w:color w:val="000000" w:themeColor="text1"/>
                <w:spacing w:val="-6"/>
                <w:kern w:val="21"/>
                <w:szCs w:val="21"/>
                <w:highlight w:val="none"/>
                <w14:textFill>
                  <w14:solidFill>
                    <w14:schemeClr w14:val="tx1"/>
                  </w14:solidFill>
                </w14:textFill>
              </w:rPr>
              <w:fldChar w:fldCharType="end"/>
            </w:r>
          </w:p>
        </w:tc>
      </w:tr>
      <w:tr w14:paraId="152201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9" w:type="dxa"/>
            <w:vMerge w:val="restart"/>
            <w:vAlign w:val="center"/>
          </w:tcPr>
          <w:p w14:paraId="29653A02">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ascii="Times New Roman"/>
                <w:snapToGrid w:val="0"/>
                <w:color w:val="000000" w:themeColor="text1"/>
                <w:kern w:val="21"/>
                <w:szCs w:val="21"/>
                <w:highlight w:val="none"/>
                <w14:textFill>
                  <w14:solidFill>
                    <w14:schemeClr w14:val="tx1"/>
                  </w14:solidFill>
                </w14:textFill>
              </w:rPr>
              <w:t>废气</w:t>
            </w:r>
          </w:p>
        </w:tc>
        <w:tc>
          <w:tcPr>
            <w:tcW w:w="1885" w:type="dxa"/>
            <w:vAlign w:val="center"/>
          </w:tcPr>
          <w:p w14:paraId="6FB2DE9F">
            <w:pPr>
              <w:spacing w:line="240" w:lineRule="atLeast"/>
              <w:ind w:left="-105" w:leftChars="-50" w:right="-105" w:rightChars="-50"/>
              <w:jc w:val="center"/>
              <w:rPr>
                <w:color w:val="FF0000"/>
                <w:szCs w:val="21"/>
                <w:highlight w:val="none"/>
              </w:rPr>
            </w:pPr>
            <w:r>
              <w:rPr>
                <w:rFonts w:hint="eastAsia"/>
                <w:color w:val="FF0000"/>
                <w:szCs w:val="21"/>
                <w:highlight w:val="none"/>
              </w:rPr>
              <w:t>颗粒物</w:t>
            </w:r>
          </w:p>
        </w:tc>
        <w:tc>
          <w:tcPr>
            <w:tcW w:w="1648" w:type="dxa"/>
            <w:vAlign w:val="center"/>
          </w:tcPr>
          <w:p w14:paraId="2F2E5BFE">
            <w:pPr>
              <w:pStyle w:val="54"/>
              <w:spacing w:beforeLines="0" w:afterLines="0" w:line="240" w:lineRule="auto"/>
              <w:ind w:firstLine="0"/>
              <w:rPr>
                <w:rFonts w:hint="default" w:ascii="Times New Roman" w:eastAsia="宋体"/>
                <w:snapToGrid w:val="0"/>
                <w:color w:val="FF0000"/>
                <w:kern w:val="21"/>
                <w:szCs w:val="21"/>
                <w:highlight w:val="none"/>
                <w:lang w:val="en-US" w:eastAsia="zh-CN"/>
              </w:rPr>
            </w:pPr>
            <w:r>
              <w:rPr>
                <w:rFonts w:hint="eastAsia" w:ascii="Times New Roman"/>
                <w:snapToGrid w:val="0"/>
                <w:color w:val="FF0000"/>
                <w:kern w:val="21"/>
                <w:szCs w:val="21"/>
                <w:highlight w:val="none"/>
                <w:lang w:val="en-US" w:eastAsia="zh-CN"/>
              </w:rPr>
              <w:t>39</w:t>
            </w:r>
          </w:p>
        </w:tc>
        <w:tc>
          <w:tcPr>
            <w:tcW w:w="1320" w:type="dxa"/>
            <w:vAlign w:val="center"/>
          </w:tcPr>
          <w:p w14:paraId="7A4F90CD">
            <w:pPr>
              <w:pStyle w:val="54"/>
              <w:spacing w:beforeLines="0" w:afterLines="0" w:line="240" w:lineRule="auto"/>
              <w:ind w:firstLine="0"/>
              <w:rPr>
                <w:rFonts w:ascii="Times New Roman"/>
                <w:snapToGrid w:val="0"/>
                <w:color w:val="FF0000"/>
                <w:kern w:val="21"/>
                <w:szCs w:val="21"/>
                <w:highlight w:val="none"/>
              </w:rPr>
            </w:pPr>
            <w:r>
              <w:rPr>
                <w:rFonts w:hint="eastAsia" w:ascii="Times New Roman"/>
                <w:snapToGrid w:val="0"/>
                <w:color w:val="FF0000"/>
                <w:kern w:val="21"/>
                <w:szCs w:val="21"/>
                <w:highlight w:val="none"/>
              </w:rPr>
              <w:t>/</w:t>
            </w:r>
          </w:p>
        </w:tc>
        <w:tc>
          <w:tcPr>
            <w:tcW w:w="1691" w:type="dxa"/>
            <w:vAlign w:val="center"/>
          </w:tcPr>
          <w:p w14:paraId="09FE69CB">
            <w:pPr>
              <w:pStyle w:val="54"/>
              <w:spacing w:beforeLines="0" w:afterLines="0" w:line="240" w:lineRule="auto"/>
              <w:ind w:firstLine="0"/>
              <w:rPr>
                <w:rFonts w:ascii="Times New Roman"/>
                <w:snapToGrid w:val="0"/>
                <w:color w:val="FF0000"/>
                <w:kern w:val="21"/>
                <w:szCs w:val="21"/>
                <w:highlight w:val="none"/>
              </w:rPr>
            </w:pPr>
            <w:r>
              <w:rPr>
                <w:rFonts w:hint="eastAsia" w:ascii="Times New Roman"/>
                <w:snapToGrid w:val="0"/>
                <w:color w:val="FF0000"/>
                <w:kern w:val="21"/>
                <w:szCs w:val="21"/>
                <w:highlight w:val="none"/>
              </w:rPr>
              <w:t>/</w:t>
            </w:r>
          </w:p>
        </w:tc>
        <w:tc>
          <w:tcPr>
            <w:tcW w:w="1451" w:type="dxa"/>
            <w:vAlign w:val="center"/>
          </w:tcPr>
          <w:p w14:paraId="0425C249">
            <w:pPr>
              <w:pStyle w:val="54"/>
              <w:spacing w:beforeLines="0" w:afterLines="0" w:line="240" w:lineRule="auto"/>
              <w:ind w:firstLine="0"/>
              <w:rPr>
                <w:rFonts w:hint="default" w:ascii="Times New Roman"/>
                <w:snapToGrid w:val="0"/>
                <w:color w:val="FF0000"/>
                <w:kern w:val="21"/>
                <w:szCs w:val="21"/>
                <w:highlight w:val="none"/>
                <w:lang w:val="en-US"/>
              </w:rPr>
            </w:pPr>
            <w:r>
              <w:rPr>
                <w:rFonts w:hint="eastAsia" w:ascii="Times New Roman"/>
                <w:snapToGrid w:val="0"/>
                <w:color w:val="FF0000"/>
                <w:kern w:val="21"/>
                <w:szCs w:val="21"/>
                <w:highlight w:val="none"/>
                <w:lang w:val="en-US" w:eastAsia="zh-CN"/>
              </w:rPr>
              <w:t>14.16</w:t>
            </w:r>
          </w:p>
        </w:tc>
        <w:tc>
          <w:tcPr>
            <w:tcW w:w="1614" w:type="dxa"/>
            <w:vAlign w:val="center"/>
          </w:tcPr>
          <w:p w14:paraId="1F0D9081">
            <w:pPr>
              <w:pStyle w:val="54"/>
              <w:spacing w:beforeLines="0" w:afterLines="0" w:line="240" w:lineRule="auto"/>
              <w:ind w:firstLine="0"/>
              <w:rPr>
                <w:rFonts w:hint="default" w:ascii="Times New Roman" w:eastAsia="宋体"/>
                <w:snapToGrid w:val="0"/>
                <w:color w:val="FF0000"/>
                <w:kern w:val="21"/>
                <w:szCs w:val="21"/>
                <w:highlight w:val="none"/>
                <w:lang w:val="en-US" w:eastAsia="zh-CN"/>
              </w:rPr>
            </w:pPr>
            <w:r>
              <w:rPr>
                <w:rFonts w:hint="eastAsia" w:ascii="Times New Roman"/>
                <w:snapToGrid w:val="0"/>
                <w:color w:val="FF0000"/>
                <w:kern w:val="21"/>
                <w:szCs w:val="21"/>
                <w:highlight w:val="none"/>
                <w:lang w:val="en-US" w:eastAsia="zh-CN"/>
              </w:rPr>
              <w:t>39</w:t>
            </w:r>
          </w:p>
        </w:tc>
        <w:tc>
          <w:tcPr>
            <w:tcW w:w="1593" w:type="dxa"/>
            <w:vAlign w:val="center"/>
          </w:tcPr>
          <w:p w14:paraId="3C35D4F6">
            <w:pPr>
              <w:pStyle w:val="54"/>
              <w:spacing w:beforeLines="0" w:afterLines="0" w:line="240" w:lineRule="auto"/>
              <w:ind w:firstLine="0"/>
              <w:rPr>
                <w:rFonts w:hint="default" w:ascii="Times New Roman"/>
                <w:snapToGrid w:val="0"/>
                <w:color w:val="FF0000"/>
                <w:kern w:val="21"/>
                <w:szCs w:val="21"/>
                <w:highlight w:val="none"/>
                <w:lang w:val="en-US"/>
              </w:rPr>
            </w:pPr>
            <w:r>
              <w:rPr>
                <w:rFonts w:hint="eastAsia" w:ascii="Times New Roman"/>
                <w:snapToGrid w:val="0"/>
                <w:color w:val="FF0000"/>
                <w:kern w:val="21"/>
                <w:szCs w:val="21"/>
                <w:highlight w:val="none"/>
                <w:lang w:val="en-US" w:eastAsia="zh-CN"/>
              </w:rPr>
              <w:t>14.16</w:t>
            </w:r>
          </w:p>
        </w:tc>
        <w:tc>
          <w:tcPr>
            <w:tcW w:w="1505" w:type="dxa"/>
            <w:vAlign w:val="center"/>
          </w:tcPr>
          <w:p w14:paraId="43588B98">
            <w:pPr>
              <w:pStyle w:val="54"/>
              <w:spacing w:beforeLines="0" w:afterLines="0" w:line="240" w:lineRule="auto"/>
              <w:ind w:firstLine="0"/>
              <w:rPr>
                <w:rFonts w:hint="default" w:ascii="Times New Roman" w:eastAsia="宋体"/>
                <w:snapToGrid w:val="0"/>
                <w:color w:val="FF0000"/>
                <w:kern w:val="21"/>
                <w:szCs w:val="21"/>
                <w:highlight w:val="none"/>
                <w:lang w:val="en-US" w:eastAsia="zh-CN"/>
              </w:rPr>
            </w:pPr>
            <w:r>
              <w:rPr>
                <w:rFonts w:hint="eastAsia" w:ascii="Times New Roman"/>
                <w:snapToGrid w:val="0"/>
                <w:color w:val="FF0000"/>
                <w:kern w:val="21"/>
                <w:szCs w:val="21"/>
                <w:highlight w:val="none"/>
                <w:lang w:val="en-US" w:eastAsia="zh-CN"/>
              </w:rPr>
              <w:t>-24.84</w:t>
            </w:r>
          </w:p>
        </w:tc>
      </w:tr>
      <w:tr w14:paraId="6DB4D8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9" w:type="dxa"/>
            <w:vMerge w:val="continue"/>
            <w:vAlign w:val="center"/>
          </w:tcPr>
          <w:p w14:paraId="2C06E48A">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p>
        </w:tc>
        <w:tc>
          <w:tcPr>
            <w:tcW w:w="1885" w:type="dxa"/>
            <w:vAlign w:val="center"/>
          </w:tcPr>
          <w:p w14:paraId="7D24CC8C">
            <w:pPr>
              <w:spacing w:line="240" w:lineRule="atLeast"/>
              <w:ind w:left="-105" w:leftChars="-50" w:right="-105" w:rightChars="-50"/>
              <w:jc w:val="center"/>
              <w:rPr>
                <w:rFonts w:hint="eastAsia" w:eastAsia="宋体"/>
                <w:color w:val="FF0000"/>
                <w:szCs w:val="21"/>
                <w:highlight w:val="none"/>
                <w:lang w:val="en-US" w:eastAsia="zh-CN"/>
              </w:rPr>
            </w:pPr>
            <w:r>
              <w:rPr>
                <w:rFonts w:hint="eastAsia"/>
                <w:color w:val="FF0000"/>
                <w:szCs w:val="21"/>
                <w:highlight w:val="none"/>
                <w:lang w:val="en-US" w:eastAsia="zh-CN"/>
              </w:rPr>
              <w:t>非甲烷总烃</w:t>
            </w:r>
          </w:p>
        </w:tc>
        <w:tc>
          <w:tcPr>
            <w:tcW w:w="1648" w:type="dxa"/>
            <w:vAlign w:val="center"/>
          </w:tcPr>
          <w:p w14:paraId="2E37671B">
            <w:pPr>
              <w:pStyle w:val="54"/>
              <w:spacing w:beforeLines="0" w:afterLines="0" w:line="240" w:lineRule="auto"/>
              <w:ind w:firstLine="0" w:firstLineChars="0"/>
              <w:rPr>
                <w:rFonts w:hint="default" w:ascii="Times New Roman" w:eastAsia="宋体"/>
                <w:snapToGrid w:val="0"/>
                <w:color w:val="000000" w:themeColor="text1"/>
                <w:kern w:val="21"/>
                <w:szCs w:val="21"/>
                <w:highlight w:val="none"/>
                <w:lang w:val="en-US" w:eastAsia="zh-CN"/>
                <w14:textFill>
                  <w14:solidFill>
                    <w14:schemeClr w14:val="tx1"/>
                  </w14:solidFill>
                </w14:textFill>
              </w:rPr>
            </w:pPr>
            <w:r>
              <w:rPr>
                <w:rFonts w:hint="eastAsia" w:ascii="Times New Roman"/>
                <w:snapToGrid w:val="0"/>
                <w:color w:val="FF0000"/>
                <w:kern w:val="21"/>
                <w:szCs w:val="21"/>
                <w:highlight w:val="none"/>
                <w:lang w:val="en-US" w:eastAsia="zh-CN"/>
              </w:rPr>
              <w:t>0.169</w:t>
            </w:r>
          </w:p>
        </w:tc>
        <w:tc>
          <w:tcPr>
            <w:tcW w:w="1320" w:type="dxa"/>
            <w:vAlign w:val="center"/>
          </w:tcPr>
          <w:p w14:paraId="0EED7E80">
            <w:pPr>
              <w:pStyle w:val="54"/>
              <w:spacing w:beforeLines="0" w:afterLines="0" w:line="240" w:lineRule="auto"/>
              <w:ind w:firstLine="0" w:firstLineChars="0"/>
              <w:rPr>
                <w:rFonts w:hint="eastAsia"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FF0000"/>
                <w:kern w:val="21"/>
                <w:szCs w:val="21"/>
                <w:highlight w:val="none"/>
              </w:rPr>
              <w:t>/</w:t>
            </w:r>
          </w:p>
        </w:tc>
        <w:tc>
          <w:tcPr>
            <w:tcW w:w="1691" w:type="dxa"/>
            <w:vAlign w:val="center"/>
          </w:tcPr>
          <w:p w14:paraId="64780D42">
            <w:pPr>
              <w:pStyle w:val="54"/>
              <w:spacing w:beforeLines="0" w:afterLines="0" w:line="240" w:lineRule="auto"/>
              <w:ind w:firstLine="0" w:firstLineChars="0"/>
              <w:rPr>
                <w:rFonts w:hint="eastAsia"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FF0000"/>
                <w:kern w:val="21"/>
                <w:szCs w:val="21"/>
                <w:highlight w:val="none"/>
              </w:rPr>
              <w:t>/</w:t>
            </w:r>
          </w:p>
        </w:tc>
        <w:tc>
          <w:tcPr>
            <w:tcW w:w="1451" w:type="dxa"/>
            <w:vAlign w:val="center"/>
          </w:tcPr>
          <w:p w14:paraId="27D04FA4">
            <w:pPr>
              <w:pStyle w:val="54"/>
              <w:spacing w:beforeLines="0" w:afterLines="0" w:line="240" w:lineRule="auto"/>
              <w:ind w:firstLine="0"/>
              <w:rPr>
                <w:rFonts w:hint="default" w:ascii="Times New Roman"/>
                <w:snapToGrid w:val="0"/>
                <w:color w:val="FF0000"/>
                <w:kern w:val="21"/>
                <w:szCs w:val="21"/>
                <w:highlight w:val="none"/>
                <w:lang w:val="en-US" w:eastAsia="zh-CN"/>
              </w:rPr>
            </w:pPr>
            <w:r>
              <w:rPr>
                <w:rFonts w:hint="eastAsia" w:ascii="Times New Roman"/>
                <w:snapToGrid w:val="0"/>
                <w:color w:val="FF0000"/>
                <w:kern w:val="21"/>
                <w:szCs w:val="21"/>
                <w:highlight w:val="none"/>
                <w:lang w:val="en-US" w:eastAsia="zh-CN"/>
              </w:rPr>
              <w:t>/</w:t>
            </w:r>
          </w:p>
        </w:tc>
        <w:tc>
          <w:tcPr>
            <w:tcW w:w="1614" w:type="dxa"/>
            <w:vAlign w:val="center"/>
          </w:tcPr>
          <w:p w14:paraId="47C909F2">
            <w:pPr>
              <w:pStyle w:val="54"/>
              <w:spacing w:beforeLines="0" w:afterLines="0" w:line="240" w:lineRule="auto"/>
              <w:ind w:firstLine="0"/>
              <w:rPr>
                <w:rFonts w:hint="eastAsia" w:ascii="Times New Roman" w:eastAsia="宋体"/>
                <w:snapToGrid w:val="0"/>
                <w:color w:val="FF0000"/>
                <w:kern w:val="21"/>
                <w:szCs w:val="21"/>
                <w:highlight w:val="none"/>
                <w:lang w:val="en-US" w:eastAsia="zh-CN"/>
              </w:rPr>
            </w:pPr>
            <w:r>
              <w:rPr>
                <w:rFonts w:hint="eastAsia" w:ascii="Times New Roman"/>
                <w:snapToGrid w:val="0"/>
                <w:color w:val="FF0000"/>
                <w:kern w:val="21"/>
                <w:szCs w:val="21"/>
                <w:highlight w:val="none"/>
                <w:lang w:val="en-US" w:eastAsia="zh-CN"/>
              </w:rPr>
              <w:t>/</w:t>
            </w:r>
          </w:p>
        </w:tc>
        <w:tc>
          <w:tcPr>
            <w:tcW w:w="1593" w:type="dxa"/>
            <w:vAlign w:val="center"/>
          </w:tcPr>
          <w:p w14:paraId="6476F604">
            <w:pPr>
              <w:pStyle w:val="54"/>
              <w:spacing w:beforeLines="0" w:afterLines="0" w:line="240" w:lineRule="auto"/>
              <w:ind w:firstLine="0"/>
              <w:rPr>
                <w:rFonts w:hint="default" w:ascii="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snapToGrid w:val="0"/>
                <w:color w:val="FF0000"/>
                <w:kern w:val="21"/>
                <w:szCs w:val="21"/>
                <w:highlight w:val="none"/>
                <w:lang w:val="en-US" w:eastAsia="zh-CN"/>
              </w:rPr>
              <w:t>0.169</w:t>
            </w:r>
          </w:p>
        </w:tc>
        <w:tc>
          <w:tcPr>
            <w:tcW w:w="1505" w:type="dxa"/>
            <w:vAlign w:val="center"/>
          </w:tcPr>
          <w:p w14:paraId="2446ABF2">
            <w:pPr>
              <w:pStyle w:val="54"/>
              <w:spacing w:beforeLines="0" w:afterLines="0" w:line="240" w:lineRule="auto"/>
              <w:ind w:firstLine="0"/>
              <w:rPr>
                <w:rFonts w:hint="default" w:ascii="Times New Roman" w:eastAsia="宋体"/>
                <w:snapToGrid w:val="0"/>
                <w:color w:val="000000" w:themeColor="text1"/>
                <w:kern w:val="21"/>
                <w:szCs w:val="21"/>
                <w:highlight w:val="none"/>
                <w:lang w:val="en-US" w:eastAsia="zh-CN"/>
                <w14:textFill>
                  <w14:solidFill>
                    <w14:schemeClr w14:val="tx1"/>
                  </w14:solidFill>
                </w14:textFill>
              </w:rPr>
            </w:pPr>
            <w:r>
              <w:rPr>
                <w:rFonts w:hint="eastAsia" w:ascii="Times New Roman"/>
                <w:snapToGrid w:val="0"/>
                <w:color w:val="FF0000"/>
                <w:kern w:val="21"/>
                <w:szCs w:val="21"/>
                <w:highlight w:val="none"/>
                <w:lang w:val="en-US" w:eastAsia="zh-CN"/>
              </w:rPr>
              <w:t>/</w:t>
            </w:r>
          </w:p>
        </w:tc>
      </w:tr>
      <w:tr w14:paraId="688D58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9" w:type="dxa"/>
            <w:vMerge w:val="continue"/>
            <w:vAlign w:val="center"/>
          </w:tcPr>
          <w:p w14:paraId="03614F94">
            <w:pPr>
              <w:pStyle w:val="54"/>
              <w:spacing w:beforeLines="0" w:afterLines="0" w:line="240" w:lineRule="auto"/>
              <w:rPr>
                <w:rFonts w:ascii="Times New Roman"/>
                <w:snapToGrid w:val="0"/>
                <w:color w:val="000000" w:themeColor="text1"/>
                <w:kern w:val="21"/>
                <w:szCs w:val="21"/>
                <w:highlight w:val="yellow"/>
                <w14:textFill>
                  <w14:solidFill>
                    <w14:schemeClr w14:val="tx1"/>
                  </w14:solidFill>
                </w14:textFill>
              </w:rPr>
            </w:pPr>
          </w:p>
        </w:tc>
        <w:tc>
          <w:tcPr>
            <w:tcW w:w="1885" w:type="dxa"/>
            <w:vAlign w:val="center"/>
          </w:tcPr>
          <w:p w14:paraId="29815CFF">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食堂</w:t>
            </w:r>
            <w:r>
              <w:rPr>
                <w:rFonts w:hint="eastAsia"/>
                <w:color w:val="000000" w:themeColor="text1"/>
                <w:kern w:val="21"/>
                <w:szCs w:val="21"/>
                <w:highlight w:val="none"/>
                <w14:textFill>
                  <w14:solidFill>
                    <w14:schemeClr w14:val="tx1"/>
                  </w14:solidFill>
                </w14:textFill>
              </w:rPr>
              <w:t>油烟</w:t>
            </w:r>
          </w:p>
        </w:tc>
        <w:tc>
          <w:tcPr>
            <w:tcW w:w="1648" w:type="dxa"/>
            <w:vAlign w:val="center"/>
          </w:tcPr>
          <w:p w14:paraId="5FBC607B">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lang w:val="en-US" w:eastAsia="zh-CN"/>
                <w14:textFill>
                  <w14:solidFill>
                    <w14:schemeClr w14:val="tx1"/>
                  </w14:solidFill>
                </w14:textFill>
              </w:rPr>
              <w:t>8.98kg/a</w:t>
            </w:r>
          </w:p>
        </w:tc>
        <w:tc>
          <w:tcPr>
            <w:tcW w:w="1320" w:type="dxa"/>
            <w:vAlign w:val="center"/>
          </w:tcPr>
          <w:p w14:paraId="2BA00848">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691" w:type="dxa"/>
            <w:vAlign w:val="center"/>
          </w:tcPr>
          <w:p w14:paraId="03EE330C">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451" w:type="dxa"/>
            <w:vAlign w:val="center"/>
          </w:tcPr>
          <w:p w14:paraId="467309E7">
            <w:pPr>
              <w:pStyle w:val="54"/>
              <w:spacing w:beforeLines="0" w:afterLines="0" w:line="240" w:lineRule="auto"/>
              <w:ind w:firstLine="0"/>
              <w:rPr>
                <w:rFonts w:hint="eastAsia" w:ascii="Times New Roman" w:eastAsia="宋体"/>
                <w:snapToGrid w:val="0"/>
                <w:color w:val="000000" w:themeColor="text1"/>
                <w:kern w:val="21"/>
                <w:szCs w:val="21"/>
                <w:highlight w:val="none"/>
                <w:lang w:val="en-US" w:eastAsia="zh-CN"/>
                <w14:textFill>
                  <w14:solidFill>
                    <w14:schemeClr w14:val="tx1"/>
                  </w14:solidFill>
                </w14:textFill>
              </w:rPr>
            </w:pPr>
            <w:r>
              <w:rPr>
                <w:rFonts w:hint="eastAsia" w:ascii="Times New Roman"/>
                <w:snapToGrid w:val="0"/>
                <w:color w:val="000000" w:themeColor="text1"/>
                <w:kern w:val="21"/>
                <w:szCs w:val="21"/>
                <w:highlight w:val="none"/>
                <w:lang w:val="en-US" w:eastAsia="zh-CN"/>
                <w14:textFill>
                  <w14:solidFill>
                    <w14:schemeClr w14:val="tx1"/>
                  </w14:solidFill>
                </w14:textFill>
              </w:rPr>
              <w:t>/</w:t>
            </w:r>
          </w:p>
        </w:tc>
        <w:tc>
          <w:tcPr>
            <w:tcW w:w="1614" w:type="dxa"/>
            <w:vAlign w:val="center"/>
          </w:tcPr>
          <w:p w14:paraId="3ACDB0FC">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593" w:type="dxa"/>
            <w:vAlign w:val="center"/>
          </w:tcPr>
          <w:p w14:paraId="41EFE546">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lang w:val="en-US" w:eastAsia="zh-CN"/>
                <w14:textFill>
                  <w14:solidFill>
                    <w14:schemeClr w14:val="tx1"/>
                  </w14:solidFill>
                </w14:textFill>
              </w:rPr>
              <w:t>8.98kg/a</w:t>
            </w:r>
          </w:p>
        </w:tc>
        <w:tc>
          <w:tcPr>
            <w:tcW w:w="1505" w:type="dxa"/>
            <w:vAlign w:val="center"/>
          </w:tcPr>
          <w:p w14:paraId="008D0CA3">
            <w:pPr>
              <w:pStyle w:val="54"/>
              <w:spacing w:beforeLines="0" w:afterLines="0" w:line="240" w:lineRule="auto"/>
              <w:ind w:firstLine="0"/>
              <w:rPr>
                <w:rFonts w:hint="eastAsia" w:ascii="Times New Roman" w:eastAsia="宋体"/>
                <w:snapToGrid w:val="0"/>
                <w:color w:val="000000" w:themeColor="text1"/>
                <w:kern w:val="21"/>
                <w:szCs w:val="21"/>
                <w:highlight w:val="yellow"/>
                <w:lang w:eastAsia="zh-CN"/>
                <w14:textFill>
                  <w14:solidFill>
                    <w14:schemeClr w14:val="tx1"/>
                  </w14:solidFill>
                </w14:textFill>
              </w:rPr>
            </w:pPr>
            <w:r>
              <w:rPr>
                <w:rFonts w:hint="eastAsia" w:ascii="Times New Roman"/>
                <w:color w:val="000000" w:themeColor="text1"/>
                <w:szCs w:val="21"/>
                <w:highlight w:val="none"/>
                <w:lang w:val="en-US" w:eastAsia="zh-CN"/>
                <w14:textFill>
                  <w14:solidFill>
                    <w14:schemeClr w14:val="tx1"/>
                  </w14:solidFill>
                </w14:textFill>
              </w:rPr>
              <w:t>/</w:t>
            </w:r>
          </w:p>
        </w:tc>
      </w:tr>
      <w:tr w14:paraId="630774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9" w:type="dxa"/>
            <w:vMerge w:val="restart"/>
            <w:vAlign w:val="center"/>
          </w:tcPr>
          <w:p w14:paraId="4FDE3728">
            <w:pPr>
              <w:pStyle w:val="54"/>
              <w:spacing w:beforeLines="0" w:afterLines="0" w:line="240" w:lineRule="auto"/>
              <w:ind w:firstLine="0"/>
              <w:rPr>
                <w:rFonts w:ascii="Times New Roman" w:hAnsi="Times New Roman" w:eastAsia="宋体" w:cs="Times New Roman"/>
                <w:snapToGrid w:val="0"/>
                <w:color w:val="000000" w:themeColor="text1"/>
                <w:kern w:val="21"/>
                <w:szCs w:val="21"/>
                <w:highlight w:val="none"/>
                <w14:textFill>
                  <w14:solidFill>
                    <w14:schemeClr w14:val="tx1"/>
                  </w14:solidFill>
                </w14:textFill>
              </w:rPr>
            </w:pPr>
            <w:r>
              <w:rPr>
                <w:rFonts w:ascii="Times New Roman" w:hAnsi="Times New Roman" w:eastAsia="宋体" w:cs="Times New Roman"/>
                <w:snapToGrid w:val="0"/>
                <w:color w:val="000000" w:themeColor="text1"/>
                <w:kern w:val="21"/>
                <w:szCs w:val="21"/>
                <w:highlight w:val="none"/>
                <w14:textFill>
                  <w14:solidFill>
                    <w14:schemeClr w14:val="tx1"/>
                  </w14:solidFill>
                </w14:textFill>
              </w:rPr>
              <w:t>废水</w:t>
            </w:r>
          </w:p>
        </w:tc>
        <w:tc>
          <w:tcPr>
            <w:tcW w:w="1885" w:type="dxa"/>
            <w:vAlign w:val="center"/>
          </w:tcPr>
          <w:p w14:paraId="29C980E0">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COD</w:t>
            </w:r>
          </w:p>
        </w:tc>
        <w:tc>
          <w:tcPr>
            <w:tcW w:w="1648" w:type="dxa"/>
            <w:vAlign w:val="center"/>
          </w:tcPr>
          <w:p w14:paraId="0F05693D">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320" w:type="dxa"/>
            <w:vAlign w:val="center"/>
          </w:tcPr>
          <w:p w14:paraId="336234AF">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691" w:type="dxa"/>
            <w:vAlign w:val="center"/>
          </w:tcPr>
          <w:p w14:paraId="56C8EC75">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451" w:type="dxa"/>
            <w:vAlign w:val="center"/>
          </w:tcPr>
          <w:p w14:paraId="332D99FF">
            <w:pPr>
              <w:pStyle w:val="54"/>
              <w:spacing w:beforeLines="0" w:afterLines="0" w:line="240" w:lineRule="auto"/>
              <w:ind w:firstLine="0" w:firstLineChars="0"/>
              <w:rPr>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614" w:type="dxa"/>
            <w:vAlign w:val="center"/>
          </w:tcPr>
          <w:p w14:paraId="33B5356A">
            <w:pPr>
              <w:pStyle w:val="54"/>
              <w:spacing w:beforeLines="0" w:afterLines="0" w:line="240" w:lineRule="auto"/>
              <w:ind w:firstLine="0" w:firstLineChars="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593" w:type="dxa"/>
            <w:vAlign w:val="center"/>
          </w:tcPr>
          <w:p w14:paraId="213500E0">
            <w:pPr>
              <w:pStyle w:val="54"/>
              <w:spacing w:beforeLines="0" w:afterLines="0" w:line="240" w:lineRule="auto"/>
              <w:ind w:firstLine="0" w:firstLineChars="0"/>
              <w:rPr>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505" w:type="dxa"/>
            <w:vAlign w:val="center"/>
          </w:tcPr>
          <w:p w14:paraId="006F9497">
            <w:pPr>
              <w:pStyle w:val="54"/>
              <w:spacing w:beforeLines="0" w:afterLines="0" w:line="240" w:lineRule="auto"/>
              <w:ind w:firstLine="0" w:firstLineChars="0"/>
              <w:rPr>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r>
      <w:tr w14:paraId="6E57D5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9" w:type="dxa"/>
            <w:vMerge w:val="continue"/>
            <w:vAlign w:val="center"/>
          </w:tcPr>
          <w:p w14:paraId="77983759">
            <w:pPr>
              <w:pStyle w:val="54"/>
              <w:spacing w:beforeLines="0" w:afterLines="0" w:line="240" w:lineRule="auto"/>
              <w:ind w:firstLine="0"/>
              <w:rPr>
                <w:rFonts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885" w:type="dxa"/>
            <w:vAlign w:val="center"/>
          </w:tcPr>
          <w:p w14:paraId="3A70B224">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BOD</w:t>
            </w:r>
            <w:r>
              <w:rPr>
                <w:rFonts w:hint="eastAsia" w:ascii="Times New Roman"/>
                <w:snapToGrid w:val="0"/>
                <w:color w:val="000000" w:themeColor="text1"/>
                <w:kern w:val="21"/>
                <w:szCs w:val="21"/>
                <w:highlight w:val="none"/>
                <w:vertAlign w:val="subscript"/>
                <w14:textFill>
                  <w14:solidFill>
                    <w14:schemeClr w14:val="tx1"/>
                  </w14:solidFill>
                </w14:textFill>
              </w:rPr>
              <w:t>5</w:t>
            </w:r>
          </w:p>
        </w:tc>
        <w:tc>
          <w:tcPr>
            <w:tcW w:w="1648" w:type="dxa"/>
            <w:vAlign w:val="center"/>
          </w:tcPr>
          <w:p w14:paraId="0F6FDE5A">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320" w:type="dxa"/>
            <w:vAlign w:val="center"/>
          </w:tcPr>
          <w:p w14:paraId="5F0A59D8">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691" w:type="dxa"/>
            <w:vAlign w:val="center"/>
          </w:tcPr>
          <w:p w14:paraId="68875491">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451" w:type="dxa"/>
            <w:vAlign w:val="center"/>
          </w:tcPr>
          <w:p w14:paraId="3D5CF7C3">
            <w:pPr>
              <w:pStyle w:val="54"/>
              <w:spacing w:beforeLines="0" w:afterLines="0" w:line="240" w:lineRule="auto"/>
              <w:ind w:firstLine="0" w:firstLineChars="0"/>
              <w:rPr>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614" w:type="dxa"/>
            <w:vAlign w:val="center"/>
          </w:tcPr>
          <w:p w14:paraId="384684CD">
            <w:pPr>
              <w:pStyle w:val="54"/>
              <w:spacing w:beforeLines="0" w:afterLines="0" w:line="240" w:lineRule="auto"/>
              <w:ind w:firstLine="0" w:firstLineChars="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593" w:type="dxa"/>
            <w:vAlign w:val="center"/>
          </w:tcPr>
          <w:p w14:paraId="693F30C6">
            <w:pPr>
              <w:pStyle w:val="54"/>
              <w:spacing w:beforeLines="0" w:afterLines="0" w:line="240" w:lineRule="auto"/>
              <w:ind w:firstLine="0" w:firstLineChars="0"/>
              <w:rPr>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505" w:type="dxa"/>
            <w:vAlign w:val="center"/>
          </w:tcPr>
          <w:p w14:paraId="3B823A50">
            <w:pPr>
              <w:pStyle w:val="54"/>
              <w:spacing w:beforeLines="0" w:afterLines="0" w:line="240" w:lineRule="auto"/>
              <w:ind w:firstLine="0" w:firstLineChars="0"/>
              <w:rPr>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r>
      <w:tr w14:paraId="4718DD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9" w:type="dxa"/>
            <w:vMerge w:val="continue"/>
            <w:vAlign w:val="center"/>
          </w:tcPr>
          <w:p w14:paraId="25AAC54D">
            <w:pPr>
              <w:pStyle w:val="54"/>
              <w:spacing w:beforeLines="0" w:afterLines="0" w:line="240" w:lineRule="auto"/>
              <w:ind w:firstLine="0"/>
              <w:rPr>
                <w:rFonts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885" w:type="dxa"/>
            <w:vAlign w:val="center"/>
          </w:tcPr>
          <w:p w14:paraId="385A4857">
            <w:pPr>
              <w:pStyle w:val="54"/>
              <w:spacing w:beforeLines="0" w:afterLines="0" w:line="240" w:lineRule="auto"/>
              <w:ind w:firstLine="0"/>
              <w:rPr>
                <w:rFonts w:ascii="Times New Roman"/>
                <w:snapToGrid w:val="0"/>
                <w:color w:val="000000" w:themeColor="text1"/>
                <w:kern w:val="21"/>
                <w:szCs w:val="21"/>
                <w:highlight w:val="yellow"/>
                <w14:textFill>
                  <w14:solidFill>
                    <w14:schemeClr w14:val="tx1"/>
                  </w14:solidFill>
                </w14:textFill>
              </w:rPr>
            </w:pPr>
          </w:p>
        </w:tc>
        <w:tc>
          <w:tcPr>
            <w:tcW w:w="1648" w:type="dxa"/>
            <w:vAlign w:val="center"/>
          </w:tcPr>
          <w:p w14:paraId="3C71628A">
            <w:pPr>
              <w:pStyle w:val="54"/>
              <w:spacing w:beforeLines="0" w:afterLines="0" w:line="240" w:lineRule="auto"/>
              <w:ind w:firstLine="0"/>
              <w:rPr>
                <w:rFonts w:ascii="Times New Roman"/>
                <w:snapToGrid w:val="0"/>
                <w:color w:val="000000" w:themeColor="text1"/>
                <w:kern w:val="21"/>
                <w:szCs w:val="21"/>
                <w:highlight w:val="yellow"/>
                <w14:textFill>
                  <w14:solidFill>
                    <w14:schemeClr w14:val="tx1"/>
                  </w14:solidFill>
                </w14:textFill>
              </w:rPr>
            </w:pPr>
          </w:p>
        </w:tc>
        <w:tc>
          <w:tcPr>
            <w:tcW w:w="1320" w:type="dxa"/>
            <w:vAlign w:val="center"/>
          </w:tcPr>
          <w:p w14:paraId="7BBFF72A">
            <w:pPr>
              <w:pStyle w:val="54"/>
              <w:spacing w:beforeLines="0" w:afterLines="0" w:line="240" w:lineRule="auto"/>
              <w:ind w:firstLine="0"/>
              <w:rPr>
                <w:rFonts w:ascii="Times New Roman"/>
                <w:snapToGrid w:val="0"/>
                <w:color w:val="000000" w:themeColor="text1"/>
                <w:kern w:val="21"/>
                <w:szCs w:val="21"/>
                <w:highlight w:val="yellow"/>
                <w14:textFill>
                  <w14:solidFill>
                    <w14:schemeClr w14:val="tx1"/>
                  </w14:solidFill>
                </w14:textFill>
              </w:rPr>
            </w:pPr>
          </w:p>
        </w:tc>
        <w:tc>
          <w:tcPr>
            <w:tcW w:w="1691" w:type="dxa"/>
            <w:vAlign w:val="center"/>
          </w:tcPr>
          <w:p w14:paraId="167AC5B6">
            <w:pPr>
              <w:pStyle w:val="54"/>
              <w:spacing w:beforeLines="0" w:afterLines="0" w:line="240" w:lineRule="auto"/>
              <w:ind w:firstLine="0"/>
              <w:rPr>
                <w:rFonts w:ascii="Times New Roman"/>
                <w:snapToGrid w:val="0"/>
                <w:color w:val="000000" w:themeColor="text1"/>
                <w:kern w:val="21"/>
                <w:szCs w:val="21"/>
                <w:highlight w:val="yellow"/>
                <w14:textFill>
                  <w14:solidFill>
                    <w14:schemeClr w14:val="tx1"/>
                  </w14:solidFill>
                </w14:textFill>
              </w:rPr>
            </w:pPr>
          </w:p>
        </w:tc>
        <w:tc>
          <w:tcPr>
            <w:tcW w:w="1451" w:type="dxa"/>
            <w:vAlign w:val="center"/>
          </w:tcPr>
          <w:p w14:paraId="0B94DCF9">
            <w:pPr>
              <w:pStyle w:val="54"/>
              <w:spacing w:beforeLines="0" w:afterLines="0" w:line="240" w:lineRule="auto"/>
              <w:ind w:firstLine="0" w:firstLineChars="0"/>
              <w:rPr>
                <w:snapToGrid w:val="0"/>
                <w:color w:val="000000" w:themeColor="text1"/>
                <w:kern w:val="21"/>
                <w:szCs w:val="21"/>
                <w:highlight w:val="yellow"/>
                <w14:textFill>
                  <w14:solidFill>
                    <w14:schemeClr w14:val="tx1"/>
                  </w14:solidFill>
                </w14:textFill>
              </w:rPr>
            </w:pPr>
          </w:p>
        </w:tc>
        <w:tc>
          <w:tcPr>
            <w:tcW w:w="1614" w:type="dxa"/>
            <w:vAlign w:val="center"/>
          </w:tcPr>
          <w:p w14:paraId="202774C2">
            <w:pPr>
              <w:pStyle w:val="54"/>
              <w:spacing w:beforeLines="0" w:afterLines="0" w:line="240" w:lineRule="auto"/>
              <w:ind w:firstLine="0" w:firstLineChars="0"/>
              <w:rPr>
                <w:rFonts w:ascii="Times New Roman"/>
                <w:snapToGrid w:val="0"/>
                <w:color w:val="000000" w:themeColor="text1"/>
                <w:kern w:val="21"/>
                <w:szCs w:val="21"/>
                <w:highlight w:val="yellow"/>
                <w14:textFill>
                  <w14:solidFill>
                    <w14:schemeClr w14:val="tx1"/>
                  </w14:solidFill>
                </w14:textFill>
              </w:rPr>
            </w:pPr>
          </w:p>
        </w:tc>
        <w:tc>
          <w:tcPr>
            <w:tcW w:w="1593" w:type="dxa"/>
            <w:vAlign w:val="center"/>
          </w:tcPr>
          <w:p w14:paraId="5D3E0668">
            <w:pPr>
              <w:pStyle w:val="54"/>
              <w:spacing w:beforeLines="0" w:afterLines="0" w:line="240" w:lineRule="auto"/>
              <w:ind w:firstLine="0" w:firstLineChars="0"/>
              <w:rPr>
                <w:snapToGrid w:val="0"/>
                <w:color w:val="000000" w:themeColor="text1"/>
                <w:kern w:val="21"/>
                <w:szCs w:val="21"/>
                <w:highlight w:val="yellow"/>
                <w14:textFill>
                  <w14:solidFill>
                    <w14:schemeClr w14:val="tx1"/>
                  </w14:solidFill>
                </w14:textFill>
              </w:rPr>
            </w:pPr>
          </w:p>
        </w:tc>
        <w:tc>
          <w:tcPr>
            <w:tcW w:w="1505" w:type="dxa"/>
            <w:vAlign w:val="center"/>
          </w:tcPr>
          <w:p w14:paraId="6366B61E">
            <w:pPr>
              <w:pStyle w:val="54"/>
              <w:spacing w:beforeLines="0" w:afterLines="0" w:line="240" w:lineRule="auto"/>
              <w:ind w:firstLine="0" w:firstLineChars="0"/>
              <w:rPr>
                <w:snapToGrid w:val="0"/>
                <w:color w:val="000000" w:themeColor="text1"/>
                <w:kern w:val="21"/>
                <w:szCs w:val="21"/>
                <w:highlight w:val="yellow"/>
                <w14:textFill>
                  <w14:solidFill>
                    <w14:schemeClr w14:val="tx1"/>
                  </w14:solidFill>
                </w14:textFill>
              </w:rPr>
            </w:pPr>
          </w:p>
        </w:tc>
      </w:tr>
      <w:tr w14:paraId="651CD2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9" w:type="dxa"/>
            <w:vMerge w:val="continue"/>
            <w:vAlign w:val="center"/>
          </w:tcPr>
          <w:p w14:paraId="538A62C3">
            <w:pPr>
              <w:pStyle w:val="54"/>
              <w:spacing w:beforeLines="0" w:afterLines="0" w:line="240" w:lineRule="auto"/>
              <w:ind w:firstLine="0"/>
              <w:rPr>
                <w:rFonts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885" w:type="dxa"/>
            <w:vAlign w:val="center"/>
          </w:tcPr>
          <w:p w14:paraId="5566FF1F">
            <w:pPr>
              <w:pStyle w:val="54"/>
              <w:spacing w:beforeLines="0" w:afterLines="0" w:line="240" w:lineRule="auto"/>
              <w:ind w:firstLine="0"/>
              <w:rPr>
                <w:rFonts w:ascii="Times New Roman"/>
                <w:snapToGrid w:val="0"/>
                <w:color w:val="000000" w:themeColor="text1"/>
                <w:kern w:val="21"/>
                <w:szCs w:val="21"/>
                <w:highlight w:val="yellow"/>
                <w14:textFill>
                  <w14:solidFill>
                    <w14:schemeClr w14:val="tx1"/>
                  </w14:solidFill>
                </w14:textFill>
              </w:rPr>
            </w:pPr>
          </w:p>
        </w:tc>
        <w:tc>
          <w:tcPr>
            <w:tcW w:w="1648" w:type="dxa"/>
            <w:vAlign w:val="center"/>
          </w:tcPr>
          <w:p w14:paraId="4FBD8133">
            <w:pPr>
              <w:pStyle w:val="54"/>
              <w:spacing w:beforeLines="0" w:afterLines="0" w:line="240" w:lineRule="auto"/>
              <w:ind w:firstLine="0"/>
              <w:rPr>
                <w:rFonts w:ascii="Times New Roman"/>
                <w:snapToGrid w:val="0"/>
                <w:color w:val="000000" w:themeColor="text1"/>
                <w:kern w:val="21"/>
                <w:szCs w:val="21"/>
                <w:highlight w:val="yellow"/>
                <w14:textFill>
                  <w14:solidFill>
                    <w14:schemeClr w14:val="tx1"/>
                  </w14:solidFill>
                </w14:textFill>
              </w:rPr>
            </w:pPr>
          </w:p>
        </w:tc>
        <w:tc>
          <w:tcPr>
            <w:tcW w:w="1320" w:type="dxa"/>
            <w:vAlign w:val="center"/>
          </w:tcPr>
          <w:p w14:paraId="0C569135">
            <w:pPr>
              <w:pStyle w:val="54"/>
              <w:spacing w:beforeLines="0" w:afterLines="0" w:line="240" w:lineRule="auto"/>
              <w:ind w:firstLine="0"/>
              <w:rPr>
                <w:rFonts w:ascii="Times New Roman"/>
                <w:snapToGrid w:val="0"/>
                <w:color w:val="000000" w:themeColor="text1"/>
                <w:kern w:val="21"/>
                <w:szCs w:val="21"/>
                <w:highlight w:val="yellow"/>
                <w14:textFill>
                  <w14:solidFill>
                    <w14:schemeClr w14:val="tx1"/>
                  </w14:solidFill>
                </w14:textFill>
              </w:rPr>
            </w:pPr>
          </w:p>
        </w:tc>
        <w:tc>
          <w:tcPr>
            <w:tcW w:w="1691" w:type="dxa"/>
            <w:vAlign w:val="center"/>
          </w:tcPr>
          <w:p w14:paraId="02B109BA">
            <w:pPr>
              <w:pStyle w:val="54"/>
              <w:spacing w:beforeLines="0" w:afterLines="0" w:line="240" w:lineRule="auto"/>
              <w:ind w:firstLine="0"/>
              <w:rPr>
                <w:rFonts w:ascii="Times New Roman"/>
                <w:snapToGrid w:val="0"/>
                <w:color w:val="000000" w:themeColor="text1"/>
                <w:kern w:val="21"/>
                <w:szCs w:val="21"/>
                <w:highlight w:val="yellow"/>
                <w14:textFill>
                  <w14:solidFill>
                    <w14:schemeClr w14:val="tx1"/>
                  </w14:solidFill>
                </w14:textFill>
              </w:rPr>
            </w:pPr>
          </w:p>
        </w:tc>
        <w:tc>
          <w:tcPr>
            <w:tcW w:w="1451" w:type="dxa"/>
            <w:vAlign w:val="center"/>
          </w:tcPr>
          <w:p w14:paraId="72E50F80">
            <w:pPr>
              <w:pStyle w:val="54"/>
              <w:spacing w:beforeLines="0" w:afterLines="0" w:line="240" w:lineRule="auto"/>
              <w:ind w:firstLine="0" w:firstLineChars="0"/>
              <w:rPr>
                <w:snapToGrid w:val="0"/>
                <w:color w:val="000000" w:themeColor="text1"/>
                <w:kern w:val="21"/>
                <w:szCs w:val="21"/>
                <w:highlight w:val="yellow"/>
                <w14:textFill>
                  <w14:solidFill>
                    <w14:schemeClr w14:val="tx1"/>
                  </w14:solidFill>
                </w14:textFill>
              </w:rPr>
            </w:pPr>
          </w:p>
        </w:tc>
        <w:tc>
          <w:tcPr>
            <w:tcW w:w="1614" w:type="dxa"/>
            <w:vAlign w:val="center"/>
          </w:tcPr>
          <w:p w14:paraId="1D5EB7C5">
            <w:pPr>
              <w:pStyle w:val="54"/>
              <w:spacing w:beforeLines="0" w:afterLines="0" w:line="240" w:lineRule="auto"/>
              <w:ind w:firstLine="0" w:firstLineChars="0"/>
              <w:rPr>
                <w:rFonts w:ascii="Times New Roman"/>
                <w:snapToGrid w:val="0"/>
                <w:color w:val="000000" w:themeColor="text1"/>
                <w:kern w:val="21"/>
                <w:szCs w:val="21"/>
                <w:highlight w:val="yellow"/>
                <w14:textFill>
                  <w14:solidFill>
                    <w14:schemeClr w14:val="tx1"/>
                  </w14:solidFill>
                </w14:textFill>
              </w:rPr>
            </w:pPr>
          </w:p>
        </w:tc>
        <w:tc>
          <w:tcPr>
            <w:tcW w:w="1593" w:type="dxa"/>
            <w:vAlign w:val="center"/>
          </w:tcPr>
          <w:p w14:paraId="6A8051EB">
            <w:pPr>
              <w:pStyle w:val="54"/>
              <w:spacing w:beforeLines="0" w:afterLines="0" w:line="240" w:lineRule="auto"/>
              <w:ind w:firstLine="0" w:firstLineChars="0"/>
              <w:rPr>
                <w:snapToGrid w:val="0"/>
                <w:color w:val="000000" w:themeColor="text1"/>
                <w:kern w:val="21"/>
                <w:szCs w:val="21"/>
                <w:highlight w:val="yellow"/>
                <w14:textFill>
                  <w14:solidFill>
                    <w14:schemeClr w14:val="tx1"/>
                  </w14:solidFill>
                </w14:textFill>
              </w:rPr>
            </w:pPr>
          </w:p>
        </w:tc>
        <w:tc>
          <w:tcPr>
            <w:tcW w:w="1505" w:type="dxa"/>
            <w:vAlign w:val="center"/>
          </w:tcPr>
          <w:p w14:paraId="688E401B">
            <w:pPr>
              <w:pStyle w:val="54"/>
              <w:spacing w:beforeLines="0" w:afterLines="0" w:line="240" w:lineRule="auto"/>
              <w:ind w:firstLine="0" w:firstLineChars="0"/>
              <w:rPr>
                <w:snapToGrid w:val="0"/>
                <w:color w:val="000000" w:themeColor="text1"/>
                <w:kern w:val="21"/>
                <w:szCs w:val="21"/>
                <w:highlight w:val="yellow"/>
                <w14:textFill>
                  <w14:solidFill>
                    <w14:schemeClr w14:val="tx1"/>
                  </w14:solidFill>
                </w14:textFill>
              </w:rPr>
            </w:pPr>
          </w:p>
        </w:tc>
      </w:tr>
      <w:tr w14:paraId="6F62A0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9" w:type="dxa"/>
            <w:vMerge w:val="continue"/>
            <w:vAlign w:val="center"/>
          </w:tcPr>
          <w:p w14:paraId="3F158EC9">
            <w:pPr>
              <w:pStyle w:val="54"/>
              <w:spacing w:beforeLines="0" w:afterLines="0" w:line="240" w:lineRule="auto"/>
              <w:ind w:firstLine="0"/>
              <w:rPr>
                <w:rFonts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885" w:type="dxa"/>
            <w:vAlign w:val="center"/>
          </w:tcPr>
          <w:p w14:paraId="0516D3D4">
            <w:pPr>
              <w:pStyle w:val="54"/>
              <w:spacing w:beforeLines="0" w:afterLines="0" w:line="240" w:lineRule="auto"/>
              <w:ind w:firstLine="0"/>
              <w:rPr>
                <w:rFonts w:ascii="Times New Roman"/>
                <w:snapToGrid w:val="0"/>
                <w:color w:val="000000" w:themeColor="text1"/>
                <w:kern w:val="21"/>
                <w:szCs w:val="21"/>
                <w:highlight w:val="yellow"/>
                <w14:textFill>
                  <w14:solidFill>
                    <w14:schemeClr w14:val="tx1"/>
                  </w14:solidFill>
                </w14:textFill>
              </w:rPr>
            </w:pPr>
          </w:p>
        </w:tc>
        <w:tc>
          <w:tcPr>
            <w:tcW w:w="1648" w:type="dxa"/>
            <w:vAlign w:val="center"/>
          </w:tcPr>
          <w:p w14:paraId="5C352020">
            <w:pPr>
              <w:pStyle w:val="54"/>
              <w:spacing w:beforeLines="0" w:afterLines="0" w:line="240" w:lineRule="auto"/>
              <w:ind w:firstLine="0"/>
              <w:rPr>
                <w:rFonts w:ascii="Times New Roman"/>
                <w:snapToGrid w:val="0"/>
                <w:color w:val="000000" w:themeColor="text1"/>
                <w:kern w:val="21"/>
                <w:szCs w:val="21"/>
                <w:highlight w:val="yellow"/>
                <w14:textFill>
                  <w14:solidFill>
                    <w14:schemeClr w14:val="tx1"/>
                  </w14:solidFill>
                </w14:textFill>
              </w:rPr>
            </w:pPr>
          </w:p>
        </w:tc>
        <w:tc>
          <w:tcPr>
            <w:tcW w:w="1320" w:type="dxa"/>
            <w:vAlign w:val="center"/>
          </w:tcPr>
          <w:p w14:paraId="7E6D894B">
            <w:pPr>
              <w:pStyle w:val="54"/>
              <w:spacing w:beforeLines="0" w:afterLines="0" w:line="240" w:lineRule="auto"/>
              <w:ind w:firstLine="0"/>
              <w:rPr>
                <w:rFonts w:ascii="Times New Roman"/>
                <w:snapToGrid w:val="0"/>
                <w:color w:val="000000" w:themeColor="text1"/>
                <w:kern w:val="21"/>
                <w:szCs w:val="21"/>
                <w:highlight w:val="yellow"/>
                <w14:textFill>
                  <w14:solidFill>
                    <w14:schemeClr w14:val="tx1"/>
                  </w14:solidFill>
                </w14:textFill>
              </w:rPr>
            </w:pPr>
          </w:p>
        </w:tc>
        <w:tc>
          <w:tcPr>
            <w:tcW w:w="1691" w:type="dxa"/>
            <w:vAlign w:val="center"/>
          </w:tcPr>
          <w:p w14:paraId="47083859">
            <w:pPr>
              <w:pStyle w:val="54"/>
              <w:spacing w:beforeLines="0" w:afterLines="0" w:line="240" w:lineRule="auto"/>
              <w:ind w:firstLine="0"/>
              <w:rPr>
                <w:rFonts w:ascii="Times New Roman"/>
                <w:snapToGrid w:val="0"/>
                <w:color w:val="000000" w:themeColor="text1"/>
                <w:kern w:val="21"/>
                <w:szCs w:val="21"/>
                <w:highlight w:val="yellow"/>
                <w14:textFill>
                  <w14:solidFill>
                    <w14:schemeClr w14:val="tx1"/>
                  </w14:solidFill>
                </w14:textFill>
              </w:rPr>
            </w:pPr>
          </w:p>
        </w:tc>
        <w:tc>
          <w:tcPr>
            <w:tcW w:w="1451" w:type="dxa"/>
            <w:vAlign w:val="center"/>
          </w:tcPr>
          <w:p w14:paraId="713BF502">
            <w:pPr>
              <w:pStyle w:val="54"/>
              <w:spacing w:beforeLines="0" w:afterLines="0" w:line="240" w:lineRule="auto"/>
              <w:ind w:firstLine="0" w:firstLineChars="0"/>
              <w:rPr>
                <w:snapToGrid w:val="0"/>
                <w:color w:val="000000" w:themeColor="text1"/>
                <w:kern w:val="21"/>
                <w:szCs w:val="21"/>
                <w:highlight w:val="yellow"/>
                <w14:textFill>
                  <w14:solidFill>
                    <w14:schemeClr w14:val="tx1"/>
                  </w14:solidFill>
                </w14:textFill>
              </w:rPr>
            </w:pPr>
          </w:p>
        </w:tc>
        <w:tc>
          <w:tcPr>
            <w:tcW w:w="1614" w:type="dxa"/>
            <w:vAlign w:val="center"/>
          </w:tcPr>
          <w:p w14:paraId="3F129864">
            <w:pPr>
              <w:pStyle w:val="54"/>
              <w:spacing w:beforeLines="0" w:afterLines="0" w:line="240" w:lineRule="auto"/>
              <w:ind w:firstLine="0" w:firstLineChars="0"/>
              <w:rPr>
                <w:rFonts w:ascii="Times New Roman"/>
                <w:snapToGrid w:val="0"/>
                <w:color w:val="000000" w:themeColor="text1"/>
                <w:kern w:val="21"/>
                <w:szCs w:val="21"/>
                <w:highlight w:val="yellow"/>
                <w14:textFill>
                  <w14:solidFill>
                    <w14:schemeClr w14:val="tx1"/>
                  </w14:solidFill>
                </w14:textFill>
              </w:rPr>
            </w:pPr>
          </w:p>
        </w:tc>
        <w:tc>
          <w:tcPr>
            <w:tcW w:w="1593" w:type="dxa"/>
            <w:vAlign w:val="center"/>
          </w:tcPr>
          <w:p w14:paraId="05934084">
            <w:pPr>
              <w:pStyle w:val="54"/>
              <w:spacing w:beforeLines="0" w:afterLines="0" w:line="240" w:lineRule="auto"/>
              <w:ind w:firstLine="0" w:firstLineChars="0"/>
              <w:rPr>
                <w:snapToGrid w:val="0"/>
                <w:color w:val="000000" w:themeColor="text1"/>
                <w:kern w:val="21"/>
                <w:szCs w:val="21"/>
                <w:highlight w:val="yellow"/>
                <w14:textFill>
                  <w14:solidFill>
                    <w14:schemeClr w14:val="tx1"/>
                  </w14:solidFill>
                </w14:textFill>
              </w:rPr>
            </w:pPr>
          </w:p>
        </w:tc>
        <w:tc>
          <w:tcPr>
            <w:tcW w:w="1505" w:type="dxa"/>
            <w:vAlign w:val="center"/>
          </w:tcPr>
          <w:p w14:paraId="51B3279B">
            <w:pPr>
              <w:pStyle w:val="54"/>
              <w:spacing w:beforeLines="0" w:afterLines="0" w:line="240" w:lineRule="auto"/>
              <w:ind w:firstLine="0" w:firstLineChars="0"/>
              <w:rPr>
                <w:snapToGrid w:val="0"/>
                <w:color w:val="000000" w:themeColor="text1"/>
                <w:kern w:val="21"/>
                <w:szCs w:val="21"/>
                <w:highlight w:val="yellow"/>
                <w14:textFill>
                  <w14:solidFill>
                    <w14:schemeClr w14:val="tx1"/>
                  </w14:solidFill>
                </w14:textFill>
              </w:rPr>
            </w:pPr>
          </w:p>
        </w:tc>
      </w:tr>
      <w:tr w14:paraId="44DE5A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9" w:type="dxa"/>
            <w:vMerge w:val="restart"/>
            <w:vAlign w:val="center"/>
          </w:tcPr>
          <w:p w14:paraId="1E5447ED">
            <w:pPr>
              <w:pStyle w:val="54"/>
              <w:spacing w:beforeLines="0" w:afterLines="0" w:line="240" w:lineRule="auto"/>
              <w:ind w:firstLine="0"/>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一般工业固体废物</w:t>
            </w:r>
          </w:p>
        </w:tc>
        <w:tc>
          <w:tcPr>
            <w:tcW w:w="1885" w:type="dxa"/>
            <w:vAlign w:val="center"/>
          </w:tcPr>
          <w:p w14:paraId="5AEA7121">
            <w:pPr>
              <w:pStyle w:val="54"/>
              <w:spacing w:beforeLines="0" w:afterLines="0" w:line="240" w:lineRule="auto"/>
              <w:ind w:firstLine="0"/>
              <w:rPr>
                <w:rFonts w:hint="eastAsia" w:ascii="Times New Roman" w:eastAsia="宋体"/>
                <w:snapToGrid w:val="0"/>
                <w:color w:val="000000" w:themeColor="text1"/>
                <w:kern w:val="21"/>
                <w:szCs w:val="21"/>
                <w:highlight w:val="none"/>
                <w:lang w:eastAsia="zh-CN"/>
                <w14:textFill>
                  <w14:solidFill>
                    <w14:schemeClr w14:val="tx1"/>
                  </w14:solidFill>
                </w14:textFill>
              </w:rPr>
            </w:pPr>
            <w:r>
              <w:rPr>
                <w:rFonts w:hint="eastAsia" w:ascii="Times New Roman"/>
                <w:snapToGrid w:val="0"/>
                <w:color w:val="000000" w:themeColor="text1"/>
                <w:kern w:val="21"/>
                <w:szCs w:val="21"/>
                <w:highlight w:val="none"/>
                <w:lang w:val="en-US" w:eastAsia="zh-CN"/>
                <w14:textFill>
                  <w14:solidFill>
                    <w14:schemeClr w14:val="tx1"/>
                  </w14:solidFill>
                </w14:textFill>
              </w:rPr>
              <w:t>矸石</w:t>
            </w:r>
          </w:p>
        </w:tc>
        <w:tc>
          <w:tcPr>
            <w:tcW w:w="1648" w:type="dxa"/>
            <w:vAlign w:val="center"/>
          </w:tcPr>
          <w:p w14:paraId="793D1D72">
            <w:pPr>
              <w:spacing w:line="0" w:lineRule="atLeast"/>
              <w:jc w:val="center"/>
              <w:rPr>
                <w:rFonts w:ascii="Times New Roman"/>
                <w:snapToGrid w:val="0"/>
                <w:color w:val="000000" w:themeColor="text1"/>
                <w:kern w:val="2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72万t/a</w:t>
            </w:r>
          </w:p>
        </w:tc>
        <w:tc>
          <w:tcPr>
            <w:tcW w:w="1320" w:type="dxa"/>
            <w:vAlign w:val="center"/>
          </w:tcPr>
          <w:p w14:paraId="12023C56">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691" w:type="dxa"/>
            <w:vAlign w:val="center"/>
          </w:tcPr>
          <w:p w14:paraId="568301D6">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451" w:type="dxa"/>
            <w:vAlign w:val="center"/>
          </w:tcPr>
          <w:p w14:paraId="1C122597">
            <w:pPr>
              <w:pStyle w:val="54"/>
              <w:spacing w:beforeLines="0" w:afterLines="0" w:line="240" w:lineRule="auto"/>
              <w:ind w:firstLine="0" w:firstLineChars="0"/>
              <w:rPr>
                <w:rFonts w:ascii="Times New Roman"/>
                <w:color w:val="000000" w:themeColor="text1"/>
                <w:kern w:val="2"/>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614" w:type="dxa"/>
            <w:vAlign w:val="center"/>
          </w:tcPr>
          <w:p w14:paraId="31DFC70E">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593" w:type="dxa"/>
            <w:vAlign w:val="center"/>
          </w:tcPr>
          <w:p w14:paraId="1501AF9F">
            <w:pPr>
              <w:spacing w:line="0" w:lineRule="atLeast"/>
              <w:jc w:val="center"/>
              <w:rPr>
                <w:rFonts w:ascii="Times New Roman"/>
                <w:color w:val="000000" w:themeColor="text1"/>
                <w:kern w:val="2"/>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72万t/a</w:t>
            </w:r>
          </w:p>
        </w:tc>
        <w:tc>
          <w:tcPr>
            <w:tcW w:w="1505" w:type="dxa"/>
            <w:vAlign w:val="center"/>
          </w:tcPr>
          <w:p w14:paraId="0E5EBDD5">
            <w:pPr>
              <w:pStyle w:val="54"/>
              <w:spacing w:beforeLines="0" w:afterLines="0" w:line="240" w:lineRule="auto"/>
              <w:ind w:firstLine="0" w:firstLineChars="0"/>
              <w:rPr>
                <w:rFonts w:ascii="Times New Roman"/>
                <w:color w:val="000000" w:themeColor="text1"/>
                <w:kern w:val="2"/>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r>
      <w:tr w14:paraId="172061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9" w:type="dxa"/>
            <w:vMerge w:val="continue"/>
            <w:vAlign w:val="center"/>
          </w:tcPr>
          <w:p w14:paraId="3D447DCE">
            <w:pPr>
              <w:pStyle w:val="54"/>
              <w:spacing w:beforeLines="0" w:afterLines="0" w:line="240" w:lineRule="auto"/>
              <w:rPr>
                <w:rFonts w:ascii="Times New Roman"/>
                <w:snapToGrid w:val="0"/>
                <w:color w:val="000000" w:themeColor="text1"/>
                <w:kern w:val="21"/>
                <w:szCs w:val="21"/>
                <w:highlight w:val="none"/>
                <w14:textFill>
                  <w14:solidFill>
                    <w14:schemeClr w14:val="tx1"/>
                  </w14:solidFill>
                </w14:textFill>
              </w:rPr>
            </w:pPr>
          </w:p>
        </w:tc>
        <w:tc>
          <w:tcPr>
            <w:tcW w:w="1885" w:type="dxa"/>
            <w:vAlign w:val="center"/>
          </w:tcPr>
          <w:p w14:paraId="230DE80D">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煤泥</w:t>
            </w:r>
          </w:p>
        </w:tc>
        <w:tc>
          <w:tcPr>
            <w:tcW w:w="1648" w:type="dxa"/>
            <w:vAlign w:val="center"/>
          </w:tcPr>
          <w:p w14:paraId="01D43AAB">
            <w:pPr>
              <w:spacing w:line="0" w:lineRule="atLeast"/>
              <w:jc w:val="center"/>
              <w:rPr>
                <w:rFonts w:ascii="Times New Roman"/>
                <w:snapToGrid w:val="0"/>
                <w:color w:val="000000" w:themeColor="text1"/>
                <w:kern w:val="2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18万t/a</w:t>
            </w:r>
          </w:p>
        </w:tc>
        <w:tc>
          <w:tcPr>
            <w:tcW w:w="1320" w:type="dxa"/>
            <w:vAlign w:val="center"/>
          </w:tcPr>
          <w:p w14:paraId="511B3439">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691" w:type="dxa"/>
            <w:vAlign w:val="center"/>
          </w:tcPr>
          <w:p w14:paraId="1FBF41C8">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451" w:type="dxa"/>
            <w:vAlign w:val="center"/>
          </w:tcPr>
          <w:p w14:paraId="364E0C8E">
            <w:pPr>
              <w:pStyle w:val="54"/>
              <w:spacing w:beforeLines="0" w:afterLines="0" w:line="240" w:lineRule="auto"/>
              <w:ind w:firstLine="0" w:firstLineChars="0"/>
              <w:rPr>
                <w:rFonts w:ascii="Times New Roman"/>
                <w:color w:val="000000" w:themeColor="text1"/>
                <w:kern w:val="2"/>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614" w:type="dxa"/>
            <w:vAlign w:val="center"/>
          </w:tcPr>
          <w:p w14:paraId="2874A19C">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593" w:type="dxa"/>
            <w:vAlign w:val="center"/>
          </w:tcPr>
          <w:p w14:paraId="140475ED">
            <w:pPr>
              <w:spacing w:line="0" w:lineRule="atLeast"/>
              <w:jc w:val="center"/>
              <w:rPr>
                <w:rFonts w:ascii="Times New Roman"/>
                <w:color w:val="000000" w:themeColor="text1"/>
                <w:kern w:val="2"/>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18万t/a</w:t>
            </w:r>
          </w:p>
        </w:tc>
        <w:tc>
          <w:tcPr>
            <w:tcW w:w="1505" w:type="dxa"/>
            <w:vAlign w:val="center"/>
          </w:tcPr>
          <w:p w14:paraId="728EF35A">
            <w:pPr>
              <w:pStyle w:val="54"/>
              <w:spacing w:beforeLines="0" w:afterLines="0" w:line="240" w:lineRule="auto"/>
              <w:ind w:firstLine="0" w:firstLineChars="0"/>
              <w:rPr>
                <w:rFonts w:ascii="Times New Roman"/>
                <w:color w:val="000000" w:themeColor="text1"/>
                <w:kern w:val="2"/>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r>
      <w:tr w14:paraId="5B7F01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9" w:type="dxa"/>
            <w:vMerge w:val="continue"/>
            <w:vAlign w:val="center"/>
          </w:tcPr>
          <w:p w14:paraId="020D2E6D">
            <w:pPr>
              <w:pStyle w:val="54"/>
              <w:spacing w:beforeLines="0" w:afterLines="0" w:line="240" w:lineRule="auto"/>
              <w:rPr>
                <w:rFonts w:ascii="Times New Roman"/>
                <w:snapToGrid w:val="0"/>
                <w:color w:val="000000" w:themeColor="text1"/>
                <w:kern w:val="21"/>
                <w:szCs w:val="21"/>
                <w:highlight w:val="none"/>
                <w14:textFill>
                  <w14:solidFill>
                    <w14:schemeClr w14:val="tx1"/>
                  </w14:solidFill>
                </w14:textFill>
              </w:rPr>
            </w:pPr>
          </w:p>
        </w:tc>
        <w:tc>
          <w:tcPr>
            <w:tcW w:w="1885" w:type="dxa"/>
            <w:vAlign w:val="center"/>
          </w:tcPr>
          <w:p w14:paraId="55AC9CD5">
            <w:pPr>
              <w:pStyle w:val="54"/>
              <w:spacing w:beforeLines="0" w:afterLines="0" w:line="240" w:lineRule="auto"/>
              <w:ind w:firstLine="0"/>
              <w:rPr>
                <w:rFonts w:hint="eastAsia" w:ascii="Times New Roman" w:eastAsia="宋体"/>
                <w:snapToGrid w:val="0"/>
                <w:color w:val="FF0000"/>
                <w:kern w:val="21"/>
                <w:szCs w:val="21"/>
                <w:highlight w:val="none"/>
                <w:lang w:val="en-US" w:eastAsia="zh-CN"/>
              </w:rPr>
            </w:pPr>
            <w:r>
              <w:rPr>
                <w:rFonts w:hint="eastAsia" w:ascii="Times New Roman"/>
                <w:snapToGrid w:val="0"/>
                <w:color w:val="FF0000"/>
                <w:kern w:val="21"/>
                <w:szCs w:val="21"/>
                <w:highlight w:val="none"/>
                <w:lang w:val="en-US" w:eastAsia="zh-CN"/>
              </w:rPr>
              <w:t>废油脂</w:t>
            </w:r>
          </w:p>
        </w:tc>
        <w:tc>
          <w:tcPr>
            <w:tcW w:w="1648" w:type="dxa"/>
            <w:vAlign w:val="center"/>
          </w:tcPr>
          <w:p w14:paraId="4CED101B">
            <w:pPr>
              <w:spacing w:line="0" w:lineRule="atLeast"/>
              <w:jc w:val="center"/>
              <w:rPr>
                <w:rFonts w:hint="default"/>
                <w:color w:val="FF0000"/>
                <w:szCs w:val="21"/>
                <w:highlight w:val="none"/>
                <w:lang w:val="en-US" w:eastAsia="zh-CN"/>
              </w:rPr>
            </w:pPr>
            <w:r>
              <w:rPr>
                <w:rFonts w:hint="eastAsia"/>
                <w:color w:val="FF0000"/>
                <w:szCs w:val="21"/>
                <w:highlight w:val="none"/>
                <w:lang w:val="en-US" w:eastAsia="zh-CN"/>
              </w:rPr>
              <w:t>0.1t/a</w:t>
            </w:r>
          </w:p>
        </w:tc>
        <w:tc>
          <w:tcPr>
            <w:tcW w:w="1320" w:type="dxa"/>
            <w:shd w:val="clear" w:color="auto" w:fill="auto"/>
            <w:vAlign w:val="center"/>
          </w:tcPr>
          <w:p w14:paraId="5F6D7249">
            <w:pPr>
              <w:pStyle w:val="54"/>
              <w:spacing w:beforeLines="0" w:afterLines="0" w:line="240" w:lineRule="auto"/>
              <w:ind w:firstLine="0" w:firstLineChars="0"/>
              <w:rPr>
                <w:rFonts w:hint="eastAsia" w:ascii="Times New Roman" w:hAnsi="Times New Roman" w:eastAsia="宋体" w:cs="Times New Roman"/>
                <w:snapToGrid w:val="0"/>
                <w:color w:val="FF0000"/>
                <w:kern w:val="21"/>
                <w:sz w:val="21"/>
                <w:szCs w:val="21"/>
                <w:highlight w:val="none"/>
                <w:lang w:val="en-US" w:eastAsia="zh-CN" w:bidi="ar-SA"/>
              </w:rPr>
            </w:pPr>
            <w:r>
              <w:rPr>
                <w:rFonts w:hint="eastAsia" w:ascii="Times New Roman"/>
                <w:snapToGrid w:val="0"/>
                <w:color w:val="FF0000"/>
                <w:kern w:val="21"/>
                <w:szCs w:val="21"/>
                <w:highlight w:val="none"/>
              </w:rPr>
              <w:t>/</w:t>
            </w:r>
          </w:p>
        </w:tc>
        <w:tc>
          <w:tcPr>
            <w:tcW w:w="1691" w:type="dxa"/>
            <w:shd w:val="clear" w:color="auto" w:fill="auto"/>
            <w:vAlign w:val="center"/>
          </w:tcPr>
          <w:p w14:paraId="4AE27F66">
            <w:pPr>
              <w:pStyle w:val="54"/>
              <w:spacing w:beforeLines="0" w:afterLines="0" w:line="240" w:lineRule="auto"/>
              <w:ind w:firstLine="0" w:firstLineChars="0"/>
              <w:rPr>
                <w:rFonts w:hint="eastAsia" w:ascii="Times New Roman" w:hAnsi="Times New Roman" w:eastAsia="宋体" w:cs="Times New Roman"/>
                <w:snapToGrid w:val="0"/>
                <w:color w:val="FF0000"/>
                <w:kern w:val="21"/>
                <w:sz w:val="21"/>
                <w:szCs w:val="21"/>
                <w:highlight w:val="none"/>
                <w:lang w:val="en-US" w:eastAsia="zh-CN" w:bidi="ar-SA"/>
              </w:rPr>
            </w:pPr>
            <w:r>
              <w:rPr>
                <w:rFonts w:hint="eastAsia" w:ascii="Times New Roman"/>
                <w:snapToGrid w:val="0"/>
                <w:color w:val="FF0000"/>
                <w:kern w:val="21"/>
                <w:szCs w:val="21"/>
                <w:highlight w:val="none"/>
              </w:rPr>
              <w:t>/</w:t>
            </w:r>
          </w:p>
        </w:tc>
        <w:tc>
          <w:tcPr>
            <w:tcW w:w="1451" w:type="dxa"/>
            <w:shd w:val="clear" w:color="auto" w:fill="auto"/>
            <w:vAlign w:val="center"/>
          </w:tcPr>
          <w:p w14:paraId="31552850">
            <w:pPr>
              <w:pStyle w:val="54"/>
              <w:spacing w:beforeLines="0" w:afterLines="0" w:line="240" w:lineRule="auto"/>
              <w:ind w:firstLine="0" w:firstLineChars="0"/>
              <w:rPr>
                <w:rFonts w:hint="eastAsia" w:ascii="Times New Roman" w:hAnsi="Times New Roman" w:eastAsia="宋体" w:cs="Times New Roman"/>
                <w:color w:val="FF0000"/>
                <w:kern w:val="2"/>
                <w:sz w:val="21"/>
                <w:szCs w:val="21"/>
                <w:highlight w:val="none"/>
                <w:lang w:val="en-US" w:eastAsia="zh-CN" w:bidi="ar-SA"/>
              </w:rPr>
            </w:pPr>
            <w:r>
              <w:rPr>
                <w:rFonts w:hint="eastAsia" w:ascii="Times New Roman"/>
                <w:snapToGrid w:val="0"/>
                <w:color w:val="FF0000"/>
                <w:kern w:val="21"/>
                <w:szCs w:val="21"/>
                <w:highlight w:val="none"/>
              </w:rPr>
              <w:t>/</w:t>
            </w:r>
          </w:p>
        </w:tc>
        <w:tc>
          <w:tcPr>
            <w:tcW w:w="1614" w:type="dxa"/>
            <w:shd w:val="clear" w:color="auto" w:fill="auto"/>
            <w:vAlign w:val="center"/>
          </w:tcPr>
          <w:p w14:paraId="23A2F168">
            <w:pPr>
              <w:pStyle w:val="54"/>
              <w:spacing w:beforeLines="0" w:afterLines="0" w:line="240" w:lineRule="auto"/>
              <w:ind w:firstLine="0" w:firstLineChars="0"/>
              <w:rPr>
                <w:rFonts w:hint="eastAsia" w:ascii="Times New Roman" w:hAnsi="Times New Roman" w:eastAsia="宋体" w:cs="Times New Roman"/>
                <w:snapToGrid w:val="0"/>
                <w:color w:val="FF0000"/>
                <w:kern w:val="21"/>
                <w:sz w:val="21"/>
                <w:szCs w:val="21"/>
                <w:highlight w:val="none"/>
                <w:lang w:val="en-US" w:eastAsia="zh-CN" w:bidi="ar-SA"/>
              </w:rPr>
            </w:pPr>
            <w:r>
              <w:rPr>
                <w:rFonts w:hint="eastAsia" w:ascii="Times New Roman"/>
                <w:snapToGrid w:val="0"/>
                <w:color w:val="FF0000"/>
                <w:kern w:val="21"/>
                <w:szCs w:val="21"/>
                <w:highlight w:val="none"/>
              </w:rPr>
              <w:t>/</w:t>
            </w:r>
          </w:p>
        </w:tc>
        <w:tc>
          <w:tcPr>
            <w:tcW w:w="1593" w:type="dxa"/>
            <w:vAlign w:val="center"/>
          </w:tcPr>
          <w:p w14:paraId="541C7ED0">
            <w:pPr>
              <w:spacing w:line="0" w:lineRule="atLeast"/>
              <w:jc w:val="center"/>
              <w:rPr>
                <w:rFonts w:hint="default"/>
                <w:color w:val="FF0000"/>
                <w:szCs w:val="21"/>
                <w:highlight w:val="none"/>
                <w:lang w:val="en-US" w:eastAsia="zh-CN"/>
              </w:rPr>
            </w:pPr>
            <w:r>
              <w:rPr>
                <w:rFonts w:hint="eastAsia"/>
                <w:color w:val="FF0000"/>
                <w:szCs w:val="21"/>
                <w:highlight w:val="none"/>
                <w:lang w:val="en-US" w:eastAsia="zh-CN"/>
              </w:rPr>
              <w:t>0.1t/a</w:t>
            </w:r>
          </w:p>
        </w:tc>
        <w:tc>
          <w:tcPr>
            <w:tcW w:w="1505" w:type="dxa"/>
            <w:vAlign w:val="center"/>
          </w:tcPr>
          <w:p w14:paraId="7E9C3B44">
            <w:pPr>
              <w:pStyle w:val="54"/>
              <w:spacing w:beforeLines="0" w:afterLines="0" w:line="240" w:lineRule="auto"/>
              <w:ind w:firstLine="0" w:firstLineChars="0"/>
              <w:rPr>
                <w:rFonts w:hint="eastAsia" w:ascii="Times New Roman"/>
                <w:snapToGrid w:val="0"/>
                <w:color w:val="FF0000"/>
                <w:kern w:val="21"/>
                <w:szCs w:val="21"/>
                <w:highlight w:val="none"/>
              </w:rPr>
            </w:pPr>
            <w:r>
              <w:rPr>
                <w:rFonts w:hint="eastAsia" w:ascii="Times New Roman"/>
                <w:snapToGrid w:val="0"/>
                <w:color w:val="FF0000"/>
                <w:kern w:val="21"/>
                <w:szCs w:val="21"/>
                <w:highlight w:val="none"/>
              </w:rPr>
              <w:t>/</w:t>
            </w:r>
          </w:p>
        </w:tc>
      </w:tr>
      <w:tr w14:paraId="31C44C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9" w:type="dxa"/>
            <w:vMerge w:val="continue"/>
            <w:vAlign w:val="center"/>
          </w:tcPr>
          <w:p w14:paraId="117C5F7F">
            <w:pPr>
              <w:pStyle w:val="54"/>
              <w:spacing w:beforeLines="0" w:afterLines="0" w:line="240" w:lineRule="auto"/>
              <w:rPr>
                <w:rFonts w:ascii="Times New Roman"/>
                <w:snapToGrid w:val="0"/>
                <w:color w:val="000000" w:themeColor="text1"/>
                <w:kern w:val="21"/>
                <w:szCs w:val="21"/>
                <w:highlight w:val="none"/>
                <w14:textFill>
                  <w14:solidFill>
                    <w14:schemeClr w14:val="tx1"/>
                  </w14:solidFill>
                </w14:textFill>
              </w:rPr>
            </w:pPr>
          </w:p>
        </w:tc>
        <w:tc>
          <w:tcPr>
            <w:tcW w:w="1885" w:type="dxa"/>
            <w:vAlign w:val="center"/>
          </w:tcPr>
          <w:p w14:paraId="7656F51C">
            <w:pPr>
              <w:pStyle w:val="54"/>
              <w:spacing w:beforeLines="0" w:afterLines="0" w:line="240" w:lineRule="auto"/>
              <w:ind w:firstLine="0"/>
              <w:rPr>
                <w:rFonts w:hint="default" w:ascii="Times New Roman"/>
                <w:snapToGrid w:val="0"/>
                <w:color w:val="FF0000"/>
                <w:kern w:val="21"/>
                <w:szCs w:val="21"/>
                <w:highlight w:val="none"/>
                <w:lang w:val="en-US" w:eastAsia="zh-CN"/>
              </w:rPr>
            </w:pPr>
            <w:r>
              <w:rPr>
                <w:rFonts w:hint="eastAsia" w:ascii="Times New Roman"/>
                <w:snapToGrid w:val="0"/>
                <w:color w:val="FF0000"/>
                <w:kern w:val="21"/>
                <w:szCs w:val="21"/>
                <w:highlight w:val="none"/>
                <w:lang w:val="en-US" w:eastAsia="zh-CN"/>
              </w:rPr>
              <w:t>试验灰渣</w:t>
            </w:r>
          </w:p>
        </w:tc>
        <w:tc>
          <w:tcPr>
            <w:tcW w:w="1648" w:type="dxa"/>
            <w:vAlign w:val="center"/>
          </w:tcPr>
          <w:p w14:paraId="61C06304">
            <w:pPr>
              <w:spacing w:line="0" w:lineRule="atLeast"/>
              <w:jc w:val="center"/>
              <w:rPr>
                <w:rFonts w:hint="default"/>
                <w:color w:val="FF0000"/>
                <w:szCs w:val="21"/>
                <w:highlight w:val="none"/>
                <w:lang w:val="en-US" w:eastAsia="zh-CN"/>
              </w:rPr>
            </w:pPr>
            <w:r>
              <w:rPr>
                <w:rFonts w:hint="eastAsia"/>
                <w:color w:val="FF0000"/>
                <w:szCs w:val="21"/>
                <w:highlight w:val="none"/>
                <w:lang w:val="en-US" w:eastAsia="zh-CN"/>
              </w:rPr>
              <w:t>0.01t/a</w:t>
            </w:r>
          </w:p>
        </w:tc>
        <w:tc>
          <w:tcPr>
            <w:tcW w:w="1320" w:type="dxa"/>
            <w:shd w:val="clear" w:color="auto" w:fill="auto"/>
            <w:vAlign w:val="center"/>
          </w:tcPr>
          <w:p w14:paraId="2F17BFB1">
            <w:pPr>
              <w:pStyle w:val="54"/>
              <w:spacing w:beforeLines="0" w:afterLines="0" w:line="240" w:lineRule="auto"/>
              <w:ind w:firstLine="0" w:firstLineChars="0"/>
              <w:rPr>
                <w:rFonts w:hint="eastAsia" w:ascii="Times New Roman"/>
                <w:snapToGrid w:val="0"/>
                <w:color w:val="FF0000"/>
                <w:kern w:val="21"/>
                <w:szCs w:val="21"/>
                <w:highlight w:val="none"/>
              </w:rPr>
            </w:pPr>
            <w:r>
              <w:rPr>
                <w:rFonts w:hint="eastAsia" w:ascii="Times New Roman"/>
                <w:snapToGrid w:val="0"/>
                <w:color w:val="FF0000"/>
                <w:kern w:val="21"/>
                <w:szCs w:val="21"/>
                <w:highlight w:val="none"/>
              </w:rPr>
              <w:t>/</w:t>
            </w:r>
          </w:p>
        </w:tc>
        <w:tc>
          <w:tcPr>
            <w:tcW w:w="1691" w:type="dxa"/>
            <w:shd w:val="clear" w:color="auto" w:fill="auto"/>
            <w:vAlign w:val="center"/>
          </w:tcPr>
          <w:p w14:paraId="4D1362F8">
            <w:pPr>
              <w:pStyle w:val="54"/>
              <w:spacing w:beforeLines="0" w:afterLines="0" w:line="240" w:lineRule="auto"/>
              <w:ind w:firstLine="0" w:firstLineChars="0"/>
              <w:rPr>
                <w:rFonts w:hint="eastAsia" w:ascii="Times New Roman"/>
                <w:snapToGrid w:val="0"/>
                <w:color w:val="FF0000"/>
                <w:kern w:val="21"/>
                <w:szCs w:val="21"/>
                <w:highlight w:val="none"/>
              </w:rPr>
            </w:pPr>
            <w:r>
              <w:rPr>
                <w:rFonts w:hint="eastAsia" w:ascii="Times New Roman"/>
                <w:snapToGrid w:val="0"/>
                <w:color w:val="FF0000"/>
                <w:kern w:val="21"/>
                <w:szCs w:val="21"/>
                <w:highlight w:val="none"/>
              </w:rPr>
              <w:t>/</w:t>
            </w:r>
          </w:p>
        </w:tc>
        <w:tc>
          <w:tcPr>
            <w:tcW w:w="1451" w:type="dxa"/>
            <w:shd w:val="clear" w:color="auto" w:fill="auto"/>
            <w:vAlign w:val="center"/>
          </w:tcPr>
          <w:p w14:paraId="043EB5CF">
            <w:pPr>
              <w:pStyle w:val="54"/>
              <w:spacing w:beforeLines="0" w:afterLines="0" w:line="240" w:lineRule="auto"/>
              <w:ind w:firstLine="0" w:firstLineChars="0"/>
              <w:rPr>
                <w:rFonts w:hint="eastAsia" w:ascii="Times New Roman"/>
                <w:snapToGrid w:val="0"/>
                <w:color w:val="FF0000"/>
                <w:kern w:val="21"/>
                <w:szCs w:val="21"/>
                <w:highlight w:val="none"/>
              </w:rPr>
            </w:pPr>
            <w:r>
              <w:rPr>
                <w:rFonts w:hint="eastAsia" w:ascii="Times New Roman"/>
                <w:snapToGrid w:val="0"/>
                <w:color w:val="FF0000"/>
                <w:kern w:val="21"/>
                <w:szCs w:val="21"/>
                <w:highlight w:val="none"/>
                <w:lang w:val="en-US" w:eastAsia="zh-CN"/>
              </w:rPr>
              <w:t>/</w:t>
            </w:r>
          </w:p>
        </w:tc>
        <w:tc>
          <w:tcPr>
            <w:tcW w:w="1614" w:type="dxa"/>
            <w:shd w:val="clear" w:color="auto" w:fill="auto"/>
            <w:vAlign w:val="center"/>
          </w:tcPr>
          <w:p w14:paraId="68558DA5">
            <w:pPr>
              <w:pStyle w:val="54"/>
              <w:spacing w:beforeLines="0" w:afterLines="0" w:line="240" w:lineRule="auto"/>
              <w:ind w:firstLine="0" w:firstLineChars="0"/>
              <w:rPr>
                <w:rFonts w:hint="eastAsia" w:ascii="Times New Roman"/>
                <w:snapToGrid w:val="0"/>
                <w:color w:val="FF0000"/>
                <w:kern w:val="21"/>
                <w:szCs w:val="21"/>
                <w:highlight w:val="none"/>
              </w:rPr>
            </w:pPr>
            <w:r>
              <w:rPr>
                <w:rFonts w:hint="eastAsia" w:ascii="Times New Roman"/>
                <w:snapToGrid w:val="0"/>
                <w:color w:val="FF0000"/>
                <w:kern w:val="21"/>
                <w:szCs w:val="21"/>
                <w:highlight w:val="none"/>
              </w:rPr>
              <w:t>/</w:t>
            </w:r>
          </w:p>
        </w:tc>
        <w:tc>
          <w:tcPr>
            <w:tcW w:w="1593" w:type="dxa"/>
            <w:vAlign w:val="center"/>
          </w:tcPr>
          <w:p w14:paraId="339DA84B">
            <w:pPr>
              <w:spacing w:line="0" w:lineRule="atLeast"/>
              <w:jc w:val="center"/>
              <w:rPr>
                <w:rFonts w:hint="eastAsia"/>
                <w:color w:val="FF0000"/>
                <w:szCs w:val="21"/>
                <w:highlight w:val="none"/>
                <w:lang w:val="en-US" w:eastAsia="zh-CN"/>
              </w:rPr>
            </w:pPr>
            <w:r>
              <w:rPr>
                <w:rFonts w:hint="eastAsia"/>
                <w:color w:val="FF0000"/>
                <w:szCs w:val="21"/>
                <w:highlight w:val="none"/>
                <w:lang w:val="en-US" w:eastAsia="zh-CN"/>
              </w:rPr>
              <w:t>0.01t/a</w:t>
            </w:r>
          </w:p>
        </w:tc>
        <w:tc>
          <w:tcPr>
            <w:tcW w:w="1505" w:type="dxa"/>
            <w:vAlign w:val="center"/>
          </w:tcPr>
          <w:p w14:paraId="588152C6">
            <w:pPr>
              <w:pStyle w:val="54"/>
              <w:spacing w:beforeLines="0" w:afterLines="0" w:line="240" w:lineRule="auto"/>
              <w:ind w:firstLine="0" w:firstLineChars="0"/>
              <w:rPr>
                <w:rFonts w:hint="eastAsia" w:ascii="Times New Roman"/>
                <w:snapToGrid w:val="0"/>
                <w:color w:val="FF0000"/>
                <w:kern w:val="21"/>
                <w:szCs w:val="21"/>
                <w:highlight w:val="none"/>
              </w:rPr>
            </w:pPr>
            <w:r>
              <w:rPr>
                <w:rFonts w:hint="eastAsia" w:ascii="Times New Roman"/>
                <w:snapToGrid w:val="0"/>
                <w:color w:val="FF0000"/>
                <w:kern w:val="21"/>
                <w:szCs w:val="21"/>
                <w:highlight w:val="none"/>
              </w:rPr>
              <w:t>/</w:t>
            </w:r>
          </w:p>
        </w:tc>
      </w:tr>
      <w:tr w14:paraId="3BA731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9" w:type="dxa"/>
            <w:vMerge w:val="continue"/>
            <w:vAlign w:val="center"/>
          </w:tcPr>
          <w:p w14:paraId="4ACF1CD8">
            <w:pPr>
              <w:pStyle w:val="54"/>
              <w:spacing w:beforeLines="0" w:afterLines="0" w:line="240" w:lineRule="auto"/>
              <w:rPr>
                <w:rFonts w:ascii="Times New Roman"/>
                <w:snapToGrid w:val="0"/>
                <w:color w:val="000000" w:themeColor="text1"/>
                <w:kern w:val="21"/>
                <w:szCs w:val="21"/>
                <w:highlight w:val="none"/>
                <w14:textFill>
                  <w14:solidFill>
                    <w14:schemeClr w14:val="tx1"/>
                  </w14:solidFill>
                </w14:textFill>
              </w:rPr>
            </w:pPr>
          </w:p>
        </w:tc>
        <w:tc>
          <w:tcPr>
            <w:tcW w:w="1885" w:type="dxa"/>
            <w:vAlign w:val="center"/>
          </w:tcPr>
          <w:p w14:paraId="2936A0B0">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生活垃圾</w:t>
            </w:r>
          </w:p>
        </w:tc>
        <w:tc>
          <w:tcPr>
            <w:tcW w:w="1648" w:type="dxa"/>
            <w:vAlign w:val="center"/>
          </w:tcPr>
          <w:p w14:paraId="5122E375">
            <w:pPr>
              <w:spacing w:line="0" w:lineRule="atLeast"/>
              <w:jc w:val="center"/>
              <w:rPr>
                <w:rFonts w:ascii="Times New Roman"/>
                <w:snapToGrid w:val="0"/>
                <w:color w:val="000000" w:themeColor="text1"/>
                <w:kern w:val="2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21.45t/a</w:t>
            </w:r>
          </w:p>
        </w:tc>
        <w:tc>
          <w:tcPr>
            <w:tcW w:w="1320" w:type="dxa"/>
            <w:vAlign w:val="center"/>
          </w:tcPr>
          <w:p w14:paraId="318AD084">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691" w:type="dxa"/>
            <w:vAlign w:val="center"/>
          </w:tcPr>
          <w:p w14:paraId="7FB69357">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451" w:type="dxa"/>
            <w:vAlign w:val="center"/>
          </w:tcPr>
          <w:p w14:paraId="3535EE19">
            <w:pPr>
              <w:pStyle w:val="54"/>
              <w:spacing w:beforeLines="0" w:afterLines="0" w:line="240" w:lineRule="auto"/>
              <w:ind w:firstLine="0"/>
              <w:rPr>
                <w:rFonts w:ascii="Times New Roman"/>
                <w:color w:val="000000" w:themeColor="text1"/>
                <w:kern w:val="2"/>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614" w:type="dxa"/>
            <w:vAlign w:val="center"/>
          </w:tcPr>
          <w:p w14:paraId="5B779177">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593" w:type="dxa"/>
            <w:vAlign w:val="center"/>
          </w:tcPr>
          <w:p w14:paraId="5B9E7F34">
            <w:pPr>
              <w:pStyle w:val="54"/>
              <w:spacing w:beforeLines="0" w:afterLines="0" w:line="240" w:lineRule="auto"/>
              <w:ind w:firstLine="0"/>
              <w:rPr>
                <w:rFonts w:ascii="Times New Roman"/>
                <w:color w:val="000000" w:themeColor="text1"/>
                <w:kern w:val="2"/>
                <w:szCs w:val="21"/>
                <w:highlight w:val="none"/>
                <w14:textFill>
                  <w14:solidFill>
                    <w14:schemeClr w14:val="tx1"/>
                  </w14:solidFill>
                </w14:textFill>
              </w:rPr>
            </w:pPr>
            <w:r>
              <w:rPr>
                <w:rFonts w:hint="eastAsia" w:ascii="Times New Roman"/>
                <w:snapToGrid w:val="0"/>
                <w:color w:val="000000" w:themeColor="text1"/>
                <w:kern w:val="21"/>
                <w:szCs w:val="21"/>
                <w:highlight w:val="none"/>
                <w:lang w:val="en-US" w:eastAsia="zh-CN"/>
                <w14:textFill>
                  <w14:solidFill>
                    <w14:schemeClr w14:val="tx1"/>
                  </w14:solidFill>
                </w14:textFill>
              </w:rPr>
              <w:t>7.92</w:t>
            </w:r>
            <w:r>
              <w:rPr>
                <w:rFonts w:hint="eastAsia" w:ascii="Times New Roman"/>
                <w:snapToGrid w:val="0"/>
                <w:color w:val="000000" w:themeColor="text1"/>
                <w:kern w:val="21"/>
                <w:szCs w:val="21"/>
                <w:highlight w:val="none"/>
                <w14:textFill>
                  <w14:solidFill>
                    <w14:schemeClr w14:val="tx1"/>
                  </w14:solidFill>
                </w14:textFill>
              </w:rPr>
              <w:t>t/a</w:t>
            </w:r>
          </w:p>
        </w:tc>
        <w:tc>
          <w:tcPr>
            <w:tcW w:w="1505" w:type="dxa"/>
            <w:vAlign w:val="center"/>
          </w:tcPr>
          <w:p w14:paraId="336638EF">
            <w:pPr>
              <w:pStyle w:val="54"/>
              <w:spacing w:beforeLines="0" w:afterLines="0" w:line="240" w:lineRule="auto"/>
              <w:ind w:firstLine="0"/>
              <w:rPr>
                <w:rFonts w:ascii="Times New Roman"/>
                <w:color w:val="000000" w:themeColor="text1"/>
                <w:kern w:val="2"/>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r>
      <w:tr w14:paraId="482117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9" w:type="dxa"/>
            <w:vMerge w:val="restart"/>
            <w:vAlign w:val="center"/>
          </w:tcPr>
          <w:p w14:paraId="5536C2D9">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ascii="Times New Roman"/>
                <w:snapToGrid w:val="0"/>
                <w:color w:val="000000" w:themeColor="text1"/>
                <w:kern w:val="21"/>
                <w:szCs w:val="21"/>
                <w:highlight w:val="none"/>
                <w14:textFill>
                  <w14:solidFill>
                    <w14:schemeClr w14:val="tx1"/>
                  </w14:solidFill>
                </w14:textFill>
              </w:rPr>
              <w:t>危险废物</w:t>
            </w:r>
          </w:p>
        </w:tc>
        <w:tc>
          <w:tcPr>
            <w:tcW w:w="1885" w:type="dxa"/>
            <w:vAlign w:val="center"/>
          </w:tcPr>
          <w:p w14:paraId="55976597">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废机油</w:t>
            </w:r>
          </w:p>
        </w:tc>
        <w:tc>
          <w:tcPr>
            <w:tcW w:w="1648" w:type="dxa"/>
            <w:vAlign w:val="center"/>
          </w:tcPr>
          <w:p w14:paraId="04115A51">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0.</w:t>
            </w:r>
            <w:r>
              <w:rPr>
                <w:rFonts w:hint="eastAsia" w:ascii="Times New Roman"/>
                <w:snapToGrid w:val="0"/>
                <w:color w:val="000000" w:themeColor="text1"/>
                <w:kern w:val="21"/>
                <w:szCs w:val="21"/>
                <w:highlight w:val="none"/>
                <w:lang w:val="en-US" w:eastAsia="zh-CN"/>
                <w14:textFill>
                  <w14:solidFill>
                    <w14:schemeClr w14:val="tx1"/>
                  </w14:solidFill>
                </w14:textFill>
              </w:rPr>
              <w:t>5</w:t>
            </w:r>
            <w:r>
              <w:rPr>
                <w:rFonts w:hint="eastAsia" w:ascii="Times New Roman"/>
                <w:snapToGrid w:val="0"/>
                <w:color w:val="000000" w:themeColor="text1"/>
                <w:kern w:val="21"/>
                <w:szCs w:val="21"/>
                <w:highlight w:val="none"/>
                <w14:textFill>
                  <w14:solidFill>
                    <w14:schemeClr w14:val="tx1"/>
                  </w14:solidFill>
                </w14:textFill>
              </w:rPr>
              <w:t>t/a</w:t>
            </w:r>
          </w:p>
        </w:tc>
        <w:tc>
          <w:tcPr>
            <w:tcW w:w="1320" w:type="dxa"/>
            <w:vAlign w:val="center"/>
          </w:tcPr>
          <w:p w14:paraId="12772FEF">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691" w:type="dxa"/>
            <w:vAlign w:val="center"/>
          </w:tcPr>
          <w:p w14:paraId="3974E483">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451" w:type="dxa"/>
            <w:vAlign w:val="center"/>
          </w:tcPr>
          <w:p w14:paraId="5154D9A9">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614" w:type="dxa"/>
            <w:vAlign w:val="center"/>
          </w:tcPr>
          <w:p w14:paraId="4A076D68">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593" w:type="dxa"/>
            <w:vAlign w:val="center"/>
          </w:tcPr>
          <w:p w14:paraId="3E269D53">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0.</w:t>
            </w:r>
            <w:r>
              <w:rPr>
                <w:rFonts w:hint="eastAsia" w:ascii="Times New Roman"/>
                <w:snapToGrid w:val="0"/>
                <w:color w:val="000000" w:themeColor="text1"/>
                <w:kern w:val="21"/>
                <w:szCs w:val="21"/>
                <w:highlight w:val="none"/>
                <w:lang w:val="en-US" w:eastAsia="zh-CN"/>
                <w14:textFill>
                  <w14:solidFill>
                    <w14:schemeClr w14:val="tx1"/>
                  </w14:solidFill>
                </w14:textFill>
              </w:rPr>
              <w:t>5</w:t>
            </w:r>
            <w:r>
              <w:rPr>
                <w:rFonts w:hint="eastAsia" w:ascii="Times New Roman"/>
                <w:snapToGrid w:val="0"/>
                <w:color w:val="000000" w:themeColor="text1"/>
                <w:kern w:val="21"/>
                <w:szCs w:val="21"/>
                <w:highlight w:val="none"/>
                <w14:textFill>
                  <w14:solidFill>
                    <w14:schemeClr w14:val="tx1"/>
                  </w14:solidFill>
                </w14:textFill>
              </w:rPr>
              <w:t>t/a</w:t>
            </w:r>
          </w:p>
        </w:tc>
        <w:tc>
          <w:tcPr>
            <w:tcW w:w="1505" w:type="dxa"/>
            <w:vAlign w:val="center"/>
          </w:tcPr>
          <w:p w14:paraId="45D8205E">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r>
      <w:tr w14:paraId="569B9B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9" w:type="dxa"/>
            <w:vMerge w:val="continue"/>
            <w:vAlign w:val="center"/>
          </w:tcPr>
          <w:p w14:paraId="5B9FAE22">
            <w:pPr>
              <w:pStyle w:val="54"/>
              <w:spacing w:beforeLines="0" w:afterLines="0" w:line="240" w:lineRule="auto"/>
              <w:ind w:firstLine="0"/>
              <w:rPr>
                <w:rFonts w:ascii="Times New Roman"/>
                <w:snapToGrid w:val="0"/>
                <w:color w:val="000000" w:themeColor="text1"/>
                <w:kern w:val="21"/>
                <w:szCs w:val="21"/>
                <w:highlight w:val="none"/>
                <w14:textFill>
                  <w14:solidFill>
                    <w14:schemeClr w14:val="tx1"/>
                  </w14:solidFill>
                </w14:textFill>
              </w:rPr>
            </w:pPr>
          </w:p>
        </w:tc>
        <w:tc>
          <w:tcPr>
            <w:tcW w:w="1885" w:type="dxa"/>
            <w:vAlign w:val="center"/>
          </w:tcPr>
          <w:p w14:paraId="6CA042A4">
            <w:pPr>
              <w:pStyle w:val="54"/>
              <w:spacing w:beforeLines="0" w:afterLines="0" w:line="240" w:lineRule="auto"/>
              <w:ind w:firstLine="0"/>
              <w:rPr>
                <w:rFonts w:hint="eastAsia" w:ascii="Times New Roman" w:eastAsia="宋体"/>
                <w:snapToGrid w:val="0"/>
                <w:color w:val="000000" w:themeColor="text1"/>
                <w:kern w:val="21"/>
                <w:szCs w:val="21"/>
                <w:highlight w:val="none"/>
                <w:lang w:val="en-US" w:eastAsia="zh-CN"/>
                <w14:textFill>
                  <w14:solidFill>
                    <w14:schemeClr w14:val="tx1"/>
                  </w14:solidFill>
                </w14:textFill>
              </w:rPr>
            </w:pPr>
            <w:r>
              <w:rPr>
                <w:rFonts w:hint="eastAsia" w:ascii="Times New Roman"/>
                <w:snapToGrid w:val="0"/>
                <w:color w:val="000000" w:themeColor="text1"/>
                <w:kern w:val="21"/>
                <w:szCs w:val="21"/>
                <w:highlight w:val="none"/>
                <w:lang w:val="en-US" w:eastAsia="zh-CN"/>
                <w14:textFill>
                  <w14:solidFill>
                    <w14:schemeClr w14:val="tx1"/>
                  </w14:solidFill>
                </w14:textFill>
              </w:rPr>
              <w:t>废油桶</w:t>
            </w:r>
          </w:p>
        </w:tc>
        <w:tc>
          <w:tcPr>
            <w:tcW w:w="1648" w:type="dxa"/>
            <w:vAlign w:val="center"/>
          </w:tcPr>
          <w:p w14:paraId="51D1A7B4">
            <w:pPr>
              <w:pStyle w:val="54"/>
              <w:spacing w:beforeLines="0" w:afterLines="0" w:line="240" w:lineRule="auto"/>
              <w:ind w:firstLine="0"/>
              <w:rPr>
                <w:rFonts w:hint="default" w:ascii="Times New Roman" w:eastAsia="宋体"/>
                <w:snapToGrid w:val="0"/>
                <w:color w:val="000000" w:themeColor="text1"/>
                <w:kern w:val="21"/>
                <w:szCs w:val="21"/>
                <w:highlight w:val="none"/>
                <w:lang w:val="en-US" w:eastAsia="zh-CN"/>
                <w14:textFill>
                  <w14:solidFill>
                    <w14:schemeClr w14:val="tx1"/>
                  </w14:solidFill>
                </w14:textFill>
              </w:rPr>
            </w:pPr>
            <w:r>
              <w:rPr>
                <w:rFonts w:hint="eastAsia" w:ascii="Times New Roman"/>
                <w:snapToGrid w:val="0"/>
                <w:color w:val="000000" w:themeColor="text1"/>
                <w:kern w:val="21"/>
                <w:szCs w:val="21"/>
                <w:highlight w:val="none"/>
                <w:lang w:val="en-US" w:eastAsia="zh-CN"/>
                <w14:textFill>
                  <w14:solidFill>
                    <w14:schemeClr w14:val="tx1"/>
                  </w14:solidFill>
                </w14:textFill>
              </w:rPr>
              <w:t>10个/a</w:t>
            </w:r>
          </w:p>
        </w:tc>
        <w:tc>
          <w:tcPr>
            <w:tcW w:w="1320" w:type="dxa"/>
            <w:vAlign w:val="center"/>
          </w:tcPr>
          <w:p w14:paraId="77D21002">
            <w:pPr>
              <w:pStyle w:val="54"/>
              <w:spacing w:beforeLines="0" w:afterLines="0" w:line="240" w:lineRule="auto"/>
              <w:ind w:firstLine="0" w:firstLineChars="0"/>
              <w:rPr>
                <w:rFonts w:hint="eastAsia"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691" w:type="dxa"/>
            <w:vAlign w:val="center"/>
          </w:tcPr>
          <w:p w14:paraId="2AEE6005">
            <w:pPr>
              <w:pStyle w:val="54"/>
              <w:spacing w:beforeLines="0" w:afterLines="0" w:line="240" w:lineRule="auto"/>
              <w:ind w:firstLine="0" w:firstLineChars="0"/>
              <w:rPr>
                <w:rFonts w:hint="eastAsia"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451" w:type="dxa"/>
            <w:vAlign w:val="center"/>
          </w:tcPr>
          <w:p w14:paraId="157CF395">
            <w:pPr>
              <w:pStyle w:val="54"/>
              <w:spacing w:beforeLines="0" w:afterLines="0" w:line="240" w:lineRule="auto"/>
              <w:ind w:firstLine="0" w:firstLineChars="0"/>
              <w:rPr>
                <w:rFonts w:hint="eastAsia"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614" w:type="dxa"/>
            <w:vAlign w:val="center"/>
          </w:tcPr>
          <w:p w14:paraId="6E1F1BC7">
            <w:pPr>
              <w:pStyle w:val="54"/>
              <w:spacing w:beforeLines="0" w:afterLines="0" w:line="240" w:lineRule="auto"/>
              <w:ind w:firstLine="0" w:firstLineChars="0"/>
              <w:rPr>
                <w:rFonts w:hint="eastAsia"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c>
          <w:tcPr>
            <w:tcW w:w="1593" w:type="dxa"/>
            <w:vAlign w:val="center"/>
          </w:tcPr>
          <w:p w14:paraId="0E9ECB90">
            <w:pPr>
              <w:pStyle w:val="54"/>
              <w:spacing w:beforeLines="0" w:afterLines="0" w:line="240" w:lineRule="auto"/>
              <w:ind w:firstLine="0"/>
              <w:rPr>
                <w:rFonts w:hint="eastAsia"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lang w:val="en-US" w:eastAsia="zh-CN"/>
                <w14:textFill>
                  <w14:solidFill>
                    <w14:schemeClr w14:val="tx1"/>
                  </w14:solidFill>
                </w14:textFill>
              </w:rPr>
              <w:t>10个/a</w:t>
            </w:r>
          </w:p>
        </w:tc>
        <w:tc>
          <w:tcPr>
            <w:tcW w:w="1505" w:type="dxa"/>
            <w:vAlign w:val="center"/>
          </w:tcPr>
          <w:p w14:paraId="74F3B771">
            <w:pPr>
              <w:pStyle w:val="54"/>
              <w:spacing w:beforeLines="0" w:afterLines="0" w:line="240" w:lineRule="auto"/>
              <w:ind w:firstLine="0"/>
              <w:rPr>
                <w:rFonts w:hint="eastAsia" w:ascii="Times New Roman"/>
                <w:snapToGrid w:val="0"/>
                <w:color w:val="000000" w:themeColor="text1"/>
                <w:kern w:val="21"/>
                <w:szCs w:val="21"/>
                <w:highlight w:val="none"/>
                <w14:textFill>
                  <w14:solidFill>
                    <w14:schemeClr w14:val="tx1"/>
                  </w14:solidFill>
                </w14:textFill>
              </w:rPr>
            </w:pPr>
            <w:r>
              <w:rPr>
                <w:rFonts w:hint="eastAsia" w:ascii="Times New Roman"/>
                <w:snapToGrid w:val="0"/>
                <w:color w:val="000000" w:themeColor="text1"/>
                <w:kern w:val="21"/>
                <w:szCs w:val="21"/>
                <w:highlight w:val="none"/>
                <w14:textFill>
                  <w14:solidFill>
                    <w14:schemeClr w14:val="tx1"/>
                  </w14:solidFill>
                </w14:textFill>
              </w:rPr>
              <w:t>/</w:t>
            </w:r>
          </w:p>
        </w:tc>
      </w:tr>
    </w:tbl>
    <w:p w14:paraId="1C57502F">
      <w:pPr>
        <w:pStyle w:val="54"/>
        <w:adjustRightInd/>
        <w:snapToGrid/>
        <w:spacing w:beforeLines="0" w:afterLines="0" w:line="240" w:lineRule="auto"/>
        <w:jc w:val="left"/>
        <w:rPr>
          <w:rFonts w:ascii="Times New Roman"/>
          <w:snapToGrid w:val="0"/>
          <w:color w:val="000000" w:themeColor="text1"/>
          <w:spacing w:val="-6"/>
          <w:kern w:val="21"/>
          <w:szCs w:val="21"/>
          <w14:textFill>
            <w14:solidFill>
              <w14:schemeClr w14:val="tx1"/>
            </w14:solidFill>
          </w14:textFill>
        </w:rPr>
        <w:sectPr>
          <w:footerReference r:id="rId6" w:type="default"/>
          <w:pgSz w:w="16838" w:h="11906" w:orient="landscape"/>
          <w:pgMar w:top="66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ascii="Times New Roman"/>
          <w:snapToGrid w:val="0"/>
          <w:color w:val="000000" w:themeColor="text1"/>
          <w:kern w:val="21"/>
          <w:szCs w:val="21"/>
          <w14:textFill>
            <w14:solidFill>
              <w14:schemeClr w14:val="tx1"/>
            </w14:solidFill>
          </w14:textFill>
        </w:rPr>
        <w:t>注：</w:t>
      </w:r>
      <w:r>
        <w:rPr>
          <w:rFonts w:ascii="Times New Roman"/>
          <w:snapToGrid w:val="0"/>
          <w:color w:val="000000" w:themeColor="text1"/>
          <w:spacing w:val="-16"/>
          <w:kern w:val="21"/>
          <w:szCs w:val="21"/>
          <w14:textFill>
            <w14:solidFill>
              <w14:schemeClr w14:val="tx1"/>
            </w14:solidFill>
          </w14:textFill>
        </w:rPr>
        <w:fldChar w:fldCharType="begin"/>
      </w:r>
      <w:r>
        <w:rPr>
          <w:rFonts w:ascii="Times New Roman"/>
          <w:snapToGrid w:val="0"/>
          <w:color w:val="000000" w:themeColor="text1"/>
          <w:spacing w:val="-16"/>
          <w:kern w:val="21"/>
          <w:szCs w:val="21"/>
          <w14:textFill>
            <w14:solidFill>
              <w14:schemeClr w14:val="tx1"/>
            </w14:solidFill>
          </w14:textFill>
        </w:rPr>
        <w:instrText xml:space="preserve"> = 6 \* GB3 \* MERGEFORMAT </w:instrText>
      </w:r>
      <w:r>
        <w:rPr>
          <w:rFonts w:ascii="Times New Roman"/>
          <w:snapToGrid w:val="0"/>
          <w:color w:val="000000" w:themeColor="text1"/>
          <w:spacing w:val="-1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⑥</w:t>
      </w:r>
      <w:r>
        <w:rPr>
          <w:rFonts w:ascii="Times New Roman"/>
          <w:snapToGrid w:val="0"/>
          <w:color w:val="000000" w:themeColor="text1"/>
          <w:spacing w:val="-16"/>
          <w:kern w:val="21"/>
          <w:szCs w:val="21"/>
          <w14:textFill>
            <w14:solidFill>
              <w14:schemeClr w14:val="tx1"/>
            </w14:solidFill>
          </w14:textFill>
        </w:rPr>
        <w:fldChar w:fldCharType="end"/>
      </w:r>
      <w:r>
        <w:rPr>
          <w:rFonts w:ascii="Times New Roman"/>
          <w:snapToGrid w:val="0"/>
          <w:color w:val="000000" w:themeColor="text1"/>
          <w:spacing w:val="-1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1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①</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3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③</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4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④</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w:t>
      </w:r>
      <w:r>
        <w:rPr>
          <w:rFonts w:ascii="Times New Roman"/>
          <w:snapToGrid w:val="0"/>
          <w:color w:val="000000" w:themeColor="text1"/>
          <w:spacing w:val="-16"/>
          <w:kern w:val="21"/>
          <w:szCs w:val="21"/>
          <w14:textFill>
            <w14:solidFill>
              <w14:schemeClr w14:val="tx1"/>
            </w14:solidFill>
          </w14:textFill>
        </w:rPr>
        <w:fldChar w:fldCharType="begin"/>
      </w:r>
      <w:r>
        <w:rPr>
          <w:rFonts w:ascii="Times New Roman"/>
          <w:snapToGrid w:val="0"/>
          <w:color w:val="000000" w:themeColor="text1"/>
          <w:spacing w:val="-16"/>
          <w:kern w:val="21"/>
          <w:szCs w:val="21"/>
          <w14:textFill>
            <w14:solidFill>
              <w14:schemeClr w14:val="tx1"/>
            </w14:solidFill>
          </w14:textFill>
        </w:rPr>
        <w:instrText xml:space="preserve"> = 5 \* GB3 \* MERGEFORMAT </w:instrText>
      </w:r>
      <w:r>
        <w:rPr>
          <w:rFonts w:ascii="Times New Roman"/>
          <w:snapToGrid w:val="0"/>
          <w:color w:val="000000" w:themeColor="text1"/>
          <w:spacing w:val="-1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⑤</w:t>
      </w:r>
      <w:r>
        <w:rPr>
          <w:rFonts w:ascii="Times New Roman"/>
          <w:snapToGrid w:val="0"/>
          <w:color w:val="000000" w:themeColor="text1"/>
          <w:spacing w:val="-16"/>
          <w:kern w:val="21"/>
          <w:szCs w:val="21"/>
          <w14:textFill>
            <w14:solidFill>
              <w14:schemeClr w14:val="tx1"/>
            </w14:solidFill>
          </w14:textFill>
        </w:rPr>
        <w:fldChar w:fldCharType="end"/>
      </w:r>
      <w:r>
        <w:rPr>
          <w:rFonts w:ascii="Times New Roman"/>
          <w:snapToGrid w:val="0"/>
          <w:color w:val="000000" w:themeColor="text1"/>
          <w:spacing w:val="-1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7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⑦</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w:t>
      </w:r>
      <w:r>
        <w:rPr>
          <w:rFonts w:ascii="Times New Roman"/>
          <w:snapToGrid w:val="0"/>
          <w:color w:val="000000" w:themeColor="text1"/>
          <w:spacing w:val="-16"/>
          <w:kern w:val="21"/>
          <w:szCs w:val="21"/>
          <w14:textFill>
            <w14:solidFill>
              <w14:schemeClr w14:val="tx1"/>
            </w14:solidFill>
          </w14:textFill>
        </w:rPr>
        <w:fldChar w:fldCharType="begin"/>
      </w:r>
      <w:r>
        <w:rPr>
          <w:rFonts w:ascii="Times New Roman"/>
          <w:snapToGrid w:val="0"/>
          <w:color w:val="000000" w:themeColor="text1"/>
          <w:spacing w:val="-16"/>
          <w:kern w:val="21"/>
          <w:szCs w:val="21"/>
          <w14:textFill>
            <w14:solidFill>
              <w14:schemeClr w14:val="tx1"/>
            </w14:solidFill>
          </w14:textFill>
        </w:rPr>
        <w:instrText xml:space="preserve"> = 6 \* GB3 \* MERGEFORMAT </w:instrText>
      </w:r>
      <w:r>
        <w:rPr>
          <w:rFonts w:ascii="Times New Roman"/>
          <w:snapToGrid w:val="0"/>
          <w:color w:val="000000" w:themeColor="text1"/>
          <w:spacing w:val="-1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⑥</w:t>
      </w:r>
      <w:r>
        <w:rPr>
          <w:rFonts w:ascii="Times New Roman"/>
          <w:snapToGrid w:val="0"/>
          <w:color w:val="000000" w:themeColor="text1"/>
          <w:spacing w:val="-16"/>
          <w:kern w:val="21"/>
          <w:szCs w:val="21"/>
          <w14:textFill>
            <w14:solidFill>
              <w14:schemeClr w14:val="tx1"/>
            </w14:solidFill>
          </w14:textFill>
        </w:rPr>
        <w:fldChar w:fldCharType="end"/>
      </w:r>
      <w:r>
        <w:rPr>
          <w:rFonts w:ascii="Times New Roman"/>
          <w:snapToGrid w:val="0"/>
          <w:color w:val="000000" w:themeColor="text1"/>
          <w:spacing w:val="-1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1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①</w:t>
      </w:r>
      <w:r>
        <w:rPr>
          <w:rFonts w:ascii="Times New Roman"/>
          <w:snapToGrid w:val="0"/>
          <w:color w:val="000000" w:themeColor="text1"/>
          <w:spacing w:val="-6"/>
          <w:kern w:val="21"/>
          <w:szCs w:val="21"/>
          <w14:textFill>
            <w14:solidFill>
              <w14:schemeClr w14:val="tx1"/>
            </w14:solidFill>
          </w14:textFill>
        </w:rPr>
        <w:fldChar w:fldCharType="end"/>
      </w:r>
    </w:p>
    <w:p w14:paraId="771FE4EC">
      <w:pPr>
        <w:jc w:val="center"/>
        <w:rPr>
          <w:color w:val="000000" w:themeColor="text1"/>
          <w:sz w:val="32"/>
          <w14:textFill>
            <w14:solidFill>
              <w14:schemeClr w14:val="tx1"/>
            </w14:solidFill>
          </w14:textFill>
        </w:rPr>
        <w:sectPr>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sz w:val="32"/>
        </w:rPr>
        <mc:AlternateContent>
          <mc:Choice Requires="wps">
            <w:drawing>
              <wp:anchor distT="0" distB="0" distL="114300" distR="114300" simplePos="0" relativeHeight="251672576" behindDoc="0" locked="0" layoutInCell="1" allowOverlap="1">
                <wp:simplePos x="0" y="0"/>
                <wp:positionH relativeFrom="column">
                  <wp:posOffset>3607435</wp:posOffset>
                </wp:positionH>
                <wp:positionV relativeFrom="paragraph">
                  <wp:posOffset>5513070</wp:posOffset>
                </wp:positionV>
                <wp:extent cx="1918335" cy="398780"/>
                <wp:effectExtent l="0" t="0" r="5715" b="1270"/>
                <wp:wrapNone/>
                <wp:docPr id="25" name="文本框 25"/>
                <wp:cNvGraphicFramePr/>
                <a:graphic xmlns:a="http://schemas.openxmlformats.org/drawingml/2006/main">
                  <a:graphicData uri="http://schemas.microsoft.com/office/word/2010/wordprocessingShape">
                    <wps:wsp>
                      <wps:cNvSpPr txBox="1"/>
                      <wps:spPr>
                        <a:xfrm>
                          <a:off x="4518660" y="6599555"/>
                          <a:ext cx="1918335" cy="3987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A7C1F0">
                            <w:r>
                              <w:rPr>
                                <w:rFonts w:hint="eastAsia" w:ascii="Times New Roman" w:eastAsia="宋体"/>
                                <w:b/>
                                <w:bCs/>
                                <w:color w:val="000000" w:themeColor="text1"/>
                                <w:sz w:val="24"/>
                                <w:szCs w:val="24"/>
                                <w:lang w:val="en-US" w:eastAsia="zh-CN"/>
                                <w14:textFill>
                                  <w14:solidFill>
                                    <w14:schemeClr w14:val="tx1"/>
                                  </w14:solidFill>
                                </w14:textFill>
                              </w:rPr>
                              <w:t>附图1 地理位置图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4.05pt;margin-top:434.1pt;height:31.4pt;width:151.05pt;z-index:251672576;mso-width-relative:page;mso-height-relative:page;" filled="f" stroked="f" coordsize="21600,21600" o:gfxdata="UEsDBAoAAAAAAIdO4kAAAAAAAAAAAAAAAAAEAAAAZHJzL1BLAwQUAAAACACHTuJAt8kKY9sAAAAL&#10;AQAADwAAAGRycy9kb3ducmV2LnhtbE2PTUvEMBCG74L/IYzgzU1a2Rpr00UKiyB62HUv3tIm2xaT&#10;SW2yH/rrHU96m2Ee3nneanX2jh3tHMeACrKFAGaxC2bEXsHubX0jgcWk0WgX0Cr4shFW9eVFpUsT&#10;Trixx23qGYVgLLWCIaWp5Dx2g/U6LsJkkW77MHudaJ17bmZ9onDveC5Ewb0ekT4MerLNYLuP7cEr&#10;eG7Wr3rT5l5+u+bpZf84fe7el0pdX2XiAViy5/QHw68+qUNNTm04oInMKVgWMiNUgSxkDowIeSdo&#10;aBXc32YCeF3x/x3qH1BLAwQUAAAACACHTuJA60ZHGEoCAAB0BAAADgAAAGRycy9lMm9Eb2MueG1s&#10;rVRLbtswEN0X6B0I7hv5J8c2LAdughQFgiZAWnRNU1QkgL+SdKT0AO0Nuuqm+57L5+gjZSdG2kUW&#10;3VBDzvAN35sZLc86Jcm9cL4xuqDDkwElQnNTNvquoJ8+Xr6ZUeID0yWTRouCPghPz1avXy1buxAj&#10;UxtZCkcAov2itQWtQ7CLLPO8For5E2OFhrMyTrGArbvLSsdaoCuZjQaDadYaV1pnuPAepxe9k+4R&#10;3UsATVU1XFwYvlVChx7VCckCKPm6sZ6u0murSvBwXVVeBCILCqYhrUgCexPXbLVkizvHbN3w/RPY&#10;S57wjJNijUbSR6gLFhjZuuYvKNVwZ7ypwgk3KuuJJEXAYjh4ps1tzaxIXCC1t4+i+/8Hyz/c3zjS&#10;lAUd5ZRoplDx3Y/vu5+/d7++EZxBoNb6BeJuLSJD99Z0aJvDucdh5N1VTsUvGBH4J/lwNp1C5IeC&#10;TvP5PM8TEluILhAeAebD2XiMlBwR4/nsdJZqkT0hWefDO2EUiUZBHUqZFGb3Vz7gVQg9hMTE2lw2&#10;UqZySk1apB3ng3Th0YMbUuNi5NO/O1qh23R7khtTPoCjM32beMsvGyS/Yj7cMIe+ACFMTrjGUkmD&#10;JGZvUVIb9/Vf5zEe5YKXkhZ9VlD/ZcucoES+1yjkfDiZxMZMm0l+OsLGHXs2xx69VecGrTzEjFqe&#10;zBgf5MGsnFGfMWDrmBUupjlyFzQczPPQdz8GlIv1OgWhFS0LV/rW8gjdy7neBlM1SekoU6/NXj00&#10;YyrAfnBitx/vU9TTz2L1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fJCmPbAAAACwEAAA8AAAAA&#10;AAAAAQAgAAAAIgAAAGRycy9kb3ducmV2LnhtbFBLAQIUABQAAAAIAIdO4kDrRkcYSgIAAHQEAAAO&#10;AAAAAAAAAAEAIAAAACoBAABkcnMvZTJvRG9jLnhtbFBLBQYAAAAABgAGAFkBAADmBQAAAAA=&#10;">
                <v:fill on="f" focussize="0,0"/>
                <v:stroke on="f" weight="0.5pt"/>
                <v:imagedata o:title=""/>
                <o:lock v:ext="edit" aspectratio="f"/>
                <v:textbox>
                  <w:txbxContent>
                    <w:p w14:paraId="57A7C1F0">
                      <w:r>
                        <w:rPr>
                          <w:rFonts w:hint="eastAsia" w:ascii="Times New Roman" w:eastAsia="宋体"/>
                          <w:b/>
                          <w:bCs/>
                          <w:color w:val="000000" w:themeColor="text1"/>
                          <w:sz w:val="24"/>
                          <w:szCs w:val="24"/>
                          <w:lang w:val="en-US" w:eastAsia="zh-CN"/>
                          <w14:textFill>
                            <w14:solidFill>
                              <w14:schemeClr w14:val="tx1"/>
                            </w14:solidFill>
                          </w14:textFill>
                        </w:rPr>
                        <w:t>附图1 地理位置图</w:t>
                      </w:r>
                    </w:p>
                  </w:txbxContent>
                </v:textbox>
              </v:shape>
            </w:pict>
          </mc:Fallback>
        </mc:AlternateContent>
      </w:r>
      <w:r>
        <w:rPr>
          <w:color w:val="000000" w:themeColor="text1"/>
          <w:sz w:val="32"/>
          <w14:textFill>
            <w14:solidFill>
              <w14:schemeClr w14:val="tx1"/>
            </w14:solidFill>
          </w14:textFill>
        </w:rPr>
        <w:drawing>
          <wp:inline distT="0" distB="0" distL="114300" distR="114300">
            <wp:extent cx="8209915" cy="5309870"/>
            <wp:effectExtent l="0" t="0" r="635" b="5080"/>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28"/>
                    <a:stretch>
                      <a:fillRect/>
                    </a:stretch>
                  </pic:blipFill>
                  <pic:spPr>
                    <a:xfrm>
                      <a:off x="0" y="0"/>
                      <a:ext cx="8209915" cy="5309870"/>
                    </a:xfrm>
                    <a:prstGeom prst="rect">
                      <a:avLst/>
                    </a:prstGeom>
                    <a:noFill/>
                    <a:ln>
                      <a:noFill/>
                    </a:ln>
                  </pic:spPr>
                </pic:pic>
              </a:graphicData>
            </a:graphic>
          </wp:inline>
        </w:drawing>
      </w:r>
    </w:p>
    <w:p w14:paraId="149317AD">
      <w:r>
        <w:drawing>
          <wp:inline distT="0" distB="0" distL="114300" distR="114300">
            <wp:extent cx="8747760" cy="4892040"/>
            <wp:effectExtent l="0" t="0" r="15240" b="3810"/>
            <wp:docPr id="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
                    <pic:cNvPicPr>
                      <a:picLocks noChangeAspect="1"/>
                    </pic:cNvPicPr>
                  </pic:nvPicPr>
                  <pic:blipFill>
                    <a:blip r:embed="rId29"/>
                    <a:stretch>
                      <a:fillRect/>
                    </a:stretch>
                  </pic:blipFill>
                  <pic:spPr>
                    <a:xfrm>
                      <a:off x="0" y="0"/>
                      <a:ext cx="8747760" cy="4892040"/>
                    </a:xfrm>
                    <a:prstGeom prst="rect">
                      <a:avLst/>
                    </a:prstGeom>
                    <a:noFill/>
                    <a:ln>
                      <a:noFill/>
                    </a:ln>
                  </pic:spPr>
                </pic:pic>
              </a:graphicData>
            </a:graphic>
          </wp:inline>
        </w:drawing>
      </w:r>
    </w:p>
    <w:p w14:paraId="12C1AE42">
      <w:pPr>
        <w:pStyle w:val="10"/>
        <w:ind w:left="0" w:leftChars="0" w:right="0" w:rightChars="0" w:firstLine="0" w:firstLineChars="0"/>
        <w:jc w:val="center"/>
      </w:pPr>
      <w:r>
        <w:rPr>
          <w:rFonts w:hint="default" w:ascii="Times New Roman" w:hAnsi="Times New Roman" w:eastAsia="宋体" w:cs="Times New Roman"/>
          <w:b/>
          <w:bCs/>
          <w:color w:val="FF0000"/>
          <w:sz w:val="24"/>
          <w:szCs w:val="24"/>
          <w:lang w:val="en-US" w:eastAsia="zh-CN"/>
        </w:rPr>
        <w:t>附图2平面布置图</w:t>
      </w:r>
    </w:p>
    <w:p w14:paraId="004B5802">
      <w:pPr>
        <w:sectPr>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04325FB9">
      <w:pPr>
        <w:jc w:val="center"/>
        <w:rPr>
          <w:rFonts w:hint="eastAsia" w:eastAsia="宋体"/>
          <w:color w:val="000000" w:themeColor="text1"/>
          <w:sz w:val="32"/>
          <w:lang w:eastAsia="zh-CN"/>
          <w14:textFill>
            <w14:solidFill>
              <w14:schemeClr w14:val="tx1"/>
            </w14:solidFill>
          </w14:textFill>
        </w:rPr>
      </w:pPr>
      <w:r>
        <w:rPr>
          <w:rFonts w:hint="eastAsia" w:eastAsia="宋体"/>
          <w:color w:val="000000" w:themeColor="text1"/>
          <w:sz w:val="32"/>
          <w:lang w:eastAsia="zh-CN"/>
          <w14:textFill>
            <w14:solidFill>
              <w14:schemeClr w14:val="tx1"/>
            </w14:solidFill>
          </w14:textFill>
        </w:rPr>
        <w:drawing>
          <wp:inline distT="0" distB="0" distL="114300" distR="114300">
            <wp:extent cx="7185025" cy="5081270"/>
            <wp:effectExtent l="0" t="0" r="15875" b="5080"/>
            <wp:docPr id="6" name="图片 6" descr="432f65cfc9f67daf573b7857ba061b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432f65cfc9f67daf573b7857ba061b50"/>
                    <pic:cNvPicPr>
                      <a:picLocks noChangeAspect="1"/>
                    </pic:cNvPicPr>
                  </pic:nvPicPr>
                  <pic:blipFill>
                    <a:blip r:embed="rId30"/>
                    <a:stretch>
                      <a:fillRect/>
                    </a:stretch>
                  </pic:blipFill>
                  <pic:spPr>
                    <a:xfrm>
                      <a:off x="0" y="0"/>
                      <a:ext cx="7185025" cy="5081270"/>
                    </a:xfrm>
                    <a:prstGeom prst="rect">
                      <a:avLst/>
                    </a:prstGeom>
                  </pic:spPr>
                </pic:pic>
              </a:graphicData>
            </a:graphic>
          </wp:inline>
        </w:drawing>
      </w:r>
    </w:p>
    <w:p w14:paraId="68CB5072">
      <w:pPr>
        <w:jc w:val="center"/>
        <w:rPr>
          <w:rFonts w:hint="eastAsia"/>
          <w:b/>
          <w:bCs/>
          <w:color w:val="FF0000"/>
          <w:sz w:val="24"/>
          <w:szCs w:val="24"/>
          <w:lang w:val="en-US" w:eastAsia="zh-CN"/>
        </w:rPr>
      </w:pPr>
      <w:r>
        <w:rPr>
          <w:rFonts w:hint="eastAsia"/>
          <w:b/>
          <w:bCs/>
          <w:color w:val="FF0000"/>
          <w:sz w:val="24"/>
          <w:szCs w:val="24"/>
          <w:lang w:val="en-US" w:eastAsia="zh-CN"/>
        </w:rPr>
        <w:t>附图3 双鸭山市综合管控单元图</w:t>
      </w:r>
    </w:p>
    <w:p w14:paraId="57E0E3C6">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8737600" cy="4559935"/>
            <wp:effectExtent l="0" t="0" r="6350" b="1206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31"/>
                    <a:stretch>
                      <a:fillRect/>
                    </a:stretch>
                  </pic:blipFill>
                  <pic:spPr>
                    <a:xfrm>
                      <a:off x="0" y="0"/>
                      <a:ext cx="8737600" cy="4559935"/>
                    </a:xfrm>
                    <a:prstGeom prst="rect">
                      <a:avLst/>
                    </a:prstGeom>
                    <a:noFill/>
                    <a:ln>
                      <a:noFill/>
                    </a:ln>
                  </pic:spPr>
                </pic:pic>
              </a:graphicData>
            </a:graphic>
          </wp:inline>
        </w:drawing>
      </w:r>
    </w:p>
    <w:p w14:paraId="3D640D9E">
      <w:pPr>
        <w:pStyle w:val="22"/>
        <w:jc w:val="cente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附图4 大气环境保护目标分布图</w:t>
      </w:r>
    </w:p>
    <w:p w14:paraId="1B17809E">
      <w:pP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p>
    <w:p w14:paraId="05FFDCA3">
      <w:pPr>
        <w:pStyle w:val="2"/>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p>
    <w:p w14:paraId="60576164">
      <w:pPr>
        <w:ind w:left="0" w:leftChars="0" w:right="0" w:rightChars="0" w:firstLine="0" w:firstLineChars="0"/>
        <w:jc w:val="cente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drawing>
          <wp:inline distT="0" distB="0" distL="114300" distR="114300">
            <wp:extent cx="8200390" cy="4921250"/>
            <wp:effectExtent l="0" t="0" r="10160" b="12700"/>
            <wp:docPr id="23" name="图片 23" descr="微信图片_2025030614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微信图片_20250306141220"/>
                    <pic:cNvPicPr>
                      <a:picLocks noChangeAspect="1"/>
                    </pic:cNvPicPr>
                  </pic:nvPicPr>
                  <pic:blipFill>
                    <a:blip r:embed="rId32"/>
                    <a:stretch>
                      <a:fillRect/>
                    </a:stretch>
                  </pic:blipFill>
                  <pic:spPr>
                    <a:xfrm>
                      <a:off x="0" y="0"/>
                      <a:ext cx="8200390" cy="4921250"/>
                    </a:xfrm>
                    <a:prstGeom prst="rect">
                      <a:avLst/>
                    </a:prstGeom>
                  </pic:spPr>
                </pic:pic>
              </a:graphicData>
            </a:graphic>
          </wp:inline>
        </w:drawing>
      </w:r>
    </w:p>
    <w:p w14:paraId="1962A27E">
      <w:pPr>
        <w:pStyle w:val="2"/>
        <w:ind w:left="0" w:leftChars="0" w:right="0" w:rightChars="0" w:firstLine="0" w:firstLineChars="0"/>
        <w:jc w:val="cente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附图</w:t>
      </w:r>
      <w:r>
        <w:rPr>
          <w:rFonts w:hint="eastAsia" w:cs="Times New Roman"/>
          <w:b/>
          <w:bCs/>
          <w:color w:val="000000" w:themeColor="text1"/>
          <w:kern w:val="2"/>
          <w:sz w:val="24"/>
          <w:szCs w:val="24"/>
          <w:lang w:val="en-US" w:eastAsia="zh-CN" w:bidi="ar-SA"/>
          <w14:textFill>
            <w14:solidFill>
              <w14:schemeClr w14:val="tx1"/>
            </w14:solidFill>
          </w14:textFill>
        </w:rPr>
        <w:t>5</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w:t>
      </w:r>
      <w:r>
        <w:rPr>
          <w:rFonts w:hint="eastAsia" w:cs="Times New Roman"/>
          <w:b/>
          <w:bCs/>
          <w:color w:val="000000" w:themeColor="text1"/>
          <w:kern w:val="2"/>
          <w:sz w:val="24"/>
          <w:szCs w:val="24"/>
          <w:lang w:val="en-US" w:eastAsia="zh-CN" w:bidi="ar-SA"/>
          <w14:textFill>
            <w14:solidFill>
              <w14:schemeClr w14:val="tx1"/>
            </w14:solidFill>
          </w14:textFill>
        </w:rPr>
        <w:t>声</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环境保护目标分布图</w:t>
      </w:r>
    </w:p>
    <w:p w14:paraId="44CE796D">
      <w:pP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drawing>
          <wp:inline distT="0" distB="0" distL="114300" distR="114300">
            <wp:extent cx="8743950" cy="5169535"/>
            <wp:effectExtent l="0" t="0" r="0" b="12065"/>
            <wp:docPr id="4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9"/>
                    <pic:cNvPicPr>
                      <a:picLocks noChangeAspect="1"/>
                    </pic:cNvPicPr>
                  </pic:nvPicPr>
                  <pic:blipFill>
                    <a:blip r:embed="rId33"/>
                    <a:stretch>
                      <a:fillRect/>
                    </a:stretch>
                  </pic:blipFill>
                  <pic:spPr>
                    <a:xfrm>
                      <a:off x="0" y="0"/>
                      <a:ext cx="8743950" cy="5169535"/>
                    </a:xfrm>
                    <a:prstGeom prst="rect">
                      <a:avLst/>
                    </a:prstGeom>
                    <a:noFill/>
                    <a:ln>
                      <a:noFill/>
                    </a:ln>
                  </pic:spPr>
                </pic:pic>
              </a:graphicData>
            </a:graphic>
          </wp:inline>
        </w:drawing>
      </w:r>
    </w:p>
    <w:p w14:paraId="5FA26E51">
      <w:pPr>
        <w:pStyle w:val="39"/>
        <w:ind w:left="0" w:leftChars="0" w:right="0" w:rightChars="0" w:firstLine="0" w:firstLineChars="0"/>
        <w:jc w:val="center"/>
        <w:rPr>
          <w:rFonts w:hint="eastAsia"/>
          <w:lang w:val="en-US" w:eastAsia="zh-CN"/>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附图</w:t>
      </w:r>
      <w:r>
        <w:rPr>
          <w:rFonts w:hint="eastAsia" w:cs="Times New Roman"/>
          <w:b/>
          <w:bCs/>
          <w:color w:val="000000" w:themeColor="text1"/>
          <w:sz w:val="24"/>
          <w:szCs w:val="24"/>
          <w:lang w:val="en-US" w:eastAsia="zh-CN"/>
          <w14:textFill>
            <w14:solidFill>
              <w14:schemeClr w14:val="tx1"/>
            </w14:solidFill>
          </w14:textFill>
        </w:rPr>
        <w:t>6</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 xml:space="preserve"> </w:t>
      </w:r>
      <w:r>
        <w:rPr>
          <w:rFonts w:hint="eastAsia" w:cs="Times New Roman"/>
          <w:b/>
          <w:bCs/>
          <w:color w:val="000000" w:themeColor="text1"/>
          <w:sz w:val="24"/>
          <w:szCs w:val="24"/>
          <w:lang w:val="en-US" w:eastAsia="zh-CN"/>
          <w14:textFill>
            <w14:solidFill>
              <w14:schemeClr w14:val="tx1"/>
            </w14:solidFill>
          </w14:textFill>
        </w:rPr>
        <w:t>分区防渗图</w:t>
      </w:r>
    </w:p>
    <w:p w14:paraId="4D8E0599">
      <w:pPr>
        <w:jc w:val="both"/>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sectPr>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31409E2B">
      <w:pPr>
        <w:jc w:val="both"/>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cs="Times New Roman"/>
          <w:b/>
          <w:bCs/>
          <w:color w:val="000000" w:themeColor="text1"/>
          <w:sz w:val="24"/>
          <w:szCs w:val="24"/>
          <w:lang w:val="en-US" w:eastAsia="zh-CN"/>
          <w14:textFill>
            <w14:solidFill>
              <w14:schemeClr w14:val="tx1"/>
            </w14:solidFill>
          </w14:textFill>
        </w:rPr>
        <w:t xml:space="preserve">附图7 </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全本公示截图</w:t>
      </w:r>
    </w:p>
    <w:p w14:paraId="59BD6C22">
      <w:pPr>
        <w:pStyle w:val="22"/>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p>
    <w:p w14:paraId="4E980A2C">
      <w:pP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p>
    <w:p w14:paraId="2F65D9DB">
      <w:pPr>
        <w:pStyle w:val="22"/>
        <w:ind w:left="0" w:leftChars="0" w:firstLine="0" w:firstLineChars="0"/>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drawing>
          <wp:inline distT="0" distB="0" distL="114300" distR="114300">
            <wp:extent cx="5395595" cy="3895090"/>
            <wp:effectExtent l="0" t="0" r="14605" b="10160"/>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34"/>
                    <a:stretch>
                      <a:fillRect/>
                    </a:stretch>
                  </pic:blipFill>
                  <pic:spPr>
                    <a:xfrm>
                      <a:off x="0" y="0"/>
                      <a:ext cx="5395595" cy="3895090"/>
                    </a:xfrm>
                    <a:prstGeom prst="rect">
                      <a:avLst/>
                    </a:prstGeom>
                    <a:noFill/>
                    <a:ln>
                      <a:noFill/>
                    </a:ln>
                  </pic:spPr>
                </pic:pic>
              </a:graphicData>
            </a:graphic>
          </wp:inline>
        </w:drawing>
      </w:r>
    </w:p>
    <w:p w14:paraId="532EF5CB">
      <w:pPr>
        <w:rPr>
          <w:rFonts w:hint="eastAsia"/>
          <w:color w:val="000000" w:themeColor="text1"/>
          <w:lang w:val="en-US" w:eastAsia="zh-CN"/>
          <w14:textFill>
            <w14:solidFill>
              <w14:schemeClr w14:val="tx1"/>
            </w14:solidFill>
          </w14:textFill>
        </w:rPr>
        <w:sectPr>
          <w:pgSz w:w="11906" w:h="16838"/>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025A9968">
      <w:pPr>
        <w:jc w:val="both"/>
        <w:rPr>
          <w:rFonts w:hint="eastAsia" w:ascii="Times New Roman" w:hAnsi="Times New Roman" w:eastAsia="宋体" w:cs="Times New Roman"/>
          <w:b/>
          <w:bCs/>
          <w:color w:val="FF0000"/>
          <w:sz w:val="24"/>
          <w:szCs w:val="24"/>
          <w:lang w:val="en-US" w:eastAsia="zh-CN"/>
        </w:rPr>
      </w:pPr>
      <w:r>
        <w:rPr>
          <w:rFonts w:hint="eastAsia" w:ascii="Times New Roman" w:hAnsi="Times New Roman" w:eastAsia="宋体" w:cs="Times New Roman"/>
          <w:b/>
          <w:bCs/>
          <w:color w:val="FF0000"/>
          <w:sz w:val="24"/>
          <w:szCs w:val="24"/>
          <w:lang w:val="en-US" w:eastAsia="zh-CN"/>
        </w:rPr>
        <w:t>附图8 原煤段洒水降尘系统设计图</w:t>
      </w:r>
    </w:p>
    <w:p w14:paraId="66709EC8">
      <w:pPr>
        <w:jc w:val="both"/>
        <w:rPr>
          <w:rFonts w:hint="eastAsia" w:ascii="Times New Roman" w:hAnsi="Times New Roman" w:eastAsia="宋体" w:cs="Times New Roman"/>
          <w:b/>
          <w:bCs/>
          <w:color w:val="FF0000"/>
          <w:sz w:val="24"/>
          <w:szCs w:val="24"/>
          <w:lang w:val="en-US" w:eastAsia="zh-CN"/>
        </w:rPr>
      </w:pPr>
      <w:r>
        <w:rPr>
          <w:rFonts w:hint="eastAsia" w:ascii="Times New Roman" w:hAnsi="Times New Roman" w:eastAsia="宋体" w:cs="Times New Roman"/>
          <w:b/>
          <w:bCs/>
          <w:color w:val="FF0000"/>
          <w:sz w:val="24"/>
          <w:szCs w:val="24"/>
          <w:lang w:val="en-US" w:eastAsia="zh-CN"/>
        </w:rPr>
        <w:drawing>
          <wp:inline distT="0" distB="0" distL="114300" distR="114300">
            <wp:extent cx="5256530" cy="2906395"/>
            <wp:effectExtent l="0" t="0" r="1270" b="8255"/>
            <wp:docPr id="43" name="图片 43" descr="f1506e0234b4f92425c60829ca212b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f1506e0234b4f92425c60829ca212b61"/>
                    <pic:cNvPicPr>
                      <a:picLocks noChangeAspect="1"/>
                    </pic:cNvPicPr>
                  </pic:nvPicPr>
                  <pic:blipFill>
                    <a:blip r:embed="rId35"/>
                    <a:stretch>
                      <a:fillRect/>
                    </a:stretch>
                  </pic:blipFill>
                  <pic:spPr>
                    <a:xfrm>
                      <a:off x="0" y="0"/>
                      <a:ext cx="5256530" cy="2906395"/>
                    </a:xfrm>
                    <a:prstGeom prst="rect">
                      <a:avLst/>
                    </a:prstGeom>
                  </pic:spPr>
                </pic:pic>
              </a:graphicData>
            </a:graphic>
          </wp:inline>
        </w:drawing>
      </w:r>
    </w:p>
    <w:p w14:paraId="7536EA35">
      <w:pPr>
        <w:jc w:val="both"/>
        <w:rPr>
          <w:rFonts w:hint="eastAsia" w:ascii="Times New Roman" w:hAnsi="Times New Roman" w:eastAsia="宋体" w:cs="Times New Roman"/>
          <w:b/>
          <w:bCs/>
          <w:color w:val="FF0000"/>
          <w:sz w:val="24"/>
          <w:szCs w:val="24"/>
          <w:lang w:val="en-US" w:eastAsia="zh-CN"/>
        </w:rPr>
        <w:sectPr>
          <w:pgSz w:w="11906" w:h="16838"/>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086F249D">
      <w:pPr>
        <w:jc w:val="both"/>
        <w:rPr>
          <w:rFonts w:hint="eastAsia" w:ascii="Times New Roman" w:hAnsi="Times New Roman" w:eastAsia="宋体" w:cs="Times New Roman"/>
          <w:b/>
          <w:bCs/>
          <w:color w:val="FF0000"/>
          <w:sz w:val="24"/>
          <w:szCs w:val="24"/>
          <w:lang w:val="en-US" w:eastAsia="zh-CN"/>
        </w:rPr>
      </w:pPr>
      <w:r>
        <w:rPr>
          <w:rFonts w:hint="eastAsia" w:ascii="Times New Roman" w:hAnsi="Times New Roman" w:eastAsia="宋体" w:cs="Times New Roman"/>
          <w:b/>
          <w:bCs/>
          <w:color w:val="FF0000"/>
          <w:sz w:val="24"/>
          <w:szCs w:val="24"/>
          <w:lang w:val="en-US" w:eastAsia="zh-CN"/>
        </w:rPr>
        <w:drawing>
          <wp:inline distT="0" distB="0" distL="114300" distR="114300">
            <wp:extent cx="8738235" cy="4488180"/>
            <wp:effectExtent l="0" t="0" r="5715" b="7620"/>
            <wp:docPr id="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0"/>
                    <pic:cNvPicPr>
                      <a:picLocks noChangeAspect="1"/>
                    </pic:cNvPicPr>
                  </pic:nvPicPr>
                  <pic:blipFill>
                    <a:blip r:embed="rId36"/>
                    <a:stretch>
                      <a:fillRect/>
                    </a:stretch>
                  </pic:blipFill>
                  <pic:spPr>
                    <a:xfrm>
                      <a:off x="0" y="0"/>
                      <a:ext cx="8738235" cy="4488180"/>
                    </a:xfrm>
                    <a:prstGeom prst="rect">
                      <a:avLst/>
                    </a:prstGeom>
                    <a:noFill/>
                    <a:ln>
                      <a:noFill/>
                    </a:ln>
                  </pic:spPr>
                </pic:pic>
              </a:graphicData>
            </a:graphic>
          </wp:inline>
        </w:drawing>
      </w:r>
    </w:p>
    <w:p w14:paraId="4135E9BE">
      <w:pPr>
        <w:ind w:left="0" w:leftChars="0" w:right="0" w:rightChars="0" w:firstLine="0" w:firstLineChars="0"/>
        <w:jc w:val="center"/>
        <w:rPr>
          <w:rFonts w:hint="eastAsia" w:ascii="Times New Roman" w:hAnsi="Times New Roman" w:eastAsia="宋体" w:cs="Times New Roman"/>
          <w:b/>
          <w:bCs/>
          <w:color w:val="FF0000"/>
          <w:sz w:val="24"/>
          <w:szCs w:val="24"/>
          <w:lang w:val="en-US" w:eastAsia="zh-CN"/>
        </w:rPr>
      </w:pPr>
      <w:r>
        <w:rPr>
          <w:rFonts w:hint="eastAsia" w:ascii="Times New Roman" w:hAnsi="Times New Roman" w:eastAsia="宋体" w:cs="Times New Roman"/>
          <w:b/>
          <w:bCs/>
          <w:color w:val="FF0000"/>
          <w:sz w:val="24"/>
          <w:szCs w:val="24"/>
          <w:lang w:val="en-US" w:eastAsia="zh-CN"/>
        </w:rPr>
        <w:t>附图9 厂内雨水管路路线图</w:t>
      </w:r>
    </w:p>
    <w:p w14:paraId="02B3D569">
      <w:pPr>
        <w:jc w:val="both"/>
        <w:rPr>
          <w:rFonts w:hint="eastAsia" w:ascii="Times New Roman" w:hAnsi="Times New Roman" w:eastAsia="宋体" w:cs="Times New Roman"/>
          <w:b/>
          <w:bCs/>
          <w:color w:val="FF0000"/>
          <w:sz w:val="24"/>
          <w:szCs w:val="24"/>
          <w:lang w:val="en-US" w:eastAsia="zh-CN"/>
        </w:rPr>
        <w:sectPr>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486B0E76">
      <w:pPr>
        <w:pStyle w:val="11"/>
        <w:ind w:firstLine="0"/>
        <w:outlineLvl w:val="0"/>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bookmarkStart w:id="30" w:name="_Toc28148"/>
      <w:bookmarkStart w:id="31" w:name="_Toc10431"/>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附件</w:t>
      </w:r>
      <w:r>
        <w:rPr>
          <w:rFonts w:hint="eastAsia" w:cs="Times New Roman"/>
          <w:b/>
          <w:bCs/>
          <w:color w:val="000000" w:themeColor="text1"/>
          <w:kern w:val="2"/>
          <w:sz w:val="24"/>
          <w:szCs w:val="24"/>
          <w:lang w:val="en-US" w:eastAsia="zh-CN" w:bidi="ar-SA"/>
          <w14:textFill>
            <w14:solidFill>
              <w14:schemeClr w14:val="tx1"/>
            </w14:solidFill>
          </w14:textFill>
        </w:rPr>
        <w:t>1</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w:t>
      </w:r>
      <w:bookmarkEnd w:id="30"/>
      <w:r>
        <w:rPr>
          <w:rFonts w:hint="eastAsia" w:cs="Times New Roman"/>
          <w:b/>
          <w:bCs/>
          <w:color w:val="000000" w:themeColor="text1"/>
          <w:kern w:val="2"/>
          <w:sz w:val="24"/>
          <w:szCs w:val="24"/>
          <w:lang w:val="en-US" w:eastAsia="zh-CN" w:bidi="ar-SA"/>
          <w14:textFill>
            <w14:solidFill>
              <w14:schemeClr w14:val="tx1"/>
            </w14:solidFill>
          </w14:textFill>
        </w:rPr>
        <w:t>营业执照</w:t>
      </w:r>
    </w:p>
    <w:p w14:paraId="54E311E5">
      <w:pPr>
        <w:pStyle w:val="11"/>
        <w:ind w:firstLine="0"/>
        <w:outlineLvl w:val="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drawing>
          <wp:inline distT="0" distB="0" distL="114300" distR="114300">
            <wp:extent cx="5388610" cy="7653655"/>
            <wp:effectExtent l="0" t="0" r="2540" b="4445"/>
            <wp:docPr id="56" name="图片 56" descr="3d8194ec78bc4248d3ea2ff4002d1f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3d8194ec78bc4248d3ea2ff4002d1f8c"/>
                    <pic:cNvPicPr>
                      <a:picLocks noChangeAspect="1"/>
                    </pic:cNvPicPr>
                  </pic:nvPicPr>
                  <pic:blipFill>
                    <a:blip r:embed="rId37"/>
                    <a:stretch>
                      <a:fillRect/>
                    </a:stretch>
                  </pic:blipFill>
                  <pic:spPr>
                    <a:xfrm>
                      <a:off x="0" y="0"/>
                      <a:ext cx="5388610" cy="7653655"/>
                    </a:xfrm>
                    <a:prstGeom prst="rect">
                      <a:avLst/>
                    </a:prstGeom>
                  </pic:spPr>
                </pic:pic>
              </a:graphicData>
            </a:graphic>
          </wp:inline>
        </w:drawing>
      </w:r>
    </w:p>
    <w:p w14:paraId="348307BF">
      <w:pPr>
        <w:pStyle w:val="11"/>
        <w:ind w:firstLine="0"/>
        <w:outlineLvl w:val="0"/>
        <w:rPr>
          <w:rFonts w:hint="eastAsia" w:cs="Times New Roman"/>
          <w:b/>
          <w:bCs/>
          <w:color w:val="000000" w:themeColor="text1"/>
          <w:kern w:val="2"/>
          <w:sz w:val="24"/>
          <w:szCs w:val="24"/>
          <w:lang w:val="en-US" w:eastAsia="zh-CN" w:bidi="ar-SA"/>
          <w14:textFill>
            <w14:solidFill>
              <w14:schemeClr w14:val="tx1"/>
            </w14:solidFill>
          </w14:textFill>
        </w:rPr>
      </w:pPr>
    </w:p>
    <w:p w14:paraId="7463D7A1">
      <w:pPr>
        <w:pStyle w:val="11"/>
        <w:ind w:firstLine="0"/>
        <w:outlineLvl w:val="0"/>
        <w:rPr>
          <w:rFonts w:hint="eastAsia" w:cs="Times New Roman"/>
          <w:b/>
          <w:bCs/>
          <w:color w:val="000000" w:themeColor="text1"/>
          <w:kern w:val="2"/>
          <w:sz w:val="24"/>
          <w:szCs w:val="24"/>
          <w:lang w:val="en-US" w:eastAsia="zh-CN" w:bidi="ar-SA"/>
          <w14:textFill>
            <w14:solidFill>
              <w14:schemeClr w14:val="tx1"/>
            </w14:solidFill>
          </w14:textFill>
        </w:rPr>
      </w:pPr>
    </w:p>
    <w:p w14:paraId="0EB00F7B">
      <w:pPr>
        <w:pStyle w:val="11"/>
        <w:ind w:firstLine="0"/>
        <w:outlineLvl w:val="0"/>
        <w:rPr>
          <w:rFonts w:hint="eastAsia" w:cs="Times New Roman"/>
          <w:b/>
          <w:bCs/>
          <w:color w:val="000000" w:themeColor="text1"/>
          <w:kern w:val="2"/>
          <w:sz w:val="24"/>
          <w:szCs w:val="24"/>
          <w:lang w:val="en-US" w:eastAsia="zh-CN" w:bidi="ar-SA"/>
          <w14:textFill>
            <w14:solidFill>
              <w14:schemeClr w14:val="tx1"/>
            </w14:solidFill>
          </w14:textFill>
        </w:rPr>
      </w:pPr>
    </w:p>
    <w:p w14:paraId="53A4178A">
      <w:pPr>
        <w:pStyle w:val="11"/>
        <w:ind w:firstLine="0"/>
        <w:outlineLvl w:val="0"/>
        <w:rPr>
          <w:rFonts w:hint="eastAsia" w:cs="Times New Roman"/>
          <w:b/>
          <w:bCs/>
          <w:color w:val="000000" w:themeColor="text1"/>
          <w:kern w:val="2"/>
          <w:sz w:val="24"/>
          <w:szCs w:val="24"/>
          <w:lang w:val="en-US" w:eastAsia="zh-CN" w:bidi="ar-SA"/>
          <w14:textFill>
            <w14:solidFill>
              <w14:schemeClr w14:val="tx1"/>
            </w14:solidFill>
          </w14:textFill>
        </w:rPr>
      </w:pPr>
    </w:p>
    <w:p w14:paraId="5A5F26EF">
      <w:pPr>
        <w:pStyle w:val="11"/>
        <w:ind w:firstLine="0"/>
        <w:outlineLvl w:val="0"/>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cs="Times New Roman"/>
          <w:b/>
          <w:bCs/>
          <w:color w:val="000000" w:themeColor="text1"/>
          <w:kern w:val="2"/>
          <w:sz w:val="24"/>
          <w:szCs w:val="24"/>
          <w:lang w:val="en-US" w:eastAsia="zh-CN" w:bidi="ar-SA"/>
          <w14:textFill>
            <w14:solidFill>
              <w14:schemeClr w14:val="tx1"/>
            </w14:solidFill>
          </w14:textFill>
        </w:rPr>
        <w:t>附件2现有工程环评批复</w:t>
      </w:r>
    </w:p>
    <w:p w14:paraId="67B20767">
      <w:pPr>
        <w:pStyle w:val="11"/>
        <w:ind w:left="0" w:leftChars="0" w:firstLine="0" w:firstLineChars="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drawing>
          <wp:inline distT="0" distB="0" distL="114300" distR="114300">
            <wp:extent cx="5612130" cy="7946390"/>
            <wp:effectExtent l="0" t="0" r="7620" b="16510"/>
            <wp:docPr id="27" name="图片 4" descr="5399fc90906e2b4fb8a9c57d78c9d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descr="5399fc90906e2b4fb8a9c57d78c9daa"/>
                    <pic:cNvPicPr>
                      <a:picLocks noChangeAspect="1"/>
                    </pic:cNvPicPr>
                  </pic:nvPicPr>
                  <pic:blipFill>
                    <a:blip r:embed="rId38"/>
                    <a:stretch>
                      <a:fillRect/>
                    </a:stretch>
                  </pic:blipFill>
                  <pic:spPr>
                    <a:xfrm>
                      <a:off x="0" y="0"/>
                      <a:ext cx="5612130" cy="7946390"/>
                    </a:xfrm>
                    <a:prstGeom prst="rect">
                      <a:avLst/>
                    </a:prstGeom>
                    <a:noFill/>
                    <a:ln>
                      <a:noFill/>
                    </a:ln>
                  </pic:spPr>
                </pic:pic>
              </a:graphicData>
            </a:graphic>
          </wp:inline>
        </w:drawing>
      </w:r>
    </w:p>
    <w:p w14:paraId="2661A646">
      <w:pPr>
        <w:pStyle w:val="11"/>
        <w:ind w:left="0" w:leftChars="0" w:firstLine="0" w:firstLineChars="0"/>
        <w:rPr>
          <w:rFonts w:hint="eastAsia" w:eastAsia="宋体"/>
          <w:color w:val="000000" w:themeColor="text1"/>
          <w:lang w:val="en-US" w:eastAsia="zh-CN"/>
          <w14:textFill>
            <w14:solidFill>
              <w14:schemeClr w14:val="tx1"/>
            </w14:solidFill>
          </w14:textFill>
        </w:rPr>
      </w:pPr>
    </w:p>
    <w:p w14:paraId="1CA2ACB5">
      <w:pPr>
        <w:pStyle w:val="11"/>
        <w:ind w:left="0" w:leftChars="0" w:firstLine="0" w:firstLineChars="0"/>
        <w:rPr>
          <w:rFonts w:hint="eastAsia" w:eastAsia="宋体"/>
          <w:color w:val="000000" w:themeColor="text1"/>
          <w:lang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drawing>
          <wp:inline distT="0" distB="0" distL="114300" distR="114300">
            <wp:extent cx="5615940" cy="8192770"/>
            <wp:effectExtent l="0" t="0" r="3810" b="17780"/>
            <wp:docPr id="28" name="图片 5" descr="46385f9b65d3e9fd05df7a084a986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descr="46385f9b65d3e9fd05df7a084a986ba"/>
                    <pic:cNvPicPr>
                      <a:picLocks noChangeAspect="1"/>
                    </pic:cNvPicPr>
                  </pic:nvPicPr>
                  <pic:blipFill>
                    <a:blip r:embed="rId39"/>
                    <a:stretch>
                      <a:fillRect/>
                    </a:stretch>
                  </pic:blipFill>
                  <pic:spPr>
                    <a:xfrm>
                      <a:off x="0" y="0"/>
                      <a:ext cx="5615940" cy="8192770"/>
                    </a:xfrm>
                    <a:prstGeom prst="rect">
                      <a:avLst/>
                    </a:prstGeom>
                    <a:noFill/>
                    <a:ln>
                      <a:noFill/>
                    </a:ln>
                  </pic:spPr>
                </pic:pic>
              </a:graphicData>
            </a:graphic>
          </wp:inline>
        </w:drawing>
      </w:r>
      <w:r>
        <w:rPr>
          <w:rFonts w:hint="eastAsia" w:eastAsia="宋体"/>
          <w:color w:val="000000" w:themeColor="text1"/>
          <w:lang w:val="en-US" w:eastAsia="zh-CN"/>
          <w14:textFill>
            <w14:solidFill>
              <w14:schemeClr w14:val="tx1"/>
            </w14:solidFill>
          </w14:textFill>
        </w:rPr>
        <w:drawing>
          <wp:inline distT="0" distB="0" distL="114300" distR="114300">
            <wp:extent cx="5610860" cy="7992110"/>
            <wp:effectExtent l="0" t="0" r="8890" b="8890"/>
            <wp:docPr id="26" name="图片 6" descr="8c823379df173253e9426b31639bb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descr="8c823379df173253e9426b31639bb08"/>
                    <pic:cNvPicPr>
                      <a:picLocks noChangeAspect="1"/>
                    </pic:cNvPicPr>
                  </pic:nvPicPr>
                  <pic:blipFill>
                    <a:blip r:embed="rId40"/>
                    <a:stretch>
                      <a:fillRect/>
                    </a:stretch>
                  </pic:blipFill>
                  <pic:spPr>
                    <a:xfrm>
                      <a:off x="0" y="0"/>
                      <a:ext cx="5610860" cy="7992110"/>
                    </a:xfrm>
                    <a:prstGeom prst="rect">
                      <a:avLst/>
                    </a:prstGeom>
                    <a:noFill/>
                    <a:ln>
                      <a:noFill/>
                    </a:ln>
                  </pic:spPr>
                </pic:pic>
              </a:graphicData>
            </a:graphic>
          </wp:inline>
        </w:drawing>
      </w:r>
    </w:p>
    <w:p w14:paraId="46226E04">
      <w:pPr>
        <w:pStyle w:val="11"/>
        <w:ind w:left="0" w:leftChars="0" w:firstLine="0" w:firstLineChars="0"/>
        <w:rPr>
          <w:rFonts w:hint="eastAsia" w:eastAsia="宋体"/>
          <w:color w:val="000000" w:themeColor="text1"/>
          <w:lang w:eastAsia="zh-CN"/>
          <w14:textFill>
            <w14:solidFill>
              <w14:schemeClr w14:val="tx1"/>
            </w14:solidFill>
          </w14:textFill>
        </w:rPr>
        <w:sectPr>
          <w:pgSz w:w="11906" w:h="16838"/>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26EBB743">
      <w:pPr>
        <w:rPr>
          <w:rFonts w:hint="eastAsia"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附件</w:t>
      </w:r>
      <w:r>
        <w:rPr>
          <w:rFonts w:hint="eastAsia" w:cs="Times New Roman"/>
          <w:b/>
          <w:bCs/>
          <w:color w:val="000000" w:themeColor="text1"/>
          <w:kern w:val="2"/>
          <w:sz w:val="24"/>
          <w:szCs w:val="24"/>
          <w:lang w:val="en-US" w:eastAsia="zh-CN" w:bidi="ar-SA"/>
          <w14:textFill>
            <w14:solidFill>
              <w14:schemeClr w14:val="tx1"/>
            </w14:solidFill>
          </w14:textFill>
        </w:rPr>
        <w:t>3</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w:t>
      </w:r>
      <w:r>
        <w:rPr>
          <w:rFonts w:hint="eastAsia" w:cs="Times New Roman"/>
          <w:b/>
          <w:bCs/>
          <w:color w:val="000000" w:themeColor="text1"/>
          <w:kern w:val="2"/>
          <w:sz w:val="24"/>
          <w:szCs w:val="24"/>
          <w:lang w:val="en-US" w:eastAsia="zh-CN" w:bidi="ar-SA"/>
          <w14:textFill>
            <w14:solidFill>
              <w14:schemeClr w14:val="tx1"/>
            </w14:solidFill>
          </w14:textFill>
        </w:rPr>
        <w:t>现有工程验收意见</w:t>
      </w:r>
    </w:p>
    <w:p w14:paraId="1FDF5658">
      <w:pPr>
        <w:pStyle w:val="3"/>
        <w:rPr>
          <w:rFonts w:hint="eastAsia"/>
          <w:lang w:val="en-US" w:eastAsia="zh-CN"/>
        </w:rPr>
      </w:pPr>
      <w:r>
        <w:rPr>
          <w:rFonts w:hint="eastAsia"/>
          <w:lang w:val="en-US" w:eastAsia="zh-CN"/>
        </w:rPr>
        <w:drawing>
          <wp:inline distT="0" distB="0" distL="114300" distR="114300">
            <wp:extent cx="5253990" cy="7424420"/>
            <wp:effectExtent l="0" t="0" r="3810" b="508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41"/>
                    <a:stretch>
                      <a:fillRect/>
                    </a:stretch>
                  </pic:blipFill>
                  <pic:spPr>
                    <a:xfrm>
                      <a:off x="0" y="0"/>
                      <a:ext cx="5253990" cy="7424420"/>
                    </a:xfrm>
                    <a:prstGeom prst="rect">
                      <a:avLst/>
                    </a:prstGeom>
                    <a:noFill/>
                    <a:ln>
                      <a:noFill/>
                    </a:ln>
                  </pic:spPr>
                </pic:pic>
              </a:graphicData>
            </a:graphic>
          </wp:inline>
        </w:drawing>
      </w:r>
    </w:p>
    <w:p w14:paraId="5FAD7F20">
      <w:pPr>
        <w:pStyle w:val="3"/>
        <w:rPr>
          <w:rFonts w:hint="eastAsia" w:cs="Times New Roman"/>
          <w:b/>
          <w:bCs/>
          <w:color w:val="000000" w:themeColor="text1"/>
          <w:kern w:val="2"/>
          <w:sz w:val="24"/>
          <w:szCs w:val="24"/>
          <w:lang w:val="en-US" w:eastAsia="zh-CN" w:bidi="ar-SA"/>
          <w14:textFill>
            <w14:solidFill>
              <w14:schemeClr w14:val="tx1"/>
            </w14:solidFill>
          </w14:textFill>
        </w:rPr>
      </w:pPr>
      <w:r>
        <w:rPr>
          <w:rFonts w:hint="eastAsia" w:cs="Times New Roman"/>
          <w:b/>
          <w:bCs/>
          <w:color w:val="000000" w:themeColor="text1"/>
          <w:kern w:val="2"/>
          <w:sz w:val="24"/>
          <w:szCs w:val="24"/>
          <w:lang w:val="en-US" w:eastAsia="zh-CN" w:bidi="ar-SA"/>
          <w14:textFill>
            <w14:solidFill>
              <w14:schemeClr w14:val="tx1"/>
            </w14:solidFill>
          </w14:textFill>
        </w:rPr>
        <w:drawing>
          <wp:inline distT="0" distB="0" distL="114300" distR="114300">
            <wp:extent cx="5397500" cy="7635875"/>
            <wp:effectExtent l="0" t="0" r="12700" b="3175"/>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42"/>
                    <a:stretch>
                      <a:fillRect/>
                    </a:stretch>
                  </pic:blipFill>
                  <pic:spPr>
                    <a:xfrm>
                      <a:off x="0" y="0"/>
                      <a:ext cx="5397500" cy="7635875"/>
                    </a:xfrm>
                    <a:prstGeom prst="rect">
                      <a:avLst/>
                    </a:prstGeom>
                    <a:noFill/>
                    <a:ln>
                      <a:noFill/>
                    </a:ln>
                  </pic:spPr>
                </pic:pic>
              </a:graphicData>
            </a:graphic>
          </wp:inline>
        </w:drawing>
      </w:r>
      <w:r>
        <w:rPr>
          <w:rFonts w:hint="eastAsia" w:cs="Times New Roman"/>
          <w:b/>
          <w:bCs/>
          <w:color w:val="000000" w:themeColor="text1"/>
          <w:kern w:val="2"/>
          <w:sz w:val="24"/>
          <w:szCs w:val="24"/>
          <w:lang w:val="en-US" w:eastAsia="zh-CN" w:bidi="ar-SA"/>
          <w14:textFill>
            <w14:solidFill>
              <w14:schemeClr w14:val="tx1"/>
            </w14:solidFill>
          </w14:textFill>
        </w:rPr>
        <w:drawing>
          <wp:inline distT="0" distB="0" distL="114300" distR="114300">
            <wp:extent cx="5395595" cy="7631430"/>
            <wp:effectExtent l="0" t="0" r="14605" b="7620"/>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43"/>
                    <a:stretch>
                      <a:fillRect/>
                    </a:stretch>
                  </pic:blipFill>
                  <pic:spPr>
                    <a:xfrm>
                      <a:off x="0" y="0"/>
                      <a:ext cx="5395595" cy="7631430"/>
                    </a:xfrm>
                    <a:prstGeom prst="rect">
                      <a:avLst/>
                    </a:prstGeom>
                    <a:noFill/>
                    <a:ln>
                      <a:noFill/>
                    </a:ln>
                  </pic:spPr>
                </pic:pic>
              </a:graphicData>
            </a:graphic>
          </wp:inline>
        </w:drawing>
      </w:r>
      <w:r>
        <w:rPr>
          <w:rFonts w:hint="eastAsia" w:cs="Times New Roman"/>
          <w:b/>
          <w:bCs/>
          <w:color w:val="000000" w:themeColor="text1"/>
          <w:kern w:val="2"/>
          <w:sz w:val="24"/>
          <w:szCs w:val="24"/>
          <w:lang w:val="en-US" w:eastAsia="zh-CN" w:bidi="ar-SA"/>
          <w14:textFill>
            <w14:solidFill>
              <w14:schemeClr w14:val="tx1"/>
            </w14:solidFill>
          </w14:textFill>
        </w:rPr>
        <w:drawing>
          <wp:inline distT="0" distB="0" distL="114300" distR="114300">
            <wp:extent cx="5399405" cy="7632700"/>
            <wp:effectExtent l="0" t="0" r="10795" b="6350"/>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44"/>
                    <a:stretch>
                      <a:fillRect/>
                    </a:stretch>
                  </pic:blipFill>
                  <pic:spPr>
                    <a:xfrm>
                      <a:off x="0" y="0"/>
                      <a:ext cx="5399405" cy="7632700"/>
                    </a:xfrm>
                    <a:prstGeom prst="rect">
                      <a:avLst/>
                    </a:prstGeom>
                    <a:noFill/>
                    <a:ln>
                      <a:noFill/>
                    </a:ln>
                  </pic:spPr>
                </pic:pic>
              </a:graphicData>
            </a:graphic>
          </wp:inline>
        </w:drawing>
      </w:r>
    </w:p>
    <w:p w14:paraId="18092E34">
      <w:pPr>
        <w:pStyle w:val="14"/>
        <w:rPr>
          <w:rFonts w:hint="eastAsia"/>
          <w:lang w:eastAsia="zh-CN"/>
        </w:rPr>
      </w:pPr>
    </w:p>
    <w:p w14:paraId="2B02CDD2">
      <w:pPr>
        <w:pStyle w:val="10"/>
        <w:rPr>
          <w:rFonts w:hint="eastAsia"/>
          <w:lang w:eastAsia="zh-CN"/>
        </w:rPr>
        <w:sectPr>
          <w:pgSz w:w="11906" w:h="16838"/>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bookmarkEnd w:id="31"/>
    <w:p w14:paraId="51ABD67C">
      <w:pPr>
        <w:outlineLvl w:val="0"/>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bookmarkStart w:id="32" w:name="_Toc12166"/>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附件</w:t>
      </w:r>
      <w:r>
        <w:rPr>
          <w:rFonts w:hint="eastAsia" w:cs="Times New Roman"/>
          <w:b/>
          <w:bCs/>
          <w:color w:val="000000" w:themeColor="text1"/>
          <w:kern w:val="2"/>
          <w:sz w:val="24"/>
          <w:szCs w:val="24"/>
          <w:lang w:val="en-US" w:eastAsia="zh-CN" w:bidi="ar-SA"/>
          <w14:textFill>
            <w14:solidFill>
              <w14:schemeClr w14:val="tx1"/>
            </w14:solidFill>
          </w14:textFill>
        </w:rPr>
        <w:t>4</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w:t>
      </w:r>
      <w:bookmarkEnd w:id="32"/>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放射性核素检测报告</w:t>
      </w:r>
    </w:p>
    <w:p w14:paraId="570677C8">
      <w:pP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drawing>
          <wp:inline distT="0" distB="0" distL="114300" distR="114300">
            <wp:extent cx="5727700" cy="8101330"/>
            <wp:effectExtent l="0" t="0" r="6350" b="13970"/>
            <wp:docPr id="57" name="图片 57" descr="1685513540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1685513540911"/>
                    <pic:cNvPicPr>
                      <a:picLocks noChangeAspect="1"/>
                    </pic:cNvPicPr>
                  </pic:nvPicPr>
                  <pic:blipFill>
                    <a:blip r:embed="rId45"/>
                    <a:stretch>
                      <a:fillRect/>
                    </a:stretch>
                  </pic:blipFill>
                  <pic:spPr>
                    <a:xfrm>
                      <a:off x="0" y="0"/>
                      <a:ext cx="5727700" cy="8101330"/>
                    </a:xfrm>
                    <a:prstGeom prst="rect">
                      <a:avLst/>
                    </a:prstGeom>
                  </pic:spPr>
                </pic:pic>
              </a:graphicData>
            </a:graphic>
          </wp:inline>
        </w:drawing>
      </w:r>
      <w:r>
        <w:rPr>
          <w:rFonts w:hint="eastAsia"/>
          <w:color w:val="000000" w:themeColor="text1"/>
          <w:lang w:eastAsia="zh-CN"/>
          <w14:textFill>
            <w14:solidFill>
              <w14:schemeClr w14:val="tx1"/>
            </w14:solidFill>
          </w14:textFill>
        </w:rPr>
        <w:drawing>
          <wp:inline distT="0" distB="0" distL="114300" distR="114300">
            <wp:extent cx="5727700" cy="8073390"/>
            <wp:effectExtent l="0" t="0" r="6350" b="3810"/>
            <wp:docPr id="58" name="图片 58" descr="168551356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685513562003"/>
                    <pic:cNvPicPr>
                      <a:picLocks noChangeAspect="1"/>
                    </pic:cNvPicPr>
                  </pic:nvPicPr>
                  <pic:blipFill>
                    <a:blip r:embed="rId46"/>
                    <a:stretch>
                      <a:fillRect/>
                    </a:stretch>
                  </pic:blipFill>
                  <pic:spPr>
                    <a:xfrm>
                      <a:off x="0" y="0"/>
                      <a:ext cx="5727700" cy="8073390"/>
                    </a:xfrm>
                    <a:prstGeom prst="rect">
                      <a:avLst/>
                    </a:prstGeom>
                  </pic:spPr>
                </pic:pic>
              </a:graphicData>
            </a:graphic>
          </wp:inline>
        </w:drawing>
      </w:r>
      <w:r>
        <w:rPr>
          <w:rFonts w:hint="eastAsia"/>
          <w:color w:val="000000" w:themeColor="text1"/>
          <w:lang w:eastAsia="zh-CN"/>
          <w14:textFill>
            <w14:solidFill>
              <w14:schemeClr w14:val="tx1"/>
            </w14:solidFill>
          </w14:textFill>
        </w:rPr>
        <w:drawing>
          <wp:inline distT="0" distB="0" distL="114300" distR="114300">
            <wp:extent cx="5731510" cy="8074660"/>
            <wp:effectExtent l="0" t="0" r="2540" b="2540"/>
            <wp:docPr id="59" name="图片 59" descr="1685513578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1685513578519"/>
                    <pic:cNvPicPr>
                      <a:picLocks noChangeAspect="1"/>
                    </pic:cNvPicPr>
                  </pic:nvPicPr>
                  <pic:blipFill>
                    <a:blip r:embed="rId47"/>
                    <a:stretch>
                      <a:fillRect/>
                    </a:stretch>
                  </pic:blipFill>
                  <pic:spPr>
                    <a:xfrm>
                      <a:off x="0" y="0"/>
                      <a:ext cx="5731510" cy="8074660"/>
                    </a:xfrm>
                    <a:prstGeom prst="rect">
                      <a:avLst/>
                    </a:prstGeom>
                  </pic:spPr>
                </pic:pic>
              </a:graphicData>
            </a:graphic>
          </wp:inline>
        </w:drawing>
      </w:r>
      <w:r>
        <w:rPr>
          <w:rFonts w:hint="eastAsia"/>
          <w:color w:val="000000" w:themeColor="text1"/>
          <w:lang w:eastAsia="zh-CN"/>
          <w14:textFill>
            <w14:solidFill>
              <w14:schemeClr w14:val="tx1"/>
            </w14:solidFill>
          </w14:textFill>
        </w:rPr>
        <w:drawing>
          <wp:inline distT="0" distB="0" distL="114300" distR="114300">
            <wp:extent cx="5728970" cy="8133080"/>
            <wp:effectExtent l="0" t="0" r="5080" b="1270"/>
            <wp:docPr id="60" name="图片 60" descr="1685513628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1685513628713"/>
                    <pic:cNvPicPr>
                      <a:picLocks noChangeAspect="1"/>
                    </pic:cNvPicPr>
                  </pic:nvPicPr>
                  <pic:blipFill>
                    <a:blip r:embed="rId48"/>
                    <a:stretch>
                      <a:fillRect/>
                    </a:stretch>
                  </pic:blipFill>
                  <pic:spPr>
                    <a:xfrm>
                      <a:off x="0" y="0"/>
                      <a:ext cx="5728970" cy="8133080"/>
                    </a:xfrm>
                    <a:prstGeom prst="rect">
                      <a:avLst/>
                    </a:prstGeom>
                  </pic:spPr>
                </pic:pic>
              </a:graphicData>
            </a:graphic>
          </wp:inline>
        </w:drawing>
      </w:r>
    </w:p>
    <w:p w14:paraId="43064723">
      <w:pPr>
        <w:rPr>
          <w:color w:val="000000" w:themeColor="text1"/>
          <w14:textFill>
            <w14:solidFill>
              <w14:schemeClr w14:val="tx1"/>
            </w14:solidFill>
          </w14:textFill>
        </w:rPr>
      </w:pPr>
    </w:p>
    <w:p w14:paraId="4F30AA01">
      <w:pPr>
        <w:rPr>
          <w:color w:val="000000" w:themeColor="text1"/>
          <w14:textFill>
            <w14:solidFill>
              <w14:schemeClr w14:val="tx1"/>
            </w14:solidFill>
          </w14:textFill>
        </w:rPr>
        <w:sectPr>
          <w:pgSz w:w="11906" w:h="16838"/>
          <w:pgMar w:top="1531" w:right="1440" w:bottom="1531" w:left="1440" w:header="851" w:footer="851" w:gutter="0"/>
          <w:pgBorders>
            <w:top w:val="none" w:sz="0" w:space="0"/>
            <w:left w:val="none" w:sz="0" w:space="0"/>
            <w:bottom w:val="none" w:sz="0" w:space="0"/>
            <w:right w:val="none" w:sz="0" w:space="0"/>
          </w:pgBorders>
          <w:cols w:space="720" w:num="1"/>
          <w:docGrid w:linePitch="312" w:charSpace="0"/>
        </w:sectPr>
      </w:pPr>
    </w:p>
    <w:p w14:paraId="3A515273">
      <w:pPr>
        <w:outlineLvl w:val="0"/>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bookmarkStart w:id="33" w:name="_Toc5548"/>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附件</w:t>
      </w:r>
      <w:r>
        <w:rPr>
          <w:rFonts w:hint="eastAsia" w:cs="Times New Roman"/>
          <w:b/>
          <w:bCs/>
          <w:color w:val="000000" w:themeColor="text1"/>
          <w:kern w:val="2"/>
          <w:sz w:val="24"/>
          <w:szCs w:val="24"/>
          <w:lang w:val="en-US" w:eastAsia="zh-CN" w:bidi="ar-SA"/>
          <w14:textFill>
            <w14:solidFill>
              <w14:schemeClr w14:val="tx1"/>
            </w14:solidFill>
          </w14:textFill>
        </w:rPr>
        <w:t>5</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 </w:t>
      </w:r>
      <w:bookmarkEnd w:id="33"/>
      <w:r>
        <w:rPr>
          <w:rFonts w:hint="eastAsia" w:cs="Times New Roman"/>
          <w:b/>
          <w:bCs/>
          <w:color w:val="000000" w:themeColor="text1"/>
          <w:kern w:val="2"/>
          <w:sz w:val="24"/>
          <w:szCs w:val="24"/>
          <w:lang w:val="en-US" w:eastAsia="zh-CN" w:bidi="ar-SA"/>
          <w14:textFill>
            <w14:solidFill>
              <w14:schemeClr w14:val="tx1"/>
            </w14:solidFill>
          </w14:textFill>
        </w:rPr>
        <w:t>突发环境事件应急预案备案表</w:t>
      </w:r>
    </w:p>
    <w:p w14:paraId="2B547693">
      <w:pPr>
        <w:pStyle w:val="22"/>
        <w:ind w:left="0" w:leftChars="0"/>
        <w:jc w:val="center"/>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drawing>
          <wp:inline distT="0" distB="0" distL="114300" distR="114300">
            <wp:extent cx="4992370" cy="6872605"/>
            <wp:effectExtent l="0" t="0" r="17780" b="4445"/>
            <wp:docPr id="34" name="图片 7" descr="6ea687fb6cfbe5dde756434ebbb6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descr="6ea687fb6cfbe5dde756434ebbb6353"/>
                    <pic:cNvPicPr>
                      <a:picLocks noChangeAspect="1"/>
                    </pic:cNvPicPr>
                  </pic:nvPicPr>
                  <pic:blipFill>
                    <a:blip r:embed="rId49"/>
                    <a:stretch>
                      <a:fillRect/>
                    </a:stretch>
                  </pic:blipFill>
                  <pic:spPr>
                    <a:xfrm>
                      <a:off x="0" y="0"/>
                      <a:ext cx="4992370" cy="6872605"/>
                    </a:xfrm>
                    <a:prstGeom prst="rect">
                      <a:avLst/>
                    </a:prstGeom>
                    <a:noFill/>
                    <a:ln>
                      <a:noFill/>
                    </a:ln>
                  </pic:spPr>
                </pic:pic>
              </a:graphicData>
            </a:graphic>
          </wp:inline>
        </w:drawing>
      </w:r>
    </w:p>
    <w:p w14:paraId="4FE8135C">
      <w:pPr>
        <w:pStyle w:val="22"/>
        <w:ind w:left="0" w:leftChars="0"/>
        <w:jc w:val="center"/>
        <w:rPr>
          <w:rFonts w:hint="eastAsia" w:eastAsia="宋体"/>
          <w:color w:val="000000" w:themeColor="text1"/>
          <w:lang w:val="en-US" w:eastAsia="zh-CN"/>
          <w14:textFill>
            <w14:solidFill>
              <w14:schemeClr w14:val="tx1"/>
            </w14:solidFill>
          </w14:textFill>
        </w:rPr>
      </w:pPr>
    </w:p>
    <w:p w14:paraId="5FDDBAAA">
      <w:pPr>
        <w:pStyle w:val="22"/>
        <w:ind w:left="0" w:leftChars="0"/>
        <w:jc w:val="center"/>
        <w:rPr>
          <w:rFonts w:hint="eastAsia" w:eastAsia="宋体"/>
          <w:color w:val="000000" w:themeColor="text1"/>
          <w:lang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drawing>
          <wp:inline distT="0" distB="0" distL="114300" distR="114300">
            <wp:extent cx="5269865" cy="7253605"/>
            <wp:effectExtent l="0" t="0" r="6985" b="4445"/>
            <wp:docPr id="31" name="图片 8" descr="c6da0abba47217435482bf5d77f5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descr="c6da0abba47217435482bf5d77f5753"/>
                    <pic:cNvPicPr>
                      <a:picLocks noChangeAspect="1"/>
                    </pic:cNvPicPr>
                  </pic:nvPicPr>
                  <pic:blipFill>
                    <a:blip r:embed="rId50"/>
                    <a:stretch>
                      <a:fillRect/>
                    </a:stretch>
                  </pic:blipFill>
                  <pic:spPr>
                    <a:xfrm>
                      <a:off x="0" y="0"/>
                      <a:ext cx="5269865" cy="7253605"/>
                    </a:xfrm>
                    <a:prstGeom prst="rect">
                      <a:avLst/>
                    </a:prstGeom>
                    <a:noFill/>
                    <a:ln>
                      <a:noFill/>
                    </a:ln>
                  </pic:spPr>
                </pic:pic>
              </a:graphicData>
            </a:graphic>
          </wp:inline>
        </w:drawing>
      </w:r>
    </w:p>
    <w:p w14:paraId="0AA7B08E">
      <w:pPr>
        <w:ind w:left="0" w:leftChars="0" w:right="0" w:rightChars="0" w:firstLine="0" w:firstLineChars="0"/>
        <w:jc w:val="center"/>
        <w:rPr>
          <w:rFonts w:hint="eastAsia"/>
          <w:color w:val="000000" w:themeColor="text1"/>
          <w:lang w:eastAsia="zh-CN"/>
          <w14:textFill>
            <w14:solidFill>
              <w14:schemeClr w14:val="tx1"/>
            </w14:solidFill>
          </w14:textFill>
        </w:rPr>
      </w:pPr>
    </w:p>
    <w:p w14:paraId="67739D59">
      <w:pPr>
        <w:rPr>
          <w:rFonts w:hint="eastAsia" w:eastAsia="宋体"/>
          <w:color w:val="000000" w:themeColor="text1"/>
          <w:lang w:eastAsia="zh-CN"/>
          <w14:textFill>
            <w14:solidFill>
              <w14:schemeClr w14:val="tx1"/>
            </w14:solidFill>
          </w14:textFill>
        </w:rPr>
        <w:sectPr>
          <w:footerReference r:id="rId7"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08949C51">
      <w:pPr>
        <w:pStyle w:val="10"/>
        <w:ind w:left="0" w:leftChars="0" w:firstLine="0" w:firstLineChars="0"/>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附件6 检测报告</w:t>
      </w:r>
    </w:p>
    <w:p w14:paraId="3FE776BF">
      <w:pPr>
        <w:rPr>
          <w:rFonts w:hint="eastAsia"/>
          <w:lang w:val="en-US" w:eastAsia="zh-CN"/>
        </w:rPr>
      </w:pPr>
      <w:r>
        <w:rPr>
          <w:rFonts w:hint="eastAsia"/>
          <w:lang w:val="en-US" w:eastAsia="zh-CN"/>
        </w:rPr>
        <w:drawing>
          <wp:inline distT="0" distB="0" distL="114300" distR="114300">
            <wp:extent cx="5600700" cy="7896225"/>
            <wp:effectExtent l="0" t="0" r="0" b="952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51"/>
                    <a:stretch>
                      <a:fillRect/>
                    </a:stretch>
                  </pic:blipFill>
                  <pic:spPr>
                    <a:xfrm>
                      <a:off x="0" y="0"/>
                      <a:ext cx="5600700" cy="7896225"/>
                    </a:xfrm>
                    <a:prstGeom prst="rect">
                      <a:avLst/>
                    </a:prstGeom>
                    <a:noFill/>
                    <a:ln>
                      <a:noFill/>
                    </a:ln>
                  </pic:spPr>
                </pic:pic>
              </a:graphicData>
            </a:graphic>
          </wp:inline>
        </w:drawing>
      </w:r>
      <w:r>
        <w:rPr>
          <w:rFonts w:hint="eastAsia"/>
          <w:lang w:val="en-US" w:eastAsia="zh-CN"/>
        </w:rPr>
        <w:drawing>
          <wp:inline distT="0" distB="0" distL="114300" distR="114300">
            <wp:extent cx="5600700" cy="7896225"/>
            <wp:effectExtent l="0" t="0" r="0" b="9525"/>
            <wp:docPr id="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pic:cNvPicPr>
                      <a:picLocks noChangeAspect="1"/>
                    </pic:cNvPicPr>
                  </pic:nvPicPr>
                  <pic:blipFill>
                    <a:blip r:embed="rId52"/>
                    <a:stretch>
                      <a:fillRect/>
                    </a:stretch>
                  </pic:blipFill>
                  <pic:spPr>
                    <a:xfrm>
                      <a:off x="0" y="0"/>
                      <a:ext cx="5600700" cy="7896225"/>
                    </a:xfrm>
                    <a:prstGeom prst="rect">
                      <a:avLst/>
                    </a:prstGeom>
                    <a:noFill/>
                    <a:ln>
                      <a:noFill/>
                    </a:ln>
                  </pic:spPr>
                </pic:pic>
              </a:graphicData>
            </a:graphic>
          </wp:inline>
        </w:drawing>
      </w:r>
      <w:r>
        <w:rPr>
          <w:rFonts w:hint="eastAsia"/>
          <w:lang w:val="en-US" w:eastAsia="zh-CN"/>
        </w:rPr>
        <w:drawing>
          <wp:inline distT="0" distB="0" distL="114300" distR="114300">
            <wp:extent cx="5610225" cy="7886700"/>
            <wp:effectExtent l="0" t="0" r="9525" b="0"/>
            <wp:docPr id="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pic:cNvPicPr>
                      <a:picLocks noChangeAspect="1"/>
                    </pic:cNvPicPr>
                  </pic:nvPicPr>
                  <pic:blipFill>
                    <a:blip r:embed="rId53"/>
                    <a:stretch>
                      <a:fillRect/>
                    </a:stretch>
                  </pic:blipFill>
                  <pic:spPr>
                    <a:xfrm>
                      <a:off x="0" y="0"/>
                      <a:ext cx="5610225" cy="7886700"/>
                    </a:xfrm>
                    <a:prstGeom prst="rect">
                      <a:avLst/>
                    </a:prstGeom>
                    <a:noFill/>
                    <a:ln>
                      <a:noFill/>
                    </a:ln>
                  </pic:spPr>
                </pic:pic>
              </a:graphicData>
            </a:graphic>
          </wp:inline>
        </w:drawing>
      </w:r>
      <w:r>
        <w:rPr>
          <w:rFonts w:hint="eastAsia"/>
          <w:lang w:val="en-US" w:eastAsia="zh-CN"/>
        </w:rPr>
        <w:drawing>
          <wp:inline distT="0" distB="0" distL="114300" distR="114300">
            <wp:extent cx="5581650" cy="7858125"/>
            <wp:effectExtent l="0" t="0" r="0" b="9525"/>
            <wp:docPr id="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
                    <pic:cNvPicPr>
                      <a:picLocks noChangeAspect="1"/>
                    </pic:cNvPicPr>
                  </pic:nvPicPr>
                  <pic:blipFill>
                    <a:blip r:embed="rId54"/>
                    <a:stretch>
                      <a:fillRect/>
                    </a:stretch>
                  </pic:blipFill>
                  <pic:spPr>
                    <a:xfrm>
                      <a:off x="0" y="0"/>
                      <a:ext cx="5581650" cy="7858125"/>
                    </a:xfrm>
                    <a:prstGeom prst="rect">
                      <a:avLst/>
                    </a:prstGeom>
                    <a:noFill/>
                    <a:ln>
                      <a:noFill/>
                    </a:ln>
                  </pic:spPr>
                </pic:pic>
              </a:graphicData>
            </a:graphic>
          </wp:inline>
        </w:drawing>
      </w:r>
      <w:r>
        <w:rPr>
          <w:rFonts w:hint="eastAsia"/>
          <w:lang w:val="en-US" w:eastAsia="zh-CN"/>
        </w:rPr>
        <w:drawing>
          <wp:inline distT="0" distB="0" distL="114300" distR="114300">
            <wp:extent cx="5572125" cy="7905750"/>
            <wp:effectExtent l="0" t="0" r="9525" b="0"/>
            <wp:docPr id="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
                    <pic:cNvPicPr>
                      <a:picLocks noChangeAspect="1"/>
                    </pic:cNvPicPr>
                  </pic:nvPicPr>
                  <pic:blipFill>
                    <a:blip r:embed="rId55"/>
                    <a:stretch>
                      <a:fillRect/>
                    </a:stretch>
                  </pic:blipFill>
                  <pic:spPr>
                    <a:xfrm>
                      <a:off x="0" y="0"/>
                      <a:ext cx="5572125" cy="7905750"/>
                    </a:xfrm>
                    <a:prstGeom prst="rect">
                      <a:avLst/>
                    </a:prstGeom>
                    <a:noFill/>
                    <a:ln>
                      <a:noFill/>
                    </a:ln>
                  </pic:spPr>
                </pic:pic>
              </a:graphicData>
            </a:graphic>
          </wp:inline>
        </w:drawing>
      </w:r>
    </w:p>
    <w:p w14:paraId="3D26DF7B">
      <w:pP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1C11D05D">
      <w:pPr>
        <w:widowControl/>
        <w:snapToGrid w:val="0"/>
        <w:spacing w:before="60" w:after="160" w:line="259" w:lineRule="auto"/>
        <w:ind w:right="113"/>
        <w:jc w:val="both"/>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附件7 生态环境分区管控分析报告</w:t>
      </w:r>
    </w:p>
    <w:p w14:paraId="2745C2E8">
      <w:pPr>
        <w:widowControl w:val="0"/>
        <w:ind w:left="0" w:leftChars="0" w:firstLine="0" w:firstLineChars="0"/>
        <w:jc w:val="both"/>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drawing>
          <wp:inline distT="0" distB="0" distL="114300" distR="114300">
            <wp:extent cx="5608320" cy="3750945"/>
            <wp:effectExtent l="0" t="0" r="11430" b="1905"/>
            <wp:docPr id="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
                    <pic:cNvPicPr>
                      <a:picLocks noChangeAspect="1"/>
                    </pic:cNvPicPr>
                  </pic:nvPicPr>
                  <pic:blipFill>
                    <a:blip r:embed="rId56"/>
                    <a:stretch>
                      <a:fillRect/>
                    </a:stretch>
                  </pic:blipFill>
                  <pic:spPr>
                    <a:xfrm>
                      <a:off x="0" y="0"/>
                      <a:ext cx="5608320" cy="3750945"/>
                    </a:xfrm>
                    <a:prstGeom prst="rect">
                      <a:avLst/>
                    </a:prstGeom>
                    <a:noFill/>
                    <a:ln>
                      <a:noFill/>
                    </a:ln>
                  </pic:spPr>
                </pic:pic>
              </a:graphicData>
            </a:graphic>
          </wp:inline>
        </w:drawing>
      </w:r>
      <w:r>
        <w:rPr>
          <w:rFonts w:hint="eastAsia" w:ascii="Times New Roman" w:hAnsi="Times New Roman" w:eastAsia="宋体" w:cs="Times New Roman"/>
          <w:kern w:val="2"/>
          <w:sz w:val="21"/>
          <w:szCs w:val="24"/>
          <w:lang w:val="en-US" w:eastAsia="zh-CN" w:bidi="ar-SA"/>
        </w:rPr>
        <w:drawing>
          <wp:inline distT="0" distB="0" distL="114300" distR="114300">
            <wp:extent cx="5610225" cy="3914140"/>
            <wp:effectExtent l="0" t="0" r="9525" b="10160"/>
            <wp:docPr id="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pic:cNvPicPr>
                      <a:picLocks noChangeAspect="1"/>
                    </pic:cNvPicPr>
                  </pic:nvPicPr>
                  <pic:blipFill>
                    <a:blip r:embed="rId57"/>
                    <a:stretch>
                      <a:fillRect/>
                    </a:stretch>
                  </pic:blipFill>
                  <pic:spPr>
                    <a:xfrm>
                      <a:off x="0" y="0"/>
                      <a:ext cx="5610225" cy="3914140"/>
                    </a:xfrm>
                    <a:prstGeom prst="rect">
                      <a:avLst/>
                    </a:prstGeom>
                    <a:noFill/>
                    <a:ln>
                      <a:noFill/>
                    </a:ln>
                  </pic:spPr>
                </pic:pic>
              </a:graphicData>
            </a:graphic>
          </wp:inline>
        </w:drawing>
      </w:r>
    </w:p>
    <w:p w14:paraId="0FBF9F51">
      <w:pPr>
        <w:widowControl/>
        <w:snapToGrid w:val="0"/>
        <w:spacing w:before="60" w:after="160" w:line="259" w:lineRule="auto"/>
        <w:ind w:right="113"/>
        <w:jc w:val="both"/>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drawing>
          <wp:inline distT="0" distB="0" distL="114300" distR="114300">
            <wp:extent cx="5566410" cy="3733800"/>
            <wp:effectExtent l="0" t="0" r="15240" b="0"/>
            <wp:docPr id="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
                    <pic:cNvPicPr>
                      <a:picLocks noChangeAspect="1"/>
                    </pic:cNvPicPr>
                  </pic:nvPicPr>
                  <pic:blipFill>
                    <a:blip r:embed="rId58"/>
                    <a:stretch>
                      <a:fillRect/>
                    </a:stretch>
                  </pic:blipFill>
                  <pic:spPr>
                    <a:xfrm>
                      <a:off x="0" y="0"/>
                      <a:ext cx="5566410" cy="3733800"/>
                    </a:xfrm>
                    <a:prstGeom prst="rect">
                      <a:avLst/>
                    </a:prstGeom>
                    <a:noFill/>
                    <a:ln>
                      <a:noFill/>
                    </a:ln>
                  </pic:spPr>
                </pic:pic>
              </a:graphicData>
            </a:graphic>
          </wp:inline>
        </w:drawing>
      </w:r>
    </w:p>
    <w:p w14:paraId="262CB868">
      <w:pPr>
        <w:widowControl w:val="0"/>
        <w:ind w:left="0" w:leftChars="0" w:firstLine="0" w:firstLineChars="0"/>
        <w:jc w:val="both"/>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drawing>
          <wp:inline distT="0" distB="0" distL="114300" distR="114300">
            <wp:extent cx="5548630" cy="3806825"/>
            <wp:effectExtent l="0" t="0" r="13970" b="3175"/>
            <wp:docPr id="7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
                    <pic:cNvPicPr>
                      <a:picLocks noChangeAspect="1"/>
                    </pic:cNvPicPr>
                  </pic:nvPicPr>
                  <pic:blipFill>
                    <a:blip r:embed="rId59"/>
                    <a:stretch>
                      <a:fillRect/>
                    </a:stretch>
                  </pic:blipFill>
                  <pic:spPr>
                    <a:xfrm>
                      <a:off x="0" y="0"/>
                      <a:ext cx="5548630" cy="3806825"/>
                    </a:xfrm>
                    <a:prstGeom prst="rect">
                      <a:avLst/>
                    </a:prstGeom>
                    <a:noFill/>
                    <a:ln>
                      <a:noFill/>
                    </a:ln>
                  </pic:spPr>
                </pic:pic>
              </a:graphicData>
            </a:graphic>
          </wp:inline>
        </w:drawing>
      </w:r>
    </w:p>
    <w:p w14:paraId="3E36A499">
      <w:pPr>
        <w:widowControl/>
        <w:snapToGrid w:val="0"/>
        <w:spacing w:before="60" w:after="160" w:line="259" w:lineRule="auto"/>
        <w:ind w:right="113"/>
        <w:jc w:val="both"/>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drawing>
          <wp:inline distT="0" distB="0" distL="114300" distR="114300">
            <wp:extent cx="5605780" cy="3923030"/>
            <wp:effectExtent l="0" t="0" r="13970" b="1270"/>
            <wp:docPr id="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
                    <pic:cNvPicPr>
                      <a:picLocks noChangeAspect="1"/>
                    </pic:cNvPicPr>
                  </pic:nvPicPr>
                  <pic:blipFill>
                    <a:blip r:embed="rId60"/>
                    <a:stretch>
                      <a:fillRect/>
                    </a:stretch>
                  </pic:blipFill>
                  <pic:spPr>
                    <a:xfrm>
                      <a:off x="0" y="0"/>
                      <a:ext cx="5605780" cy="3923030"/>
                    </a:xfrm>
                    <a:prstGeom prst="rect">
                      <a:avLst/>
                    </a:prstGeom>
                    <a:noFill/>
                    <a:ln>
                      <a:noFill/>
                    </a:ln>
                  </pic:spPr>
                </pic:pic>
              </a:graphicData>
            </a:graphic>
          </wp:inline>
        </w:drawing>
      </w:r>
      <w:r>
        <w:rPr>
          <w:rFonts w:hint="eastAsia" w:ascii="Times New Roman" w:hAnsi="Times New Roman" w:eastAsia="宋体" w:cs="Times New Roman"/>
          <w:kern w:val="0"/>
          <w:sz w:val="18"/>
          <w:szCs w:val="20"/>
          <w:lang w:val="en-US" w:eastAsia="zh-CN" w:bidi="ar-SA"/>
        </w:rPr>
        <w:drawing>
          <wp:inline distT="0" distB="0" distL="114300" distR="114300">
            <wp:extent cx="5608320" cy="3848100"/>
            <wp:effectExtent l="0" t="0" r="11430" b="0"/>
            <wp:docPr id="7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9"/>
                    <pic:cNvPicPr>
                      <a:picLocks noChangeAspect="1"/>
                    </pic:cNvPicPr>
                  </pic:nvPicPr>
                  <pic:blipFill>
                    <a:blip r:embed="rId61"/>
                    <a:stretch>
                      <a:fillRect/>
                    </a:stretch>
                  </pic:blipFill>
                  <pic:spPr>
                    <a:xfrm>
                      <a:off x="0" y="0"/>
                      <a:ext cx="5608320" cy="3848100"/>
                    </a:xfrm>
                    <a:prstGeom prst="rect">
                      <a:avLst/>
                    </a:prstGeom>
                    <a:noFill/>
                    <a:ln>
                      <a:noFill/>
                    </a:ln>
                  </pic:spPr>
                </pic:pic>
              </a:graphicData>
            </a:graphic>
          </wp:inline>
        </w:drawing>
      </w:r>
      <w:r>
        <w:rPr>
          <w:rFonts w:hint="eastAsia" w:ascii="Times New Roman" w:hAnsi="Times New Roman" w:eastAsia="宋体" w:cs="Times New Roman"/>
          <w:kern w:val="0"/>
          <w:sz w:val="18"/>
          <w:szCs w:val="20"/>
          <w:lang w:val="en-US" w:eastAsia="zh-CN" w:bidi="ar-SA"/>
        </w:rPr>
        <w:drawing>
          <wp:inline distT="0" distB="0" distL="114300" distR="114300">
            <wp:extent cx="5610225" cy="3860800"/>
            <wp:effectExtent l="0" t="0" r="9525" b="6350"/>
            <wp:docPr id="7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0"/>
                    <pic:cNvPicPr>
                      <a:picLocks noChangeAspect="1"/>
                    </pic:cNvPicPr>
                  </pic:nvPicPr>
                  <pic:blipFill>
                    <a:blip r:embed="rId62"/>
                    <a:stretch>
                      <a:fillRect/>
                    </a:stretch>
                  </pic:blipFill>
                  <pic:spPr>
                    <a:xfrm>
                      <a:off x="0" y="0"/>
                      <a:ext cx="5610225" cy="3860800"/>
                    </a:xfrm>
                    <a:prstGeom prst="rect">
                      <a:avLst/>
                    </a:prstGeom>
                    <a:noFill/>
                    <a:ln>
                      <a:noFill/>
                    </a:ln>
                  </pic:spPr>
                </pic:pic>
              </a:graphicData>
            </a:graphic>
          </wp:inline>
        </w:drawing>
      </w:r>
    </w:p>
    <w:p w14:paraId="397EA8DB">
      <w:pPr>
        <w:widowControl w:val="0"/>
        <w:ind w:left="0" w:leftChars="0" w:firstLine="0" w:firstLineChars="0"/>
        <w:jc w:val="both"/>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drawing>
          <wp:inline distT="0" distB="0" distL="114300" distR="114300">
            <wp:extent cx="5608320" cy="3940810"/>
            <wp:effectExtent l="0" t="0" r="11430" b="2540"/>
            <wp:docPr id="7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1"/>
                    <pic:cNvPicPr>
                      <a:picLocks noChangeAspect="1"/>
                    </pic:cNvPicPr>
                  </pic:nvPicPr>
                  <pic:blipFill>
                    <a:blip r:embed="rId63"/>
                    <a:stretch>
                      <a:fillRect/>
                    </a:stretch>
                  </pic:blipFill>
                  <pic:spPr>
                    <a:xfrm>
                      <a:off x="0" y="0"/>
                      <a:ext cx="5608320" cy="3940810"/>
                    </a:xfrm>
                    <a:prstGeom prst="rect">
                      <a:avLst/>
                    </a:prstGeom>
                    <a:noFill/>
                    <a:ln>
                      <a:noFill/>
                    </a:ln>
                  </pic:spPr>
                </pic:pic>
              </a:graphicData>
            </a:graphic>
          </wp:inline>
        </w:drawing>
      </w:r>
    </w:p>
    <w:p w14:paraId="28FB6A79">
      <w:pPr>
        <w:widowControl/>
        <w:snapToGrid w:val="0"/>
        <w:spacing w:before="60" w:after="160" w:line="259" w:lineRule="auto"/>
        <w:ind w:right="113"/>
        <w:jc w:val="both"/>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drawing>
          <wp:inline distT="0" distB="0" distL="114300" distR="114300">
            <wp:extent cx="5615305" cy="3883660"/>
            <wp:effectExtent l="0" t="0" r="4445" b="2540"/>
            <wp:docPr id="7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2"/>
                    <pic:cNvPicPr>
                      <a:picLocks noChangeAspect="1"/>
                    </pic:cNvPicPr>
                  </pic:nvPicPr>
                  <pic:blipFill>
                    <a:blip r:embed="rId64"/>
                    <a:stretch>
                      <a:fillRect/>
                    </a:stretch>
                  </pic:blipFill>
                  <pic:spPr>
                    <a:xfrm>
                      <a:off x="0" y="0"/>
                      <a:ext cx="5615305" cy="3883660"/>
                    </a:xfrm>
                    <a:prstGeom prst="rect">
                      <a:avLst/>
                    </a:prstGeom>
                    <a:noFill/>
                    <a:ln>
                      <a:noFill/>
                    </a:ln>
                  </pic:spPr>
                </pic:pic>
              </a:graphicData>
            </a:graphic>
          </wp:inline>
        </w:drawing>
      </w:r>
      <w:r>
        <w:rPr>
          <w:rFonts w:hint="eastAsia" w:ascii="Times New Roman" w:hAnsi="Times New Roman" w:eastAsia="宋体" w:cs="Times New Roman"/>
          <w:kern w:val="0"/>
          <w:sz w:val="18"/>
          <w:szCs w:val="20"/>
          <w:lang w:val="en-US" w:eastAsia="zh-CN" w:bidi="ar-SA"/>
        </w:rPr>
        <w:drawing>
          <wp:inline distT="0" distB="0" distL="114300" distR="114300">
            <wp:extent cx="5615305" cy="3890645"/>
            <wp:effectExtent l="0" t="0" r="4445" b="14605"/>
            <wp:docPr id="7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3"/>
                    <pic:cNvPicPr>
                      <a:picLocks noChangeAspect="1"/>
                    </pic:cNvPicPr>
                  </pic:nvPicPr>
                  <pic:blipFill>
                    <a:blip r:embed="rId65"/>
                    <a:stretch>
                      <a:fillRect/>
                    </a:stretch>
                  </pic:blipFill>
                  <pic:spPr>
                    <a:xfrm>
                      <a:off x="0" y="0"/>
                      <a:ext cx="5615305" cy="3890645"/>
                    </a:xfrm>
                    <a:prstGeom prst="rect">
                      <a:avLst/>
                    </a:prstGeom>
                    <a:noFill/>
                    <a:ln>
                      <a:noFill/>
                    </a:ln>
                  </pic:spPr>
                </pic:pic>
              </a:graphicData>
            </a:graphic>
          </wp:inline>
        </w:drawing>
      </w:r>
    </w:p>
    <w:p w14:paraId="65B1AC4F">
      <w:pPr>
        <w:pStyle w:val="3"/>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p>
    <w:p w14:paraId="7AF9CE66">
      <w:pPr>
        <w:pStyle w:val="3"/>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p>
    <w:p w14:paraId="77AA44D0">
      <w:pPr>
        <w:pStyle w:val="3"/>
        <w:rPr>
          <w:rFonts w:hint="eastAsia" w:ascii="Times New Roman" w:hAnsi="Times New Roman" w:eastAsia="宋体" w:cs="Times New Roman"/>
          <w:b/>
          <w:bCs/>
          <w:color w:val="FF0000"/>
          <w:kern w:val="2"/>
          <w:sz w:val="24"/>
          <w:szCs w:val="24"/>
          <w:lang w:val="en-US" w:eastAsia="zh-CN" w:bidi="ar-SA"/>
        </w:rPr>
      </w:pPr>
    </w:p>
    <w:p w14:paraId="5D93E8B0">
      <w:pPr>
        <w:pStyle w:val="3"/>
        <w:rPr>
          <w:rFonts w:hint="eastAsia" w:ascii="Times New Roman" w:hAnsi="Times New Roman" w:eastAsia="宋体" w:cs="Times New Roman"/>
          <w:b/>
          <w:bCs/>
          <w:color w:val="FF0000"/>
          <w:kern w:val="2"/>
          <w:sz w:val="24"/>
          <w:szCs w:val="24"/>
          <w:lang w:val="en-US" w:eastAsia="zh-CN" w:bidi="ar-SA"/>
        </w:rPr>
      </w:pPr>
      <w:r>
        <w:rPr>
          <w:rFonts w:hint="eastAsia" w:ascii="Times New Roman" w:hAnsi="Times New Roman" w:eastAsia="宋体" w:cs="Times New Roman"/>
          <w:b/>
          <w:bCs/>
          <w:color w:val="FF0000"/>
          <w:kern w:val="2"/>
          <w:sz w:val="24"/>
          <w:szCs w:val="24"/>
          <w:lang w:val="en-US" w:eastAsia="zh-CN" w:bidi="ar-SA"/>
        </w:rPr>
        <w:t>附件</w:t>
      </w:r>
      <w:r>
        <w:rPr>
          <w:rFonts w:hint="eastAsia" w:cs="Times New Roman"/>
          <w:b/>
          <w:bCs/>
          <w:color w:val="FF0000"/>
          <w:kern w:val="2"/>
          <w:sz w:val="24"/>
          <w:szCs w:val="24"/>
          <w:lang w:val="en-US" w:eastAsia="zh-CN" w:bidi="ar-SA"/>
        </w:rPr>
        <w:t>8</w:t>
      </w:r>
      <w:r>
        <w:rPr>
          <w:rFonts w:hint="eastAsia" w:ascii="Times New Roman" w:hAnsi="Times New Roman" w:eastAsia="宋体" w:cs="Times New Roman"/>
          <w:b/>
          <w:bCs/>
          <w:color w:val="FF0000"/>
          <w:kern w:val="2"/>
          <w:sz w:val="24"/>
          <w:szCs w:val="24"/>
          <w:lang w:val="en-US" w:eastAsia="zh-CN" w:bidi="ar-SA"/>
        </w:rPr>
        <w:t xml:space="preserve"> 竣工验收监测报告</w:t>
      </w:r>
    </w:p>
    <w:p w14:paraId="48E9F53B">
      <w:pPr>
        <w:pStyle w:val="3"/>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drawing>
          <wp:inline distT="0" distB="0" distL="114300" distR="114300">
            <wp:extent cx="5273675" cy="6732270"/>
            <wp:effectExtent l="0" t="0" r="3175" b="11430"/>
            <wp:docPr id="22" name="图片 2" descr="73b29f451e4fecc02a097a3f9d4e6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descr="73b29f451e4fecc02a097a3f9d4e6b5"/>
                    <pic:cNvPicPr>
                      <a:picLocks noChangeAspect="1"/>
                    </pic:cNvPicPr>
                  </pic:nvPicPr>
                  <pic:blipFill>
                    <a:blip r:embed="rId66"/>
                    <a:stretch>
                      <a:fillRect/>
                    </a:stretch>
                  </pic:blipFill>
                  <pic:spPr>
                    <a:xfrm>
                      <a:off x="0" y="0"/>
                      <a:ext cx="5273675" cy="6732270"/>
                    </a:xfrm>
                    <a:prstGeom prst="rect">
                      <a:avLst/>
                    </a:prstGeom>
                    <a:noFill/>
                    <a:ln>
                      <a:noFill/>
                    </a:ln>
                  </pic:spPr>
                </pic:pic>
              </a:graphicData>
            </a:graphic>
          </wp:inline>
        </w:drawing>
      </w:r>
    </w:p>
    <w:p w14:paraId="111796DC">
      <w:pPr>
        <w:pStyle w:val="3"/>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720" w:num="1"/>
          <w:rtlGutter w:val="0"/>
          <w:docGrid w:type="lines" w:linePitch="312" w:charSpace="0"/>
        </w:sect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drawing>
          <wp:inline distT="0" distB="0" distL="114300" distR="114300">
            <wp:extent cx="5269865" cy="6784340"/>
            <wp:effectExtent l="0" t="0" r="6985" b="16510"/>
            <wp:docPr id="20" name="图片 3" descr="7ebc4ae4d8ad039fda26d1b0b5b74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descr="7ebc4ae4d8ad039fda26d1b0b5b740b"/>
                    <pic:cNvPicPr>
                      <a:picLocks noChangeAspect="1"/>
                    </pic:cNvPicPr>
                  </pic:nvPicPr>
                  <pic:blipFill>
                    <a:blip r:embed="rId67"/>
                    <a:stretch>
                      <a:fillRect/>
                    </a:stretch>
                  </pic:blipFill>
                  <pic:spPr>
                    <a:xfrm>
                      <a:off x="0" y="0"/>
                      <a:ext cx="5269865" cy="6784340"/>
                    </a:xfrm>
                    <a:prstGeom prst="rect">
                      <a:avLst/>
                    </a:prstGeom>
                    <a:noFill/>
                    <a:ln>
                      <a:noFill/>
                    </a:ln>
                  </pic:spPr>
                </pic:pic>
              </a:graphicData>
            </a:graphic>
          </wp:inline>
        </w:drawing>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drawing>
          <wp:inline distT="0" distB="0" distL="114300" distR="114300">
            <wp:extent cx="5272405" cy="6978015"/>
            <wp:effectExtent l="0" t="0" r="4445" b="13335"/>
            <wp:docPr id="30" name="图片 4" descr="b1d58b0c5c4772b81f4eb3895c14d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descr="b1d58b0c5c4772b81f4eb3895c14d5b"/>
                    <pic:cNvPicPr>
                      <a:picLocks noChangeAspect="1"/>
                    </pic:cNvPicPr>
                  </pic:nvPicPr>
                  <pic:blipFill>
                    <a:blip r:embed="rId68"/>
                    <a:stretch>
                      <a:fillRect/>
                    </a:stretch>
                  </pic:blipFill>
                  <pic:spPr>
                    <a:xfrm>
                      <a:off x="0" y="0"/>
                      <a:ext cx="5272405" cy="6978015"/>
                    </a:xfrm>
                    <a:prstGeom prst="rect">
                      <a:avLst/>
                    </a:prstGeom>
                    <a:noFill/>
                    <a:ln>
                      <a:noFill/>
                    </a:ln>
                  </pic:spPr>
                </pic:pic>
              </a:graphicData>
            </a:graphic>
          </wp:inline>
        </w:drawing>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drawing>
          <wp:inline distT="0" distB="0" distL="114300" distR="114300">
            <wp:extent cx="5269865" cy="7242175"/>
            <wp:effectExtent l="0" t="0" r="6985" b="15875"/>
            <wp:docPr id="11" name="图片 5" descr="7320dd83dcaace594ded9ce4cbcb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descr="7320dd83dcaace594ded9ce4cbcb116"/>
                    <pic:cNvPicPr>
                      <a:picLocks noChangeAspect="1"/>
                    </pic:cNvPicPr>
                  </pic:nvPicPr>
                  <pic:blipFill>
                    <a:blip r:embed="rId69"/>
                    <a:stretch>
                      <a:fillRect/>
                    </a:stretch>
                  </pic:blipFill>
                  <pic:spPr>
                    <a:xfrm>
                      <a:off x="0" y="0"/>
                      <a:ext cx="5269865" cy="7242175"/>
                    </a:xfrm>
                    <a:prstGeom prst="rect">
                      <a:avLst/>
                    </a:prstGeom>
                    <a:noFill/>
                    <a:ln>
                      <a:noFill/>
                    </a:ln>
                  </pic:spPr>
                </pic:pic>
              </a:graphicData>
            </a:graphic>
          </wp:inline>
        </w:drawing>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drawing>
          <wp:inline distT="0" distB="0" distL="114300" distR="114300">
            <wp:extent cx="5272405" cy="7216775"/>
            <wp:effectExtent l="0" t="0" r="4445" b="3175"/>
            <wp:docPr id="33" name="图片 6" descr="ae9dd09649003afd27b5785e64f9c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descr="ae9dd09649003afd27b5785e64f9c45"/>
                    <pic:cNvPicPr>
                      <a:picLocks noChangeAspect="1"/>
                    </pic:cNvPicPr>
                  </pic:nvPicPr>
                  <pic:blipFill>
                    <a:blip r:embed="rId70"/>
                    <a:stretch>
                      <a:fillRect/>
                    </a:stretch>
                  </pic:blipFill>
                  <pic:spPr>
                    <a:xfrm>
                      <a:off x="0" y="0"/>
                      <a:ext cx="5272405" cy="7216775"/>
                    </a:xfrm>
                    <a:prstGeom prst="rect">
                      <a:avLst/>
                    </a:prstGeom>
                    <a:noFill/>
                    <a:ln>
                      <a:noFill/>
                    </a:ln>
                  </pic:spPr>
                </pic:pic>
              </a:graphicData>
            </a:graphic>
          </wp:inline>
        </w:drawing>
      </w:r>
    </w:p>
    <w:p w14:paraId="43D76F2A">
      <w:pPr>
        <w:pStyle w:val="14"/>
        <w:ind w:left="0" w:leftChars="0" w:firstLine="0" w:firstLineChars="0"/>
        <w:rPr>
          <w:rFonts w:hint="eastAsia"/>
          <w:lang w:val="en-US" w:eastAsia="zh-CN"/>
        </w:rPr>
      </w:pPr>
    </w:p>
    <w:p w14:paraId="270A68D2">
      <w:pPr>
        <w:pStyle w:val="14"/>
        <w:ind w:left="0" w:leftChars="0" w:firstLine="0" w:firstLineChars="0"/>
        <w:rPr>
          <w:rFonts w:hint="eastAsia"/>
          <w:lang w:val="en-US" w:eastAsia="zh-CN"/>
        </w:rPr>
      </w:pPr>
    </w:p>
    <w:p w14:paraId="0077695E">
      <w:pPr>
        <w:pStyle w:val="14"/>
        <w:ind w:left="0" w:leftChars="0" w:firstLine="0" w:firstLineChars="0"/>
        <w:rPr>
          <w:rFonts w:hint="eastAsia"/>
          <w:lang w:val="en-US" w:eastAsia="zh-CN"/>
        </w:rPr>
      </w:pPr>
    </w:p>
    <w:p w14:paraId="42528D29">
      <w:pPr>
        <w:pStyle w:val="3"/>
        <w:rPr>
          <w:rFonts w:hint="eastAsia"/>
          <w:lang w:eastAsia="zh-CN"/>
        </w:rPr>
      </w:pPr>
    </w:p>
    <w:p w14:paraId="6A2B01DB">
      <w:pPr>
        <w:pStyle w:val="14"/>
        <w:ind w:left="0" w:leftChars="0" w:firstLine="0" w:firstLineChars="0"/>
        <w:rPr>
          <w:rFonts w:hint="eastAsia"/>
          <w:lang w:eastAsia="zh-CN"/>
        </w:rPr>
      </w:pPr>
    </w:p>
    <w:p w14:paraId="0C84FD5F">
      <w:pPr>
        <w:pStyle w:val="3"/>
        <w:rPr>
          <w:rFonts w:hint="eastAsia"/>
          <w:lang w:eastAsia="zh-CN"/>
        </w:rPr>
      </w:pPr>
    </w:p>
    <w:p w14:paraId="198F2630">
      <w:pPr>
        <w:pStyle w:val="14"/>
        <w:ind w:left="0" w:leftChars="0" w:firstLine="0" w:firstLineChars="0"/>
        <w:rPr>
          <w:rFonts w:hint="eastAsia"/>
          <w:lang w:eastAsia="zh-CN"/>
        </w:rPr>
      </w:pPr>
    </w:p>
    <w:p w14:paraId="37212F01">
      <w:pPr>
        <w:pStyle w:val="3"/>
        <w:rPr>
          <w:rFonts w:hint="eastAsia"/>
          <w:lang w:eastAsia="zh-CN"/>
        </w:rPr>
      </w:pPr>
    </w:p>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仿宋_GB2312">
    <w:panose1 w:val="02010609030101010101"/>
    <w:charset w:val="86"/>
    <w:family w:val="modern"/>
    <w:pitch w:val="default"/>
    <w:sig w:usb0="00000001" w:usb1="080E0000" w:usb2="00000000" w:usb3="00000000" w:csb0="00040000" w:csb1="00000000"/>
  </w:font>
  <w:font w:name="等线 Light">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new times roma">
    <w:altName w:val="Times New Roman"/>
    <w:panose1 w:val="00000000000000000000"/>
    <w:charset w:val="00"/>
    <w:family w:val="auto"/>
    <w:pitch w:val="default"/>
    <w:sig w:usb0="00000000" w:usb1="00000000" w:usb2="00000000" w:usb3="00000000" w:csb0="00040001" w:csb1="00000000"/>
  </w:font>
  <w:font w:name="方正小标宋_GBK">
    <w:altName w:val="微软雅黑"/>
    <w:panose1 w:val="00000000000000000000"/>
    <w:charset w:val="86"/>
    <w:family w:val="script"/>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5BCBCB">
    <w:pPr>
      <w:pStyle w:val="5"/>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42AB26">
    <w:pPr>
      <w:pStyle w:val="5"/>
      <w:framePr w:wrap="around" w:vAnchor="text" w:hAnchor="margin" w:xAlign="center" w:y="1"/>
      <w:rPr>
        <w:rStyle w:val="31"/>
      </w:rPr>
    </w:pPr>
    <w:r>
      <w:fldChar w:fldCharType="begin"/>
    </w:r>
    <w:r>
      <w:rPr>
        <w:rStyle w:val="31"/>
      </w:rPr>
      <w:instrText xml:space="preserve">PAGE  </w:instrText>
    </w:r>
    <w:r>
      <w:fldChar w:fldCharType="end"/>
    </w:r>
  </w:p>
  <w:p w14:paraId="15ABAB87">
    <w:pPr>
      <w:pStyle w:val="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D71303">
    <w:pPr>
      <w:pStyle w:val="5"/>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10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7F17AE1">
                          <w:pPr>
                            <w:pStyle w:val="5"/>
                            <w:rPr>
                              <w:rStyle w:val="31"/>
                              <w:sz w:val="28"/>
                              <w:szCs w:val="28"/>
                            </w:rPr>
                          </w:pPr>
                          <w:r>
                            <w:rPr>
                              <w:rStyle w:val="31"/>
                              <w:sz w:val="20"/>
                            </w:rPr>
                            <w:t xml:space="preserve">  </w:t>
                          </w:r>
                          <w:r>
                            <w:rPr>
                              <w:sz w:val="21"/>
                              <w:szCs w:val="21"/>
                            </w:rPr>
                            <w:fldChar w:fldCharType="begin"/>
                          </w:r>
                          <w:r>
                            <w:rPr>
                              <w:rStyle w:val="31"/>
                              <w:sz w:val="21"/>
                              <w:szCs w:val="21"/>
                            </w:rPr>
                            <w:instrText xml:space="preserve">PAGE  </w:instrText>
                          </w:r>
                          <w:r>
                            <w:rPr>
                              <w:sz w:val="21"/>
                              <w:szCs w:val="21"/>
                            </w:rPr>
                            <w:fldChar w:fldCharType="separate"/>
                          </w:r>
                          <w:r>
                            <w:rPr>
                              <w:rStyle w:val="31"/>
                              <w:sz w:val="21"/>
                              <w:szCs w:val="21"/>
                            </w:rPr>
                            <w:t>9</w:t>
                          </w:r>
                          <w:r>
                            <w:rPr>
                              <w:sz w:val="21"/>
                              <w:szCs w:val="21"/>
                            </w:rPr>
                            <w:fldChar w:fldCharType="end"/>
                          </w:r>
                          <w:r>
                            <w:rPr>
                              <w:rStyle w:val="31"/>
                              <w:sz w:val="21"/>
                              <w:szCs w:val="21"/>
                            </w:rPr>
                            <w:t xml:space="preserve"> </w:t>
                          </w:r>
                          <w:r>
                            <w:rPr>
                              <w:rStyle w:val="31"/>
                              <w:sz w:val="20"/>
                            </w:rPr>
                            <w:t xml:space="preserve"> </w:t>
                          </w:r>
                        </w:p>
                      </w:txbxContent>
                    </wps:txbx>
                    <wps:bodyPr vert="horz" wrap="none" lIns="0" tIns="0" rIns="0" bIns="0" anchor="t" anchorCtr="0">
                      <a:spAutoFit/>
                    </wps:bodyPr>
                  </wps:wsp>
                </a:graphicData>
              </a:graphic>
            </wp:anchor>
          </w:drawing>
        </mc:Choice>
        <mc:Fallback>
          <w:pict>
            <v:shape id="文本框 1029"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kZWmtoBAAC1AwAADgAAAGRycy9lMm9Eb2MueG1srVPBjtMwEL0j8Q+W&#10;7zRpkVCpmq6AahESAqSFD3Adp7Fkeyx72qR8APwBJy7c+a5+x46dpAu7lz3sJRnPjN+8NzNeX/XW&#10;sKMKUYOr+HxWcqachFq7fcW/fb1+seQsonC1MOBUxU8q8qvN82frzq/UAlowtQqMQFxcdb7iLaJf&#10;FUWUrbIizsArR8EGghVIx7Av6iA6QremWJTlq6KDUPsAUsVI3u0Q5CNieAwgNI2WagvyYJXDATUo&#10;I5AkxVb7yDeZbdMoiZ+bJipkpuKkFPOXipC9S99isxarfRC+1XKkIB5D4Z4mK7SjoheorUDBDkE/&#10;gLJaBojQ4EyCLQYhuSOkYl7e681NK7zKWqjV0V+aHp8OVn46fglM1xV/yZkTlgZ+/vXz/Pvv+c8P&#10;Ni8Xr1OHOh9XlHjjKRX7t9DT3kz+SM4kvG+CTX+SxChO/T1d+qt6ZDJdWi6Wy5JCkmLTgfCLu+s+&#10;RHyvwLJkVDzQAHNfxfFjxCF1SknVHFxrY/IQjfvPQZjJUyTuA8dkYb/rR0E7qE+kh14C1WkhfOes&#10;oz2ouKO158x8cNTmtDKTESZjNxnCSbpYceRsMN9hXq1EJPo3ByR2mXQqPdQbGdE0s+xx89K6/HvO&#10;WXevbXM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zql5uc8AAAAFAQAADwAAAAAAAAABACAAAAAi&#10;AAAAZHJzL2Rvd25yZXYueG1sUEsBAhQAFAAAAAgAh07iQKpGVpraAQAAtQMAAA4AAAAAAAAAAQAg&#10;AAAAHgEAAGRycy9lMm9Eb2MueG1sUEsFBgAAAAAGAAYAWQEAAGoFAAAAAA==&#10;">
              <v:fill on="f" focussize="0,0"/>
              <v:stroke on="f"/>
              <v:imagedata o:title=""/>
              <o:lock v:ext="edit" aspectratio="f"/>
              <v:textbox inset="0mm,0mm,0mm,0mm" style="mso-fit-shape-to-text:t;">
                <w:txbxContent>
                  <w:p w14:paraId="57F17AE1">
                    <w:pPr>
                      <w:pStyle w:val="5"/>
                      <w:rPr>
                        <w:rStyle w:val="31"/>
                        <w:sz w:val="28"/>
                        <w:szCs w:val="28"/>
                      </w:rPr>
                    </w:pPr>
                    <w:r>
                      <w:rPr>
                        <w:rStyle w:val="31"/>
                        <w:sz w:val="20"/>
                      </w:rPr>
                      <w:t xml:space="preserve">  </w:t>
                    </w:r>
                    <w:r>
                      <w:rPr>
                        <w:sz w:val="21"/>
                        <w:szCs w:val="21"/>
                      </w:rPr>
                      <w:fldChar w:fldCharType="begin"/>
                    </w:r>
                    <w:r>
                      <w:rPr>
                        <w:rStyle w:val="31"/>
                        <w:sz w:val="21"/>
                        <w:szCs w:val="21"/>
                      </w:rPr>
                      <w:instrText xml:space="preserve">PAGE  </w:instrText>
                    </w:r>
                    <w:r>
                      <w:rPr>
                        <w:sz w:val="21"/>
                        <w:szCs w:val="21"/>
                      </w:rPr>
                      <w:fldChar w:fldCharType="separate"/>
                    </w:r>
                    <w:r>
                      <w:rPr>
                        <w:rStyle w:val="31"/>
                        <w:sz w:val="21"/>
                        <w:szCs w:val="21"/>
                      </w:rPr>
                      <w:t>9</w:t>
                    </w:r>
                    <w:r>
                      <w:rPr>
                        <w:sz w:val="21"/>
                        <w:szCs w:val="21"/>
                      </w:rPr>
                      <w:fldChar w:fldCharType="end"/>
                    </w:r>
                    <w:r>
                      <w:rPr>
                        <w:rStyle w:val="31"/>
                        <w:sz w:val="21"/>
                        <w:szCs w:val="21"/>
                      </w:rPr>
                      <w:t xml:space="preserve"> </w:t>
                    </w:r>
                    <w:r>
                      <w:rPr>
                        <w:rStyle w:val="31"/>
                        <w:sz w:val="20"/>
                      </w:rP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919113">
    <w:pPr>
      <w:pStyle w:val="5"/>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CF468A">
    <w:pPr>
      <w:pStyle w:val="5"/>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453CB73"/>
    <w:multiLevelType w:val="singleLevel"/>
    <w:tmpl w:val="9453CB73"/>
    <w:lvl w:ilvl="0" w:tentative="0">
      <w:start w:val="2"/>
      <w:numFmt w:val="chineseCounting"/>
      <w:suff w:val="nothing"/>
      <w:lvlText w:val="%1、"/>
      <w:lvlJc w:val="left"/>
      <w:rPr>
        <w:rFonts w:hint="eastAsia"/>
      </w:rPr>
    </w:lvl>
  </w:abstractNum>
  <w:abstractNum w:abstractNumId="1">
    <w:nsid w:val="11473D6C"/>
    <w:multiLevelType w:val="singleLevel"/>
    <w:tmpl w:val="11473D6C"/>
    <w:lvl w:ilvl="0" w:tentative="0">
      <w:start w:val="4"/>
      <w:numFmt w:val="chineseCounting"/>
      <w:suff w:val="nothing"/>
      <w:lvlText w:val="%1、"/>
      <w:lvlJc w:val="left"/>
      <w:rPr>
        <w:rFonts w:hint="eastAsia"/>
      </w:rPr>
    </w:lvl>
  </w:abstractNum>
  <w:abstractNum w:abstractNumId="2">
    <w:nsid w:val="36970A70"/>
    <w:multiLevelType w:val="multilevel"/>
    <w:tmpl w:val="36970A70"/>
    <w:lvl w:ilvl="0" w:tentative="0">
      <w:start w:val="1"/>
      <w:numFmt w:val="decimal"/>
      <w:pStyle w:val="82"/>
      <w:lvlText w:val="表%1 "/>
      <w:lvlJc w:val="left"/>
      <w:pPr>
        <w:ind w:left="4105" w:hanging="420"/>
      </w:pPr>
      <w:rPr>
        <w:rFonts w:hint="default" w:ascii="Times New Roman" w:hAnsi="Times New Roman" w:cs="Times New Roman"/>
        <w:b w:val="0"/>
        <w:bCs w:val="0"/>
        <w:i w:val="0"/>
        <w:iCs w:val="0"/>
        <w:caps w:val="0"/>
        <w:smallCaps w:val="0"/>
        <w:strike w:val="0"/>
        <w:dstrike w:val="0"/>
        <w:vanish w:val="0"/>
        <w:color w:val="000000"/>
        <w:spacing w:val="0"/>
        <w:position w:val="0"/>
        <w:u w:val="none"/>
        <w:vertAlign w:val="baseli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625478B0"/>
    <w:multiLevelType w:val="multilevel"/>
    <w:tmpl w:val="625478B0"/>
    <w:lvl w:ilvl="0" w:tentative="0">
      <w:start w:val="7"/>
      <w:numFmt w:val="upperLetter"/>
      <w:pStyle w:val="86"/>
      <w:lvlText w:val="附录%1"/>
      <w:lvlJc w:val="left"/>
      <w:pPr>
        <w:ind w:left="0" w:firstLine="0"/>
      </w:pPr>
      <w:rPr>
        <w:rFonts w:hint="eastAsia" w:cs="Times New Roman"/>
        <w:b w:val="0"/>
        <w:bCs w:val="0"/>
        <w:i w:val="0"/>
        <w:iCs w:val="0"/>
        <w:caps w:val="0"/>
        <w:smallCaps w:val="0"/>
        <w:strike w:val="0"/>
        <w:dstrike w:val="0"/>
        <w:vanish w:val="0"/>
        <w:color w:val="000000"/>
        <w:spacing w:val="0"/>
        <w:position w:val="0"/>
        <w:u w:val="none"/>
        <w:vertAlign w:val="baseline"/>
      </w:rPr>
    </w:lvl>
    <w:lvl w:ilvl="1" w:tentative="0">
      <w:start w:val="1"/>
      <w:numFmt w:val="decimal"/>
      <w:suff w:val="space"/>
      <w:lvlText w:val="%1.%2"/>
      <w:lvlJc w:val="left"/>
      <w:pPr>
        <w:ind w:left="568" w:firstLine="0"/>
      </w:pPr>
      <w:rPr>
        <w:rFonts w:hint="eastAsia" w:ascii="黑体" w:hAnsi="黑体" w:eastAsia="黑体"/>
        <w:sz w:val="21"/>
      </w:rPr>
    </w:lvl>
    <w:lvl w:ilvl="2" w:tentative="0">
      <w:start w:val="1"/>
      <w:numFmt w:val="decimal"/>
      <w:lvlText w:val="%1.%2.%3"/>
      <w:lvlJc w:val="left"/>
      <w:pPr>
        <w:ind w:left="0" w:firstLine="0"/>
      </w:pPr>
      <w:rPr>
        <w:rFonts w:hint="eastAsia" w:ascii="黑体" w:hAnsi="黑体" w:eastAsia="黑体" w:cs="Times New Roman"/>
        <w:b w:val="0"/>
        <w:bCs w:val="0"/>
        <w:i w:val="0"/>
        <w:iCs w:val="0"/>
        <w:caps w:val="0"/>
        <w:smallCaps w:val="0"/>
        <w:strike w:val="0"/>
        <w:dstrike w:val="0"/>
        <w:vanish w:val="0"/>
        <w:color w:val="000000"/>
        <w:spacing w:val="0"/>
        <w:position w:val="0"/>
        <w:u w:val="none"/>
        <w:vertAlign w:val="baseline"/>
      </w:rPr>
    </w:lvl>
    <w:lvl w:ilvl="3" w:tentative="0">
      <w:start w:val="1"/>
      <w:numFmt w:val="decimal"/>
      <w:lvlText w:val="%1.%2.%3.%4"/>
      <w:lvlJc w:val="left"/>
      <w:pPr>
        <w:ind w:left="0" w:firstLine="0"/>
      </w:pPr>
      <w:rPr>
        <w:rFonts w:hint="eastAsia" w:ascii="黑体" w:hAnsi="黑体" w:eastAsia="黑体"/>
        <w:sz w:val="21"/>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4">
    <w:nsid w:val="751E4EEC"/>
    <w:multiLevelType w:val="singleLevel"/>
    <w:tmpl w:val="751E4EEC"/>
    <w:lvl w:ilvl="0" w:tentative="0">
      <w:start w:val="1"/>
      <w:numFmt w:val="bullet"/>
      <w:pStyle w:val="18"/>
      <w:lvlText w:val=""/>
      <w:lvlJc w:val="left"/>
      <w:pPr>
        <w:tabs>
          <w:tab w:val="left" w:pos="2040"/>
        </w:tabs>
        <w:ind w:left="2040" w:hanging="360"/>
      </w:pPr>
      <w:rPr>
        <w:rFonts w:hint="default" w:ascii="Wingdings" w:hAnsi="Wingdings"/>
      </w:rPr>
    </w:lvl>
  </w:abstractNum>
  <w:num w:numId="1">
    <w:abstractNumId w:val="4"/>
  </w:num>
  <w:num w:numId="2">
    <w:abstractNumId w:val="2"/>
  </w:num>
  <w:num w:numId="3">
    <w:abstractNumId w:val="3"/>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M1MTkwN2E1M2JmYjYyN2Q1YjNlMTM1NzU1YTYwZTcifQ=="/>
  </w:docVars>
  <w:rsids>
    <w:rsidRoot w:val="00172A27"/>
    <w:rsid w:val="000060B3"/>
    <w:rsid w:val="00015946"/>
    <w:rsid w:val="0002591B"/>
    <w:rsid w:val="0004065B"/>
    <w:rsid w:val="0004364B"/>
    <w:rsid w:val="00061B1F"/>
    <w:rsid w:val="000733C4"/>
    <w:rsid w:val="00074783"/>
    <w:rsid w:val="0008070B"/>
    <w:rsid w:val="000810AC"/>
    <w:rsid w:val="00081A02"/>
    <w:rsid w:val="00082231"/>
    <w:rsid w:val="00092D38"/>
    <w:rsid w:val="0009377B"/>
    <w:rsid w:val="000A20C9"/>
    <w:rsid w:val="000B058F"/>
    <w:rsid w:val="000B0F76"/>
    <w:rsid w:val="000B4467"/>
    <w:rsid w:val="000B4DB9"/>
    <w:rsid w:val="000B5B82"/>
    <w:rsid w:val="000C09AC"/>
    <w:rsid w:val="000C767F"/>
    <w:rsid w:val="000D5A44"/>
    <w:rsid w:val="000E3ED2"/>
    <w:rsid w:val="00121567"/>
    <w:rsid w:val="00131F42"/>
    <w:rsid w:val="001357F1"/>
    <w:rsid w:val="00140FA8"/>
    <w:rsid w:val="00142FEB"/>
    <w:rsid w:val="00143A2D"/>
    <w:rsid w:val="00145A41"/>
    <w:rsid w:val="00151675"/>
    <w:rsid w:val="00157435"/>
    <w:rsid w:val="00172A27"/>
    <w:rsid w:val="00174A9E"/>
    <w:rsid w:val="0017504D"/>
    <w:rsid w:val="0017671A"/>
    <w:rsid w:val="00177422"/>
    <w:rsid w:val="00183BA9"/>
    <w:rsid w:val="00184590"/>
    <w:rsid w:val="001870D1"/>
    <w:rsid w:val="0018781E"/>
    <w:rsid w:val="0019262D"/>
    <w:rsid w:val="001929EE"/>
    <w:rsid w:val="001A1B35"/>
    <w:rsid w:val="001A315B"/>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0960"/>
    <w:rsid w:val="0023280E"/>
    <w:rsid w:val="002377D1"/>
    <w:rsid w:val="00243F89"/>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2F1C0F"/>
    <w:rsid w:val="003008A9"/>
    <w:rsid w:val="00301978"/>
    <w:rsid w:val="0030332C"/>
    <w:rsid w:val="003051C2"/>
    <w:rsid w:val="00311A5F"/>
    <w:rsid w:val="00312296"/>
    <w:rsid w:val="00314F0E"/>
    <w:rsid w:val="00321D8E"/>
    <w:rsid w:val="00325928"/>
    <w:rsid w:val="00332863"/>
    <w:rsid w:val="00335FC3"/>
    <w:rsid w:val="0033684D"/>
    <w:rsid w:val="00337B42"/>
    <w:rsid w:val="00341B42"/>
    <w:rsid w:val="0034348F"/>
    <w:rsid w:val="00356653"/>
    <w:rsid w:val="0035743F"/>
    <w:rsid w:val="00357BE2"/>
    <w:rsid w:val="0036170C"/>
    <w:rsid w:val="00366E0F"/>
    <w:rsid w:val="00381A72"/>
    <w:rsid w:val="00383856"/>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20B"/>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96B"/>
    <w:rsid w:val="00554A7B"/>
    <w:rsid w:val="0055572C"/>
    <w:rsid w:val="0056106A"/>
    <w:rsid w:val="005720AE"/>
    <w:rsid w:val="00587C38"/>
    <w:rsid w:val="00594D77"/>
    <w:rsid w:val="005969E4"/>
    <w:rsid w:val="005A06B7"/>
    <w:rsid w:val="005A1759"/>
    <w:rsid w:val="005A68A7"/>
    <w:rsid w:val="005D36AB"/>
    <w:rsid w:val="005E4D5D"/>
    <w:rsid w:val="005F3EE8"/>
    <w:rsid w:val="00617CC3"/>
    <w:rsid w:val="006377A6"/>
    <w:rsid w:val="00637A3D"/>
    <w:rsid w:val="006411EF"/>
    <w:rsid w:val="00643BE3"/>
    <w:rsid w:val="006748B8"/>
    <w:rsid w:val="00674F35"/>
    <w:rsid w:val="006775C3"/>
    <w:rsid w:val="00684A7C"/>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256C4"/>
    <w:rsid w:val="00732922"/>
    <w:rsid w:val="00733E26"/>
    <w:rsid w:val="0075162E"/>
    <w:rsid w:val="00754034"/>
    <w:rsid w:val="00756556"/>
    <w:rsid w:val="007618A1"/>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7F121B"/>
    <w:rsid w:val="00801393"/>
    <w:rsid w:val="00802F88"/>
    <w:rsid w:val="0081293E"/>
    <w:rsid w:val="00815465"/>
    <w:rsid w:val="00817E9A"/>
    <w:rsid w:val="00827325"/>
    <w:rsid w:val="008306BD"/>
    <w:rsid w:val="00831A80"/>
    <w:rsid w:val="00833743"/>
    <w:rsid w:val="008340A4"/>
    <w:rsid w:val="00846C27"/>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3991"/>
    <w:rsid w:val="008E5D6B"/>
    <w:rsid w:val="008E76F0"/>
    <w:rsid w:val="008F15FE"/>
    <w:rsid w:val="008F2D29"/>
    <w:rsid w:val="008F5187"/>
    <w:rsid w:val="008F60D8"/>
    <w:rsid w:val="00902727"/>
    <w:rsid w:val="0090312B"/>
    <w:rsid w:val="009113A8"/>
    <w:rsid w:val="0091736D"/>
    <w:rsid w:val="0093037A"/>
    <w:rsid w:val="0094154D"/>
    <w:rsid w:val="0095155F"/>
    <w:rsid w:val="00954429"/>
    <w:rsid w:val="009563CE"/>
    <w:rsid w:val="00957611"/>
    <w:rsid w:val="00975D66"/>
    <w:rsid w:val="00976328"/>
    <w:rsid w:val="0097680D"/>
    <w:rsid w:val="00982438"/>
    <w:rsid w:val="0098404C"/>
    <w:rsid w:val="00984C4F"/>
    <w:rsid w:val="00985283"/>
    <w:rsid w:val="00995992"/>
    <w:rsid w:val="009A03E5"/>
    <w:rsid w:val="009A0F3B"/>
    <w:rsid w:val="009A1BB4"/>
    <w:rsid w:val="009A2628"/>
    <w:rsid w:val="009A3200"/>
    <w:rsid w:val="009B0897"/>
    <w:rsid w:val="009B6A55"/>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A68A3"/>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43091"/>
    <w:rsid w:val="00B53B5D"/>
    <w:rsid w:val="00B6055E"/>
    <w:rsid w:val="00B6317D"/>
    <w:rsid w:val="00B7723F"/>
    <w:rsid w:val="00B80534"/>
    <w:rsid w:val="00B8433C"/>
    <w:rsid w:val="00B87491"/>
    <w:rsid w:val="00BA29E9"/>
    <w:rsid w:val="00BA7142"/>
    <w:rsid w:val="00BB237C"/>
    <w:rsid w:val="00BB41A3"/>
    <w:rsid w:val="00BC32DC"/>
    <w:rsid w:val="00BC35B6"/>
    <w:rsid w:val="00BC6889"/>
    <w:rsid w:val="00BC7830"/>
    <w:rsid w:val="00BD1B51"/>
    <w:rsid w:val="00BD4596"/>
    <w:rsid w:val="00BE1405"/>
    <w:rsid w:val="00BE312D"/>
    <w:rsid w:val="00BF1C20"/>
    <w:rsid w:val="00C10578"/>
    <w:rsid w:val="00C135BC"/>
    <w:rsid w:val="00C15C95"/>
    <w:rsid w:val="00C2596A"/>
    <w:rsid w:val="00C27537"/>
    <w:rsid w:val="00C328FE"/>
    <w:rsid w:val="00C33507"/>
    <w:rsid w:val="00C42C25"/>
    <w:rsid w:val="00C4409D"/>
    <w:rsid w:val="00C44E72"/>
    <w:rsid w:val="00C45A06"/>
    <w:rsid w:val="00C47B42"/>
    <w:rsid w:val="00C47E5B"/>
    <w:rsid w:val="00C61E4B"/>
    <w:rsid w:val="00C64BFF"/>
    <w:rsid w:val="00C704E9"/>
    <w:rsid w:val="00C737EA"/>
    <w:rsid w:val="00C763C9"/>
    <w:rsid w:val="00C80057"/>
    <w:rsid w:val="00C82232"/>
    <w:rsid w:val="00C82913"/>
    <w:rsid w:val="00C83641"/>
    <w:rsid w:val="00C972B1"/>
    <w:rsid w:val="00CA2CCE"/>
    <w:rsid w:val="00CA43FD"/>
    <w:rsid w:val="00CA7EF8"/>
    <w:rsid w:val="00CC489B"/>
    <w:rsid w:val="00CD2BCD"/>
    <w:rsid w:val="00CD3A4C"/>
    <w:rsid w:val="00CE10E9"/>
    <w:rsid w:val="00CE2910"/>
    <w:rsid w:val="00CE5393"/>
    <w:rsid w:val="00CF36BE"/>
    <w:rsid w:val="00CF5C9C"/>
    <w:rsid w:val="00CF6000"/>
    <w:rsid w:val="00D003F3"/>
    <w:rsid w:val="00D0364F"/>
    <w:rsid w:val="00D06834"/>
    <w:rsid w:val="00D308ED"/>
    <w:rsid w:val="00D36D86"/>
    <w:rsid w:val="00D428AA"/>
    <w:rsid w:val="00D50A34"/>
    <w:rsid w:val="00D53EFA"/>
    <w:rsid w:val="00D822FE"/>
    <w:rsid w:val="00D908E7"/>
    <w:rsid w:val="00D92D5D"/>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85625"/>
    <w:rsid w:val="00E9242D"/>
    <w:rsid w:val="00E95C44"/>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3C5A"/>
    <w:rsid w:val="00FA406A"/>
    <w:rsid w:val="00FB503A"/>
    <w:rsid w:val="00FB516C"/>
    <w:rsid w:val="00FC2FFB"/>
    <w:rsid w:val="00FD0236"/>
    <w:rsid w:val="00FD18F4"/>
    <w:rsid w:val="00FD54DB"/>
    <w:rsid w:val="00FD619F"/>
    <w:rsid w:val="00FF7EE1"/>
    <w:rsid w:val="010E6244"/>
    <w:rsid w:val="01233425"/>
    <w:rsid w:val="01290F7E"/>
    <w:rsid w:val="01497F54"/>
    <w:rsid w:val="015D1E09"/>
    <w:rsid w:val="01696696"/>
    <w:rsid w:val="018B1F6C"/>
    <w:rsid w:val="019B1886"/>
    <w:rsid w:val="01A05960"/>
    <w:rsid w:val="01AC6B45"/>
    <w:rsid w:val="01B158D2"/>
    <w:rsid w:val="01CB60E8"/>
    <w:rsid w:val="01CE1401"/>
    <w:rsid w:val="01E815AB"/>
    <w:rsid w:val="020225EC"/>
    <w:rsid w:val="02035E8B"/>
    <w:rsid w:val="02117F78"/>
    <w:rsid w:val="02133E97"/>
    <w:rsid w:val="02225B04"/>
    <w:rsid w:val="02260701"/>
    <w:rsid w:val="022B3C48"/>
    <w:rsid w:val="02343E4F"/>
    <w:rsid w:val="0236335D"/>
    <w:rsid w:val="024E165D"/>
    <w:rsid w:val="0261662C"/>
    <w:rsid w:val="0264611C"/>
    <w:rsid w:val="02697903"/>
    <w:rsid w:val="02A46519"/>
    <w:rsid w:val="02A53D7F"/>
    <w:rsid w:val="02B21032"/>
    <w:rsid w:val="02C12208"/>
    <w:rsid w:val="02D30392"/>
    <w:rsid w:val="02D7069C"/>
    <w:rsid w:val="02DA533C"/>
    <w:rsid w:val="02DB1F86"/>
    <w:rsid w:val="02E96DB1"/>
    <w:rsid w:val="02F82E8B"/>
    <w:rsid w:val="02F96569"/>
    <w:rsid w:val="0304734E"/>
    <w:rsid w:val="030D2310"/>
    <w:rsid w:val="031806DB"/>
    <w:rsid w:val="0324347B"/>
    <w:rsid w:val="03266309"/>
    <w:rsid w:val="032D1CC1"/>
    <w:rsid w:val="03305FFE"/>
    <w:rsid w:val="0353373C"/>
    <w:rsid w:val="03634AF5"/>
    <w:rsid w:val="03764359"/>
    <w:rsid w:val="038A570F"/>
    <w:rsid w:val="03A74512"/>
    <w:rsid w:val="03E05C76"/>
    <w:rsid w:val="03EA7B21"/>
    <w:rsid w:val="03F639BB"/>
    <w:rsid w:val="04294DFA"/>
    <w:rsid w:val="04633806"/>
    <w:rsid w:val="046C58B5"/>
    <w:rsid w:val="04781A0B"/>
    <w:rsid w:val="04826947"/>
    <w:rsid w:val="049251C3"/>
    <w:rsid w:val="04A01B8A"/>
    <w:rsid w:val="04A17F93"/>
    <w:rsid w:val="04B86997"/>
    <w:rsid w:val="04BB5274"/>
    <w:rsid w:val="04D258AF"/>
    <w:rsid w:val="04D97DDC"/>
    <w:rsid w:val="04ED2D68"/>
    <w:rsid w:val="04FD6A0F"/>
    <w:rsid w:val="052D0ACC"/>
    <w:rsid w:val="053242B0"/>
    <w:rsid w:val="053D66C7"/>
    <w:rsid w:val="05573D16"/>
    <w:rsid w:val="055E6E53"/>
    <w:rsid w:val="056D52E8"/>
    <w:rsid w:val="05856AD5"/>
    <w:rsid w:val="05917228"/>
    <w:rsid w:val="05AA2124"/>
    <w:rsid w:val="05D56314"/>
    <w:rsid w:val="05E01F5E"/>
    <w:rsid w:val="05E82BC0"/>
    <w:rsid w:val="05F43D01"/>
    <w:rsid w:val="05F652DD"/>
    <w:rsid w:val="05F83EAE"/>
    <w:rsid w:val="061A2CCC"/>
    <w:rsid w:val="0625007C"/>
    <w:rsid w:val="063876A4"/>
    <w:rsid w:val="063E7D85"/>
    <w:rsid w:val="065564A8"/>
    <w:rsid w:val="065B3392"/>
    <w:rsid w:val="06707C73"/>
    <w:rsid w:val="06814C06"/>
    <w:rsid w:val="06867130"/>
    <w:rsid w:val="069A0002"/>
    <w:rsid w:val="06CE16C6"/>
    <w:rsid w:val="06F537E7"/>
    <w:rsid w:val="06F76DD2"/>
    <w:rsid w:val="06F83366"/>
    <w:rsid w:val="072217C3"/>
    <w:rsid w:val="07293586"/>
    <w:rsid w:val="07295285"/>
    <w:rsid w:val="075C0930"/>
    <w:rsid w:val="07636392"/>
    <w:rsid w:val="07770C56"/>
    <w:rsid w:val="078235DA"/>
    <w:rsid w:val="07916A24"/>
    <w:rsid w:val="079461F9"/>
    <w:rsid w:val="07B972D9"/>
    <w:rsid w:val="07BE007D"/>
    <w:rsid w:val="07C17505"/>
    <w:rsid w:val="07C72C8B"/>
    <w:rsid w:val="07EE1598"/>
    <w:rsid w:val="07FC6F8D"/>
    <w:rsid w:val="07FF5650"/>
    <w:rsid w:val="0808579C"/>
    <w:rsid w:val="08095F05"/>
    <w:rsid w:val="080D74CB"/>
    <w:rsid w:val="08125ABB"/>
    <w:rsid w:val="0858101D"/>
    <w:rsid w:val="086D0162"/>
    <w:rsid w:val="0874513E"/>
    <w:rsid w:val="088B18D8"/>
    <w:rsid w:val="08AF5C17"/>
    <w:rsid w:val="08D75B62"/>
    <w:rsid w:val="08D87341"/>
    <w:rsid w:val="08EF6C78"/>
    <w:rsid w:val="08FD2E27"/>
    <w:rsid w:val="09030E5F"/>
    <w:rsid w:val="09102B5A"/>
    <w:rsid w:val="092217DD"/>
    <w:rsid w:val="09303FEC"/>
    <w:rsid w:val="09390414"/>
    <w:rsid w:val="093A7294"/>
    <w:rsid w:val="093C66A7"/>
    <w:rsid w:val="099E2B11"/>
    <w:rsid w:val="09A17C56"/>
    <w:rsid w:val="09A34BA0"/>
    <w:rsid w:val="09F13F0A"/>
    <w:rsid w:val="09F22188"/>
    <w:rsid w:val="0A086F7F"/>
    <w:rsid w:val="0A0932F1"/>
    <w:rsid w:val="0A0F27AC"/>
    <w:rsid w:val="0A263993"/>
    <w:rsid w:val="0A2D3AC2"/>
    <w:rsid w:val="0A37311C"/>
    <w:rsid w:val="0A584216"/>
    <w:rsid w:val="0A5922DF"/>
    <w:rsid w:val="0A7B2255"/>
    <w:rsid w:val="0A911A78"/>
    <w:rsid w:val="0A964626"/>
    <w:rsid w:val="0AA532B2"/>
    <w:rsid w:val="0AA755DF"/>
    <w:rsid w:val="0AD83203"/>
    <w:rsid w:val="0ADD081A"/>
    <w:rsid w:val="0AE0732E"/>
    <w:rsid w:val="0AF81A67"/>
    <w:rsid w:val="0B064214"/>
    <w:rsid w:val="0B120D44"/>
    <w:rsid w:val="0B21104E"/>
    <w:rsid w:val="0B674587"/>
    <w:rsid w:val="0B964746"/>
    <w:rsid w:val="0BBA0B5B"/>
    <w:rsid w:val="0BC96FF0"/>
    <w:rsid w:val="0BD27BF6"/>
    <w:rsid w:val="0BE1649E"/>
    <w:rsid w:val="0BEB51B8"/>
    <w:rsid w:val="0C173271"/>
    <w:rsid w:val="0C372EF5"/>
    <w:rsid w:val="0C3B3C7D"/>
    <w:rsid w:val="0C417381"/>
    <w:rsid w:val="0C58208C"/>
    <w:rsid w:val="0C833D7E"/>
    <w:rsid w:val="0C9F5DB1"/>
    <w:rsid w:val="0CAA5E52"/>
    <w:rsid w:val="0CAB2EAE"/>
    <w:rsid w:val="0CB101B0"/>
    <w:rsid w:val="0CBF35C0"/>
    <w:rsid w:val="0CD8758E"/>
    <w:rsid w:val="0CE55721"/>
    <w:rsid w:val="0CF63E15"/>
    <w:rsid w:val="0D033A56"/>
    <w:rsid w:val="0D134413"/>
    <w:rsid w:val="0D1B6FF1"/>
    <w:rsid w:val="0D2661AE"/>
    <w:rsid w:val="0D272355"/>
    <w:rsid w:val="0D350F2C"/>
    <w:rsid w:val="0D3C216F"/>
    <w:rsid w:val="0D423548"/>
    <w:rsid w:val="0D4251A3"/>
    <w:rsid w:val="0D5015E0"/>
    <w:rsid w:val="0D5F052F"/>
    <w:rsid w:val="0D621C7D"/>
    <w:rsid w:val="0DA25D4B"/>
    <w:rsid w:val="0DD34BB2"/>
    <w:rsid w:val="0DD531DA"/>
    <w:rsid w:val="0DE86B21"/>
    <w:rsid w:val="0E031464"/>
    <w:rsid w:val="0E211365"/>
    <w:rsid w:val="0E236E8B"/>
    <w:rsid w:val="0E2B3F92"/>
    <w:rsid w:val="0E2C21E4"/>
    <w:rsid w:val="0E492CC5"/>
    <w:rsid w:val="0E49319C"/>
    <w:rsid w:val="0E4E2DA5"/>
    <w:rsid w:val="0E73034D"/>
    <w:rsid w:val="0E820056"/>
    <w:rsid w:val="0E825370"/>
    <w:rsid w:val="0E8611C8"/>
    <w:rsid w:val="0E941B37"/>
    <w:rsid w:val="0E9C1BC7"/>
    <w:rsid w:val="0EA7186A"/>
    <w:rsid w:val="0EAF3901"/>
    <w:rsid w:val="0EAF6971"/>
    <w:rsid w:val="0ECF2B6F"/>
    <w:rsid w:val="0ED40186"/>
    <w:rsid w:val="0ED4747E"/>
    <w:rsid w:val="0EFB3964"/>
    <w:rsid w:val="0F13775A"/>
    <w:rsid w:val="0F190E46"/>
    <w:rsid w:val="0F2203B1"/>
    <w:rsid w:val="0F276B69"/>
    <w:rsid w:val="0F2C6214"/>
    <w:rsid w:val="0F2F6501"/>
    <w:rsid w:val="0F340C24"/>
    <w:rsid w:val="0F355EBF"/>
    <w:rsid w:val="0F3D4F85"/>
    <w:rsid w:val="0F4576FA"/>
    <w:rsid w:val="0F493C83"/>
    <w:rsid w:val="0F52658A"/>
    <w:rsid w:val="0F5F45FE"/>
    <w:rsid w:val="0F612FB6"/>
    <w:rsid w:val="0F7334C7"/>
    <w:rsid w:val="0F991EE4"/>
    <w:rsid w:val="0F9A112B"/>
    <w:rsid w:val="0FA94931"/>
    <w:rsid w:val="0FB32491"/>
    <w:rsid w:val="0FCA7203"/>
    <w:rsid w:val="0FE146AC"/>
    <w:rsid w:val="0FFB0C71"/>
    <w:rsid w:val="102313C5"/>
    <w:rsid w:val="10244BB7"/>
    <w:rsid w:val="102D5D9F"/>
    <w:rsid w:val="1032785A"/>
    <w:rsid w:val="10331486"/>
    <w:rsid w:val="103F1AE1"/>
    <w:rsid w:val="1045758D"/>
    <w:rsid w:val="10484987"/>
    <w:rsid w:val="10505F32"/>
    <w:rsid w:val="10583751"/>
    <w:rsid w:val="105A46BB"/>
    <w:rsid w:val="106317C1"/>
    <w:rsid w:val="106627B9"/>
    <w:rsid w:val="106D2F64"/>
    <w:rsid w:val="109003FC"/>
    <w:rsid w:val="109E42EB"/>
    <w:rsid w:val="10B63710"/>
    <w:rsid w:val="10BF384A"/>
    <w:rsid w:val="10C20BDE"/>
    <w:rsid w:val="10D15034"/>
    <w:rsid w:val="10EB3F9F"/>
    <w:rsid w:val="10F04403"/>
    <w:rsid w:val="10F10820"/>
    <w:rsid w:val="111C2F7A"/>
    <w:rsid w:val="11250A02"/>
    <w:rsid w:val="112847B9"/>
    <w:rsid w:val="11405FA6"/>
    <w:rsid w:val="11602D5A"/>
    <w:rsid w:val="1160632B"/>
    <w:rsid w:val="11665CA1"/>
    <w:rsid w:val="11812847"/>
    <w:rsid w:val="118F65E6"/>
    <w:rsid w:val="119D0D03"/>
    <w:rsid w:val="11A070AF"/>
    <w:rsid w:val="11C5338F"/>
    <w:rsid w:val="12353386"/>
    <w:rsid w:val="123F000C"/>
    <w:rsid w:val="12744510"/>
    <w:rsid w:val="127502E4"/>
    <w:rsid w:val="127D4C2F"/>
    <w:rsid w:val="128E685A"/>
    <w:rsid w:val="12B91B6C"/>
    <w:rsid w:val="12C4685D"/>
    <w:rsid w:val="12D223D2"/>
    <w:rsid w:val="12EB062F"/>
    <w:rsid w:val="130046C6"/>
    <w:rsid w:val="130D2DA4"/>
    <w:rsid w:val="13197CD1"/>
    <w:rsid w:val="133B4ABA"/>
    <w:rsid w:val="133E6515"/>
    <w:rsid w:val="134767DB"/>
    <w:rsid w:val="13595A77"/>
    <w:rsid w:val="137D703E"/>
    <w:rsid w:val="1390569A"/>
    <w:rsid w:val="13951726"/>
    <w:rsid w:val="13976C1D"/>
    <w:rsid w:val="13AC7923"/>
    <w:rsid w:val="13B1670B"/>
    <w:rsid w:val="13B862C8"/>
    <w:rsid w:val="13C46A1B"/>
    <w:rsid w:val="13CE5AEB"/>
    <w:rsid w:val="13DB0E6D"/>
    <w:rsid w:val="13DD7ADC"/>
    <w:rsid w:val="13EB4F75"/>
    <w:rsid w:val="13FD26F6"/>
    <w:rsid w:val="140137CB"/>
    <w:rsid w:val="14107459"/>
    <w:rsid w:val="142762C8"/>
    <w:rsid w:val="143040B0"/>
    <w:rsid w:val="1433367F"/>
    <w:rsid w:val="1437543F"/>
    <w:rsid w:val="14396509"/>
    <w:rsid w:val="14617743"/>
    <w:rsid w:val="14943739"/>
    <w:rsid w:val="14A27D77"/>
    <w:rsid w:val="14AA20B4"/>
    <w:rsid w:val="14BA7E1E"/>
    <w:rsid w:val="14BF4467"/>
    <w:rsid w:val="14BF5434"/>
    <w:rsid w:val="14C842E9"/>
    <w:rsid w:val="14CB2FC8"/>
    <w:rsid w:val="14D14285"/>
    <w:rsid w:val="14DD2C3C"/>
    <w:rsid w:val="14FB21D3"/>
    <w:rsid w:val="15400323"/>
    <w:rsid w:val="154B2C1E"/>
    <w:rsid w:val="15545B7C"/>
    <w:rsid w:val="15655FDB"/>
    <w:rsid w:val="156B3A3E"/>
    <w:rsid w:val="15777B56"/>
    <w:rsid w:val="157969E2"/>
    <w:rsid w:val="157E7CA2"/>
    <w:rsid w:val="15A07AD1"/>
    <w:rsid w:val="15AB3F87"/>
    <w:rsid w:val="15B12FCF"/>
    <w:rsid w:val="15B3709C"/>
    <w:rsid w:val="15CD06A2"/>
    <w:rsid w:val="15CE3B81"/>
    <w:rsid w:val="15D55268"/>
    <w:rsid w:val="15E22094"/>
    <w:rsid w:val="15E50ECA"/>
    <w:rsid w:val="16087E1D"/>
    <w:rsid w:val="161C3AA2"/>
    <w:rsid w:val="162658B5"/>
    <w:rsid w:val="162B750A"/>
    <w:rsid w:val="166C5148"/>
    <w:rsid w:val="16782A3F"/>
    <w:rsid w:val="16816E45"/>
    <w:rsid w:val="169D5806"/>
    <w:rsid w:val="16A448E1"/>
    <w:rsid w:val="16A829D3"/>
    <w:rsid w:val="16A91EF8"/>
    <w:rsid w:val="16AD73C2"/>
    <w:rsid w:val="16CB6312"/>
    <w:rsid w:val="16D231FD"/>
    <w:rsid w:val="16E80C72"/>
    <w:rsid w:val="17011D34"/>
    <w:rsid w:val="1711641B"/>
    <w:rsid w:val="171926FF"/>
    <w:rsid w:val="172727C4"/>
    <w:rsid w:val="173051DB"/>
    <w:rsid w:val="1735378C"/>
    <w:rsid w:val="17366B3F"/>
    <w:rsid w:val="173B7E65"/>
    <w:rsid w:val="173D5243"/>
    <w:rsid w:val="17462306"/>
    <w:rsid w:val="175005C5"/>
    <w:rsid w:val="176D22DF"/>
    <w:rsid w:val="17701D14"/>
    <w:rsid w:val="17735226"/>
    <w:rsid w:val="177B1AE6"/>
    <w:rsid w:val="177C0FCD"/>
    <w:rsid w:val="17BE5F44"/>
    <w:rsid w:val="17CC7113"/>
    <w:rsid w:val="17D631C0"/>
    <w:rsid w:val="17E3154A"/>
    <w:rsid w:val="180579F1"/>
    <w:rsid w:val="180E64B6"/>
    <w:rsid w:val="18306422"/>
    <w:rsid w:val="1844637C"/>
    <w:rsid w:val="184E7B2F"/>
    <w:rsid w:val="187E2AD4"/>
    <w:rsid w:val="188350F6"/>
    <w:rsid w:val="189F624C"/>
    <w:rsid w:val="18AD782E"/>
    <w:rsid w:val="18AE7499"/>
    <w:rsid w:val="18B75A05"/>
    <w:rsid w:val="18B967E8"/>
    <w:rsid w:val="18C35960"/>
    <w:rsid w:val="18DE5CC2"/>
    <w:rsid w:val="18F17B89"/>
    <w:rsid w:val="19083F48"/>
    <w:rsid w:val="192225DE"/>
    <w:rsid w:val="19397563"/>
    <w:rsid w:val="19431C06"/>
    <w:rsid w:val="19595E57"/>
    <w:rsid w:val="196A3171"/>
    <w:rsid w:val="19712F36"/>
    <w:rsid w:val="1971338C"/>
    <w:rsid w:val="1981332D"/>
    <w:rsid w:val="198D78AF"/>
    <w:rsid w:val="19B25B59"/>
    <w:rsid w:val="19C5529B"/>
    <w:rsid w:val="19EB1A28"/>
    <w:rsid w:val="19EE234F"/>
    <w:rsid w:val="19FC6318"/>
    <w:rsid w:val="19FE255B"/>
    <w:rsid w:val="1A1C66C0"/>
    <w:rsid w:val="1A385A6D"/>
    <w:rsid w:val="1A42393B"/>
    <w:rsid w:val="1A5018AD"/>
    <w:rsid w:val="1A5D0F89"/>
    <w:rsid w:val="1A617197"/>
    <w:rsid w:val="1A7B1DFD"/>
    <w:rsid w:val="1A7F7F8E"/>
    <w:rsid w:val="1A901B63"/>
    <w:rsid w:val="1A9D4D5A"/>
    <w:rsid w:val="1A9E664B"/>
    <w:rsid w:val="1AAD45DE"/>
    <w:rsid w:val="1AE606FD"/>
    <w:rsid w:val="1B046F80"/>
    <w:rsid w:val="1B0F1142"/>
    <w:rsid w:val="1B280542"/>
    <w:rsid w:val="1B2A0820"/>
    <w:rsid w:val="1B3267B5"/>
    <w:rsid w:val="1B40161D"/>
    <w:rsid w:val="1B441859"/>
    <w:rsid w:val="1B4D65EE"/>
    <w:rsid w:val="1B4F3298"/>
    <w:rsid w:val="1B6606B1"/>
    <w:rsid w:val="1B7622ED"/>
    <w:rsid w:val="1B79458F"/>
    <w:rsid w:val="1BA1210E"/>
    <w:rsid w:val="1BAD5FE6"/>
    <w:rsid w:val="1BD47A17"/>
    <w:rsid w:val="1BF65BDF"/>
    <w:rsid w:val="1BF74CF0"/>
    <w:rsid w:val="1C0C0F5F"/>
    <w:rsid w:val="1C220989"/>
    <w:rsid w:val="1C356BB6"/>
    <w:rsid w:val="1C4C4CDC"/>
    <w:rsid w:val="1C5E7925"/>
    <w:rsid w:val="1C60574F"/>
    <w:rsid w:val="1C7020CE"/>
    <w:rsid w:val="1C746B04"/>
    <w:rsid w:val="1C89189F"/>
    <w:rsid w:val="1C9D605B"/>
    <w:rsid w:val="1CA97A8E"/>
    <w:rsid w:val="1CB82854"/>
    <w:rsid w:val="1CC47F67"/>
    <w:rsid w:val="1CFA525B"/>
    <w:rsid w:val="1CFD070F"/>
    <w:rsid w:val="1D1E4219"/>
    <w:rsid w:val="1D1E46E6"/>
    <w:rsid w:val="1D4E7EBE"/>
    <w:rsid w:val="1D5F6196"/>
    <w:rsid w:val="1D6132A5"/>
    <w:rsid w:val="1D7276BB"/>
    <w:rsid w:val="1D8E56D5"/>
    <w:rsid w:val="1DC83EF3"/>
    <w:rsid w:val="1DEF6D8A"/>
    <w:rsid w:val="1DFC2768"/>
    <w:rsid w:val="1E051D9D"/>
    <w:rsid w:val="1E1B30C6"/>
    <w:rsid w:val="1E3576CC"/>
    <w:rsid w:val="1E5906A7"/>
    <w:rsid w:val="1E674B72"/>
    <w:rsid w:val="1E6C2189"/>
    <w:rsid w:val="1E7A43DA"/>
    <w:rsid w:val="1E7B23CC"/>
    <w:rsid w:val="1E9A3FD3"/>
    <w:rsid w:val="1EAF7A27"/>
    <w:rsid w:val="1EBC5442"/>
    <w:rsid w:val="1EC43D73"/>
    <w:rsid w:val="1EF11E5F"/>
    <w:rsid w:val="1EF65D50"/>
    <w:rsid w:val="1EFB676C"/>
    <w:rsid w:val="1F0209E1"/>
    <w:rsid w:val="1F034673"/>
    <w:rsid w:val="1F122D30"/>
    <w:rsid w:val="1F242A63"/>
    <w:rsid w:val="1F556286"/>
    <w:rsid w:val="1F592825"/>
    <w:rsid w:val="1F673EA6"/>
    <w:rsid w:val="1F6F342C"/>
    <w:rsid w:val="1F75506D"/>
    <w:rsid w:val="1F7F4640"/>
    <w:rsid w:val="1F9C4CF0"/>
    <w:rsid w:val="1FB262C1"/>
    <w:rsid w:val="1FD224BF"/>
    <w:rsid w:val="1FD40B49"/>
    <w:rsid w:val="1FE7539E"/>
    <w:rsid w:val="1FEE6655"/>
    <w:rsid w:val="20120AF0"/>
    <w:rsid w:val="201C5A4A"/>
    <w:rsid w:val="202414AE"/>
    <w:rsid w:val="202D76F6"/>
    <w:rsid w:val="203733D4"/>
    <w:rsid w:val="203A506E"/>
    <w:rsid w:val="20512654"/>
    <w:rsid w:val="20527EC8"/>
    <w:rsid w:val="20616EC8"/>
    <w:rsid w:val="20652D9F"/>
    <w:rsid w:val="20653333"/>
    <w:rsid w:val="20671BE0"/>
    <w:rsid w:val="207538F6"/>
    <w:rsid w:val="2086633E"/>
    <w:rsid w:val="208732AA"/>
    <w:rsid w:val="20947775"/>
    <w:rsid w:val="20963CB8"/>
    <w:rsid w:val="20A81A1B"/>
    <w:rsid w:val="20B07FB6"/>
    <w:rsid w:val="20B646FB"/>
    <w:rsid w:val="20B84F8A"/>
    <w:rsid w:val="20BA367F"/>
    <w:rsid w:val="20CE60BD"/>
    <w:rsid w:val="20E83714"/>
    <w:rsid w:val="21052421"/>
    <w:rsid w:val="21063093"/>
    <w:rsid w:val="212A6A4C"/>
    <w:rsid w:val="212E1977"/>
    <w:rsid w:val="213B74B1"/>
    <w:rsid w:val="215313DE"/>
    <w:rsid w:val="215A2310"/>
    <w:rsid w:val="217267F7"/>
    <w:rsid w:val="21DE318A"/>
    <w:rsid w:val="21E21E9B"/>
    <w:rsid w:val="21EF5B80"/>
    <w:rsid w:val="21F45A49"/>
    <w:rsid w:val="21F57CAB"/>
    <w:rsid w:val="22080098"/>
    <w:rsid w:val="2223045B"/>
    <w:rsid w:val="22326B0B"/>
    <w:rsid w:val="22397ED6"/>
    <w:rsid w:val="22573150"/>
    <w:rsid w:val="22576990"/>
    <w:rsid w:val="22732EF1"/>
    <w:rsid w:val="22737F8A"/>
    <w:rsid w:val="227C4964"/>
    <w:rsid w:val="22851F9A"/>
    <w:rsid w:val="229B128E"/>
    <w:rsid w:val="22BD6D79"/>
    <w:rsid w:val="22C0096E"/>
    <w:rsid w:val="22C1501A"/>
    <w:rsid w:val="22C40454"/>
    <w:rsid w:val="22F0510F"/>
    <w:rsid w:val="22F34C27"/>
    <w:rsid w:val="22F47480"/>
    <w:rsid w:val="22FC2A0B"/>
    <w:rsid w:val="23577041"/>
    <w:rsid w:val="23713D9D"/>
    <w:rsid w:val="23754AA7"/>
    <w:rsid w:val="23767DE8"/>
    <w:rsid w:val="23AB5242"/>
    <w:rsid w:val="23CA6C7A"/>
    <w:rsid w:val="23D305B4"/>
    <w:rsid w:val="23DE1C48"/>
    <w:rsid w:val="240210CD"/>
    <w:rsid w:val="242300DD"/>
    <w:rsid w:val="24332DB1"/>
    <w:rsid w:val="24754595"/>
    <w:rsid w:val="24994853"/>
    <w:rsid w:val="24A30430"/>
    <w:rsid w:val="24AA3E9F"/>
    <w:rsid w:val="24BE3012"/>
    <w:rsid w:val="24BE4D5C"/>
    <w:rsid w:val="24BF09F7"/>
    <w:rsid w:val="24C44DA9"/>
    <w:rsid w:val="24F92D91"/>
    <w:rsid w:val="252D53FE"/>
    <w:rsid w:val="25333A00"/>
    <w:rsid w:val="25424855"/>
    <w:rsid w:val="255B6B3D"/>
    <w:rsid w:val="25891872"/>
    <w:rsid w:val="259326F1"/>
    <w:rsid w:val="25A15CBF"/>
    <w:rsid w:val="25A8619C"/>
    <w:rsid w:val="25C13E6F"/>
    <w:rsid w:val="25CB328B"/>
    <w:rsid w:val="25DC0BEB"/>
    <w:rsid w:val="25EC2D81"/>
    <w:rsid w:val="25F27417"/>
    <w:rsid w:val="26104E56"/>
    <w:rsid w:val="263C473B"/>
    <w:rsid w:val="2650413E"/>
    <w:rsid w:val="26551754"/>
    <w:rsid w:val="26576792"/>
    <w:rsid w:val="266320C3"/>
    <w:rsid w:val="268362C1"/>
    <w:rsid w:val="26846B68"/>
    <w:rsid w:val="2695279E"/>
    <w:rsid w:val="26A731F8"/>
    <w:rsid w:val="26B42C79"/>
    <w:rsid w:val="26B44032"/>
    <w:rsid w:val="26C50688"/>
    <w:rsid w:val="26EE4083"/>
    <w:rsid w:val="270D0281"/>
    <w:rsid w:val="270F5941"/>
    <w:rsid w:val="27194E78"/>
    <w:rsid w:val="27311B27"/>
    <w:rsid w:val="2753051E"/>
    <w:rsid w:val="275E0325"/>
    <w:rsid w:val="276907BC"/>
    <w:rsid w:val="276E2ACE"/>
    <w:rsid w:val="277057A2"/>
    <w:rsid w:val="277B343D"/>
    <w:rsid w:val="279D33B3"/>
    <w:rsid w:val="27AA02DA"/>
    <w:rsid w:val="27AA5D88"/>
    <w:rsid w:val="27D77B57"/>
    <w:rsid w:val="27DA2B3B"/>
    <w:rsid w:val="27DE7B89"/>
    <w:rsid w:val="27E234BC"/>
    <w:rsid w:val="27EF15C1"/>
    <w:rsid w:val="27FB515C"/>
    <w:rsid w:val="27FC27CF"/>
    <w:rsid w:val="28021339"/>
    <w:rsid w:val="280E42B1"/>
    <w:rsid w:val="28122094"/>
    <w:rsid w:val="28156AE2"/>
    <w:rsid w:val="281F28D7"/>
    <w:rsid w:val="281F3307"/>
    <w:rsid w:val="281F6039"/>
    <w:rsid w:val="282D43C0"/>
    <w:rsid w:val="282E2FEC"/>
    <w:rsid w:val="283312A4"/>
    <w:rsid w:val="28425D08"/>
    <w:rsid w:val="28550131"/>
    <w:rsid w:val="286F3CE6"/>
    <w:rsid w:val="288704C4"/>
    <w:rsid w:val="28870BE3"/>
    <w:rsid w:val="28937040"/>
    <w:rsid w:val="28C14CE3"/>
    <w:rsid w:val="28EC1DCD"/>
    <w:rsid w:val="291F0B1E"/>
    <w:rsid w:val="29206EB8"/>
    <w:rsid w:val="293A233A"/>
    <w:rsid w:val="29595666"/>
    <w:rsid w:val="29874881"/>
    <w:rsid w:val="29986230"/>
    <w:rsid w:val="299A643C"/>
    <w:rsid w:val="29C07181"/>
    <w:rsid w:val="29D47298"/>
    <w:rsid w:val="29D62BAC"/>
    <w:rsid w:val="29DA269C"/>
    <w:rsid w:val="29E325E0"/>
    <w:rsid w:val="29F26BCE"/>
    <w:rsid w:val="29FA689B"/>
    <w:rsid w:val="29FB150A"/>
    <w:rsid w:val="2A136FCF"/>
    <w:rsid w:val="2A1A0CEB"/>
    <w:rsid w:val="2A210AB0"/>
    <w:rsid w:val="2A3D7D1B"/>
    <w:rsid w:val="2A3E6E54"/>
    <w:rsid w:val="2A452503"/>
    <w:rsid w:val="2A866380"/>
    <w:rsid w:val="2AB31601"/>
    <w:rsid w:val="2AB94EA8"/>
    <w:rsid w:val="2ABF4778"/>
    <w:rsid w:val="2ADE5930"/>
    <w:rsid w:val="2B0B2D29"/>
    <w:rsid w:val="2B2A01B3"/>
    <w:rsid w:val="2B41674B"/>
    <w:rsid w:val="2B4E2C0C"/>
    <w:rsid w:val="2B5B780D"/>
    <w:rsid w:val="2B807273"/>
    <w:rsid w:val="2B8B753A"/>
    <w:rsid w:val="2B915959"/>
    <w:rsid w:val="2BA54F2C"/>
    <w:rsid w:val="2BA936A8"/>
    <w:rsid w:val="2BC015B9"/>
    <w:rsid w:val="2BC74EA2"/>
    <w:rsid w:val="2C283E1B"/>
    <w:rsid w:val="2C315A5A"/>
    <w:rsid w:val="2C4B1C25"/>
    <w:rsid w:val="2C5928DE"/>
    <w:rsid w:val="2C5C383D"/>
    <w:rsid w:val="2C653BF2"/>
    <w:rsid w:val="2C6D55CB"/>
    <w:rsid w:val="2C9F432B"/>
    <w:rsid w:val="2CA60F5C"/>
    <w:rsid w:val="2CB84FA2"/>
    <w:rsid w:val="2CCA2E9C"/>
    <w:rsid w:val="2CEE67C9"/>
    <w:rsid w:val="2CF0667B"/>
    <w:rsid w:val="2D1805B0"/>
    <w:rsid w:val="2D3259F3"/>
    <w:rsid w:val="2D391DD0"/>
    <w:rsid w:val="2D5C11EE"/>
    <w:rsid w:val="2D996F9C"/>
    <w:rsid w:val="2D9E56F5"/>
    <w:rsid w:val="2DB1197D"/>
    <w:rsid w:val="2DB843CA"/>
    <w:rsid w:val="2DB9258F"/>
    <w:rsid w:val="2DBA34E1"/>
    <w:rsid w:val="2DBE6832"/>
    <w:rsid w:val="2DC407AD"/>
    <w:rsid w:val="2DCC67A0"/>
    <w:rsid w:val="2DDA032F"/>
    <w:rsid w:val="2DDA2F6B"/>
    <w:rsid w:val="2DEE2DDA"/>
    <w:rsid w:val="2E221367"/>
    <w:rsid w:val="2E3C1B78"/>
    <w:rsid w:val="2E3E42ED"/>
    <w:rsid w:val="2E497DF1"/>
    <w:rsid w:val="2E5D62DF"/>
    <w:rsid w:val="2E667F96"/>
    <w:rsid w:val="2E8226AB"/>
    <w:rsid w:val="2E870919"/>
    <w:rsid w:val="2E8B21B7"/>
    <w:rsid w:val="2E9359CB"/>
    <w:rsid w:val="2EA150AF"/>
    <w:rsid w:val="2EB7168E"/>
    <w:rsid w:val="2EB765AB"/>
    <w:rsid w:val="2EC07EFE"/>
    <w:rsid w:val="2ECB4CA9"/>
    <w:rsid w:val="2ED85810"/>
    <w:rsid w:val="2EE144CD"/>
    <w:rsid w:val="2EE63891"/>
    <w:rsid w:val="2EEA298A"/>
    <w:rsid w:val="2EF53AD4"/>
    <w:rsid w:val="2F0023CA"/>
    <w:rsid w:val="2F0856C5"/>
    <w:rsid w:val="2F1C4669"/>
    <w:rsid w:val="2F29178F"/>
    <w:rsid w:val="2F42108B"/>
    <w:rsid w:val="2F581F4C"/>
    <w:rsid w:val="2F5A2A0E"/>
    <w:rsid w:val="2F6B4028"/>
    <w:rsid w:val="2F6E1EF2"/>
    <w:rsid w:val="2F754C15"/>
    <w:rsid w:val="2F76174D"/>
    <w:rsid w:val="2F860CCC"/>
    <w:rsid w:val="2FB90FA6"/>
    <w:rsid w:val="2FD065E6"/>
    <w:rsid w:val="2FD96870"/>
    <w:rsid w:val="2FF3463A"/>
    <w:rsid w:val="300541EB"/>
    <w:rsid w:val="301375A5"/>
    <w:rsid w:val="30192134"/>
    <w:rsid w:val="301D74C3"/>
    <w:rsid w:val="304D1AF4"/>
    <w:rsid w:val="30506C8F"/>
    <w:rsid w:val="30580BC9"/>
    <w:rsid w:val="305F58DE"/>
    <w:rsid w:val="306233EC"/>
    <w:rsid w:val="306C677D"/>
    <w:rsid w:val="307C3B94"/>
    <w:rsid w:val="309B728D"/>
    <w:rsid w:val="30B5176D"/>
    <w:rsid w:val="30E0745B"/>
    <w:rsid w:val="30E9688F"/>
    <w:rsid w:val="30FE5F1F"/>
    <w:rsid w:val="310731F3"/>
    <w:rsid w:val="3107712C"/>
    <w:rsid w:val="31077AEF"/>
    <w:rsid w:val="31104BF6"/>
    <w:rsid w:val="311E2ED7"/>
    <w:rsid w:val="311E37B6"/>
    <w:rsid w:val="313528AE"/>
    <w:rsid w:val="31496359"/>
    <w:rsid w:val="315619EE"/>
    <w:rsid w:val="315C449C"/>
    <w:rsid w:val="316B62D0"/>
    <w:rsid w:val="31725F19"/>
    <w:rsid w:val="31791556"/>
    <w:rsid w:val="3186135C"/>
    <w:rsid w:val="319769B3"/>
    <w:rsid w:val="31B44D14"/>
    <w:rsid w:val="31B82709"/>
    <w:rsid w:val="31D05482"/>
    <w:rsid w:val="31E65B7B"/>
    <w:rsid w:val="31F077F8"/>
    <w:rsid w:val="32080D85"/>
    <w:rsid w:val="32211625"/>
    <w:rsid w:val="32400B34"/>
    <w:rsid w:val="32694FCA"/>
    <w:rsid w:val="327B2C8F"/>
    <w:rsid w:val="327E1447"/>
    <w:rsid w:val="329E6876"/>
    <w:rsid w:val="32A31CA7"/>
    <w:rsid w:val="32BA750F"/>
    <w:rsid w:val="32BD0DAD"/>
    <w:rsid w:val="32F300B3"/>
    <w:rsid w:val="32FD5F9F"/>
    <w:rsid w:val="33057DA3"/>
    <w:rsid w:val="33214456"/>
    <w:rsid w:val="332C0CE6"/>
    <w:rsid w:val="333015F2"/>
    <w:rsid w:val="333C7588"/>
    <w:rsid w:val="334B6320"/>
    <w:rsid w:val="335C6818"/>
    <w:rsid w:val="335D3510"/>
    <w:rsid w:val="336066E9"/>
    <w:rsid w:val="336D27D3"/>
    <w:rsid w:val="336F02F9"/>
    <w:rsid w:val="33743B62"/>
    <w:rsid w:val="33811DDB"/>
    <w:rsid w:val="33B33D9F"/>
    <w:rsid w:val="33BB00EF"/>
    <w:rsid w:val="33D934D4"/>
    <w:rsid w:val="33E00DA6"/>
    <w:rsid w:val="33E13AC3"/>
    <w:rsid w:val="33E97C32"/>
    <w:rsid w:val="33F359B8"/>
    <w:rsid w:val="33FE2F6A"/>
    <w:rsid w:val="34000EC8"/>
    <w:rsid w:val="34012F1B"/>
    <w:rsid w:val="340E07E5"/>
    <w:rsid w:val="340E65C7"/>
    <w:rsid w:val="341E7629"/>
    <w:rsid w:val="3420011D"/>
    <w:rsid w:val="34231563"/>
    <w:rsid w:val="34235BF7"/>
    <w:rsid w:val="34270BD4"/>
    <w:rsid w:val="343A070C"/>
    <w:rsid w:val="343D5B10"/>
    <w:rsid w:val="34553389"/>
    <w:rsid w:val="3476143B"/>
    <w:rsid w:val="347E631A"/>
    <w:rsid w:val="348207BB"/>
    <w:rsid w:val="3490277D"/>
    <w:rsid w:val="34934894"/>
    <w:rsid w:val="34A9783B"/>
    <w:rsid w:val="34DB4661"/>
    <w:rsid w:val="34E83FCE"/>
    <w:rsid w:val="34E93AAE"/>
    <w:rsid w:val="35004F81"/>
    <w:rsid w:val="35136041"/>
    <w:rsid w:val="35260E8C"/>
    <w:rsid w:val="3529097C"/>
    <w:rsid w:val="352E1AEE"/>
    <w:rsid w:val="35401F9A"/>
    <w:rsid w:val="35564C7D"/>
    <w:rsid w:val="355E0532"/>
    <w:rsid w:val="355F06FB"/>
    <w:rsid w:val="356238EC"/>
    <w:rsid w:val="357B204A"/>
    <w:rsid w:val="358C5FA8"/>
    <w:rsid w:val="35A534B9"/>
    <w:rsid w:val="35BF3371"/>
    <w:rsid w:val="35C15DF1"/>
    <w:rsid w:val="35E44BE1"/>
    <w:rsid w:val="35EF6E12"/>
    <w:rsid w:val="35FE70D7"/>
    <w:rsid w:val="36074A7F"/>
    <w:rsid w:val="367717C4"/>
    <w:rsid w:val="367B0D63"/>
    <w:rsid w:val="368C4D1E"/>
    <w:rsid w:val="36923549"/>
    <w:rsid w:val="369462C9"/>
    <w:rsid w:val="3698148D"/>
    <w:rsid w:val="36B349A1"/>
    <w:rsid w:val="36B75FBF"/>
    <w:rsid w:val="36BC0E1E"/>
    <w:rsid w:val="36BD0C45"/>
    <w:rsid w:val="36BF6C72"/>
    <w:rsid w:val="36D61DD9"/>
    <w:rsid w:val="36F87379"/>
    <w:rsid w:val="373A77A2"/>
    <w:rsid w:val="37421C4F"/>
    <w:rsid w:val="3743757D"/>
    <w:rsid w:val="37517D16"/>
    <w:rsid w:val="3755540D"/>
    <w:rsid w:val="375D1E78"/>
    <w:rsid w:val="375F33F2"/>
    <w:rsid w:val="37644D2D"/>
    <w:rsid w:val="37704A11"/>
    <w:rsid w:val="37A427F7"/>
    <w:rsid w:val="37B671A6"/>
    <w:rsid w:val="37BE184F"/>
    <w:rsid w:val="37C003A8"/>
    <w:rsid w:val="37C52BDE"/>
    <w:rsid w:val="37C57D9D"/>
    <w:rsid w:val="37E00298"/>
    <w:rsid w:val="37E0535B"/>
    <w:rsid w:val="37EB4955"/>
    <w:rsid w:val="37F12658"/>
    <w:rsid w:val="3805650C"/>
    <w:rsid w:val="38287F76"/>
    <w:rsid w:val="38651CCB"/>
    <w:rsid w:val="386776F1"/>
    <w:rsid w:val="387B329C"/>
    <w:rsid w:val="3899716D"/>
    <w:rsid w:val="38A75D7E"/>
    <w:rsid w:val="38B302F9"/>
    <w:rsid w:val="38B365AD"/>
    <w:rsid w:val="38DD370B"/>
    <w:rsid w:val="38DD7AB3"/>
    <w:rsid w:val="38ED3A6E"/>
    <w:rsid w:val="38F12CD3"/>
    <w:rsid w:val="38F66DC7"/>
    <w:rsid w:val="38F94775"/>
    <w:rsid w:val="38FA064A"/>
    <w:rsid w:val="38FF4281"/>
    <w:rsid w:val="390D6387"/>
    <w:rsid w:val="390F44C3"/>
    <w:rsid w:val="39213BBD"/>
    <w:rsid w:val="392971ED"/>
    <w:rsid w:val="39325651"/>
    <w:rsid w:val="39335925"/>
    <w:rsid w:val="394B7113"/>
    <w:rsid w:val="394E6C03"/>
    <w:rsid w:val="39594733"/>
    <w:rsid w:val="396B0F9F"/>
    <w:rsid w:val="3970158A"/>
    <w:rsid w:val="39797C2D"/>
    <w:rsid w:val="397A59B3"/>
    <w:rsid w:val="39AD2179"/>
    <w:rsid w:val="39B76556"/>
    <w:rsid w:val="39C03EA5"/>
    <w:rsid w:val="39C907AF"/>
    <w:rsid w:val="39D664B5"/>
    <w:rsid w:val="39F50E2C"/>
    <w:rsid w:val="39FA37BD"/>
    <w:rsid w:val="3A116D63"/>
    <w:rsid w:val="3A2F3CDF"/>
    <w:rsid w:val="3A341824"/>
    <w:rsid w:val="3A345DF9"/>
    <w:rsid w:val="3A3F0FB8"/>
    <w:rsid w:val="3A403038"/>
    <w:rsid w:val="3A4429BA"/>
    <w:rsid w:val="3A4E6B36"/>
    <w:rsid w:val="3A822D36"/>
    <w:rsid w:val="3A872856"/>
    <w:rsid w:val="3A911EBA"/>
    <w:rsid w:val="3AA238E1"/>
    <w:rsid w:val="3AB24AC9"/>
    <w:rsid w:val="3AEA2F7D"/>
    <w:rsid w:val="3AF87E45"/>
    <w:rsid w:val="3B074262"/>
    <w:rsid w:val="3B1D3AB9"/>
    <w:rsid w:val="3B246A26"/>
    <w:rsid w:val="3B2E26A9"/>
    <w:rsid w:val="3B3763D1"/>
    <w:rsid w:val="3B397988"/>
    <w:rsid w:val="3B3C7398"/>
    <w:rsid w:val="3B4F393A"/>
    <w:rsid w:val="3B651FE2"/>
    <w:rsid w:val="3B675B0E"/>
    <w:rsid w:val="3B806E1C"/>
    <w:rsid w:val="3B9948BF"/>
    <w:rsid w:val="3BA3698A"/>
    <w:rsid w:val="3BAE5737"/>
    <w:rsid w:val="3BC1546A"/>
    <w:rsid w:val="3BEB4B34"/>
    <w:rsid w:val="3BFB7BD3"/>
    <w:rsid w:val="3C237ED3"/>
    <w:rsid w:val="3C296DE3"/>
    <w:rsid w:val="3C2E5C5A"/>
    <w:rsid w:val="3C2F6E1E"/>
    <w:rsid w:val="3C4F64BA"/>
    <w:rsid w:val="3C6F22D0"/>
    <w:rsid w:val="3C74072E"/>
    <w:rsid w:val="3C7B5562"/>
    <w:rsid w:val="3CDA245A"/>
    <w:rsid w:val="3CE8625E"/>
    <w:rsid w:val="3D0F5FEB"/>
    <w:rsid w:val="3D1E06B7"/>
    <w:rsid w:val="3D330826"/>
    <w:rsid w:val="3D594755"/>
    <w:rsid w:val="3D5B241B"/>
    <w:rsid w:val="3D6307DC"/>
    <w:rsid w:val="3DC10796"/>
    <w:rsid w:val="3DC700B4"/>
    <w:rsid w:val="3DCA1EB7"/>
    <w:rsid w:val="3DCA79DF"/>
    <w:rsid w:val="3DE546F7"/>
    <w:rsid w:val="3DE73A23"/>
    <w:rsid w:val="3DEB4AAE"/>
    <w:rsid w:val="3DEC763B"/>
    <w:rsid w:val="3E3A5710"/>
    <w:rsid w:val="3E405A3C"/>
    <w:rsid w:val="3E425E92"/>
    <w:rsid w:val="3E8F7AA2"/>
    <w:rsid w:val="3EA33816"/>
    <w:rsid w:val="3EA54D72"/>
    <w:rsid w:val="3EB07A18"/>
    <w:rsid w:val="3EB70DA6"/>
    <w:rsid w:val="3EC15601"/>
    <w:rsid w:val="3EC84D62"/>
    <w:rsid w:val="3EDA0523"/>
    <w:rsid w:val="3EE2704B"/>
    <w:rsid w:val="3EEC6CA2"/>
    <w:rsid w:val="3EF76DA0"/>
    <w:rsid w:val="3F0D1338"/>
    <w:rsid w:val="3F185CE9"/>
    <w:rsid w:val="3F270021"/>
    <w:rsid w:val="3F3A2F9D"/>
    <w:rsid w:val="3F4168C2"/>
    <w:rsid w:val="3F5705ED"/>
    <w:rsid w:val="3F696A4B"/>
    <w:rsid w:val="3F7F096A"/>
    <w:rsid w:val="3FA962B2"/>
    <w:rsid w:val="3FB05F21"/>
    <w:rsid w:val="3FDC6393"/>
    <w:rsid w:val="3FF3481D"/>
    <w:rsid w:val="3FFA3AF6"/>
    <w:rsid w:val="40031EA0"/>
    <w:rsid w:val="40240823"/>
    <w:rsid w:val="40376989"/>
    <w:rsid w:val="40404C9C"/>
    <w:rsid w:val="407A6407"/>
    <w:rsid w:val="407F3B46"/>
    <w:rsid w:val="40956EC5"/>
    <w:rsid w:val="40B27A77"/>
    <w:rsid w:val="40C81049"/>
    <w:rsid w:val="40F21556"/>
    <w:rsid w:val="41055DF9"/>
    <w:rsid w:val="4107048A"/>
    <w:rsid w:val="410E3E35"/>
    <w:rsid w:val="411E510D"/>
    <w:rsid w:val="416666BA"/>
    <w:rsid w:val="417137CD"/>
    <w:rsid w:val="417C0F27"/>
    <w:rsid w:val="41850CE8"/>
    <w:rsid w:val="41856F3A"/>
    <w:rsid w:val="41AA4BF2"/>
    <w:rsid w:val="41AB5E73"/>
    <w:rsid w:val="41B55AB2"/>
    <w:rsid w:val="41CE1766"/>
    <w:rsid w:val="41D40AD4"/>
    <w:rsid w:val="41E63BEC"/>
    <w:rsid w:val="4200449D"/>
    <w:rsid w:val="423A3BCC"/>
    <w:rsid w:val="42425F6F"/>
    <w:rsid w:val="424E57D2"/>
    <w:rsid w:val="42513E3C"/>
    <w:rsid w:val="425642E7"/>
    <w:rsid w:val="426975D8"/>
    <w:rsid w:val="427907E1"/>
    <w:rsid w:val="4292190E"/>
    <w:rsid w:val="42B26C49"/>
    <w:rsid w:val="42BB40E2"/>
    <w:rsid w:val="42D75573"/>
    <w:rsid w:val="42E64850"/>
    <w:rsid w:val="431762B8"/>
    <w:rsid w:val="43233C45"/>
    <w:rsid w:val="433A6FE6"/>
    <w:rsid w:val="43440E02"/>
    <w:rsid w:val="43480868"/>
    <w:rsid w:val="4350713C"/>
    <w:rsid w:val="43526885"/>
    <w:rsid w:val="435E780A"/>
    <w:rsid w:val="436653E0"/>
    <w:rsid w:val="43947908"/>
    <w:rsid w:val="43AC4C52"/>
    <w:rsid w:val="43B461CF"/>
    <w:rsid w:val="43C4431A"/>
    <w:rsid w:val="43C444A6"/>
    <w:rsid w:val="43E7452D"/>
    <w:rsid w:val="43F058CE"/>
    <w:rsid w:val="43F47C68"/>
    <w:rsid w:val="440973E6"/>
    <w:rsid w:val="440E36ED"/>
    <w:rsid w:val="44164448"/>
    <w:rsid w:val="441D0FA5"/>
    <w:rsid w:val="443E2043"/>
    <w:rsid w:val="444077C1"/>
    <w:rsid w:val="44487DDA"/>
    <w:rsid w:val="444E7AB7"/>
    <w:rsid w:val="447246DC"/>
    <w:rsid w:val="44B951CC"/>
    <w:rsid w:val="44BF09B5"/>
    <w:rsid w:val="44C36A47"/>
    <w:rsid w:val="44CD14E0"/>
    <w:rsid w:val="44D03684"/>
    <w:rsid w:val="44DA3CF8"/>
    <w:rsid w:val="44E01D52"/>
    <w:rsid w:val="44F20B0B"/>
    <w:rsid w:val="44F3143F"/>
    <w:rsid w:val="45056E81"/>
    <w:rsid w:val="450F427E"/>
    <w:rsid w:val="451505D5"/>
    <w:rsid w:val="452E5F4C"/>
    <w:rsid w:val="45310096"/>
    <w:rsid w:val="45356EC9"/>
    <w:rsid w:val="45385537"/>
    <w:rsid w:val="45515FF8"/>
    <w:rsid w:val="45524B24"/>
    <w:rsid w:val="45612018"/>
    <w:rsid w:val="458946E9"/>
    <w:rsid w:val="45977615"/>
    <w:rsid w:val="45A47C0E"/>
    <w:rsid w:val="45B44292"/>
    <w:rsid w:val="45BB117C"/>
    <w:rsid w:val="45C02C36"/>
    <w:rsid w:val="45D93CF8"/>
    <w:rsid w:val="45EB1610"/>
    <w:rsid w:val="45FB115F"/>
    <w:rsid w:val="460070AD"/>
    <w:rsid w:val="46524A7E"/>
    <w:rsid w:val="46577FD6"/>
    <w:rsid w:val="466E4440"/>
    <w:rsid w:val="467821B3"/>
    <w:rsid w:val="468A0B4E"/>
    <w:rsid w:val="46D955A7"/>
    <w:rsid w:val="4703319D"/>
    <w:rsid w:val="47081961"/>
    <w:rsid w:val="470B7EE1"/>
    <w:rsid w:val="470D3C59"/>
    <w:rsid w:val="471156C6"/>
    <w:rsid w:val="47133957"/>
    <w:rsid w:val="472F30AA"/>
    <w:rsid w:val="474106DD"/>
    <w:rsid w:val="47460F19"/>
    <w:rsid w:val="47471001"/>
    <w:rsid w:val="477C493B"/>
    <w:rsid w:val="479C6D8B"/>
    <w:rsid w:val="47A07E0C"/>
    <w:rsid w:val="47B23E69"/>
    <w:rsid w:val="47C32495"/>
    <w:rsid w:val="47D901FF"/>
    <w:rsid w:val="47E50964"/>
    <w:rsid w:val="47FD6BEC"/>
    <w:rsid w:val="481C6090"/>
    <w:rsid w:val="48217291"/>
    <w:rsid w:val="48537D92"/>
    <w:rsid w:val="486F26F2"/>
    <w:rsid w:val="4870272E"/>
    <w:rsid w:val="48741AB6"/>
    <w:rsid w:val="488241D3"/>
    <w:rsid w:val="48AE565C"/>
    <w:rsid w:val="48C9347B"/>
    <w:rsid w:val="48D52555"/>
    <w:rsid w:val="48E96000"/>
    <w:rsid w:val="490A5D47"/>
    <w:rsid w:val="4913307D"/>
    <w:rsid w:val="49172B6D"/>
    <w:rsid w:val="493B09F3"/>
    <w:rsid w:val="493E5B0C"/>
    <w:rsid w:val="49695393"/>
    <w:rsid w:val="49781CE1"/>
    <w:rsid w:val="49877E41"/>
    <w:rsid w:val="49925371"/>
    <w:rsid w:val="49995C78"/>
    <w:rsid w:val="49CA4084"/>
    <w:rsid w:val="49DC7715"/>
    <w:rsid w:val="49DD6553"/>
    <w:rsid w:val="49E52C6C"/>
    <w:rsid w:val="4A023139"/>
    <w:rsid w:val="4A1470AD"/>
    <w:rsid w:val="4A3E047F"/>
    <w:rsid w:val="4A4572C3"/>
    <w:rsid w:val="4A767D68"/>
    <w:rsid w:val="4A77763C"/>
    <w:rsid w:val="4A7B576F"/>
    <w:rsid w:val="4A8F0000"/>
    <w:rsid w:val="4A981FC6"/>
    <w:rsid w:val="4A987ED5"/>
    <w:rsid w:val="4AB13DAF"/>
    <w:rsid w:val="4AB60164"/>
    <w:rsid w:val="4AE64EED"/>
    <w:rsid w:val="4AEB42B2"/>
    <w:rsid w:val="4AF440A2"/>
    <w:rsid w:val="4AF561A9"/>
    <w:rsid w:val="4B11183E"/>
    <w:rsid w:val="4B117A90"/>
    <w:rsid w:val="4B137364"/>
    <w:rsid w:val="4B256039"/>
    <w:rsid w:val="4B2652EA"/>
    <w:rsid w:val="4B2C3957"/>
    <w:rsid w:val="4B4C2876"/>
    <w:rsid w:val="4B5D2CD5"/>
    <w:rsid w:val="4B7F3A7D"/>
    <w:rsid w:val="4B840262"/>
    <w:rsid w:val="4BA346AD"/>
    <w:rsid w:val="4BAB7841"/>
    <w:rsid w:val="4BBF652A"/>
    <w:rsid w:val="4BC026E2"/>
    <w:rsid w:val="4BC36FDC"/>
    <w:rsid w:val="4BD5286C"/>
    <w:rsid w:val="4BE93B6A"/>
    <w:rsid w:val="4BF81AAD"/>
    <w:rsid w:val="4BFF496C"/>
    <w:rsid w:val="4C003D8D"/>
    <w:rsid w:val="4C0231EF"/>
    <w:rsid w:val="4C0B2731"/>
    <w:rsid w:val="4C0D46FC"/>
    <w:rsid w:val="4C115F9A"/>
    <w:rsid w:val="4C263D9D"/>
    <w:rsid w:val="4C4248CB"/>
    <w:rsid w:val="4C4A0649"/>
    <w:rsid w:val="4C5D11DF"/>
    <w:rsid w:val="4C68258E"/>
    <w:rsid w:val="4C6C7AAD"/>
    <w:rsid w:val="4C7622A1"/>
    <w:rsid w:val="4C7E4CB1"/>
    <w:rsid w:val="4C7E5ECA"/>
    <w:rsid w:val="4C876AA5"/>
    <w:rsid w:val="4C924C68"/>
    <w:rsid w:val="4CA86471"/>
    <w:rsid w:val="4CC04C8C"/>
    <w:rsid w:val="4CE752C2"/>
    <w:rsid w:val="4CF51418"/>
    <w:rsid w:val="4D0B4BC1"/>
    <w:rsid w:val="4D0E00FB"/>
    <w:rsid w:val="4D176606"/>
    <w:rsid w:val="4D1D6C84"/>
    <w:rsid w:val="4D3A2F46"/>
    <w:rsid w:val="4D4511EA"/>
    <w:rsid w:val="4D4D41F6"/>
    <w:rsid w:val="4D6E2F78"/>
    <w:rsid w:val="4D87403A"/>
    <w:rsid w:val="4D883CA2"/>
    <w:rsid w:val="4D9D385D"/>
    <w:rsid w:val="4DB27309"/>
    <w:rsid w:val="4DB406F6"/>
    <w:rsid w:val="4DBE7E1D"/>
    <w:rsid w:val="4DC87A9C"/>
    <w:rsid w:val="4DEC4FB0"/>
    <w:rsid w:val="4E075D8A"/>
    <w:rsid w:val="4E157897"/>
    <w:rsid w:val="4E261AA5"/>
    <w:rsid w:val="4E2F0959"/>
    <w:rsid w:val="4E30570B"/>
    <w:rsid w:val="4E467A51"/>
    <w:rsid w:val="4E535E23"/>
    <w:rsid w:val="4E6137D3"/>
    <w:rsid w:val="4E712D20"/>
    <w:rsid w:val="4E742810"/>
    <w:rsid w:val="4E9E6926"/>
    <w:rsid w:val="4EB13A55"/>
    <w:rsid w:val="4EB946C7"/>
    <w:rsid w:val="4EC00FAD"/>
    <w:rsid w:val="4EC3389A"/>
    <w:rsid w:val="4EC5306C"/>
    <w:rsid w:val="4ECC43FA"/>
    <w:rsid w:val="4EDC4FDB"/>
    <w:rsid w:val="4F087DD4"/>
    <w:rsid w:val="4F09192A"/>
    <w:rsid w:val="4F161B19"/>
    <w:rsid w:val="4F1D6A04"/>
    <w:rsid w:val="4F2A0584"/>
    <w:rsid w:val="4F480D53"/>
    <w:rsid w:val="4F5368C9"/>
    <w:rsid w:val="4F547300"/>
    <w:rsid w:val="4F59459C"/>
    <w:rsid w:val="4F616C7D"/>
    <w:rsid w:val="4F6A52F3"/>
    <w:rsid w:val="4F744245"/>
    <w:rsid w:val="4F7F1157"/>
    <w:rsid w:val="4F8E7901"/>
    <w:rsid w:val="4F9843DC"/>
    <w:rsid w:val="4FA93067"/>
    <w:rsid w:val="4FC62A8C"/>
    <w:rsid w:val="4FD572DE"/>
    <w:rsid w:val="4FD669B8"/>
    <w:rsid w:val="4FE20F0D"/>
    <w:rsid w:val="4FE51552"/>
    <w:rsid w:val="4FE87012"/>
    <w:rsid w:val="50083F20"/>
    <w:rsid w:val="500B0F52"/>
    <w:rsid w:val="501A00DE"/>
    <w:rsid w:val="50226DC3"/>
    <w:rsid w:val="504058BE"/>
    <w:rsid w:val="50504C4B"/>
    <w:rsid w:val="505D1DC2"/>
    <w:rsid w:val="50726AE1"/>
    <w:rsid w:val="509757D3"/>
    <w:rsid w:val="509C6E7C"/>
    <w:rsid w:val="50CC53E1"/>
    <w:rsid w:val="50D0353D"/>
    <w:rsid w:val="50ED2406"/>
    <w:rsid w:val="50F87728"/>
    <w:rsid w:val="50F9704A"/>
    <w:rsid w:val="510D2AA8"/>
    <w:rsid w:val="5162104E"/>
    <w:rsid w:val="517D5B80"/>
    <w:rsid w:val="51851F5D"/>
    <w:rsid w:val="51872F2C"/>
    <w:rsid w:val="518C687F"/>
    <w:rsid w:val="51954F77"/>
    <w:rsid w:val="519B17CF"/>
    <w:rsid w:val="51A21442"/>
    <w:rsid w:val="51C03C12"/>
    <w:rsid w:val="51CC2326"/>
    <w:rsid w:val="51CC733E"/>
    <w:rsid w:val="51D078CD"/>
    <w:rsid w:val="51F50616"/>
    <w:rsid w:val="5201260D"/>
    <w:rsid w:val="520914C1"/>
    <w:rsid w:val="520D7203"/>
    <w:rsid w:val="52190A93"/>
    <w:rsid w:val="5224454D"/>
    <w:rsid w:val="522F400F"/>
    <w:rsid w:val="523B04C9"/>
    <w:rsid w:val="524354D3"/>
    <w:rsid w:val="52447115"/>
    <w:rsid w:val="524B1214"/>
    <w:rsid w:val="52577F9B"/>
    <w:rsid w:val="52642B9B"/>
    <w:rsid w:val="5268268C"/>
    <w:rsid w:val="5290573F"/>
    <w:rsid w:val="52990506"/>
    <w:rsid w:val="52C35B14"/>
    <w:rsid w:val="52D519D2"/>
    <w:rsid w:val="52E64F92"/>
    <w:rsid w:val="52EF3C34"/>
    <w:rsid w:val="53084200"/>
    <w:rsid w:val="53126132"/>
    <w:rsid w:val="53317DCE"/>
    <w:rsid w:val="5338205E"/>
    <w:rsid w:val="53400F13"/>
    <w:rsid w:val="535D0132"/>
    <w:rsid w:val="536A18ED"/>
    <w:rsid w:val="53965984"/>
    <w:rsid w:val="53A039CC"/>
    <w:rsid w:val="53A1505A"/>
    <w:rsid w:val="53C71634"/>
    <w:rsid w:val="53D20C7E"/>
    <w:rsid w:val="53E427B0"/>
    <w:rsid w:val="54014B46"/>
    <w:rsid w:val="54063E08"/>
    <w:rsid w:val="5419236D"/>
    <w:rsid w:val="543437E8"/>
    <w:rsid w:val="544607AB"/>
    <w:rsid w:val="545F1B6C"/>
    <w:rsid w:val="546C7E34"/>
    <w:rsid w:val="54866D4E"/>
    <w:rsid w:val="549E2FB9"/>
    <w:rsid w:val="54A64D6F"/>
    <w:rsid w:val="54AC5FB2"/>
    <w:rsid w:val="54B36759"/>
    <w:rsid w:val="54C36943"/>
    <w:rsid w:val="54C8780F"/>
    <w:rsid w:val="54E764B6"/>
    <w:rsid w:val="54F73313"/>
    <w:rsid w:val="54F80955"/>
    <w:rsid w:val="54FE2E33"/>
    <w:rsid w:val="55195EBF"/>
    <w:rsid w:val="552F1D1C"/>
    <w:rsid w:val="553700F3"/>
    <w:rsid w:val="55393E6B"/>
    <w:rsid w:val="553E30DA"/>
    <w:rsid w:val="55482300"/>
    <w:rsid w:val="554967A4"/>
    <w:rsid w:val="555170A7"/>
    <w:rsid w:val="555F7AF2"/>
    <w:rsid w:val="557768DE"/>
    <w:rsid w:val="55867260"/>
    <w:rsid w:val="5587536D"/>
    <w:rsid w:val="559B174B"/>
    <w:rsid w:val="55CE0CF4"/>
    <w:rsid w:val="55F14746"/>
    <w:rsid w:val="56434704"/>
    <w:rsid w:val="56665134"/>
    <w:rsid w:val="566E5368"/>
    <w:rsid w:val="568F0938"/>
    <w:rsid w:val="56A71B65"/>
    <w:rsid w:val="56B023EA"/>
    <w:rsid w:val="56B22A9C"/>
    <w:rsid w:val="56B83F91"/>
    <w:rsid w:val="56BD7B59"/>
    <w:rsid w:val="56C53BC0"/>
    <w:rsid w:val="56E30533"/>
    <w:rsid w:val="56E562A5"/>
    <w:rsid w:val="56EE40F7"/>
    <w:rsid w:val="570109B9"/>
    <w:rsid w:val="570B1838"/>
    <w:rsid w:val="571764D6"/>
    <w:rsid w:val="576C5FEE"/>
    <w:rsid w:val="57730905"/>
    <w:rsid w:val="577E5D26"/>
    <w:rsid w:val="57836CED"/>
    <w:rsid w:val="57866F70"/>
    <w:rsid w:val="578B5303"/>
    <w:rsid w:val="57947A7F"/>
    <w:rsid w:val="57AD28EF"/>
    <w:rsid w:val="57B72A76"/>
    <w:rsid w:val="57C3426C"/>
    <w:rsid w:val="57CE1F93"/>
    <w:rsid w:val="57D638D5"/>
    <w:rsid w:val="57DB2816"/>
    <w:rsid w:val="57EB5581"/>
    <w:rsid w:val="57FA1ED8"/>
    <w:rsid w:val="57FD3E2B"/>
    <w:rsid w:val="58227637"/>
    <w:rsid w:val="58492617"/>
    <w:rsid w:val="5861039B"/>
    <w:rsid w:val="587753D7"/>
    <w:rsid w:val="5882445F"/>
    <w:rsid w:val="588743D1"/>
    <w:rsid w:val="5887701A"/>
    <w:rsid w:val="588918CB"/>
    <w:rsid w:val="588B0E82"/>
    <w:rsid w:val="588C32C7"/>
    <w:rsid w:val="589469D9"/>
    <w:rsid w:val="58B11554"/>
    <w:rsid w:val="58F20481"/>
    <w:rsid w:val="58FC58DC"/>
    <w:rsid w:val="590717D1"/>
    <w:rsid w:val="590A1717"/>
    <w:rsid w:val="591E5852"/>
    <w:rsid w:val="59266DFD"/>
    <w:rsid w:val="5927572B"/>
    <w:rsid w:val="59340C57"/>
    <w:rsid w:val="59375A1D"/>
    <w:rsid w:val="593B28A8"/>
    <w:rsid w:val="594C71EE"/>
    <w:rsid w:val="59612DF0"/>
    <w:rsid w:val="5968102F"/>
    <w:rsid w:val="5972641C"/>
    <w:rsid w:val="59775983"/>
    <w:rsid w:val="59927FEE"/>
    <w:rsid w:val="59B61F2F"/>
    <w:rsid w:val="59B647B9"/>
    <w:rsid w:val="59C0439F"/>
    <w:rsid w:val="59C26B97"/>
    <w:rsid w:val="59CF2FF0"/>
    <w:rsid w:val="59DB23E3"/>
    <w:rsid w:val="59E17ECD"/>
    <w:rsid w:val="59EB3C58"/>
    <w:rsid w:val="59F535D4"/>
    <w:rsid w:val="59F6057D"/>
    <w:rsid w:val="59FE3B24"/>
    <w:rsid w:val="5A0031AA"/>
    <w:rsid w:val="5A173A92"/>
    <w:rsid w:val="5A1924BD"/>
    <w:rsid w:val="5A2F3B9B"/>
    <w:rsid w:val="5A3458E1"/>
    <w:rsid w:val="5A876EC6"/>
    <w:rsid w:val="5A9304C2"/>
    <w:rsid w:val="5A965FA9"/>
    <w:rsid w:val="5A984405"/>
    <w:rsid w:val="5AA40416"/>
    <w:rsid w:val="5AA85D0F"/>
    <w:rsid w:val="5AA93733"/>
    <w:rsid w:val="5ABE2233"/>
    <w:rsid w:val="5ABF3065"/>
    <w:rsid w:val="5AC03582"/>
    <w:rsid w:val="5B1D0F78"/>
    <w:rsid w:val="5B307C41"/>
    <w:rsid w:val="5B5C2041"/>
    <w:rsid w:val="5B85605C"/>
    <w:rsid w:val="5B995664"/>
    <w:rsid w:val="5BAB5397"/>
    <w:rsid w:val="5BB07BFF"/>
    <w:rsid w:val="5BC61731"/>
    <w:rsid w:val="5BDF5D95"/>
    <w:rsid w:val="5BF8281F"/>
    <w:rsid w:val="5BFE7528"/>
    <w:rsid w:val="5C0E18C1"/>
    <w:rsid w:val="5C155EB7"/>
    <w:rsid w:val="5C1C603C"/>
    <w:rsid w:val="5C21299A"/>
    <w:rsid w:val="5C3C19AE"/>
    <w:rsid w:val="5C5C68B8"/>
    <w:rsid w:val="5C6C2D78"/>
    <w:rsid w:val="5C8864F6"/>
    <w:rsid w:val="5CA83DFF"/>
    <w:rsid w:val="5CB615C8"/>
    <w:rsid w:val="5CE022C0"/>
    <w:rsid w:val="5CF70B75"/>
    <w:rsid w:val="5CFC68BE"/>
    <w:rsid w:val="5D081738"/>
    <w:rsid w:val="5D0C4BC1"/>
    <w:rsid w:val="5D234B6F"/>
    <w:rsid w:val="5D284EF1"/>
    <w:rsid w:val="5D310209"/>
    <w:rsid w:val="5D3B6683"/>
    <w:rsid w:val="5D3F757F"/>
    <w:rsid w:val="5D5A1BFC"/>
    <w:rsid w:val="5D6246A3"/>
    <w:rsid w:val="5DBC388C"/>
    <w:rsid w:val="5DDC3DDD"/>
    <w:rsid w:val="5DF72B16"/>
    <w:rsid w:val="5DFE70FF"/>
    <w:rsid w:val="5E0721E1"/>
    <w:rsid w:val="5E0F1C0D"/>
    <w:rsid w:val="5E211941"/>
    <w:rsid w:val="5E2467F1"/>
    <w:rsid w:val="5E284449"/>
    <w:rsid w:val="5E2A2EEB"/>
    <w:rsid w:val="5E5A5105"/>
    <w:rsid w:val="5E5E642F"/>
    <w:rsid w:val="5E6425DB"/>
    <w:rsid w:val="5E671A49"/>
    <w:rsid w:val="5E770480"/>
    <w:rsid w:val="5E7B72A3"/>
    <w:rsid w:val="5E802B0B"/>
    <w:rsid w:val="5E9640DD"/>
    <w:rsid w:val="5EAE58CA"/>
    <w:rsid w:val="5ECB39D9"/>
    <w:rsid w:val="5ED6097D"/>
    <w:rsid w:val="5EE237C6"/>
    <w:rsid w:val="5F166D49"/>
    <w:rsid w:val="5F1A2B43"/>
    <w:rsid w:val="5F1C298E"/>
    <w:rsid w:val="5F1E0DC8"/>
    <w:rsid w:val="5F203252"/>
    <w:rsid w:val="5F254C08"/>
    <w:rsid w:val="5F272619"/>
    <w:rsid w:val="5F590BEC"/>
    <w:rsid w:val="5F697829"/>
    <w:rsid w:val="5F7E34EF"/>
    <w:rsid w:val="5F8152C3"/>
    <w:rsid w:val="5F845BA8"/>
    <w:rsid w:val="5FA83A79"/>
    <w:rsid w:val="5FAF36A8"/>
    <w:rsid w:val="5FB837BB"/>
    <w:rsid w:val="5FBE6BF9"/>
    <w:rsid w:val="5FC11490"/>
    <w:rsid w:val="5FCA2646"/>
    <w:rsid w:val="5FF462B6"/>
    <w:rsid w:val="60102D8A"/>
    <w:rsid w:val="60182CB2"/>
    <w:rsid w:val="601D2D07"/>
    <w:rsid w:val="60234096"/>
    <w:rsid w:val="60395DAA"/>
    <w:rsid w:val="605D5DF1"/>
    <w:rsid w:val="6063246F"/>
    <w:rsid w:val="60681AA9"/>
    <w:rsid w:val="60685736"/>
    <w:rsid w:val="60765F74"/>
    <w:rsid w:val="607A7F47"/>
    <w:rsid w:val="607B3AF8"/>
    <w:rsid w:val="60830AF3"/>
    <w:rsid w:val="60887821"/>
    <w:rsid w:val="608A7039"/>
    <w:rsid w:val="609C4B26"/>
    <w:rsid w:val="60CC405A"/>
    <w:rsid w:val="60D333C6"/>
    <w:rsid w:val="61046102"/>
    <w:rsid w:val="61111286"/>
    <w:rsid w:val="61293306"/>
    <w:rsid w:val="61371BA7"/>
    <w:rsid w:val="61390342"/>
    <w:rsid w:val="61614E76"/>
    <w:rsid w:val="61A52D88"/>
    <w:rsid w:val="61B1333B"/>
    <w:rsid w:val="61B72C11"/>
    <w:rsid w:val="61BA5B6C"/>
    <w:rsid w:val="61C66F0A"/>
    <w:rsid w:val="61E215D8"/>
    <w:rsid w:val="61F6052A"/>
    <w:rsid w:val="61FA117A"/>
    <w:rsid w:val="62104C09"/>
    <w:rsid w:val="62160145"/>
    <w:rsid w:val="62187A9E"/>
    <w:rsid w:val="621B3775"/>
    <w:rsid w:val="62294C25"/>
    <w:rsid w:val="62353C0D"/>
    <w:rsid w:val="62364782"/>
    <w:rsid w:val="624327CD"/>
    <w:rsid w:val="62466743"/>
    <w:rsid w:val="624F291D"/>
    <w:rsid w:val="62685D90"/>
    <w:rsid w:val="628A79DD"/>
    <w:rsid w:val="629B75EC"/>
    <w:rsid w:val="629E41F1"/>
    <w:rsid w:val="62A63B7B"/>
    <w:rsid w:val="62BD4E12"/>
    <w:rsid w:val="62DA4198"/>
    <w:rsid w:val="62E13097"/>
    <w:rsid w:val="62E21FE6"/>
    <w:rsid w:val="62EC5DAE"/>
    <w:rsid w:val="62FB30A8"/>
    <w:rsid w:val="63032016"/>
    <w:rsid w:val="63140D10"/>
    <w:rsid w:val="6317557C"/>
    <w:rsid w:val="633C7881"/>
    <w:rsid w:val="633D2BD8"/>
    <w:rsid w:val="634405AB"/>
    <w:rsid w:val="6358340E"/>
    <w:rsid w:val="63600F21"/>
    <w:rsid w:val="6361115D"/>
    <w:rsid w:val="6394356A"/>
    <w:rsid w:val="63A31501"/>
    <w:rsid w:val="63B03DC4"/>
    <w:rsid w:val="63C61B2C"/>
    <w:rsid w:val="63D40BE9"/>
    <w:rsid w:val="63D62503"/>
    <w:rsid w:val="63DB0950"/>
    <w:rsid w:val="63E716F8"/>
    <w:rsid w:val="63F26259"/>
    <w:rsid w:val="63F753A6"/>
    <w:rsid w:val="640D6289"/>
    <w:rsid w:val="64102431"/>
    <w:rsid w:val="64281C7B"/>
    <w:rsid w:val="642B3519"/>
    <w:rsid w:val="642B52C7"/>
    <w:rsid w:val="643C2F76"/>
    <w:rsid w:val="64524F4A"/>
    <w:rsid w:val="646B246E"/>
    <w:rsid w:val="64A20AD7"/>
    <w:rsid w:val="64A5243A"/>
    <w:rsid w:val="64BB664B"/>
    <w:rsid w:val="64C40A22"/>
    <w:rsid w:val="64D224C6"/>
    <w:rsid w:val="64F249ED"/>
    <w:rsid w:val="64F2631A"/>
    <w:rsid w:val="64F531DE"/>
    <w:rsid w:val="65185E00"/>
    <w:rsid w:val="65297A59"/>
    <w:rsid w:val="653607A3"/>
    <w:rsid w:val="65373578"/>
    <w:rsid w:val="653D52B2"/>
    <w:rsid w:val="6551749A"/>
    <w:rsid w:val="655820EC"/>
    <w:rsid w:val="656B2B49"/>
    <w:rsid w:val="65A33E96"/>
    <w:rsid w:val="65BB267B"/>
    <w:rsid w:val="65EB284C"/>
    <w:rsid w:val="65ED6CD8"/>
    <w:rsid w:val="660B715E"/>
    <w:rsid w:val="660D2ED6"/>
    <w:rsid w:val="661D6110"/>
    <w:rsid w:val="66237D34"/>
    <w:rsid w:val="66346311"/>
    <w:rsid w:val="664A65B8"/>
    <w:rsid w:val="664F2838"/>
    <w:rsid w:val="665D000C"/>
    <w:rsid w:val="6662196B"/>
    <w:rsid w:val="666B22F3"/>
    <w:rsid w:val="667E0653"/>
    <w:rsid w:val="66810413"/>
    <w:rsid w:val="66901922"/>
    <w:rsid w:val="66967A0D"/>
    <w:rsid w:val="66A8228B"/>
    <w:rsid w:val="66BB1AFB"/>
    <w:rsid w:val="66CF1D1D"/>
    <w:rsid w:val="66CF4630"/>
    <w:rsid w:val="66E96621"/>
    <w:rsid w:val="6712276E"/>
    <w:rsid w:val="671958AB"/>
    <w:rsid w:val="671D6C8F"/>
    <w:rsid w:val="671F124A"/>
    <w:rsid w:val="67204FD9"/>
    <w:rsid w:val="67672A43"/>
    <w:rsid w:val="677A33C6"/>
    <w:rsid w:val="679C6C08"/>
    <w:rsid w:val="67B37AAD"/>
    <w:rsid w:val="67BE1E4E"/>
    <w:rsid w:val="67C47F0C"/>
    <w:rsid w:val="67C505FB"/>
    <w:rsid w:val="67FD341E"/>
    <w:rsid w:val="68012F0F"/>
    <w:rsid w:val="680802C1"/>
    <w:rsid w:val="680900F4"/>
    <w:rsid w:val="681F6961"/>
    <w:rsid w:val="68384726"/>
    <w:rsid w:val="68481BE5"/>
    <w:rsid w:val="684D4EE7"/>
    <w:rsid w:val="68610A2F"/>
    <w:rsid w:val="687357C6"/>
    <w:rsid w:val="68805514"/>
    <w:rsid w:val="688A4D75"/>
    <w:rsid w:val="689F14E3"/>
    <w:rsid w:val="68BA0FB7"/>
    <w:rsid w:val="68BF6958"/>
    <w:rsid w:val="68DE4006"/>
    <w:rsid w:val="68EB0E82"/>
    <w:rsid w:val="68F640F6"/>
    <w:rsid w:val="68FC7232"/>
    <w:rsid w:val="690439A4"/>
    <w:rsid w:val="69054339"/>
    <w:rsid w:val="69067D6C"/>
    <w:rsid w:val="69085BD7"/>
    <w:rsid w:val="69117181"/>
    <w:rsid w:val="69316E2F"/>
    <w:rsid w:val="694E2071"/>
    <w:rsid w:val="69672DD9"/>
    <w:rsid w:val="696C34A1"/>
    <w:rsid w:val="69715E72"/>
    <w:rsid w:val="69766163"/>
    <w:rsid w:val="697A3B33"/>
    <w:rsid w:val="697D4817"/>
    <w:rsid w:val="698C418A"/>
    <w:rsid w:val="69916240"/>
    <w:rsid w:val="699833C0"/>
    <w:rsid w:val="69A6774A"/>
    <w:rsid w:val="69AE2C22"/>
    <w:rsid w:val="69B93CE8"/>
    <w:rsid w:val="69D44760"/>
    <w:rsid w:val="69E00AE8"/>
    <w:rsid w:val="69F04B3E"/>
    <w:rsid w:val="69FE244F"/>
    <w:rsid w:val="6A002D52"/>
    <w:rsid w:val="6A0E527F"/>
    <w:rsid w:val="6A264CC2"/>
    <w:rsid w:val="6A2B7DCF"/>
    <w:rsid w:val="6A35673E"/>
    <w:rsid w:val="6A472821"/>
    <w:rsid w:val="6A4B221F"/>
    <w:rsid w:val="6A520EC7"/>
    <w:rsid w:val="6A544252"/>
    <w:rsid w:val="6A624B72"/>
    <w:rsid w:val="6A6634FD"/>
    <w:rsid w:val="6A671B76"/>
    <w:rsid w:val="6A9E040D"/>
    <w:rsid w:val="6AA06A0F"/>
    <w:rsid w:val="6AA33E09"/>
    <w:rsid w:val="6AA61F40"/>
    <w:rsid w:val="6AAB53B4"/>
    <w:rsid w:val="6AAF6C52"/>
    <w:rsid w:val="6AF85388"/>
    <w:rsid w:val="6AF87E20"/>
    <w:rsid w:val="6B2D7B77"/>
    <w:rsid w:val="6B2F622E"/>
    <w:rsid w:val="6B322639"/>
    <w:rsid w:val="6B3B6AC8"/>
    <w:rsid w:val="6B593599"/>
    <w:rsid w:val="6B5C2B66"/>
    <w:rsid w:val="6B671AE3"/>
    <w:rsid w:val="6B712159"/>
    <w:rsid w:val="6B916AB2"/>
    <w:rsid w:val="6B992D8A"/>
    <w:rsid w:val="6BAE2195"/>
    <w:rsid w:val="6BC11B11"/>
    <w:rsid w:val="6BCE135A"/>
    <w:rsid w:val="6BD07209"/>
    <w:rsid w:val="6BE26BB3"/>
    <w:rsid w:val="6BEE37AA"/>
    <w:rsid w:val="6BFA3EFD"/>
    <w:rsid w:val="6BFB5EC7"/>
    <w:rsid w:val="6BFE3BD0"/>
    <w:rsid w:val="6C007477"/>
    <w:rsid w:val="6C027255"/>
    <w:rsid w:val="6C0528A2"/>
    <w:rsid w:val="6C066D46"/>
    <w:rsid w:val="6C0F1069"/>
    <w:rsid w:val="6C16713B"/>
    <w:rsid w:val="6C2076DB"/>
    <w:rsid w:val="6C36134B"/>
    <w:rsid w:val="6C441F2D"/>
    <w:rsid w:val="6C636C38"/>
    <w:rsid w:val="6C8934D3"/>
    <w:rsid w:val="6C99736F"/>
    <w:rsid w:val="6CA54E1B"/>
    <w:rsid w:val="6CC25195"/>
    <w:rsid w:val="6CCA54B4"/>
    <w:rsid w:val="6CD504C6"/>
    <w:rsid w:val="6CDB4D6C"/>
    <w:rsid w:val="6CF72790"/>
    <w:rsid w:val="6D2241A4"/>
    <w:rsid w:val="6D2B1A28"/>
    <w:rsid w:val="6D3E163C"/>
    <w:rsid w:val="6D5B6C1D"/>
    <w:rsid w:val="6D6E42CE"/>
    <w:rsid w:val="6D747CDF"/>
    <w:rsid w:val="6DB34098"/>
    <w:rsid w:val="6DB545B6"/>
    <w:rsid w:val="6DBD52F9"/>
    <w:rsid w:val="6DDD2CB8"/>
    <w:rsid w:val="6DE02FB4"/>
    <w:rsid w:val="6DE41D96"/>
    <w:rsid w:val="6DF12A51"/>
    <w:rsid w:val="6DF1677F"/>
    <w:rsid w:val="6DF40E20"/>
    <w:rsid w:val="6DF83CB0"/>
    <w:rsid w:val="6DFA574C"/>
    <w:rsid w:val="6E0E1EE1"/>
    <w:rsid w:val="6E417C71"/>
    <w:rsid w:val="6E427DDD"/>
    <w:rsid w:val="6E4E0E32"/>
    <w:rsid w:val="6E514CED"/>
    <w:rsid w:val="6E5C0E9F"/>
    <w:rsid w:val="6E5E73F6"/>
    <w:rsid w:val="6E8421A4"/>
    <w:rsid w:val="6E91041D"/>
    <w:rsid w:val="6E930639"/>
    <w:rsid w:val="6E962726"/>
    <w:rsid w:val="6EA91C0A"/>
    <w:rsid w:val="6EB5235D"/>
    <w:rsid w:val="6EB563D5"/>
    <w:rsid w:val="6EB709F6"/>
    <w:rsid w:val="6ED92677"/>
    <w:rsid w:val="6F02457A"/>
    <w:rsid w:val="6F0B7CFD"/>
    <w:rsid w:val="6F107FF2"/>
    <w:rsid w:val="6F225983"/>
    <w:rsid w:val="6F337A9C"/>
    <w:rsid w:val="6F370FC4"/>
    <w:rsid w:val="6F3A39C6"/>
    <w:rsid w:val="6F3C482C"/>
    <w:rsid w:val="6F4656AB"/>
    <w:rsid w:val="6F4C0F73"/>
    <w:rsid w:val="6F6E74DF"/>
    <w:rsid w:val="6F7044D6"/>
    <w:rsid w:val="6F764174"/>
    <w:rsid w:val="6F8F7D75"/>
    <w:rsid w:val="6FA65ECF"/>
    <w:rsid w:val="6FAC3760"/>
    <w:rsid w:val="6FB45E41"/>
    <w:rsid w:val="6FBE5BEB"/>
    <w:rsid w:val="6FE0340A"/>
    <w:rsid w:val="6FF173C5"/>
    <w:rsid w:val="6FF3138F"/>
    <w:rsid w:val="6FFC34C7"/>
    <w:rsid w:val="6FFC5590"/>
    <w:rsid w:val="70183E5D"/>
    <w:rsid w:val="702C63C2"/>
    <w:rsid w:val="702F488E"/>
    <w:rsid w:val="7036571F"/>
    <w:rsid w:val="7040148D"/>
    <w:rsid w:val="70430981"/>
    <w:rsid w:val="704A4D27"/>
    <w:rsid w:val="706D1DD0"/>
    <w:rsid w:val="7070794B"/>
    <w:rsid w:val="70856B87"/>
    <w:rsid w:val="70CE694A"/>
    <w:rsid w:val="70D527EE"/>
    <w:rsid w:val="70E4263F"/>
    <w:rsid w:val="70E77310"/>
    <w:rsid w:val="70E82A4C"/>
    <w:rsid w:val="70E94540"/>
    <w:rsid w:val="70E95A93"/>
    <w:rsid w:val="70F074A0"/>
    <w:rsid w:val="70F20CDD"/>
    <w:rsid w:val="70F74EAF"/>
    <w:rsid w:val="710B6BAC"/>
    <w:rsid w:val="710C7A14"/>
    <w:rsid w:val="71105F71"/>
    <w:rsid w:val="711A294B"/>
    <w:rsid w:val="711E3A98"/>
    <w:rsid w:val="712026E3"/>
    <w:rsid w:val="714A76D4"/>
    <w:rsid w:val="715B4F95"/>
    <w:rsid w:val="715B5300"/>
    <w:rsid w:val="717028AC"/>
    <w:rsid w:val="7189439C"/>
    <w:rsid w:val="71997ED8"/>
    <w:rsid w:val="71BE6741"/>
    <w:rsid w:val="71C41835"/>
    <w:rsid w:val="71CC00E9"/>
    <w:rsid w:val="71D27F8A"/>
    <w:rsid w:val="71EC7F48"/>
    <w:rsid w:val="7213793C"/>
    <w:rsid w:val="72190E55"/>
    <w:rsid w:val="72234562"/>
    <w:rsid w:val="72255A4C"/>
    <w:rsid w:val="72553024"/>
    <w:rsid w:val="727918F3"/>
    <w:rsid w:val="727B3DCF"/>
    <w:rsid w:val="7284642B"/>
    <w:rsid w:val="7289441C"/>
    <w:rsid w:val="72A97261"/>
    <w:rsid w:val="72BA43E6"/>
    <w:rsid w:val="72C9751D"/>
    <w:rsid w:val="72E665E8"/>
    <w:rsid w:val="72F772B8"/>
    <w:rsid w:val="72F83BCC"/>
    <w:rsid w:val="72FD2105"/>
    <w:rsid w:val="73045D88"/>
    <w:rsid w:val="73122968"/>
    <w:rsid w:val="7314726A"/>
    <w:rsid w:val="731F5D5E"/>
    <w:rsid w:val="73233334"/>
    <w:rsid w:val="732E427C"/>
    <w:rsid w:val="733A0D89"/>
    <w:rsid w:val="7362441D"/>
    <w:rsid w:val="737547B1"/>
    <w:rsid w:val="73756606"/>
    <w:rsid w:val="737C5051"/>
    <w:rsid w:val="738D38A8"/>
    <w:rsid w:val="73C51AD5"/>
    <w:rsid w:val="73D27A68"/>
    <w:rsid w:val="73E36130"/>
    <w:rsid w:val="73F27BAF"/>
    <w:rsid w:val="740022CC"/>
    <w:rsid w:val="74053EAE"/>
    <w:rsid w:val="74077E17"/>
    <w:rsid w:val="740B5425"/>
    <w:rsid w:val="7415535D"/>
    <w:rsid w:val="741648F0"/>
    <w:rsid w:val="741E793C"/>
    <w:rsid w:val="743326A2"/>
    <w:rsid w:val="74335059"/>
    <w:rsid w:val="7435455D"/>
    <w:rsid w:val="743D707D"/>
    <w:rsid w:val="744A5C21"/>
    <w:rsid w:val="745148D6"/>
    <w:rsid w:val="745E3944"/>
    <w:rsid w:val="74786718"/>
    <w:rsid w:val="74842EFD"/>
    <w:rsid w:val="74A40EAA"/>
    <w:rsid w:val="74AD5734"/>
    <w:rsid w:val="74B62B29"/>
    <w:rsid w:val="74B80DF9"/>
    <w:rsid w:val="74B86E6E"/>
    <w:rsid w:val="74C80D50"/>
    <w:rsid w:val="74DE12C2"/>
    <w:rsid w:val="74E10857"/>
    <w:rsid w:val="74EC0AA3"/>
    <w:rsid w:val="752E4C17"/>
    <w:rsid w:val="7533066B"/>
    <w:rsid w:val="753410B3"/>
    <w:rsid w:val="753B0BFF"/>
    <w:rsid w:val="7578733F"/>
    <w:rsid w:val="758841AD"/>
    <w:rsid w:val="75952EE8"/>
    <w:rsid w:val="75AA0341"/>
    <w:rsid w:val="75AB0DBE"/>
    <w:rsid w:val="75C4732A"/>
    <w:rsid w:val="75F46D66"/>
    <w:rsid w:val="75F7690E"/>
    <w:rsid w:val="75FE28C0"/>
    <w:rsid w:val="76065B94"/>
    <w:rsid w:val="760E0D09"/>
    <w:rsid w:val="76125EAA"/>
    <w:rsid w:val="76283D5C"/>
    <w:rsid w:val="763165BA"/>
    <w:rsid w:val="763172F6"/>
    <w:rsid w:val="7635099D"/>
    <w:rsid w:val="76415B77"/>
    <w:rsid w:val="76441033"/>
    <w:rsid w:val="76521EC3"/>
    <w:rsid w:val="765D3A06"/>
    <w:rsid w:val="76600AD1"/>
    <w:rsid w:val="766E7CAD"/>
    <w:rsid w:val="769F7A08"/>
    <w:rsid w:val="76A21419"/>
    <w:rsid w:val="76B6368C"/>
    <w:rsid w:val="76BA6B82"/>
    <w:rsid w:val="76BD26F7"/>
    <w:rsid w:val="76CF1C2E"/>
    <w:rsid w:val="76D35A76"/>
    <w:rsid w:val="76DA5057"/>
    <w:rsid w:val="76E077F6"/>
    <w:rsid w:val="76E557A9"/>
    <w:rsid w:val="77077B3B"/>
    <w:rsid w:val="771819B6"/>
    <w:rsid w:val="77250D0C"/>
    <w:rsid w:val="7750356B"/>
    <w:rsid w:val="77703384"/>
    <w:rsid w:val="77762421"/>
    <w:rsid w:val="77860D3A"/>
    <w:rsid w:val="77A85155"/>
    <w:rsid w:val="77B56B1F"/>
    <w:rsid w:val="77C47A90"/>
    <w:rsid w:val="77CE623E"/>
    <w:rsid w:val="77F42148"/>
    <w:rsid w:val="77F959B0"/>
    <w:rsid w:val="780F09F4"/>
    <w:rsid w:val="78152F2B"/>
    <w:rsid w:val="781C344D"/>
    <w:rsid w:val="782C089A"/>
    <w:rsid w:val="782D51E4"/>
    <w:rsid w:val="784655B3"/>
    <w:rsid w:val="784945CC"/>
    <w:rsid w:val="785A2E96"/>
    <w:rsid w:val="785D6334"/>
    <w:rsid w:val="785E75AD"/>
    <w:rsid w:val="78767E87"/>
    <w:rsid w:val="78A771BA"/>
    <w:rsid w:val="78A90480"/>
    <w:rsid w:val="78BE4504"/>
    <w:rsid w:val="78F65D29"/>
    <w:rsid w:val="79077C59"/>
    <w:rsid w:val="7908577F"/>
    <w:rsid w:val="79085D02"/>
    <w:rsid w:val="79426EE3"/>
    <w:rsid w:val="794C3591"/>
    <w:rsid w:val="794D0CE0"/>
    <w:rsid w:val="79793F7A"/>
    <w:rsid w:val="79A31F5F"/>
    <w:rsid w:val="79A47B9E"/>
    <w:rsid w:val="79B323EB"/>
    <w:rsid w:val="7A0F329A"/>
    <w:rsid w:val="7A2B3757"/>
    <w:rsid w:val="7A364017"/>
    <w:rsid w:val="7A37631C"/>
    <w:rsid w:val="7A3A5E0C"/>
    <w:rsid w:val="7A422D94"/>
    <w:rsid w:val="7A613399"/>
    <w:rsid w:val="7A8265E1"/>
    <w:rsid w:val="7A925C48"/>
    <w:rsid w:val="7AA37E55"/>
    <w:rsid w:val="7AB65730"/>
    <w:rsid w:val="7ABD2970"/>
    <w:rsid w:val="7AC26ECE"/>
    <w:rsid w:val="7AC579BA"/>
    <w:rsid w:val="7AE61B10"/>
    <w:rsid w:val="7AFB238B"/>
    <w:rsid w:val="7B25161C"/>
    <w:rsid w:val="7B3B1E3C"/>
    <w:rsid w:val="7B424F78"/>
    <w:rsid w:val="7B652F92"/>
    <w:rsid w:val="7B686D42"/>
    <w:rsid w:val="7B706EB7"/>
    <w:rsid w:val="7B716301"/>
    <w:rsid w:val="7B7D71BE"/>
    <w:rsid w:val="7B803A8A"/>
    <w:rsid w:val="7B841746"/>
    <w:rsid w:val="7B862552"/>
    <w:rsid w:val="7B954CFC"/>
    <w:rsid w:val="7BA5668B"/>
    <w:rsid w:val="7BA93249"/>
    <w:rsid w:val="7BAC1403"/>
    <w:rsid w:val="7BBD0AA3"/>
    <w:rsid w:val="7BCC6F38"/>
    <w:rsid w:val="7BD55DED"/>
    <w:rsid w:val="7BD62327"/>
    <w:rsid w:val="7BEB5610"/>
    <w:rsid w:val="7BF76A5D"/>
    <w:rsid w:val="7BFE2E2A"/>
    <w:rsid w:val="7C014E34"/>
    <w:rsid w:val="7C0215CA"/>
    <w:rsid w:val="7C381D66"/>
    <w:rsid w:val="7C4145C6"/>
    <w:rsid w:val="7C4C370C"/>
    <w:rsid w:val="7C605FFE"/>
    <w:rsid w:val="7C6C5AC7"/>
    <w:rsid w:val="7C6D24C9"/>
    <w:rsid w:val="7C860819"/>
    <w:rsid w:val="7C943EFA"/>
    <w:rsid w:val="7C9737F2"/>
    <w:rsid w:val="7CAC018A"/>
    <w:rsid w:val="7CC6544B"/>
    <w:rsid w:val="7CCA3711"/>
    <w:rsid w:val="7CCC0EEB"/>
    <w:rsid w:val="7CF404F4"/>
    <w:rsid w:val="7CFE65F9"/>
    <w:rsid w:val="7D0239FF"/>
    <w:rsid w:val="7D1110A6"/>
    <w:rsid w:val="7D276B1C"/>
    <w:rsid w:val="7D374932"/>
    <w:rsid w:val="7D496A92"/>
    <w:rsid w:val="7D5A3301"/>
    <w:rsid w:val="7D5B22F4"/>
    <w:rsid w:val="7D5E40CD"/>
    <w:rsid w:val="7DA57A41"/>
    <w:rsid w:val="7DAC3AD6"/>
    <w:rsid w:val="7DBB1012"/>
    <w:rsid w:val="7DCD56F2"/>
    <w:rsid w:val="7DCD73FA"/>
    <w:rsid w:val="7DD56578"/>
    <w:rsid w:val="7DD6392D"/>
    <w:rsid w:val="7DDC7906"/>
    <w:rsid w:val="7DE4280F"/>
    <w:rsid w:val="7DEA79C5"/>
    <w:rsid w:val="7DF019EB"/>
    <w:rsid w:val="7E0724A9"/>
    <w:rsid w:val="7E160230"/>
    <w:rsid w:val="7E230E3C"/>
    <w:rsid w:val="7E394D59"/>
    <w:rsid w:val="7E481261"/>
    <w:rsid w:val="7E6472C9"/>
    <w:rsid w:val="7E88183C"/>
    <w:rsid w:val="7EC65B28"/>
    <w:rsid w:val="7ED85C68"/>
    <w:rsid w:val="7EE43CD7"/>
    <w:rsid w:val="7EFE0269"/>
    <w:rsid w:val="7F001CE7"/>
    <w:rsid w:val="7F0864D9"/>
    <w:rsid w:val="7F0A04A3"/>
    <w:rsid w:val="7F0F7C1E"/>
    <w:rsid w:val="7F107043"/>
    <w:rsid w:val="7F3632B4"/>
    <w:rsid w:val="7F3C61B7"/>
    <w:rsid w:val="7F625BE9"/>
    <w:rsid w:val="7F6E3D66"/>
    <w:rsid w:val="7F7E360B"/>
    <w:rsid w:val="7F8839AD"/>
    <w:rsid w:val="7F8848D0"/>
    <w:rsid w:val="7F914FD1"/>
    <w:rsid w:val="7FC449FE"/>
    <w:rsid w:val="7FCC301A"/>
    <w:rsid w:val="7FE47E50"/>
    <w:rsid w:val="7FEC09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1" w:semiHidden="0" w:name="heading 2" w:locked="1"/>
    <w:lsdException w:qFormat="1" w:uiPriority="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iPriority="39" w:semiHidden="0" w:name="toc 2" w:locked="1"/>
    <w:lsdException w:unhideWhenUsed="0" w:uiPriority="0" w:semiHidden="0" w:name="toc 3" w:locked="1"/>
    <w:lsdException w:unhideWhenUsed="0" w:uiPriority="0" w:semiHidden="0" w:name="toc 4" w:locked="1"/>
    <w:lsdException w:qFormat="1"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qFormat="1"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qFormat="1"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7">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8">
    <w:name w:val="heading 2"/>
    <w:basedOn w:val="7"/>
    <w:next w:val="1"/>
    <w:qFormat/>
    <w:locked/>
    <w:uiPriority w:val="1"/>
    <w:pPr>
      <w:ind w:left="635" w:right="654"/>
      <w:jc w:val="center"/>
      <w:outlineLvl w:val="1"/>
    </w:pPr>
    <w:rPr>
      <w:rFonts w:ascii="微软雅黑" w:hAnsi="微软雅黑" w:eastAsia="微软雅黑" w:cs="微软雅黑"/>
      <w:sz w:val="36"/>
      <w:szCs w:val="36"/>
      <w:lang w:val="zh-CN" w:bidi="zh-CN"/>
    </w:rPr>
  </w:style>
  <w:style w:type="paragraph" w:styleId="9">
    <w:name w:val="heading 3"/>
    <w:basedOn w:val="1"/>
    <w:next w:val="1"/>
    <w:semiHidden/>
    <w:unhideWhenUsed/>
    <w:qFormat/>
    <w:locked/>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10">
    <w:name w:val="heading 4"/>
    <w:basedOn w:val="1"/>
    <w:next w:val="1"/>
    <w:qFormat/>
    <w:locked/>
    <w:uiPriority w:val="0"/>
    <w:pPr>
      <w:keepNext/>
      <w:keepLines/>
      <w:spacing w:before="100" w:after="100" w:line="377" w:lineRule="auto"/>
      <w:ind w:firstLine="766" w:firstLineChars="200"/>
      <w:outlineLvl w:val="3"/>
    </w:pPr>
    <w:rPr>
      <w:rFonts w:ascii="Arial" w:hAnsi="Arial" w:eastAsia="黑体"/>
      <w:b/>
      <w:bCs/>
      <w:szCs w:val="28"/>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2">
    <w:name w:val="Body Text First Indent"/>
    <w:basedOn w:val="3"/>
    <w:next w:val="1"/>
    <w:qFormat/>
    <w:locked/>
    <w:uiPriority w:val="0"/>
    <w:pPr>
      <w:ind w:firstLine="420" w:firstLineChars="100"/>
    </w:pPr>
  </w:style>
  <w:style w:type="paragraph" w:styleId="3">
    <w:name w:val="Body Text"/>
    <w:basedOn w:val="1"/>
    <w:next w:val="4"/>
    <w:link w:val="42"/>
    <w:qFormat/>
    <w:uiPriority w:val="0"/>
    <w:pPr>
      <w:widowControl/>
      <w:snapToGrid w:val="0"/>
      <w:spacing w:before="60" w:after="160" w:line="259" w:lineRule="auto"/>
      <w:ind w:right="113"/>
    </w:pPr>
    <w:rPr>
      <w:kern w:val="0"/>
      <w:sz w:val="18"/>
      <w:szCs w:val="20"/>
    </w:rPr>
  </w:style>
  <w:style w:type="paragraph" w:customStyle="1" w:styleId="4">
    <w:name w:val="baby-正文"/>
    <w:basedOn w:val="5"/>
    <w:next w:val="6"/>
    <w:qFormat/>
    <w:uiPriority w:val="0"/>
    <w:pPr>
      <w:tabs>
        <w:tab w:val="center" w:pos="4153"/>
        <w:tab w:val="right" w:pos="8306"/>
      </w:tabs>
    </w:pPr>
    <w:rPr>
      <w:rFonts w:ascii="仿宋_GB2312" w:hAnsi="宋体"/>
      <w:bCs/>
      <w:sz w:val="30"/>
    </w:rPr>
  </w:style>
  <w:style w:type="paragraph" w:styleId="5">
    <w:name w:val="footer"/>
    <w:basedOn w:val="1"/>
    <w:link w:val="48"/>
    <w:qFormat/>
    <w:uiPriority w:val="99"/>
    <w:pPr>
      <w:tabs>
        <w:tab w:val="center" w:pos="4153"/>
        <w:tab w:val="right" w:pos="8306"/>
      </w:tabs>
      <w:snapToGrid w:val="0"/>
      <w:jc w:val="left"/>
    </w:pPr>
    <w:rPr>
      <w:kern w:val="0"/>
      <w:sz w:val="18"/>
      <w:szCs w:val="20"/>
    </w:rPr>
  </w:style>
  <w:style w:type="paragraph" w:styleId="6">
    <w:name w:val="Balloon Text"/>
    <w:basedOn w:val="1"/>
    <w:link w:val="47"/>
    <w:semiHidden/>
    <w:qFormat/>
    <w:uiPriority w:val="0"/>
    <w:rPr>
      <w:kern w:val="0"/>
      <w:sz w:val="18"/>
      <w:szCs w:val="20"/>
    </w:rPr>
  </w:style>
  <w:style w:type="paragraph" w:styleId="11">
    <w:name w:val="Normal Indent"/>
    <w:basedOn w:val="1"/>
    <w:qFormat/>
    <w:locked/>
    <w:uiPriority w:val="0"/>
    <w:pPr>
      <w:ind w:firstLine="420"/>
    </w:pPr>
  </w:style>
  <w:style w:type="paragraph" w:styleId="12">
    <w:name w:val="caption"/>
    <w:basedOn w:val="1"/>
    <w:next w:val="1"/>
    <w:qFormat/>
    <w:locked/>
    <w:uiPriority w:val="0"/>
    <w:pPr>
      <w:spacing w:before="152" w:after="160"/>
      <w:jc w:val="center"/>
    </w:pPr>
    <w:rPr>
      <w:rFonts w:cs="Arial"/>
      <w:szCs w:val="21"/>
    </w:rPr>
  </w:style>
  <w:style w:type="paragraph" w:styleId="13">
    <w:name w:val="annotation text"/>
    <w:basedOn w:val="1"/>
    <w:next w:val="14"/>
    <w:link w:val="43"/>
    <w:semiHidden/>
    <w:qFormat/>
    <w:uiPriority w:val="0"/>
    <w:pPr>
      <w:jc w:val="left"/>
    </w:pPr>
    <w:rPr>
      <w:kern w:val="0"/>
      <w:sz w:val="24"/>
      <w:szCs w:val="20"/>
    </w:rPr>
  </w:style>
  <w:style w:type="paragraph" w:styleId="14">
    <w:name w:val="toc 5"/>
    <w:basedOn w:val="1"/>
    <w:next w:val="1"/>
    <w:qFormat/>
    <w:locked/>
    <w:uiPriority w:val="0"/>
    <w:pPr>
      <w:ind w:left="1680"/>
    </w:pPr>
  </w:style>
  <w:style w:type="paragraph" w:styleId="15">
    <w:name w:val="Body Text Indent"/>
    <w:basedOn w:val="1"/>
    <w:next w:val="16"/>
    <w:link w:val="44"/>
    <w:qFormat/>
    <w:uiPriority w:val="0"/>
    <w:pPr>
      <w:spacing w:after="120"/>
      <w:ind w:left="420" w:leftChars="200"/>
    </w:pPr>
    <w:rPr>
      <w:kern w:val="0"/>
      <w:sz w:val="24"/>
      <w:szCs w:val="20"/>
    </w:rPr>
  </w:style>
  <w:style w:type="paragraph" w:styleId="16">
    <w:name w:val="header"/>
    <w:basedOn w:val="1"/>
    <w:next w:val="3"/>
    <w:link w:val="45"/>
    <w:qFormat/>
    <w:uiPriority w:val="0"/>
    <w:pPr>
      <w:pBdr>
        <w:bottom w:val="single" w:color="auto" w:sz="6" w:space="1"/>
      </w:pBdr>
      <w:tabs>
        <w:tab w:val="center" w:pos="4153"/>
        <w:tab w:val="right" w:pos="8306"/>
      </w:tabs>
      <w:snapToGrid w:val="0"/>
      <w:jc w:val="center"/>
    </w:pPr>
    <w:rPr>
      <w:kern w:val="0"/>
      <w:sz w:val="18"/>
      <w:szCs w:val="20"/>
    </w:rPr>
  </w:style>
  <w:style w:type="paragraph" w:styleId="17">
    <w:name w:val="Plain Text"/>
    <w:basedOn w:val="1"/>
    <w:next w:val="1"/>
    <w:qFormat/>
    <w:locked/>
    <w:uiPriority w:val="0"/>
    <w:rPr>
      <w:rFonts w:ascii="宋体" w:hAnsi="Courier New" w:cs="Courier New"/>
      <w:szCs w:val="21"/>
    </w:rPr>
  </w:style>
  <w:style w:type="paragraph" w:styleId="18">
    <w:name w:val="List Bullet 5"/>
    <w:basedOn w:val="1"/>
    <w:qFormat/>
    <w:locked/>
    <w:uiPriority w:val="0"/>
    <w:pPr>
      <w:numPr>
        <w:ilvl w:val="0"/>
        <w:numId w:val="1"/>
      </w:numPr>
    </w:pPr>
  </w:style>
  <w:style w:type="paragraph" w:styleId="19">
    <w:name w:val="Date"/>
    <w:basedOn w:val="1"/>
    <w:next w:val="1"/>
    <w:link w:val="46"/>
    <w:qFormat/>
    <w:uiPriority w:val="0"/>
    <w:pPr>
      <w:ind w:left="100" w:leftChars="2500"/>
    </w:pPr>
    <w:rPr>
      <w:kern w:val="0"/>
      <w:sz w:val="24"/>
      <w:szCs w:val="20"/>
    </w:rPr>
  </w:style>
  <w:style w:type="paragraph" w:styleId="20">
    <w:name w:val="toc 1"/>
    <w:basedOn w:val="1"/>
    <w:next w:val="1"/>
    <w:qFormat/>
    <w:locked/>
    <w:uiPriority w:val="0"/>
  </w:style>
  <w:style w:type="paragraph" w:styleId="21">
    <w:name w:val="List"/>
    <w:basedOn w:val="1"/>
    <w:next w:val="1"/>
    <w:qFormat/>
    <w:locked/>
    <w:uiPriority w:val="0"/>
    <w:pPr>
      <w:snapToGrid w:val="0"/>
    </w:pPr>
    <w:rPr>
      <w:sz w:val="18"/>
    </w:rPr>
  </w:style>
  <w:style w:type="paragraph" w:styleId="22">
    <w:name w:val="toc 2"/>
    <w:basedOn w:val="1"/>
    <w:next w:val="1"/>
    <w:unhideWhenUsed/>
    <w:qFormat/>
    <w:locked/>
    <w:uiPriority w:val="39"/>
    <w:pPr>
      <w:widowControl/>
      <w:ind w:left="420" w:leftChars="200"/>
      <w:jc w:val="left"/>
    </w:pPr>
    <w:rPr>
      <w:rFonts w:ascii="Calibri" w:hAnsi="Calibri"/>
      <w:sz w:val="24"/>
      <w:szCs w:val="22"/>
    </w:rPr>
  </w:style>
  <w:style w:type="paragraph" w:styleId="23">
    <w:name w:val="Message Header"/>
    <w:basedOn w:val="1"/>
    <w:qFormat/>
    <w:locked/>
    <w:uiPriority w:val="0"/>
    <w:pPr>
      <w:widowControl/>
      <w:pBdr>
        <w:top w:val="single" w:color="auto" w:sz="6" w:space="1"/>
        <w:left w:val="single" w:color="auto" w:sz="6" w:space="1"/>
        <w:bottom w:val="single" w:color="auto" w:sz="6" w:space="1"/>
        <w:right w:val="single" w:color="auto" w:sz="6" w:space="1"/>
      </w:pBdr>
      <w:shd w:val="pct20" w:color="auto" w:fill="auto"/>
      <w:spacing w:line="520" w:lineRule="exact"/>
      <w:ind w:left="1080" w:leftChars="500" w:hanging="1080" w:hangingChars="500"/>
    </w:pPr>
    <w:rPr>
      <w:rFonts w:ascii="Arial" w:hAnsi="Arial" w:cs="Arial"/>
      <w:bCs/>
      <w:kern w:val="0"/>
      <w:sz w:val="24"/>
    </w:rPr>
  </w:style>
  <w:style w:type="paragraph" w:styleId="24">
    <w:name w:val="Normal (Web)"/>
    <w:basedOn w:val="1"/>
    <w:link w:val="49"/>
    <w:qFormat/>
    <w:uiPriority w:val="0"/>
    <w:pPr>
      <w:widowControl/>
      <w:spacing w:before="100" w:beforeAutospacing="1" w:after="100" w:afterAutospacing="1"/>
      <w:jc w:val="left"/>
    </w:pPr>
    <w:rPr>
      <w:rFonts w:ascii="宋体" w:hAnsi="宋体"/>
      <w:kern w:val="0"/>
      <w:sz w:val="24"/>
      <w:szCs w:val="20"/>
    </w:rPr>
  </w:style>
  <w:style w:type="paragraph" w:styleId="25">
    <w:name w:val="Title"/>
    <w:basedOn w:val="1"/>
    <w:next w:val="7"/>
    <w:qFormat/>
    <w:locked/>
    <w:uiPriority w:val="0"/>
    <w:pPr>
      <w:spacing w:before="240" w:after="60"/>
      <w:jc w:val="center"/>
      <w:outlineLvl w:val="0"/>
    </w:pPr>
    <w:rPr>
      <w:rFonts w:ascii="等线 Light" w:hAnsi="等线 Light"/>
      <w:b/>
      <w:bCs/>
      <w:sz w:val="32"/>
      <w:szCs w:val="32"/>
    </w:rPr>
  </w:style>
  <w:style w:type="paragraph" w:styleId="26">
    <w:name w:val="annotation subject"/>
    <w:basedOn w:val="13"/>
    <w:next w:val="13"/>
    <w:link w:val="50"/>
    <w:semiHidden/>
    <w:qFormat/>
    <w:uiPriority w:val="0"/>
    <w:rPr>
      <w:b/>
    </w:rPr>
  </w:style>
  <w:style w:type="paragraph" w:styleId="27">
    <w:name w:val="Body Text First Indent 2"/>
    <w:basedOn w:val="1"/>
    <w:next w:val="1"/>
    <w:qFormat/>
    <w:locked/>
    <w:uiPriority w:val="0"/>
    <w:pPr>
      <w:ind w:firstLine="420" w:firstLineChars="200"/>
    </w:pPr>
    <w:rPr>
      <w:kern w:val="2"/>
      <w:sz w:val="21"/>
      <w:szCs w:val="24"/>
    </w:rPr>
  </w:style>
  <w:style w:type="table" w:styleId="29">
    <w:name w:val="Table Grid"/>
    <w:basedOn w:val="2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page number"/>
    <w:basedOn w:val="30"/>
    <w:qFormat/>
    <w:locked/>
    <w:uiPriority w:val="0"/>
  </w:style>
  <w:style w:type="character" w:styleId="32">
    <w:name w:val="FollowedHyperlink"/>
    <w:basedOn w:val="30"/>
    <w:qFormat/>
    <w:locked/>
    <w:uiPriority w:val="0"/>
    <w:rPr>
      <w:color w:val="000000"/>
      <w:u w:val="none"/>
    </w:rPr>
  </w:style>
  <w:style w:type="character" w:styleId="33">
    <w:name w:val="Emphasis"/>
    <w:basedOn w:val="30"/>
    <w:qFormat/>
    <w:locked/>
    <w:uiPriority w:val="0"/>
  </w:style>
  <w:style w:type="character" w:styleId="34">
    <w:name w:val="Hyperlink"/>
    <w:basedOn w:val="30"/>
    <w:qFormat/>
    <w:locked/>
    <w:uiPriority w:val="0"/>
    <w:rPr>
      <w:color w:val="0000FF"/>
      <w:u w:val="single"/>
    </w:rPr>
  </w:style>
  <w:style w:type="character" w:styleId="35">
    <w:name w:val="annotation reference"/>
    <w:semiHidden/>
    <w:qFormat/>
    <w:uiPriority w:val="0"/>
    <w:rPr>
      <w:sz w:val="21"/>
    </w:rPr>
  </w:style>
  <w:style w:type="paragraph" w:customStyle="1" w:styleId="36">
    <w:name w:val="样式 正文首行缩进 + 首行缩进:  2 字符1"/>
    <w:basedOn w:val="1"/>
    <w:next w:val="20"/>
    <w:qFormat/>
    <w:uiPriority w:val="0"/>
    <w:pPr>
      <w:spacing w:line="360" w:lineRule="auto"/>
      <w:ind w:firstLine="480" w:firstLineChars="200"/>
    </w:pPr>
    <w:rPr>
      <w:sz w:val="24"/>
    </w:rPr>
  </w:style>
  <w:style w:type="paragraph" w:customStyle="1" w:styleId="37">
    <w:name w:val="11111"/>
    <w:basedOn w:val="1"/>
    <w:next w:val="1"/>
    <w:qFormat/>
    <w:uiPriority w:val="0"/>
    <w:pPr>
      <w:spacing w:line="360" w:lineRule="auto"/>
      <w:ind w:firstLine="200" w:firstLineChars="200"/>
    </w:pPr>
    <w:rPr>
      <w:rFonts w:hAnsi="宋体" w:cs="宋体"/>
    </w:rPr>
  </w:style>
  <w:style w:type="paragraph" w:customStyle="1" w:styleId="38">
    <w:name w:val="xl27"/>
    <w:basedOn w:val="1"/>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customStyle="1" w:styleId="39">
    <w:name w:val="正文格式"/>
    <w:basedOn w:val="1"/>
    <w:next w:val="1"/>
    <w:qFormat/>
    <w:uiPriority w:val="99"/>
    <w:pPr>
      <w:spacing w:line="360" w:lineRule="auto"/>
      <w:ind w:firstLine="482"/>
    </w:pPr>
    <w:rPr>
      <w:rFonts w:ascii="Times New Roman"/>
    </w:rPr>
  </w:style>
  <w:style w:type="paragraph" w:customStyle="1" w:styleId="40">
    <w:name w:val="Normal (Web)1"/>
    <w:basedOn w:val="1"/>
    <w:next w:val="41"/>
    <w:qFormat/>
    <w:uiPriority w:val="0"/>
    <w:pPr>
      <w:widowControl/>
    </w:pPr>
    <w:rPr>
      <w:rFonts w:ascii="宋体"/>
      <w:sz w:val="24"/>
      <w:szCs w:val="21"/>
    </w:rPr>
  </w:style>
  <w:style w:type="paragraph" w:customStyle="1" w:styleId="41">
    <w:name w:val="Date1"/>
    <w:basedOn w:val="1"/>
    <w:next w:val="1"/>
    <w:qFormat/>
    <w:uiPriority w:val="0"/>
    <w:pPr>
      <w:ind w:left="2500" w:leftChars="2500"/>
    </w:pPr>
  </w:style>
  <w:style w:type="character" w:customStyle="1" w:styleId="42">
    <w:name w:val="正文文本 字符"/>
    <w:link w:val="3"/>
    <w:qFormat/>
    <w:locked/>
    <w:uiPriority w:val="0"/>
    <w:rPr>
      <w:sz w:val="18"/>
    </w:rPr>
  </w:style>
  <w:style w:type="character" w:customStyle="1" w:styleId="43">
    <w:name w:val="批注文字 字符"/>
    <w:link w:val="13"/>
    <w:qFormat/>
    <w:locked/>
    <w:uiPriority w:val="0"/>
    <w:rPr>
      <w:rFonts w:ascii="Times New Roman" w:hAnsi="Times New Roman" w:eastAsia="宋体"/>
      <w:sz w:val="24"/>
    </w:rPr>
  </w:style>
  <w:style w:type="character" w:customStyle="1" w:styleId="44">
    <w:name w:val="正文文本缩进 字符"/>
    <w:link w:val="15"/>
    <w:semiHidden/>
    <w:qFormat/>
    <w:locked/>
    <w:uiPriority w:val="0"/>
    <w:rPr>
      <w:rFonts w:ascii="Times New Roman" w:hAnsi="Times New Roman" w:eastAsia="宋体"/>
      <w:sz w:val="24"/>
    </w:rPr>
  </w:style>
  <w:style w:type="character" w:customStyle="1" w:styleId="45">
    <w:name w:val="页眉 字符"/>
    <w:link w:val="16"/>
    <w:qFormat/>
    <w:locked/>
    <w:uiPriority w:val="0"/>
    <w:rPr>
      <w:sz w:val="18"/>
    </w:rPr>
  </w:style>
  <w:style w:type="character" w:customStyle="1" w:styleId="46">
    <w:name w:val="日期 字符1"/>
    <w:link w:val="19"/>
    <w:qFormat/>
    <w:locked/>
    <w:uiPriority w:val="0"/>
    <w:rPr>
      <w:rFonts w:ascii="Times New Roman" w:hAnsi="Times New Roman" w:eastAsia="宋体"/>
      <w:sz w:val="24"/>
    </w:rPr>
  </w:style>
  <w:style w:type="character" w:customStyle="1" w:styleId="47">
    <w:name w:val="批注框文本 字符"/>
    <w:link w:val="6"/>
    <w:semiHidden/>
    <w:qFormat/>
    <w:locked/>
    <w:uiPriority w:val="0"/>
    <w:rPr>
      <w:rFonts w:ascii="Times New Roman" w:hAnsi="Times New Roman" w:eastAsia="宋体"/>
      <w:sz w:val="18"/>
    </w:rPr>
  </w:style>
  <w:style w:type="character" w:customStyle="1" w:styleId="48">
    <w:name w:val="页脚 字符1"/>
    <w:link w:val="5"/>
    <w:qFormat/>
    <w:locked/>
    <w:uiPriority w:val="99"/>
    <w:rPr>
      <w:sz w:val="18"/>
    </w:rPr>
  </w:style>
  <w:style w:type="character" w:customStyle="1" w:styleId="49">
    <w:name w:val="普通(网站) 字符"/>
    <w:link w:val="24"/>
    <w:qFormat/>
    <w:locked/>
    <w:uiPriority w:val="0"/>
    <w:rPr>
      <w:rFonts w:ascii="宋体" w:hAnsi="宋体" w:eastAsia="宋体"/>
      <w:sz w:val="24"/>
    </w:rPr>
  </w:style>
  <w:style w:type="character" w:customStyle="1" w:styleId="50">
    <w:name w:val="批注主题 字符"/>
    <w:link w:val="26"/>
    <w:semiHidden/>
    <w:qFormat/>
    <w:locked/>
    <w:uiPriority w:val="0"/>
    <w:rPr>
      <w:rFonts w:ascii="Times New Roman" w:hAnsi="Times New Roman" w:eastAsia="宋体"/>
      <w:b/>
      <w:kern w:val="2"/>
      <w:sz w:val="24"/>
    </w:rPr>
  </w:style>
  <w:style w:type="character" w:customStyle="1" w:styleId="51">
    <w:name w:val="日期 字符"/>
    <w:semiHidden/>
    <w:qFormat/>
    <w:uiPriority w:val="0"/>
    <w:rPr>
      <w:rFonts w:ascii="Times New Roman" w:hAnsi="Times New Roman" w:eastAsia="宋体"/>
      <w:sz w:val="24"/>
    </w:rPr>
  </w:style>
  <w:style w:type="character" w:customStyle="1" w:styleId="52">
    <w:name w:val="批注文字 字符1"/>
    <w:semiHidden/>
    <w:qFormat/>
    <w:uiPriority w:val="0"/>
    <w:rPr>
      <w:rFonts w:ascii="Times New Roman" w:hAnsi="Times New Roman" w:eastAsia="宋体"/>
      <w:sz w:val="24"/>
    </w:rPr>
  </w:style>
  <w:style w:type="character" w:customStyle="1" w:styleId="53">
    <w:name w:val="表格 Char"/>
    <w:link w:val="54"/>
    <w:qFormat/>
    <w:locked/>
    <w:uiPriority w:val="0"/>
    <w:rPr>
      <w:rFonts w:ascii="宋体"/>
      <w:sz w:val="21"/>
    </w:rPr>
  </w:style>
  <w:style w:type="paragraph" w:customStyle="1" w:styleId="54">
    <w:name w:val="表格"/>
    <w:basedOn w:val="11"/>
    <w:next w:val="11"/>
    <w:link w:val="53"/>
    <w:qFormat/>
    <w:uiPriority w:val="0"/>
    <w:pPr>
      <w:adjustRightInd w:val="0"/>
      <w:snapToGrid w:val="0"/>
      <w:spacing w:beforeLines="10" w:afterLines="10" w:line="259" w:lineRule="auto"/>
      <w:jc w:val="center"/>
    </w:pPr>
    <w:rPr>
      <w:rFonts w:ascii="宋体"/>
      <w:kern w:val="0"/>
      <w:szCs w:val="20"/>
    </w:rPr>
  </w:style>
  <w:style w:type="character" w:customStyle="1" w:styleId="55">
    <w:name w:val="正文文本 字符1"/>
    <w:semiHidden/>
    <w:qFormat/>
    <w:uiPriority w:val="0"/>
    <w:rPr>
      <w:rFonts w:ascii="Times New Roman" w:hAnsi="Times New Roman" w:eastAsia="宋体"/>
      <w:sz w:val="24"/>
    </w:rPr>
  </w:style>
  <w:style w:type="character" w:customStyle="1" w:styleId="56">
    <w:name w:val="页脚 字符"/>
    <w:basedOn w:val="30"/>
    <w:qFormat/>
    <w:uiPriority w:val="99"/>
  </w:style>
  <w:style w:type="paragraph" w:customStyle="1" w:styleId="57">
    <w:name w:val="【表中文字】"/>
    <w:basedOn w:val="1"/>
    <w:qFormat/>
    <w:uiPriority w:val="0"/>
    <w:pPr>
      <w:widowControl/>
      <w:jc w:val="center"/>
    </w:pPr>
    <w:rPr>
      <w:rFonts w:ascii="Calibri" w:hAnsi="Calibri"/>
      <w:szCs w:val="22"/>
    </w:rPr>
  </w:style>
  <w:style w:type="paragraph" w:customStyle="1" w:styleId="58">
    <w:name w:val="Table Paragraph"/>
    <w:basedOn w:val="1"/>
    <w:qFormat/>
    <w:uiPriority w:val="1"/>
    <w:rPr>
      <w:rFonts w:ascii="宋体" w:hAnsi="宋体" w:cs="宋体"/>
      <w:lang w:val="zh-CN" w:bidi="zh-CN"/>
    </w:rPr>
  </w:style>
  <w:style w:type="paragraph" w:customStyle="1" w:styleId="59">
    <w:name w:val="lh-表格文字-报告表"/>
    <w:qFormat/>
    <w:uiPriority w:val="0"/>
    <w:pPr>
      <w:jc w:val="center"/>
    </w:pPr>
    <w:rPr>
      <w:rFonts w:ascii="Times New Roman" w:hAnsi="Times New Roman" w:eastAsia="宋体" w:cs="Times New Roman"/>
      <w:snapToGrid w:val="0"/>
      <w:sz w:val="21"/>
      <w:szCs w:val="24"/>
      <w:lang w:val="en-US" w:eastAsia="zh-CN" w:bidi="ar-SA"/>
    </w:rPr>
  </w:style>
  <w:style w:type="paragraph" w:customStyle="1" w:styleId="60">
    <w:name w:val="Huo 小四缩进2黑体"/>
    <w:basedOn w:val="1"/>
    <w:next w:val="61"/>
    <w:qFormat/>
    <w:uiPriority w:val="0"/>
    <w:pPr>
      <w:spacing w:line="360" w:lineRule="auto"/>
      <w:ind w:firstLine="200" w:firstLineChars="200"/>
    </w:pPr>
    <w:rPr>
      <w:rFonts w:eastAsia="黑体"/>
      <w:bCs/>
      <w:color w:val="000000"/>
      <w:sz w:val="24"/>
    </w:rPr>
  </w:style>
  <w:style w:type="paragraph" w:customStyle="1" w:styleId="61">
    <w:name w:val="Huo 小四缩进2"/>
    <w:basedOn w:val="1"/>
    <w:qFormat/>
    <w:uiPriority w:val="0"/>
    <w:pPr>
      <w:adjustRightInd w:val="0"/>
      <w:spacing w:line="360" w:lineRule="auto"/>
      <w:ind w:firstLine="480" w:firstLineChars="200"/>
    </w:pPr>
    <w:rPr>
      <w:sz w:val="24"/>
    </w:rPr>
  </w:style>
  <w:style w:type="paragraph" w:customStyle="1" w:styleId="62">
    <w:name w:val="内容"/>
    <w:basedOn w:val="1"/>
    <w:qFormat/>
    <w:uiPriority w:val="0"/>
    <w:pPr>
      <w:spacing w:beforeLines="50" w:afterLines="50"/>
      <w:ind w:firstLine="200" w:firstLineChars="200"/>
    </w:pPr>
    <w:rPr>
      <w:color w:val="000000"/>
      <w:kern w:val="0"/>
      <w:sz w:val="24"/>
    </w:rPr>
  </w:style>
  <w:style w:type="paragraph" w:customStyle="1" w:styleId="63">
    <w:name w:val="小四段落"/>
    <w:basedOn w:val="1"/>
    <w:qFormat/>
    <w:uiPriority w:val="0"/>
    <w:pPr>
      <w:spacing w:line="360" w:lineRule="auto"/>
      <w:ind w:firstLine="602" w:firstLineChars="200"/>
    </w:pPr>
    <w:rPr>
      <w:sz w:val="24"/>
    </w:rPr>
  </w:style>
  <w:style w:type="paragraph" w:customStyle="1" w:styleId="64">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5">
    <w:name w:val="【正文】"/>
    <w:basedOn w:val="1"/>
    <w:next w:val="23"/>
    <w:qFormat/>
    <w:uiPriority w:val="0"/>
    <w:pPr>
      <w:spacing w:line="360" w:lineRule="auto"/>
      <w:ind w:firstLine="480" w:firstLineChars="200"/>
    </w:pPr>
    <w:rPr>
      <w:sz w:val="24"/>
    </w:rPr>
  </w:style>
  <w:style w:type="paragraph" w:customStyle="1" w:styleId="66">
    <w:name w:val="正文(首行缩进)"/>
    <w:basedOn w:val="11"/>
    <w:qFormat/>
    <w:uiPriority w:val="0"/>
    <w:pPr>
      <w:spacing w:line="360" w:lineRule="auto"/>
      <w:ind w:firstLine="540" w:firstLineChars="225"/>
    </w:pPr>
    <w:rPr>
      <w:snapToGrid w:val="0"/>
      <w:color w:val="000000"/>
      <w:kern w:val="0"/>
      <w:sz w:val="24"/>
    </w:rPr>
  </w:style>
  <w:style w:type="paragraph" w:customStyle="1" w:styleId="67">
    <w:name w:val="我的正文"/>
    <w:basedOn w:val="1"/>
    <w:qFormat/>
    <w:uiPriority w:val="0"/>
    <w:pPr>
      <w:adjustRightInd w:val="0"/>
      <w:snapToGrid w:val="0"/>
      <w:spacing w:line="480" w:lineRule="exact"/>
      <w:ind w:firstLine="720" w:firstLineChars="200"/>
      <w:jc w:val="left"/>
    </w:pPr>
    <w:rPr>
      <w:bCs/>
      <w:kern w:val="0"/>
      <w:sz w:val="20"/>
      <w:szCs w:val="21"/>
    </w:rPr>
  </w:style>
  <w:style w:type="paragraph" w:customStyle="1" w:styleId="68">
    <w:name w:val="样式 Times New Roman 五号 居中1"/>
    <w:basedOn w:val="1"/>
    <w:next w:val="69"/>
    <w:qFormat/>
    <w:uiPriority w:val="0"/>
    <w:pPr>
      <w:jc w:val="center"/>
    </w:pPr>
    <w:rPr>
      <w:rFonts w:cs="宋体"/>
      <w:szCs w:val="20"/>
    </w:rPr>
  </w:style>
  <w:style w:type="paragraph" w:customStyle="1" w:styleId="69">
    <w:name w:val="表头"/>
    <w:basedOn w:val="70"/>
    <w:next w:val="1"/>
    <w:qFormat/>
    <w:uiPriority w:val="0"/>
    <w:pPr>
      <w:spacing w:line="360" w:lineRule="auto"/>
      <w:jc w:val="center"/>
    </w:pPr>
    <w:rPr>
      <w:rFonts w:ascii="黑体" w:hAnsi="宋体" w:eastAsia="黑体" w:cs="Arial"/>
      <w:bCs/>
      <w:sz w:val="24"/>
      <w:szCs w:val="21"/>
    </w:rPr>
  </w:style>
  <w:style w:type="paragraph" w:customStyle="1" w:styleId="70">
    <w:name w:val="样式4"/>
    <w:basedOn w:val="1"/>
    <w:qFormat/>
    <w:uiPriority w:val="0"/>
    <w:pPr>
      <w:adjustRightInd w:val="0"/>
      <w:snapToGrid w:val="0"/>
      <w:jc w:val="center"/>
    </w:pPr>
    <w:rPr>
      <w:rFonts w:ascii="Times New Roman" w:hAnsi="Times New Roman" w:eastAsia="宋体" w:cs="Times New Roman"/>
      <w:sz w:val="24"/>
    </w:rPr>
  </w:style>
  <w:style w:type="paragraph" w:customStyle="1" w:styleId="71">
    <w:name w:val="报告表内正文"/>
    <w:qFormat/>
    <w:uiPriority w:val="0"/>
    <w:pPr>
      <w:ind w:firstLine="640" w:firstLineChars="200"/>
    </w:pPr>
    <w:rPr>
      <w:rFonts w:ascii="Calibri" w:hAnsi="Calibri" w:eastAsia="Calibri" w:cs="Times New Roman"/>
      <w:sz w:val="28"/>
      <w:szCs w:val="22"/>
      <w:lang w:val="en-US" w:eastAsia="zh-CN" w:bidi="ar-SA"/>
    </w:rPr>
  </w:style>
  <w:style w:type="paragraph" w:customStyle="1" w:styleId="72">
    <w:name w:val="正文1"/>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73">
    <w:name w:val="图名表头"/>
    <w:basedOn w:val="1"/>
    <w:qFormat/>
    <w:uiPriority w:val="0"/>
    <w:pPr>
      <w:spacing w:line="360" w:lineRule="auto"/>
      <w:jc w:val="center"/>
    </w:pPr>
    <w:rPr>
      <w:rFonts w:eastAsia="Arial"/>
      <w:sz w:val="24"/>
    </w:rPr>
  </w:style>
  <w:style w:type="paragraph" w:customStyle="1" w:styleId="74">
    <w:name w:val="报告表正文"/>
    <w:basedOn w:val="1"/>
    <w:qFormat/>
    <w:uiPriority w:val="0"/>
    <w:pPr>
      <w:spacing w:line="360" w:lineRule="auto"/>
      <w:ind w:firstLine="420" w:firstLineChars="200"/>
    </w:pPr>
    <w:rPr>
      <w:kern w:val="0"/>
      <w:sz w:val="28"/>
      <w:szCs w:val="20"/>
    </w:rPr>
  </w:style>
  <w:style w:type="paragraph" w:customStyle="1" w:styleId="75">
    <w:name w:val="Huo 小四缩进2黑体 段前0.5行"/>
    <w:basedOn w:val="60"/>
    <w:next w:val="61"/>
    <w:qFormat/>
    <w:uiPriority w:val="0"/>
    <w:pPr>
      <w:spacing w:before="120" w:beforeLines="50"/>
      <w:ind w:firstLine="480"/>
    </w:pPr>
  </w:style>
  <w:style w:type="paragraph" w:customStyle="1" w:styleId="76">
    <w:name w:val="表头和图片"/>
    <w:basedOn w:val="17"/>
    <w:next w:val="1"/>
    <w:qFormat/>
    <w:uiPriority w:val="0"/>
    <w:pPr>
      <w:spacing w:line="480" w:lineRule="exact"/>
      <w:jc w:val="center"/>
    </w:pPr>
    <w:rPr>
      <w:rFonts w:ascii="Times New Roman" w:hAnsi="Times New Roman" w:eastAsia="黑体"/>
      <w:b/>
      <w:kern w:val="0"/>
      <w:sz w:val="20"/>
      <w:szCs w:val="20"/>
    </w:rPr>
  </w:style>
  <w:style w:type="paragraph" w:customStyle="1" w:styleId="77">
    <w:name w:val="a正文"/>
    <w:basedOn w:val="1"/>
    <w:qFormat/>
    <w:uiPriority w:val="0"/>
    <w:pPr>
      <w:spacing w:line="520" w:lineRule="exact"/>
      <w:ind w:firstLine="561"/>
    </w:pPr>
    <w:rPr>
      <w:sz w:val="28"/>
      <w:szCs w:val="20"/>
    </w:rPr>
  </w:style>
  <w:style w:type="paragraph" w:customStyle="1" w:styleId="78">
    <w:name w:val="003表头"/>
    <w:basedOn w:val="1"/>
    <w:qFormat/>
    <w:uiPriority w:val="0"/>
    <w:pPr>
      <w:ind w:firstLine="422"/>
      <w:jc w:val="center"/>
    </w:pPr>
    <w:rPr>
      <w:b/>
      <w:bCs/>
      <w:szCs w:val="21"/>
    </w:rPr>
  </w:style>
  <w:style w:type="paragraph" w:customStyle="1" w:styleId="79">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80">
    <w:name w:val="正文2"/>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81">
    <w:name w:val="样式1"/>
    <w:basedOn w:val="1"/>
    <w:qFormat/>
    <w:uiPriority w:val="0"/>
    <w:pPr>
      <w:spacing w:line="500" w:lineRule="exact"/>
    </w:pPr>
    <w:rPr>
      <w:rFonts w:ascii="宋体" w:hAnsi="宋体"/>
      <w:bCs/>
      <w:iCs/>
      <w:sz w:val="32"/>
      <w:szCs w:val="18"/>
    </w:rPr>
  </w:style>
  <w:style w:type="paragraph" w:customStyle="1" w:styleId="82">
    <w:name w:val="lh-表题--报告表"/>
    <w:basedOn w:val="1"/>
    <w:qFormat/>
    <w:uiPriority w:val="0"/>
    <w:pPr>
      <w:keepNext/>
      <w:widowControl/>
      <w:numPr>
        <w:ilvl w:val="0"/>
        <w:numId w:val="2"/>
      </w:numPr>
      <w:spacing w:before="156" w:beforeLines="50"/>
      <w:ind w:left="0" w:firstLine="0"/>
      <w:jc w:val="center"/>
    </w:pPr>
    <w:rPr>
      <w:snapToGrid w:val="0"/>
      <w:kern w:val="0"/>
      <w:sz w:val="24"/>
      <w:szCs w:val="21"/>
    </w:rPr>
  </w:style>
  <w:style w:type="paragraph" w:customStyle="1" w:styleId="83">
    <w:name w:val="正文00"/>
    <w:basedOn w:val="1"/>
    <w:next w:val="68"/>
    <w:qFormat/>
    <w:uiPriority w:val="0"/>
    <w:pPr>
      <w:spacing w:line="360" w:lineRule="auto"/>
      <w:ind w:firstLine="480" w:firstLineChars="200"/>
      <w:jc w:val="left"/>
    </w:pPr>
    <w:rPr>
      <w:rFonts w:cs="宋体"/>
    </w:rPr>
  </w:style>
  <w:style w:type="paragraph" w:customStyle="1" w:styleId="84">
    <w:name w:val="环评正文"/>
    <w:basedOn w:val="1"/>
    <w:qFormat/>
    <w:uiPriority w:val="0"/>
    <w:pPr>
      <w:spacing w:line="360" w:lineRule="auto"/>
      <w:ind w:firstLine="200" w:firstLineChars="200"/>
    </w:pPr>
    <w:rPr>
      <w:rFonts w:ascii="Cambria Math" w:hAnsi="Cambria Math" w:eastAsia="Arial" w:cs="Cambria Math"/>
      <w:sz w:val="24"/>
    </w:rPr>
  </w:style>
  <w:style w:type="table" w:customStyle="1" w:styleId="85">
    <w:name w:val="Table Normal"/>
    <w:unhideWhenUsed/>
    <w:qFormat/>
    <w:uiPriority w:val="2"/>
    <w:tblPr>
      <w:tblCellMar>
        <w:top w:w="0" w:type="dxa"/>
        <w:left w:w="0" w:type="dxa"/>
        <w:bottom w:w="0" w:type="dxa"/>
        <w:right w:w="0" w:type="dxa"/>
      </w:tblCellMar>
    </w:tblPr>
  </w:style>
  <w:style w:type="paragraph" w:customStyle="1" w:styleId="86">
    <w:name w:val="附录条格式"/>
    <w:basedOn w:val="8"/>
    <w:qFormat/>
    <w:uiPriority w:val="0"/>
    <w:pPr>
      <w:numPr>
        <w:ilvl w:val="0"/>
        <w:numId w:val="3"/>
      </w:numPr>
    </w:pPr>
  </w:style>
  <w:style w:type="paragraph" w:styleId="87">
    <w:name w:val="List Paragraph"/>
    <w:basedOn w:val="1"/>
    <w:qFormat/>
    <w:uiPriority w:val="34"/>
    <w:pPr>
      <w:ind w:firstLine="420" w:firstLineChars="200"/>
    </w:pPr>
    <w:rPr>
      <w:szCs w:val="22"/>
      <w:lang w:val="zh-CN"/>
    </w:rPr>
  </w:style>
  <w:style w:type="paragraph" w:customStyle="1" w:styleId="88">
    <w:name w:val="表格中文字"/>
    <w:basedOn w:val="89"/>
    <w:qFormat/>
    <w:uiPriority w:val="0"/>
    <w:pPr>
      <w:spacing w:line="360" w:lineRule="exact"/>
    </w:pPr>
    <w:rPr>
      <w:rFonts w:hAnsi="宋体"/>
      <w:szCs w:val="21"/>
    </w:rPr>
  </w:style>
  <w:style w:type="paragraph" w:customStyle="1" w:styleId="89">
    <w:name w:val="填表正文"/>
    <w:basedOn w:val="1"/>
    <w:qFormat/>
    <w:uiPriority w:val="0"/>
    <w:pPr>
      <w:adjustRightInd w:val="0"/>
      <w:snapToGrid w:val="0"/>
      <w:jc w:val="center"/>
    </w:pPr>
    <w:rPr>
      <w:rFonts w:ascii="宋体" w:hAnsi="Calibri"/>
      <w:color w:val="000000"/>
      <w:kern w:val="0"/>
      <w:szCs w:val="44"/>
    </w:rPr>
  </w:style>
  <w:style w:type="paragraph" w:customStyle="1" w:styleId="90">
    <w:name w:val="正文----------------"/>
    <w:basedOn w:val="1"/>
    <w:qFormat/>
    <w:uiPriority w:val="0"/>
    <w:pPr>
      <w:spacing w:line="440" w:lineRule="exact"/>
      <w:ind w:firstLine="544" w:firstLineChars="200"/>
    </w:pPr>
    <w:rPr>
      <w:rFonts w:cs="宋体"/>
      <w:spacing w:val="16"/>
      <w:sz w:val="24"/>
    </w:rPr>
  </w:style>
  <w:style w:type="paragraph" w:customStyle="1" w:styleId="91">
    <w:name w:val="【表头】"/>
    <w:basedOn w:val="1"/>
    <w:qFormat/>
    <w:uiPriority w:val="0"/>
    <w:pPr>
      <w:spacing w:line="500" w:lineRule="atLeast"/>
      <w:ind w:firstLine="425" w:firstLineChars="177"/>
      <w:jc w:val="center"/>
    </w:pPr>
    <w:rPr>
      <w:rFonts w:ascii="宋体" w:hAnsi="宋体"/>
      <w:b/>
      <w:kern w:val="0"/>
      <w:sz w:val="20"/>
      <w:szCs w:val="21"/>
    </w:rPr>
  </w:style>
  <w:style w:type="paragraph" w:customStyle="1" w:styleId="92">
    <w:name w:val="样式3"/>
    <w:basedOn w:val="1"/>
    <w:qFormat/>
    <w:uiPriority w:val="0"/>
    <w:pPr>
      <w:adjustRightInd w:val="0"/>
      <w:snapToGrid w:val="0"/>
      <w:spacing w:before="10" w:beforeLines="10" w:after="10" w:afterLines="10"/>
      <w:jc w:val="center"/>
    </w:pPr>
    <w:rPr>
      <w:rFonts w:ascii="宋体" w:hAnsi="宋体"/>
    </w:rPr>
  </w:style>
  <w:style w:type="paragraph" w:customStyle="1" w:styleId="93">
    <w:name w:val="表格填充项"/>
    <w:basedOn w:val="1"/>
    <w:qFormat/>
    <w:uiPriority w:val="0"/>
    <w:pPr>
      <w:spacing w:line="240" w:lineRule="atLeast"/>
      <w:jc w:val="center"/>
    </w:pPr>
    <w:rPr>
      <w:rFonts w:ascii="宋体" w:hAnsi="宋体"/>
      <w:b/>
    </w:rPr>
  </w:style>
  <w:style w:type="paragraph" w:customStyle="1" w:styleId="94">
    <w:name w:val="样式 黑体 居中 行距: 1.5 倍行距"/>
    <w:basedOn w:val="1"/>
    <w:qFormat/>
    <w:uiPriority w:val="0"/>
    <w:pPr>
      <w:spacing w:line="360" w:lineRule="auto"/>
      <w:jc w:val="center"/>
    </w:pPr>
    <w:rPr>
      <w:rFonts w:ascii="黑体" w:hAnsi="黑体" w:eastAsia="黑体"/>
      <w:kern w:val="0"/>
      <w:sz w:val="24"/>
      <w:szCs w:val="20"/>
    </w:rPr>
  </w:style>
  <w:style w:type="paragraph" w:customStyle="1" w:styleId="95">
    <w:name w:val="表格文字"/>
    <w:basedOn w:val="1"/>
    <w:next w:val="1"/>
    <w:qFormat/>
    <w:uiPriority w:val="0"/>
    <w:pPr>
      <w:jc w:val="center"/>
    </w:pPr>
    <w:rPr>
      <w:rFonts w:ascii="new times roma" w:hAnsi="new times roma"/>
    </w:rPr>
  </w:style>
  <w:style w:type="character" w:customStyle="1" w:styleId="96">
    <w:name w:val="fontstyle11"/>
    <w:qFormat/>
    <w:uiPriority w:val="99"/>
    <w:rPr>
      <w:rFonts w:ascii="Times New Roman" w:hAnsi="Times New Roman" w:cs="Times New Roman"/>
      <w:b/>
      <w:bCs/>
      <w:color w:val="000000"/>
      <w:sz w:val="22"/>
      <w:szCs w:val="22"/>
    </w:rPr>
  </w:style>
  <w:style w:type="paragraph" w:customStyle="1" w:styleId="97">
    <w:name w:val="_Style 4"/>
    <w:qFormat/>
    <w:uiPriority w:val="0"/>
    <w:pPr>
      <w:widowControl w:val="0"/>
      <w:spacing w:line="440" w:lineRule="exact"/>
      <w:jc w:val="both"/>
    </w:pPr>
    <w:rPr>
      <w:rFonts w:ascii="Times New Roman" w:hAnsi="Times New Roman" w:eastAsia="仿宋_GB2312" w:cs="Times New Roman"/>
      <w:kern w:val="2"/>
      <w:sz w:val="24"/>
      <w:szCs w:val="24"/>
      <w:lang w:val="en-US" w:eastAsia="zh-CN" w:bidi="ar-SA"/>
    </w:rPr>
  </w:style>
  <w:style w:type="paragraph" w:customStyle="1" w:styleId="98">
    <w:name w:val="表中的文字"/>
    <w:basedOn w:val="25"/>
    <w:qFormat/>
    <w:uiPriority w:val="0"/>
    <w:pPr>
      <w:spacing w:before="0" w:after="0"/>
      <w:outlineLvl w:val="9"/>
    </w:pPr>
    <w:rPr>
      <w:rFonts w:ascii="Times New Roman" w:hAnsi="Times New Roman"/>
      <w:b w:val="0"/>
      <w:sz w:val="21"/>
      <w:szCs w:val="21"/>
    </w:rPr>
  </w:style>
  <w:style w:type="paragraph" w:customStyle="1" w:styleId="99">
    <w:name w:val="表格正文"/>
    <w:qFormat/>
    <w:uiPriority w:val="0"/>
    <w:pPr>
      <w:adjustRightInd w:val="0"/>
      <w:snapToGrid w:val="0"/>
      <w:jc w:val="center"/>
    </w:pPr>
    <w:rPr>
      <w:rFonts w:ascii="Times New Roman" w:hAnsi="Times New Roman" w:eastAsia="宋体" w:cs="Times New Roman"/>
      <w:color w:val="FF0000"/>
      <w:kern w:val="2"/>
      <w:sz w:val="21"/>
      <w:szCs w:val="21"/>
      <w:lang w:val="en-US" w:eastAsia="zh-CN" w:bidi="ar-SA"/>
    </w:rPr>
  </w:style>
  <w:style w:type="paragraph" w:customStyle="1" w:styleId="100">
    <w:name w:val="..正文"/>
    <w:basedOn w:val="1"/>
    <w:qFormat/>
    <w:uiPriority w:val="0"/>
    <w:pPr>
      <w:spacing w:line="500" w:lineRule="exact"/>
      <w:ind w:firstLine="480" w:firstLineChars="200"/>
      <w:jc w:val="left"/>
    </w:pPr>
    <w:rPr>
      <w:kern w:val="0"/>
      <w:sz w:val="24"/>
    </w:rPr>
  </w:style>
  <w:style w:type="paragraph" w:customStyle="1" w:styleId="101">
    <w:name w:val="表格及图件"/>
    <w:basedOn w:val="102"/>
    <w:qFormat/>
    <w:uiPriority w:val="0"/>
    <w:pPr>
      <w:tabs>
        <w:tab w:val="left" w:pos="4440"/>
      </w:tabs>
      <w:autoSpaceDE w:val="0"/>
      <w:autoSpaceDN w:val="0"/>
      <w:spacing w:line="460" w:lineRule="exact"/>
      <w:jc w:val="center"/>
      <w:textAlignment w:val="bottom"/>
    </w:pPr>
    <w:rPr>
      <w:rFonts w:ascii="Times New Roman" w:eastAsia="黑体"/>
      <w:spacing w:val="16"/>
    </w:rPr>
  </w:style>
  <w:style w:type="paragraph" w:customStyle="1" w:styleId="102">
    <w:name w:val="正文12"/>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103">
    <w:name w:val="表格(新)"/>
    <w:basedOn w:val="1"/>
    <w:qFormat/>
    <w:uiPriority w:val="0"/>
    <w:pPr>
      <w:adjustRightInd w:val="0"/>
      <w:snapToGrid w:val="0"/>
      <w:jc w:val="center"/>
    </w:pPr>
    <w:rPr>
      <w:kern w:val="0"/>
      <w:szCs w:val="22"/>
    </w:rPr>
  </w:style>
  <w:style w:type="paragraph" w:customStyle="1" w:styleId="104">
    <w:name w:val="表格内容"/>
    <w:basedOn w:val="105"/>
    <w:next w:val="1"/>
    <w:qFormat/>
    <w:uiPriority w:val="0"/>
    <w:pPr>
      <w:autoSpaceDE w:val="0"/>
      <w:autoSpaceDN w:val="0"/>
      <w:spacing w:line="240" w:lineRule="auto"/>
      <w:ind w:left="0" w:leftChars="0" w:firstLine="0" w:firstLineChars="0"/>
      <w:jc w:val="center"/>
    </w:pPr>
    <w:rPr>
      <w:rFonts w:ascii="Times New Roman" w:hAnsi="Times New Roman" w:eastAsia="宋体" w:cs="Times New Roman"/>
      <w:sz w:val="21"/>
      <w:szCs w:val="18"/>
    </w:rPr>
  </w:style>
  <w:style w:type="paragraph" w:customStyle="1" w:styleId="105">
    <w:name w:val="封皮-证书编号"/>
    <w:basedOn w:val="1"/>
    <w:qFormat/>
    <w:uiPriority w:val="0"/>
    <w:pPr>
      <w:jc w:val="center"/>
    </w:pPr>
    <w:rPr>
      <w:rFonts w:ascii="Times New Roman" w:hAnsi="Times New Roman" w:eastAsia="黑体" w:cs="Times New Roman"/>
      <w:sz w:val="28"/>
    </w:rPr>
  </w:style>
  <w:style w:type="paragraph" w:customStyle="1" w:styleId="106">
    <w:name w:val="《正文》"/>
    <w:basedOn w:val="1"/>
    <w:qFormat/>
    <w:uiPriority w:val="0"/>
    <w:pPr>
      <w:spacing w:line="360" w:lineRule="auto"/>
      <w:ind w:firstLine="200" w:firstLineChars="200"/>
    </w:pPr>
    <w:rPr>
      <w:sz w:val="24"/>
    </w:rPr>
  </w:style>
  <w:style w:type="character" w:customStyle="1" w:styleId="107">
    <w:name w:val="lishishuju"/>
    <w:basedOn w:val="30"/>
    <w:qFormat/>
    <w:uiPriority w:val="0"/>
    <w:rPr>
      <w:b/>
      <w:bCs/>
      <w:color w:val="000052"/>
      <w:sz w:val="24"/>
      <w:szCs w:val="24"/>
      <w:bdr w:val="single" w:color="E3E3E3" w:sz="6" w:space="0"/>
    </w:rPr>
  </w:style>
  <w:style w:type="character" w:customStyle="1" w:styleId="108">
    <w:name w:val="cur"/>
    <w:basedOn w:val="30"/>
    <w:qFormat/>
    <w:uiPriority w:val="0"/>
    <w:rPr>
      <w:color w:val="FFFFFF"/>
      <w:shd w:val="clear" w:fill="2F6B98"/>
    </w:rPr>
  </w:style>
  <w:style w:type="character" w:customStyle="1" w:styleId="109">
    <w:name w:val="lable"/>
    <w:basedOn w:val="30"/>
    <w:qFormat/>
    <w:uiPriority w:val="0"/>
    <w:rPr>
      <w:sz w:val="24"/>
      <w:szCs w:val="24"/>
    </w:rPr>
  </w:style>
  <w:style w:type="character" w:customStyle="1" w:styleId="110">
    <w:name w:val="znspantitle"/>
    <w:basedOn w:val="30"/>
    <w:qFormat/>
    <w:uiPriority w:val="0"/>
    <w:rPr>
      <w:b/>
      <w:bCs/>
      <w:color w:val="333333"/>
    </w:rPr>
  </w:style>
  <w:style w:type="character" w:customStyle="1" w:styleId="111">
    <w:name w:val="radio-btn"/>
    <w:basedOn w:val="30"/>
    <w:qFormat/>
    <w:uiPriority w:val="0"/>
    <w:rPr>
      <w:sz w:val="24"/>
      <w:szCs w:val="24"/>
    </w:rPr>
  </w:style>
  <w:style w:type="character" w:customStyle="1" w:styleId="112">
    <w:name w:val="radio-btn1"/>
    <w:basedOn w:val="30"/>
    <w:qFormat/>
    <w:uiPriority w:val="0"/>
    <w:rPr>
      <w:sz w:val="21"/>
      <w:szCs w:val="21"/>
    </w:rPr>
  </w:style>
  <w:style w:type="character" w:customStyle="1" w:styleId="113">
    <w:name w:val="radio-btn2"/>
    <w:basedOn w:val="30"/>
    <w:qFormat/>
    <w:uiPriority w:val="0"/>
    <w:rPr>
      <w:sz w:val="24"/>
      <w:szCs w:val="24"/>
    </w:rPr>
  </w:style>
  <w:style w:type="character" w:customStyle="1" w:styleId="114">
    <w:name w:val="cur1"/>
    <w:basedOn w:val="30"/>
    <w:qFormat/>
    <w:uiPriority w:val="0"/>
    <w:rPr>
      <w:color w:val="FFFFFF"/>
      <w:shd w:val="clear" w:fill="2F6B98"/>
    </w:rPr>
  </w:style>
  <w:style w:type="paragraph" w:customStyle="1" w:styleId="115">
    <w:name w:val="报告书正文"/>
    <w:basedOn w:val="1"/>
    <w:qFormat/>
    <w:uiPriority w:val="0"/>
    <w:pPr>
      <w:adjustRightInd w:val="0"/>
      <w:snapToGrid w:val="0"/>
      <w:spacing w:line="360" w:lineRule="auto"/>
      <w:ind w:firstLine="425"/>
      <w:textAlignment w:val="baseline"/>
    </w:pPr>
    <w:rPr>
      <w:rFonts w:ascii="Arial" w:hAnsi="Arial" w:cs="Times New Roman"/>
      <w:kern w:val="0"/>
      <w:sz w:val="24"/>
      <w:szCs w:val="24"/>
    </w:rPr>
  </w:style>
  <w:style w:type="paragraph" w:customStyle="1" w:styleId="116">
    <w:name w:val="MTDisplayEquation"/>
    <w:basedOn w:val="1"/>
    <w:next w:val="1"/>
    <w:qFormat/>
    <w:uiPriority w:val="0"/>
    <w:pPr>
      <w:tabs>
        <w:tab w:val="center" w:pos="4080"/>
        <w:tab w:val="right" w:pos="8160"/>
      </w:tabs>
      <w:spacing w:line="360" w:lineRule="auto"/>
      <w:ind w:firstLine="480" w:firstLineChars="200"/>
    </w:pPr>
    <w:rPr>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3" Type="http://schemas.openxmlformats.org/officeDocument/2006/relationships/fontTable" Target="fontTable.xml"/><Relationship Id="rId72" Type="http://schemas.openxmlformats.org/officeDocument/2006/relationships/numbering" Target="numbering.xml"/><Relationship Id="rId71" Type="http://schemas.openxmlformats.org/officeDocument/2006/relationships/customXml" Target="../customXml/item1.xml"/><Relationship Id="rId70" Type="http://schemas.openxmlformats.org/officeDocument/2006/relationships/image" Target="media/image62.png"/><Relationship Id="rId7" Type="http://schemas.openxmlformats.org/officeDocument/2006/relationships/footer" Target="footer5.xml"/><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footer" Target="footer4.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jpeg"/><Relationship Id="rId5" Type="http://schemas.openxmlformats.org/officeDocument/2006/relationships/footer" Target="footer3.xml"/><Relationship Id="rId49" Type="http://schemas.openxmlformats.org/officeDocument/2006/relationships/image" Target="media/image41.jpe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jpeg"/><Relationship Id="rId4" Type="http://schemas.openxmlformats.org/officeDocument/2006/relationships/footer" Target="footer2.xml"/><Relationship Id="rId39" Type="http://schemas.openxmlformats.org/officeDocument/2006/relationships/image" Target="media/image31.jpeg"/><Relationship Id="rId38" Type="http://schemas.openxmlformats.org/officeDocument/2006/relationships/image" Target="media/image30.jpeg"/><Relationship Id="rId37" Type="http://schemas.openxmlformats.org/officeDocument/2006/relationships/image" Target="media/image29.jpeg"/><Relationship Id="rId36" Type="http://schemas.openxmlformats.org/officeDocument/2006/relationships/image" Target="media/image28.png"/><Relationship Id="rId35" Type="http://schemas.openxmlformats.org/officeDocument/2006/relationships/image" Target="media/image27.jpe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jpe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116</Pages>
  <Words>22341</Words>
  <Characters>23992</Characters>
  <Lines>308</Lines>
  <Paragraphs>86</Paragraphs>
  <TotalTime>28</TotalTime>
  <ScaleCrop>false</ScaleCrop>
  <LinksUpToDate>false</LinksUpToDate>
  <CharactersWithSpaces>24273</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~草叶</cp:lastModifiedBy>
  <cp:lastPrinted>2022-04-17T06:34:00Z</cp:lastPrinted>
  <dcterms:modified xsi:type="dcterms:W3CDTF">2025-10-30T08:34:58Z</dcterms:modified>
  <dc:title>附件2</dc:title>
  <cp:revision>32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EE2A8569AC044D01ABF971117D9865CB</vt:lpwstr>
  </property>
  <property fmtid="{D5CDD505-2E9C-101B-9397-08002B2CF9AE}" pid="4" name="KSOTemplateDocerSaveRecord">
    <vt:lpwstr>eyJoZGlkIjoiMjViNDg3MzdmZjZlNjBkOWQ1NzJhNzZiODI0NjAxOGIiLCJ1c2VySWQiOiI3Mzg3OTI0NTIifQ==</vt:lpwstr>
  </property>
</Properties>
</file>