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D3D87A">
      <w:pPr>
        <w:rPr>
          <w:rFonts w:hint="default" w:ascii="Times New Roman" w:hAnsi="Times New Roman" w:eastAsia="仿宋_GB2312" w:cs="Times New Roman"/>
          <w:color w:val="auto"/>
          <w:sz w:val="36"/>
          <w:szCs w:val="36"/>
          <w:highlight w:val="yellow"/>
          <w:lang w:eastAsia="zh-CN"/>
        </w:rPr>
      </w:pPr>
    </w:p>
    <w:p w14:paraId="6281CB63">
      <w:pPr>
        <w:rPr>
          <w:rFonts w:hint="default" w:ascii="Times New Roman" w:hAnsi="Times New Roman" w:eastAsia="仿宋_GB2312" w:cs="Times New Roman"/>
          <w:color w:val="auto"/>
          <w:sz w:val="36"/>
          <w:szCs w:val="36"/>
          <w:highlight w:val="yellow"/>
        </w:rPr>
      </w:pPr>
    </w:p>
    <w:p w14:paraId="70CD5E99">
      <w:pPr>
        <w:rPr>
          <w:rFonts w:hint="default" w:ascii="Times New Roman" w:hAnsi="Times New Roman" w:eastAsia="仿宋_GB2312" w:cs="Times New Roman"/>
          <w:color w:val="auto"/>
          <w:sz w:val="36"/>
          <w:szCs w:val="36"/>
          <w:highlight w:val="yellow"/>
        </w:rPr>
      </w:pPr>
    </w:p>
    <w:p w14:paraId="6EDDD735">
      <w:pPr>
        <w:rPr>
          <w:rFonts w:hint="default" w:ascii="Times New Roman" w:hAnsi="Times New Roman" w:eastAsia="仿宋_GB2312" w:cs="Times New Roman"/>
          <w:color w:val="auto"/>
          <w:sz w:val="36"/>
          <w:szCs w:val="36"/>
          <w:highlight w:val="yellow"/>
        </w:rPr>
      </w:pPr>
    </w:p>
    <w:p w14:paraId="2BB343C8">
      <w:pPr>
        <w:rPr>
          <w:rFonts w:hint="default" w:ascii="Times New Roman" w:hAnsi="Times New Roman" w:eastAsia="仿宋_GB2312" w:cs="Times New Roman"/>
          <w:color w:val="auto"/>
          <w:sz w:val="36"/>
          <w:szCs w:val="36"/>
          <w:highlight w:val="yellow"/>
        </w:rPr>
      </w:pPr>
    </w:p>
    <w:p w14:paraId="1C16674A">
      <w:pPr>
        <w:adjustRightInd w:val="0"/>
        <w:snapToGrid w:val="0"/>
        <w:jc w:val="center"/>
        <w:outlineLvl w:val="0"/>
        <w:rPr>
          <w:rFonts w:hint="default" w:ascii="Times New Roman" w:hAnsi="Times New Roman" w:eastAsia="方正小标宋_GBK" w:cs="Times New Roman"/>
          <w:bCs/>
          <w:color w:val="auto"/>
          <w:sz w:val="72"/>
          <w:szCs w:val="72"/>
          <w:highlight w:val="none"/>
        </w:rPr>
      </w:pPr>
      <w:bookmarkStart w:id="0" w:name="_Toc25906"/>
      <w:bookmarkStart w:id="1" w:name="_Toc13921"/>
      <w:bookmarkStart w:id="2" w:name="_Toc17706"/>
      <w:bookmarkStart w:id="3" w:name="_Toc26297"/>
      <w:bookmarkStart w:id="4" w:name="_Toc24956"/>
      <w:bookmarkStart w:id="5" w:name="_Toc14680"/>
      <w:bookmarkStart w:id="6" w:name="_Toc17509"/>
      <w:bookmarkStart w:id="7" w:name="_Toc26100"/>
      <w:bookmarkStart w:id="8" w:name="_Toc27141"/>
      <w:bookmarkStart w:id="9" w:name="_Toc5341"/>
      <w:bookmarkStart w:id="10" w:name="_Toc32432"/>
      <w:r>
        <w:rPr>
          <w:rFonts w:hint="default" w:ascii="Times New Roman" w:hAnsi="Times New Roman" w:eastAsia="方正小标宋_GBK" w:cs="Times New Roman"/>
          <w:bCs/>
          <w:color w:val="auto"/>
          <w:sz w:val="72"/>
          <w:szCs w:val="72"/>
          <w:highlight w:val="none"/>
        </w:rPr>
        <w:t>建设项目环境影响报告表</w:t>
      </w:r>
      <w:bookmarkEnd w:id="0"/>
      <w:bookmarkEnd w:id="1"/>
      <w:bookmarkEnd w:id="2"/>
      <w:bookmarkEnd w:id="3"/>
      <w:bookmarkEnd w:id="4"/>
      <w:bookmarkEnd w:id="5"/>
      <w:bookmarkEnd w:id="6"/>
      <w:bookmarkEnd w:id="7"/>
      <w:bookmarkEnd w:id="8"/>
      <w:bookmarkEnd w:id="9"/>
      <w:bookmarkEnd w:id="10"/>
    </w:p>
    <w:p w14:paraId="3E0A2421">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（污染影响类）</w:t>
      </w:r>
    </w:p>
    <w:p w14:paraId="4F8607A8">
      <w:pPr>
        <w:ind w:firstLine="1040"/>
        <w:rPr>
          <w:rFonts w:hint="default" w:ascii="Times New Roman" w:hAnsi="Times New Roman" w:eastAsia="仿宋" w:cs="Times New Roman"/>
          <w:color w:val="auto"/>
          <w:sz w:val="44"/>
          <w:szCs w:val="44"/>
          <w:highlight w:val="none"/>
        </w:rPr>
      </w:pPr>
    </w:p>
    <w:p w14:paraId="482A055E">
      <w:pPr>
        <w:rPr>
          <w:rFonts w:hint="default" w:eastAsia="宋体"/>
          <w:highlight w:val="yellow"/>
          <w:lang w:val="en-US" w:eastAsia="zh-CN"/>
        </w:rPr>
      </w:pPr>
    </w:p>
    <w:p w14:paraId="13B357FD">
      <w:pPr>
        <w:rPr>
          <w:rFonts w:hint="default"/>
          <w:highlight w:val="yellow"/>
        </w:rPr>
      </w:pPr>
    </w:p>
    <w:p w14:paraId="5899B748">
      <w:pPr>
        <w:pStyle w:val="23"/>
        <w:rPr>
          <w:rFonts w:hint="default"/>
          <w:highlight w:val="yellow"/>
        </w:rPr>
      </w:pPr>
    </w:p>
    <w:p w14:paraId="49C2704B">
      <w:pPr>
        <w:rPr>
          <w:rFonts w:hint="default"/>
          <w:highlight w:val="yellow"/>
        </w:rPr>
      </w:pPr>
    </w:p>
    <w:p w14:paraId="39953ACF">
      <w:pPr>
        <w:pStyle w:val="23"/>
        <w:rPr>
          <w:rFonts w:hint="default"/>
          <w:highlight w:val="yellow"/>
        </w:rPr>
      </w:pPr>
    </w:p>
    <w:p w14:paraId="1AE4D2E4">
      <w:pPr>
        <w:rPr>
          <w:rFonts w:hint="default"/>
          <w:highlight w:val="yellow"/>
        </w:rPr>
      </w:pPr>
    </w:p>
    <w:p w14:paraId="3A7FEE75">
      <w:pPr>
        <w:ind w:firstLine="1040"/>
        <w:rPr>
          <w:rFonts w:hint="default" w:ascii="Times New Roman" w:hAnsi="Times New Roman" w:eastAsia="仿宋" w:cs="Times New Roman"/>
          <w:color w:val="auto"/>
          <w:sz w:val="44"/>
          <w:szCs w:val="44"/>
          <w:highlight w:val="yellow"/>
        </w:rPr>
      </w:pPr>
    </w:p>
    <w:p w14:paraId="52D0E634">
      <w:pPr>
        <w:pStyle w:val="30"/>
        <w:rPr>
          <w:rFonts w:hint="default"/>
        </w:rPr>
      </w:pPr>
    </w:p>
    <w:p w14:paraId="3FB9DDF1">
      <w:pPr>
        <w:ind w:firstLine="1040"/>
        <w:rPr>
          <w:rFonts w:hint="default" w:ascii="Times New Roman" w:hAnsi="Times New Roman" w:eastAsia="仿宋" w:cs="Times New Roman"/>
          <w:color w:val="auto"/>
          <w:sz w:val="44"/>
          <w:szCs w:val="44"/>
          <w:highlight w:val="yellow"/>
        </w:rPr>
      </w:pPr>
    </w:p>
    <w:p w14:paraId="625988AC">
      <w:pPr>
        <w:adjustRightInd w:val="0"/>
        <w:snapToGrid w:val="0"/>
        <w:spacing w:line="288" w:lineRule="auto"/>
        <w:ind w:left="1800" w:hanging="1800" w:hangingChars="500"/>
        <w:rPr>
          <w:rFonts w:hint="default" w:ascii="Times New Roman" w:hAnsi="Times New Roman" w:eastAsia="仿宋_GB2312" w:cs="Times New Roman"/>
          <w:color w:val="auto"/>
          <w:sz w:val="36"/>
          <w:szCs w:val="36"/>
          <w:highlight w:val="none"/>
          <w:u w:val="single"/>
        </w:rPr>
      </w:pPr>
      <w:r>
        <w:rPr>
          <w:rFonts w:hint="default" w:ascii="Times New Roman" w:hAnsi="Times New Roman" w:eastAsia="仿宋_GB2312" w:cs="Times New Roman"/>
          <w:color w:val="auto"/>
          <w:sz w:val="36"/>
          <w:szCs w:val="36"/>
          <w:highlight w:val="none"/>
        </w:rPr>
        <w:t>项目名称：</w:t>
      </w:r>
      <w:r>
        <w:rPr>
          <w:rFonts w:hint="eastAsia" w:eastAsia="仿宋_GB2312" w:cs="Times New Roman"/>
          <w:color w:val="auto"/>
          <w:sz w:val="36"/>
          <w:szCs w:val="36"/>
          <w:highlight w:val="none"/>
          <w:u w:val="single"/>
          <w:lang w:val="en-US" w:eastAsia="zh-CN"/>
        </w:rPr>
        <w:t>黑龙江金磐装配式水泥制品制造有限责任公司年产7万吨水泥预制件建设项目</w:t>
      </w:r>
    </w:p>
    <w:p w14:paraId="30D9AA42">
      <w:pPr>
        <w:adjustRightInd w:val="0"/>
        <w:snapToGrid w:val="0"/>
        <w:spacing w:line="288" w:lineRule="auto"/>
        <w:ind w:left="3240" w:hanging="3240" w:hangingChars="900"/>
        <w:rPr>
          <w:rFonts w:hint="eastAsia" w:eastAsia="仿宋_GB2312" w:cs="Times New Roman"/>
          <w:color w:val="auto"/>
          <w:sz w:val="36"/>
          <w:szCs w:val="36"/>
          <w:highlight w:val="none"/>
          <w:u w:val="single"/>
          <w:lang w:val="en-US" w:eastAsia="zh-CN"/>
        </w:rPr>
      </w:pPr>
      <w:r>
        <w:rPr>
          <w:rFonts w:hint="default" w:ascii="Times New Roman" w:hAnsi="Times New Roman" w:eastAsia="仿宋_GB2312" w:cs="Times New Roman"/>
          <w:color w:val="auto"/>
          <w:sz w:val="36"/>
          <w:szCs w:val="36"/>
          <w:highlight w:val="none"/>
        </w:rPr>
        <w:t>建设单位（盖章）：</w:t>
      </w:r>
      <w:r>
        <w:rPr>
          <w:rFonts w:hint="eastAsia" w:eastAsia="仿宋_GB2312" w:cs="Times New Roman"/>
          <w:color w:val="auto"/>
          <w:sz w:val="36"/>
          <w:szCs w:val="36"/>
          <w:highlight w:val="none"/>
          <w:u w:val="single"/>
          <w:lang w:val="en-US" w:eastAsia="zh-CN"/>
        </w:rPr>
        <w:t>黑龙江金磐装配式水泥制品制造有限责任公司</w:t>
      </w:r>
    </w:p>
    <w:p w14:paraId="0C2C262A">
      <w:pPr>
        <w:adjustRightInd w:val="0"/>
        <w:snapToGrid w:val="0"/>
        <w:spacing w:line="288" w:lineRule="auto"/>
        <w:rPr>
          <w:rFonts w:hint="default" w:ascii="Times New Roman" w:hAnsi="Times New Roman" w:eastAsia="仿宋_GB2312" w:cs="Times New Roman"/>
          <w:color w:val="auto"/>
          <w:sz w:val="36"/>
          <w:szCs w:val="36"/>
          <w:highlight w:val="none"/>
          <w:u w:val="single"/>
        </w:rPr>
      </w:pPr>
      <w:r>
        <w:rPr>
          <w:rFonts w:hint="default" w:ascii="Times New Roman" w:hAnsi="Times New Roman" w:eastAsia="仿宋_GB2312" w:cs="Times New Roman"/>
          <w:color w:val="auto"/>
          <w:sz w:val="36"/>
          <w:szCs w:val="36"/>
          <w:highlight w:val="none"/>
        </w:rPr>
        <w:t>编制日期：</w:t>
      </w:r>
      <w:r>
        <w:rPr>
          <w:rFonts w:hint="default" w:ascii="Times New Roman" w:hAnsi="Times New Roman" w:eastAsia="仿宋_GB2312" w:cs="Times New Roman"/>
          <w:color w:val="auto"/>
          <w:sz w:val="36"/>
          <w:szCs w:val="36"/>
          <w:highlight w:val="none"/>
          <w:u w:val="single"/>
        </w:rPr>
        <w:t xml:space="preserve">   </w:t>
      </w:r>
      <w:r>
        <w:rPr>
          <w:rFonts w:hint="eastAsia" w:ascii="Times New Roman" w:hAnsi="Times New Roman"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202</w:t>
      </w:r>
      <w:r>
        <w:rPr>
          <w:rFonts w:hint="eastAsia" w:eastAsia="仿宋_GB2312" w:cs="Times New Roman"/>
          <w:color w:val="auto"/>
          <w:sz w:val="36"/>
          <w:szCs w:val="36"/>
          <w:highlight w:val="none"/>
          <w:u w:val="single"/>
          <w:lang w:val="en-US" w:eastAsia="zh-CN"/>
        </w:rPr>
        <w:t>5</w:t>
      </w:r>
      <w:r>
        <w:rPr>
          <w:rFonts w:hint="default" w:ascii="Times New Roman" w:hAnsi="Times New Roman" w:eastAsia="仿宋_GB2312" w:cs="Times New Roman"/>
          <w:color w:val="auto"/>
          <w:sz w:val="36"/>
          <w:szCs w:val="36"/>
          <w:highlight w:val="none"/>
          <w:u w:val="single"/>
        </w:rPr>
        <w:t>年</w:t>
      </w:r>
      <w:r>
        <w:rPr>
          <w:rFonts w:hint="eastAsia" w:eastAsia="仿宋_GB2312" w:cs="Times New Roman"/>
          <w:color w:val="auto"/>
          <w:sz w:val="36"/>
          <w:szCs w:val="36"/>
          <w:highlight w:val="none"/>
          <w:u w:val="single"/>
          <w:lang w:val="en-US" w:eastAsia="zh-CN"/>
        </w:rPr>
        <w:t>11</w:t>
      </w:r>
      <w:r>
        <w:rPr>
          <w:rFonts w:hint="default" w:ascii="Times New Roman" w:hAnsi="Times New Roman" w:eastAsia="仿宋_GB2312" w:cs="Times New Roman"/>
          <w:color w:val="auto"/>
          <w:sz w:val="36"/>
          <w:szCs w:val="36"/>
          <w:highlight w:val="none"/>
          <w:u w:val="single"/>
        </w:rPr>
        <w:t>月</w:t>
      </w:r>
      <w:r>
        <w:rPr>
          <w:rFonts w:hint="default" w:ascii="Times New Roman" w:hAnsi="Times New Roman" w:eastAsia="仿宋_GB2312" w:cs="Times New Roman"/>
          <w:color w:val="auto"/>
          <w:sz w:val="36"/>
          <w:szCs w:val="36"/>
          <w:highlight w:val="none"/>
          <w:u w:val="single"/>
          <w:lang w:val="en-US" w:eastAsia="zh-CN"/>
        </w:rPr>
        <w:t xml:space="preserve">   </w:t>
      </w:r>
      <w:r>
        <w:rPr>
          <w:rFonts w:hint="eastAsia" w:ascii="Times New Roman" w:hAnsi="Times New Roman"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color w:val="auto"/>
          <w:sz w:val="36"/>
          <w:szCs w:val="36"/>
          <w:highlight w:val="none"/>
          <w:u w:val="single"/>
        </w:rPr>
        <w:t xml:space="preserve">      </w:t>
      </w:r>
    </w:p>
    <w:p w14:paraId="005B551A">
      <w:pPr>
        <w:adjustRightInd w:val="0"/>
        <w:snapToGrid w:val="0"/>
        <w:spacing w:line="288" w:lineRule="auto"/>
        <w:ind w:firstLine="1040"/>
        <w:rPr>
          <w:rFonts w:hint="default" w:ascii="Times New Roman" w:hAnsi="Times New Roman" w:eastAsia="仿宋_GB2312" w:cs="Times New Roman"/>
          <w:color w:val="auto"/>
          <w:sz w:val="36"/>
          <w:szCs w:val="36"/>
          <w:highlight w:val="yellow"/>
          <w:u w:val="single"/>
        </w:rPr>
      </w:pPr>
      <w:bookmarkStart w:id="11" w:name="_Hlk57884087"/>
    </w:p>
    <w:p w14:paraId="4CC3775F">
      <w:pPr>
        <w:adjustRightInd w:val="0"/>
        <w:snapToGrid w:val="0"/>
        <w:spacing w:line="288" w:lineRule="auto"/>
        <w:ind w:firstLine="1040"/>
        <w:rPr>
          <w:rFonts w:hint="default" w:ascii="Times New Roman" w:hAnsi="Times New Roman" w:eastAsia="仿宋_GB2312" w:cs="Times New Roman"/>
          <w:color w:val="auto"/>
          <w:sz w:val="36"/>
          <w:szCs w:val="36"/>
          <w:highlight w:val="yellow"/>
        </w:rPr>
      </w:pPr>
    </w:p>
    <w:p w14:paraId="47070ED8">
      <w:pPr>
        <w:adjustRightInd w:val="0"/>
        <w:snapToGrid w:val="0"/>
        <w:spacing w:line="288" w:lineRule="auto"/>
        <w:ind w:firstLine="1040"/>
        <w:rPr>
          <w:rFonts w:hint="default" w:ascii="Times New Roman" w:hAnsi="Times New Roman" w:eastAsia="仿宋_GB2312" w:cs="Times New Roman"/>
          <w:color w:val="auto"/>
          <w:sz w:val="36"/>
          <w:szCs w:val="36"/>
          <w:highlight w:val="yellow"/>
        </w:rPr>
      </w:pPr>
    </w:p>
    <w:p w14:paraId="0A0BA1E7">
      <w:pPr>
        <w:adjustRightInd w:val="0"/>
        <w:snapToGrid w:val="0"/>
        <w:spacing w:line="288" w:lineRule="auto"/>
        <w:ind w:firstLine="1040"/>
        <w:rPr>
          <w:rFonts w:hint="default" w:ascii="Times New Roman" w:hAnsi="Times New Roman" w:eastAsia="仿宋_GB2312" w:cs="Times New Roman"/>
          <w:color w:val="auto"/>
          <w:sz w:val="36"/>
          <w:szCs w:val="36"/>
          <w:highlight w:val="yellow"/>
        </w:rPr>
      </w:pPr>
    </w:p>
    <w:bookmarkEnd w:id="11"/>
    <w:p w14:paraId="117BED2E">
      <w:pPr>
        <w:adjustRightInd w:val="0"/>
        <w:snapToGrid w:val="0"/>
        <w:spacing w:line="288" w:lineRule="auto"/>
        <w:jc w:val="center"/>
        <w:outlineLvl w:val="0"/>
        <w:rPr>
          <w:rFonts w:hint="default" w:ascii="Times New Roman" w:hAnsi="Times New Roman" w:eastAsia="楷体_GB2312" w:cs="Times New Roman"/>
          <w:color w:val="auto"/>
          <w:sz w:val="36"/>
          <w:szCs w:val="36"/>
          <w:highlight w:val="none"/>
        </w:rPr>
      </w:pPr>
      <w:bookmarkStart w:id="12" w:name="_Toc17022"/>
      <w:bookmarkStart w:id="13" w:name="_Toc21272"/>
      <w:bookmarkStart w:id="14" w:name="_Toc19418"/>
      <w:bookmarkStart w:id="15" w:name="_Toc6266"/>
      <w:bookmarkStart w:id="16" w:name="_Toc10038"/>
      <w:bookmarkStart w:id="17" w:name="_Toc32169"/>
      <w:bookmarkStart w:id="18" w:name="_Toc24746"/>
      <w:bookmarkStart w:id="19" w:name="_Toc11654"/>
      <w:bookmarkStart w:id="20" w:name="_Toc922"/>
      <w:bookmarkStart w:id="21" w:name="_Toc26495"/>
      <w:bookmarkStart w:id="22" w:name="_Toc19063"/>
      <w:r>
        <w:rPr>
          <w:rFonts w:hint="default" w:ascii="Times New Roman" w:hAnsi="Times New Roman" w:eastAsia="楷体_GB2312" w:cs="Times New Roman"/>
          <w:color w:val="auto"/>
          <w:sz w:val="36"/>
          <w:szCs w:val="36"/>
          <w:highlight w:val="none"/>
        </w:rPr>
        <w:t>中华人民共和国生态环境部制</w:t>
      </w:r>
      <w:bookmarkEnd w:id="12"/>
      <w:bookmarkEnd w:id="13"/>
      <w:bookmarkEnd w:id="14"/>
      <w:bookmarkEnd w:id="15"/>
      <w:bookmarkEnd w:id="16"/>
      <w:bookmarkEnd w:id="17"/>
      <w:bookmarkEnd w:id="18"/>
      <w:bookmarkEnd w:id="19"/>
      <w:bookmarkEnd w:id="20"/>
      <w:bookmarkEnd w:id="21"/>
      <w:bookmarkEnd w:id="22"/>
    </w:p>
    <w:p w14:paraId="6093BD46">
      <w:pPr>
        <w:rPr>
          <w:rFonts w:hint="eastAsia"/>
          <w:highlight w:val="yellow"/>
          <w:lang w:eastAsia="zh-CN"/>
        </w:rPr>
      </w:pPr>
      <w:r>
        <w:rPr>
          <w:rFonts w:hint="eastAsia"/>
          <w:highlight w:val="yellow"/>
          <w:lang w:eastAsia="zh-CN"/>
        </w:rPr>
        <w:br w:type="page"/>
      </w:r>
    </w:p>
    <w:p w14:paraId="2D2A8C00">
      <w:r>
        <w:drawing>
          <wp:inline distT="0" distB="0" distL="114300" distR="114300">
            <wp:extent cx="5643245" cy="7467600"/>
            <wp:effectExtent l="0" t="0" r="14605" b="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9"/>
                    <a:stretch>
                      <a:fillRect/>
                    </a:stretch>
                  </pic:blipFill>
                  <pic:spPr>
                    <a:xfrm>
                      <a:off x="0" y="0"/>
                      <a:ext cx="5643245" cy="7467600"/>
                    </a:xfrm>
                    <a:prstGeom prst="rect">
                      <a:avLst/>
                    </a:prstGeom>
                    <a:noFill/>
                    <a:ln>
                      <a:noFill/>
                    </a:ln>
                  </pic:spPr>
                </pic:pic>
              </a:graphicData>
            </a:graphic>
          </wp:inline>
        </w:drawing>
      </w:r>
    </w:p>
    <w:p w14:paraId="687FDB8C"/>
    <w:p w14:paraId="0186004D"/>
    <w:p w14:paraId="44CB617B"/>
    <w:p w14:paraId="6BC8E1B4"/>
    <w:p w14:paraId="40C9EE71"/>
    <w:p w14:paraId="313DBA94"/>
    <w:sdt>
      <w:sdtPr>
        <w:rPr>
          <w:rFonts w:ascii="宋体" w:hAnsi="宋体" w:eastAsia="宋体" w:cs="Times New Roman"/>
          <w:kern w:val="2"/>
          <w:sz w:val="21"/>
          <w:szCs w:val="24"/>
          <w:highlight w:val="none"/>
          <w:lang w:val="en-US" w:eastAsia="zh-CN" w:bidi="ar-SA"/>
        </w:rPr>
        <w:id w:val="147472216"/>
        <w15:color w:val="DBDBDB"/>
        <w:docPartObj>
          <w:docPartGallery w:val="Table of Contents"/>
          <w:docPartUnique/>
        </w:docPartObj>
      </w:sdtPr>
      <w:sdtEndPr>
        <w:rPr>
          <w:rFonts w:hint="default" w:ascii="Times New Roman" w:hAnsi="Times New Roman" w:eastAsia="仿宋_GB2312" w:cs="Times New Roman"/>
          <w:b w:val="0"/>
          <w:bCs/>
          <w:color w:val="auto"/>
          <w:kern w:val="2"/>
          <w:sz w:val="21"/>
          <w:szCs w:val="36"/>
          <w:highlight w:val="yellow"/>
          <w:lang w:val="en-US" w:eastAsia="zh-CN" w:bidi="ar-SA"/>
        </w:rPr>
      </w:sdtEndPr>
      <w:sdtContent>
        <w:p w14:paraId="59C7A82B">
          <w:pPr>
            <w:tabs>
              <w:tab w:val="left" w:pos="3281"/>
              <w:tab w:val="center" w:pos="4482"/>
            </w:tabs>
            <w:adjustRightInd w:val="0"/>
            <w:snapToGrid w:val="0"/>
            <w:spacing w:before="0" w:beforeLines="0" w:after="0" w:afterLines="0" w:line="240" w:lineRule="auto"/>
            <w:ind w:left="0" w:leftChars="0" w:right="0" w:rightChars="0" w:firstLine="0" w:firstLineChars="0"/>
            <w:jc w:val="center"/>
            <w:rPr>
              <w:rFonts w:hint="default" w:ascii="Times New Roman" w:hAnsi="Times New Roman" w:eastAsia="仿宋_GB2312" w:cs="Times New Roman"/>
              <w:bCs/>
              <w:color w:val="auto"/>
              <w:kern w:val="2"/>
              <w:sz w:val="21"/>
              <w:szCs w:val="36"/>
              <w:highlight w:val="yellow"/>
              <w:lang w:val="en-US" w:eastAsia="zh-CN" w:bidi="ar-SA"/>
            </w:rPr>
          </w:pPr>
          <w:r>
            <w:rPr>
              <w:rFonts w:ascii="宋体" w:hAnsi="宋体" w:eastAsia="宋体"/>
              <w:sz w:val="48"/>
              <w:szCs w:val="48"/>
              <w:highlight w:val="none"/>
            </w:rPr>
            <w:t>目</w:t>
          </w:r>
          <w:r>
            <w:rPr>
              <w:rFonts w:hint="eastAsia" w:ascii="宋体" w:hAnsi="宋体" w:eastAsia="宋体"/>
              <w:sz w:val="48"/>
              <w:szCs w:val="48"/>
              <w:highlight w:val="none"/>
              <w:lang w:val="en-US" w:eastAsia="zh-CN"/>
            </w:rPr>
            <w:t xml:space="preserve"> </w:t>
          </w:r>
          <w:r>
            <w:rPr>
              <w:rFonts w:ascii="宋体" w:hAnsi="宋体" w:eastAsia="宋体"/>
              <w:sz w:val="48"/>
              <w:szCs w:val="48"/>
              <w:highlight w:val="none"/>
            </w:rPr>
            <w:t>录</w:t>
          </w:r>
          <w:r>
            <w:rPr>
              <w:rFonts w:hint="default" w:ascii="Times New Roman" w:hAnsi="Times New Roman" w:eastAsia="仿宋_GB2312" w:cs="Times New Roman"/>
              <w:b w:val="0"/>
              <w:bCs/>
              <w:color w:val="auto"/>
              <w:sz w:val="36"/>
              <w:szCs w:val="36"/>
              <w:highlight w:val="yellow"/>
            </w:rPr>
            <w:fldChar w:fldCharType="begin"/>
          </w:r>
          <w:r>
            <w:rPr>
              <w:rFonts w:hint="default" w:ascii="Times New Roman" w:hAnsi="Times New Roman" w:eastAsia="仿宋_GB2312" w:cs="Times New Roman"/>
              <w:b w:val="0"/>
              <w:bCs/>
              <w:color w:val="auto"/>
              <w:sz w:val="36"/>
              <w:szCs w:val="36"/>
              <w:highlight w:val="yellow"/>
            </w:rPr>
            <w:instrText xml:space="preserve">TOC \o "1-1" \h \u </w:instrText>
          </w:r>
          <w:r>
            <w:rPr>
              <w:rFonts w:hint="default" w:ascii="Times New Roman" w:hAnsi="Times New Roman" w:eastAsia="仿宋_GB2312" w:cs="Times New Roman"/>
              <w:b w:val="0"/>
              <w:bCs/>
              <w:color w:val="auto"/>
              <w:sz w:val="36"/>
              <w:szCs w:val="36"/>
              <w:highlight w:val="yellow"/>
            </w:rPr>
            <w:fldChar w:fldCharType="separate"/>
          </w:r>
        </w:p>
        <w:p w14:paraId="3CE54C0E">
          <w:pPr>
            <w:pStyle w:val="20"/>
            <w:tabs>
              <w:tab w:val="right" w:leader="dot" w:pos="8844"/>
            </w:tabs>
          </w:pPr>
        </w:p>
        <w:p w14:paraId="3D1228AB">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_Toc17539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eastAsia="黑体" w:cs="Times New Roman"/>
              <w:snapToGrid w:val="0"/>
              <w:szCs w:val="30"/>
              <w:highlight w:val="none"/>
            </w:rPr>
            <w:t>一、建设项目基本情况</w:t>
          </w:r>
          <w:r>
            <w:tab/>
          </w:r>
          <w:r>
            <w:fldChar w:fldCharType="begin"/>
          </w:r>
          <w:r>
            <w:instrText xml:space="preserve"> PAGEREF _Toc17539 \h </w:instrText>
          </w:r>
          <w:r>
            <w:fldChar w:fldCharType="separate"/>
          </w:r>
          <w:r>
            <w:t>1</w:t>
          </w:r>
          <w:r>
            <w:fldChar w:fldCharType="end"/>
          </w:r>
          <w:r>
            <w:rPr>
              <w:rFonts w:hint="default" w:ascii="Times New Roman" w:hAnsi="Times New Roman" w:eastAsia="仿宋_GB2312" w:cs="Times New Roman"/>
              <w:bCs/>
              <w:color w:val="auto"/>
              <w:szCs w:val="36"/>
              <w:highlight w:val="yellow"/>
            </w:rPr>
            <w:fldChar w:fldCharType="end"/>
          </w:r>
        </w:p>
        <w:p w14:paraId="0FF758E1">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_Toc1588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eastAsia="黑体" w:cs="Times New Roman"/>
              <w:snapToGrid w:val="0"/>
              <w:szCs w:val="30"/>
              <w:highlight w:val="none"/>
            </w:rPr>
            <w:t>二、建设项目工程分析</w:t>
          </w:r>
          <w:r>
            <w:tab/>
          </w:r>
          <w:r>
            <w:fldChar w:fldCharType="begin"/>
          </w:r>
          <w:r>
            <w:instrText xml:space="preserve"> PAGEREF _Toc1588 \h </w:instrText>
          </w:r>
          <w:r>
            <w:fldChar w:fldCharType="separate"/>
          </w:r>
          <w:r>
            <w:t>11</w:t>
          </w:r>
          <w:r>
            <w:fldChar w:fldCharType="end"/>
          </w:r>
          <w:r>
            <w:rPr>
              <w:rFonts w:hint="default" w:ascii="Times New Roman" w:hAnsi="Times New Roman" w:eastAsia="仿宋_GB2312" w:cs="Times New Roman"/>
              <w:bCs/>
              <w:color w:val="auto"/>
              <w:szCs w:val="36"/>
              <w:highlight w:val="yellow"/>
            </w:rPr>
            <w:fldChar w:fldCharType="end"/>
          </w:r>
        </w:p>
        <w:p w14:paraId="2D3A89E8">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_Toc29653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eastAsia="黑体" w:cs="Times New Roman"/>
              <w:snapToGrid w:val="0"/>
              <w:szCs w:val="30"/>
              <w:highlight w:val="none"/>
            </w:rPr>
            <w:t>三、区域环境质量现状、环境保护目标及评价标准</w:t>
          </w:r>
          <w:r>
            <w:tab/>
          </w:r>
          <w:r>
            <w:fldChar w:fldCharType="begin"/>
          </w:r>
          <w:r>
            <w:instrText xml:space="preserve"> PAGEREF _Toc29653 \h </w:instrText>
          </w:r>
          <w:r>
            <w:fldChar w:fldCharType="separate"/>
          </w:r>
          <w:r>
            <w:t>23</w:t>
          </w:r>
          <w:r>
            <w:fldChar w:fldCharType="end"/>
          </w:r>
          <w:r>
            <w:rPr>
              <w:rFonts w:hint="default" w:ascii="Times New Roman" w:hAnsi="Times New Roman" w:eastAsia="仿宋_GB2312" w:cs="Times New Roman"/>
              <w:bCs/>
              <w:color w:val="auto"/>
              <w:szCs w:val="36"/>
              <w:highlight w:val="yellow"/>
            </w:rPr>
            <w:fldChar w:fldCharType="end"/>
          </w:r>
        </w:p>
        <w:p w14:paraId="128F9640">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_Toc29316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eastAsia="黑体" w:cs="Times New Roman"/>
              <w:snapToGrid w:val="0"/>
              <w:szCs w:val="30"/>
              <w:highlight w:val="none"/>
            </w:rPr>
            <w:t>四、主要环境影响和保护措施</w:t>
          </w:r>
          <w:r>
            <w:tab/>
          </w:r>
          <w:r>
            <w:fldChar w:fldCharType="begin"/>
          </w:r>
          <w:r>
            <w:instrText xml:space="preserve"> PAGEREF _Toc29316 \h </w:instrText>
          </w:r>
          <w:r>
            <w:fldChar w:fldCharType="separate"/>
          </w:r>
          <w:r>
            <w:t>29</w:t>
          </w:r>
          <w:r>
            <w:fldChar w:fldCharType="end"/>
          </w:r>
          <w:r>
            <w:rPr>
              <w:rFonts w:hint="default" w:ascii="Times New Roman" w:hAnsi="Times New Roman" w:eastAsia="仿宋_GB2312" w:cs="Times New Roman"/>
              <w:bCs/>
              <w:color w:val="auto"/>
              <w:szCs w:val="36"/>
              <w:highlight w:val="yellow"/>
            </w:rPr>
            <w:fldChar w:fldCharType="end"/>
          </w:r>
        </w:p>
        <w:p w14:paraId="7185FC14">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_Toc16557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eastAsia="黑体" w:cs="Times New Roman"/>
              <w:snapToGrid w:val="0"/>
              <w:szCs w:val="30"/>
              <w:highlight w:val="none"/>
            </w:rPr>
            <w:t>五、环境保护措施监督检查清单</w:t>
          </w:r>
          <w:r>
            <w:tab/>
          </w:r>
          <w:r>
            <w:fldChar w:fldCharType="begin"/>
          </w:r>
          <w:r>
            <w:instrText xml:space="preserve"> PAGEREF _Toc16557 \h </w:instrText>
          </w:r>
          <w:r>
            <w:fldChar w:fldCharType="separate"/>
          </w:r>
          <w:r>
            <w:t>51</w:t>
          </w:r>
          <w:r>
            <w:fldChar w:fldCharType="end"/>
          </w:r>
          <w:r>
            <w:rPr>
              <w:rFonts w:hint="default" w:ascii="Times New Roman" w:hAnsi="Times New Roman" w:eastAsia="仿宋_GB2312" w:cs="Times New Roman"/>
              <w:bCs/>
              <w:color w:val="auto"/>
              <w:szCs w:val="36"/>
              <w:highlight w:val="yellow"/>
            </w:rPr>
            <w:fldChar w:fldCharType="end"/>
          </w:r>
        </w:p>
        <w:p w14:paraId="56D15FEC">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_Toc21699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eastAsia="黑体" w:cs="Times New Roman"/>
              <w:snapToGrid w:val="0"/>
              <w:szCs w:val="30"/>
              <w:highlight w:val="none"/>
            </w:rPr>
            <w:t>六、结论</w:t>
          </w:r>
          <w:r>
            <w:tab/>
          </w:r>
          <w:r>
            <w:fldChar w:fldCharType="begin"/>
          </w:r>
          <w:r>
            <w:instrText xml:space="preserve"> PAGEREF _Toc21699 \h </w:instrText>
          </w:r>
          <w:r>
            <w:fldChar w:fldCharType="separate"/>
          </w:r>
          <w:r>
            <w:t>54</w:t>
          </w:r>
          <w:r>
            <w:fldChar w:fldCharType="end"/>
          </w:r>
          <w:r>
            <w:rPr>
              <w:rFonts w:hint="default" w:ascii="Times New Roman" w:hAnsi="Times New Roman" w:eastAsia="仿宋_GB2312" w:cs="Times New Roman"/>
              <w:bCs/>
              <w:color w:val="auto"/>
              <w:szCs w:val="36"/>
              <w:highlight w:val="yellow"/>
            </w:rPr>
            <w:fldChar w:fldCharType="end"/>
          </w:r>
        </w:p>
        <w:p w14:paraId="69D63F4C">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_Toc17729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eastAsia="黑体" w:cs="Times New Roman"/>
              <w:snapToGrid w:val="0"/>
              <w:szCs w:val="32"/>
              <w:highlight w:val="none"/>
            </w:rPr>
            <w:t>附表1</w:t>
          </w:r>
          <w:r>
            <w:tab/>
          </w:r>
          <w:r>
            <w:fldChar w:fldCharType="begin"/>
          </w:r>
          <w:r>
            <w:instrText xml:space="preserve"> PAGEREF _Toc17729 \h </w:instrText>
          </w:r>
          <w:r>
            <w:fldChar w:fldCharType="separate"/>
          </w:r>
          <w:r>
            <w:t>55</w:t>
          </w:r>
          <w:r>
            <w:fldChar w:fldCharType="end"/>
          </w:r>
          <w:r>
            <w:rPr>
              <w:rFonts w:hint="default" w:ascii="Times New Roman" w:hAnsi="Times New Roman" w:eastAsia="仿宋_GB2312" w:cs="Times New Roman"/>
              <w:bCs/>
              <w:color w:val="auto"/>
              <w:szCs w:val="36"/>
              <w:highlight w:val="yellow"/>
            </w:rPr>
            <w:fldChar w:fldCharType="end"/>
          </w:r>
        </w:p>
        <w:p w14:paraId="1B4D6D0B">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_Toc13361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eastAsia="方正小标宋_GBK" w:cs="Times New Roman"/>
              <w:snapToGrid w:val="0"/>
              <w:szCs w:val="38"/>
              <w:highlight w:val="none"/>
            </w:rPr>
            <w:t>建设项目污染物排放量汇总表</w:t>
          </w:r>
          <w:r>
            <w:tab/>
          </w:r>
          <w:r>
            <w:fldChar w:fldCharType="begin"/>
          </w:r>
          <w:r>
            <w:instrText xml:space="preserve"> PAGEREF _Toc13361 \h </w:instrText>
          </w:r>
          <w:r>
            <w:fldChar w:fldCharType="separate"/>
          </w:r>
          <w:r>
            <w:t>55</w:t>
          </w:r>
          <w:r>
            <w:fldChar w:fldCharType="end"/>
          </w:r>
          <w:r>
            <w:rPr>
              <w:rFonts w:hint="default" w:ascii="Times New Roman" w:hAnsi="Times New Roman" w:eastAsia="仿宋_GB2312" w:cs="Times New Roman"/>
              <w:bCs/>
              <w:color w:val="auto"/>
              <w:szCs w:val="36"/>
              <w:highlight w:val="yellow"/>
            </w:rPr>
            <w:fldChar w:fldCharType="end"/>
          </w:r>
        </w:p>
        <w:p w14:paraId="1E7154AE">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_Toc4628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cs="Times New Roman"/>
              <w:highlight w:val="none"/>
            </w:rPr>
            <w:t>附图1项目地理位置图</w:t>
          </w:r>
          <w:r>
            <w:tab/>
          </w:r>
          <w:r>
            <w:fldChar w:fldCharType="begin"/>
          </w:r>
          <w:r>
            <w:instrText xml:space="preserve"> PAGEREF _Toc4628 \h </w:instrText>
          </w:r>
          <w:r>
            <w:fldChar w:fldCharType="separate"/>
          </w:r>
          <w:r>
            <w:t>56</w:t>
          </w:r>
          <w:r>
            <w:fldChar w:fldCharType="end"/>
          </w:r>
          <w:r>
            <w:rPr>
              <w:rFonts w:hint="default" w:ascii="Times New Roman" w:hAnsi="Times New Roman" w:eastAsia="仿宋_GB2312" w:cs="Times New Roman"/>
              <w:bCs/>
              <w:color w:val="auto"/>
              <w:szCs w:val="36"/>
              <w:highlight w:val="yellow"/>
            </w:rPr>
            <w:fldChar w:fldCharType="end"/>
          </w:r>
        </w:p>
        <w:p w14:paraId="63CAC3C2">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_Toc29832 </w:instrText>
          </w:r>
          <w:r>
            <w:rPr>
              <w:rFonts w:hint="default" w:ascii="Times New Roman" w:hAnsi="Times New Roman" w:eastAsia="仿宋_GB2312" w:cs="Times New Roman"/>
              <w:bCs/>
              <w:szCs w:val="36"/>
              <w:highlight w:val="yellow"/>
            </w:rPr>
            <w:fldChar w:fldCharType="separate"/>
          </w:r>
          <w:r>
            <w:rPr>
              <w:rFonts w:hint="eastAsia"/>
              <w:highlight w:val="none"/>
              <w:lang w:val="en-US" w:eastAsia="zh-CN"/>
            </w:rPr>
            <w:t>附图2平面布置图</w:t>
          </w:r>
          <w:r>
            <w:tab/>
          </w:r>
          <w:r>
            <w:fldChar w:fldCharType="begin"/>
          </w:r>
          <w:r>
            <w:instrText xml:space="preserve"> PAGEREF _Toc29832 \h </w:instrText>
          </w:r>
          <w:r>
            <w:fldChar w:fldCharType="separate"/>
          </w:r>
          <w:r>
            <w:t>57</w:t>
          </w:r>
          <w:r>
            <w:fldChar w:fldCharType="end"/>
          </w:r>
          <w:r>
            <w:rPr>
              <w:rFonts w:hint="default" w:ascii="Times New Roman" w:hAnsi="Times New Roman" w:eastAsia="仿宋_GB2312" w:cs="Times New Roman"/>
              <w:bCs/>
              <w:color w:val="auto"/>
              <w:szCs w:val="36"/>
              <w:highlight w:val="yellow"/>
            </w:rPr>
            <w:fldChar w:fldCharType="end"/>
          </w:r>
        </w:p>
        <w:p w14:paraId="14B5601D">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_Toc9288 </w:instrText>
          </w:r>
          <w:r>
            <w:rPr>
              <w:rFonts w:hint="default" w:ascii="Times New Roman" w:hAnsi="Times New Roman" w:eastAsia="仿宋_GB2312" w:cs="Times New Roman"/>
              <w:bCs/>
              <w:szCs w:val="36"/>
              <w:highlight w:val="yellow"/>
            </w:rPr>
            <w:fldChar w:fldCharType="separate"/>
          </w:r>
          <w:r>
            <w:rPr>
              <w:rFonts w:hint="eastAsia"/>
              <w:lang w:val="en-US" w:eastAsia="zh-CN"/>
            </w:rPr>
            <w:t>附图3敏感目标分布图</w:t>
          </w:r>
          <w:r>
            <w:tab/>
          </w:r>
          <w:r>
            <w:fldChar w:fldCharType="begin"/>
          </w:r>
          <w:r>
            <w:instrText xml:space="preserve"> PAGEREF _Toc9288 \h </w:instrText>
          </w:r>
          <w:r>
            <w:fldChar w:fldCharType="separate"/>
          </w:r>
          <w:r>
            <w:t>58</w:t>
          </w:r>
          <w:r>
            <w:fldChar w:fldCharType="end"/>
          </w:r>
          <w:r>
            <w:rPr>
              <w:rFonts w:hint="default" w:ascii="Times New Roman" w:hAnsi="Times New Roman" w:eastAsia="仿宋_GB2312" w:cs="Times New Roman"/>
              <w:bCs/>
              <w:color w:val="auto"/>
              <w:szCs w:val="36"/>
              <w:highlight w:val="yellow"/>
            </w:rPr>
            <w:fldChar w:fldCharType="end"/>
          </w:r>
        </w:p>
        <w:p w14:paraId="70D8126D">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_Toc28004 </w:instrText>
          </w:r>
          <w:r>
            <w:rPr>
              <w:rFonts w:hint="default" w:ascii="Times New Roman" w:hAnsi="Times New Roman" w:eastAsia="仿宋_GB2312" w:cs="Times New Roman"/>
              <w:bCs/>
              <w:szCs w:val="36"/>
              <w:highlight w:val="yellow"/>
            </w:rPr>
            <w:fldChar w:fldCharType="separate"/>
          </w:r>
          <w:r>
            <w:rPr>
              <w:rFonts w:hint="eastAsia"/>
              <w:lang w:val="en-US" w:eastAsia="zh-CN"/>
            </w:rPr>
            <w:t>附图4</w:t>
          </w:r>
          <w:r>
            <w:t>双鸭山市中心城区声环境功能区划分示意图</w:t>
          </w:r>
          <w:r>
            <w:tab/>
          </w:r>
          <w:r>
            <w:fldChar w:fldCharType="begin"/>
          </w:r>
          <w:r>
            <w:instrText xml:space="preserve"> PAGEREF _Toc28004 \h </w:instrText>
          </w:r>
          <w:r>
            <w:fldChar w:fldCharType="separate"/>
          </w:r>
          <w:r>
            <w:t>59</w:t>
          </w:r>
          <w:r>
            <w:fldChar w:fldCharType="end"/>
          </w:r>
          <w:r>
            <w:rPr>
              <w:rFonts w:hint="default" w:ascii="Times New Roman" w:hAnsi="Times New Roman" w:eastAsia="仿宋_GB2312" w:cs="Times New Roman"/>
              <w:bCs/>
              <w:color w:val="auto"/>
              <w:szCs w:val="36"/>
              <w:highlight w:val="yellow"/>
            </w:rPr>
            <w:fldChar w:fldCharType="end"/>
          </w:r>
        </w:p>
        <w:p w14:paraId="7A8241C0">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_Toc12263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cs="Times New Roman"/>
              <w:highlight w:val="none"/>
            </w:rPr>
            <w:t>附件</w:t>
          </w:r>
          <w:r>
            <w:rPr>
              <w:rFonts w:hint="default" w:ascii="Times New Roman" w:hAnsi="Times New Roman" w:cs="Times New Roman"/>
              <w:highlight w:val="none"/>
              <w:lang w:val="en-US" w:eastAsia="zh-CN"/>
            </w:rPr>
            <w:t>1营业执照</w:t>
          </w:r>
          <w:r>
            <w:tab/>
          </w:r>
          <w:r>
            <w:fldChar w:fldCharType="begin"/>
          </w:r>
          <w:r>
            <w:instrText xml:space="preserve"> PAGEREF _Toc12263 \h </w:instrText>
          </w:r>
          <w:r>
            <w:fldChar w:fldCharType="separate"/>
          </w:r>
          <w:r>
            <w:t>60</w:t>
          </w:r>
          <w:r>
            <w:fldChar w:fldCharType="end"/>
          </w:r>
          <w:r>
            <w:rPr>
              <w:rFonts w:hint="default" w:ascii="Times New Roman" w:hAnsi="Times New Roman" w:eastAsia="仿宋_GB2312" w:cs="Times New Roman"/>
              <w:bCs/>
              <w:color w:val="auto"/>
              <w:szCs w:val="36"/>
              <w:highlight w:val="yellow"/>
            </w:rPr>
            <w:fldChar w:fldCharType="end"/>
          </w:r>
        </w:p>
        <w:p w14:paraId="11CE36D2">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_Toc23043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cs="Times New Roman"/>
              <w:highlight w:val="none"/>
            </w:rPr>
            <w:t>附件</w:t>
          </w:r>
          <w:r>
            <w:rPr>
              <w:rFonts w:hint="eastAsia" w:cs="Times New Roman"/>
              <w:highlight w:val="none"/>
              <w:lang w:val="en-US" w:eastAsia="zh-CN"/>
            </w:rPr>
            <w:t>2现状检测报告</w:t>
          </w:r>
          <w:r>
            <w:tab/>
          </w:r>
          <w:r>
            <w:fldChar w:fldCharType="begin"/>
          </w:r>
          <w:r>
            <w:instrText xml:space="preserve"> PAGEREF _Toc23043 \h </w:instrText>
          </w:r>
          <w:r>
            <w:fldChar w:fldCharType="separate"/>
          </w:r>
          <w:r>
            <w:t>61</w:t>
          </w:r>
          <w:r>
            <w:fldChar w:fldCharType="end"/>
          </w:r>
          <w:r>
            <w:rPr>
              <w:rFonts w:hint="default" w:ascii="Times New Roman" w:hAnsi="Times New Roman" w:eastAsia="仿宋_GB2312" w:cs="Times New Roman"/>
              <w:bCs/>
              <w:color w:val="auto"/>
              <w:szCs w:val="36"/>
              <w:highlight w:val="yellow"/>
            </w:rPr>
            <w:fldChar w:fldCharType="end"/>
          </w:r>
        </w:p>
        <w:p w14:paraId="4D6D38FD">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_Toc25905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cs="Times New Roman"/>
              <w:highlight w:val="none"/>
            </w:rPr>
            <w:t>附件</w:t>
          </w:r>
          <w:r>
            <w:rPr>
              <w:rFonts w:hint="eastAsia" w:cs="Times New Roman"/>
              <w:highlight w:val="none"/>
              <w:lang w:val="en-US" w:eastAsia="zh-CN"/>
            </w:rPr>
            <w:t>3生物质燃料</w:t>
          </w:r>
          <w:r>
            <w:rPr>
              <w:rFonts w:hint="default" w:ascii="Times New Roman" w:hAnsi="Times New Roman" w:cs="Times New Roman"/>
              <w:highlight w:val="none"/>
            </w:rPr>
            <w:t>分析报告</w:t>
          </w:r>
          <w:r>
            <w:tab/>
          </w:r>
          <w:r>
            <w:fldChar w:fldCharType="begin"/>
          </w:r>
          <w:r>
            <w:instrText xml:space="preserve"> PAGEREF _Toc25905 \h </w:instrText>
          </w:r>
          <w:r>
            <w:fldChar w:fldCharType="separate"/>
          </w:r>
          <w:r>
            <w:t>65</w:t>
          </w:r>
          <w:r>
            <w:fldChar w:fldCharType="end"/>
          </w:r>
          <w:r>
            <w:rPr>
              <w:rFonts w:hint="default" w:ascii="Times New Roman" w:hAnsi="Times New Roman" w:eastAsia="仿宋_GB2312" w:cs="Times New Roman"/>
              <w:bCs/>
              <w:color w:val="auto"/>
              <w:szCs w:val="36"/>
              <w:highlight w:val="yellow"/>
            </w:rPr>
            <w:fldChar w:fldCharType="end"/>
          </w:r>
        </w:p>
        <w:p w14:paraId="6B4890DE">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_Toc19410 </w:instrText>
          </w:r>
          <w:r>
            <w:rPr>
              <w:rFonts w:hint="default" w:ascii="Times New Roman" w:hAnsi="Times New Roman" w:eastAsia="仿宋_GB2312" w:cs="Times New Roman"/>
              <w:bCs/>
              <w:szCs w:val="36"/>
              <w:highlight w:val="yellow"/>
            </w:rPr>
            <w:fldChar w:fldCharType="separate"/>
          </w:r>
          <w:r>
            <w:rPr>
              <w:rFonts w:hint="eastAsia" w:cs="Times New Roman"/>
              <w:highlight w:val="none"/>
              <w:lang w:val="en-US" w:eastAsia="zh-CN"/>
            </w:rPr>
            <w:t>附件4生态环境分区管控分析报告</w:t>
          </w:r>
          <w:r>
            <w:tab/>
          </w:r>
          <w:r>
            <w:fldChar w:fldCharType="begin"/>
          </w:r>
          <w:r>
            <w:instrText xml:space="preserve"> PAGEREF _Toc19410 \h </w:instrText>
          </w:r>
          <w:r>
            <w:fldChar w:fldCharType="separate"/>
          </w:r>
          <w:r>
            <w:t>68</w:t>
          </w:r>
          <w:r>
            <w:fldChar w:fldCharType="end"/>
          </w:r>
          <w:r>
            <w:rPr>
              <w:rFonts w:hint="default" w:ascii="Times New Roman" w:hAnsi="Times New Roman" w:eastAsia="仿宋_GB2312" w:cs="Times New Roman"/>
              <w:bCs/>
              <w:color w:val="auto"/>
              <w:szCs w:val="36"/>
              <w:highlight w:val="yellow"/>
            </w:rPr>
            <w:fldChar w:fldCharType="end"/>
          </w:r>
        </w:p>
        <w:p w14:paraId="369C891E">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_Toc20828 </w:instrText>
          </w:r>
          <w:r>
            <w:rPr>
              <w:rFonts w:hint="default" w:ascii="Times New Roman" w:hAnsi="Times New Roman" w:eastAsia="仿宋_GB2312" w:cs="Times New Roman"/>
              <w:bCs/>
              <w:szCs w:val="36"/>
              <w:highlight w:val="yellow"/>
            </w:rPr>
            <w:fldChar w:fldCharType="separate"/>
          </w:r>
          <w:r>
            <w:rPr>
              <w:rFonts w:hint="eastAsia" w:cs="Times New Roman"/>
              <w:highlight w:val="none"/>
              <w:lang w:val="en-US" w:eastAsia="zh-CN"/>
            </w:rPr>
            <w:t>附件5土地证明</w:t>
          </w:r>
          <w:r>
            <w:tab/>
          </w:r>
          <w:r>
            <w:fldChar w:fldCharType="begin"/>
          </w:r>
          <w:r>
            <w:instrText xml:space="preserve"> PAGEREF _Toc20828 \h </w:instrText>
          </w:r>
          <w:r>
            <w:fldChar w:fldCharType="separate"/>
          </w:r>
          <w:r>
            <w:t>73</w:t>
          </w:r>
          <w:r>
            <w:fldChar w:fldCharType="end"/>
          </w:r>
          <w:r>
            <w:rPr>
              <w:rFonts w:hint="default" w:ascii="Times New Roman" w:hAnsi="Times New Roman" w:eastAsia="仿宋_GB2312" w:cs="Times New Roman"/>
              <w:bCs/>
              <w:color w:val="auto"/>
              <w:szCs w:val="36"/>
              <w:highlight w:val="yellow"/>
            </w:rPr>
            <w:fldChar w:fldCharType="end"/>
          </w:r>
        </w:p>
        <w:p w14:paraId="12B2D1C9">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_Toc24232 </w:instrText>
          </w:r>
          <w:r>
            <w:rPr>
              <w:rFonts w:hint="default" w:ascii="Times New Roman" w:hAnsi="Times New Roman" w:eastAsia="仿宋_GB2312" w:cs="Times New Roman"/>
              <w:bCs/>
              <w:szCs w:val="36"/>
              <w:highlight w:val="yellow"/>
            </w:rPr>
            <w:fldChar w:fldCharType="separate"/>
          </w:r>
          <w:r>
            <w:rPr>
              <w:rFonts w:hint="eastAsia" w:cs="Times New Roman"/>
              <w:highlight w:val="none"/>
              <w:lang w:val="en-US" w:eastAsia="zh-CN"/>
            </w:rPr>
            <w:t>附件6项目周边环境现状及现有工程</w:t>
          </w:r>
          <w:r>
            <w:tab/>
          </w:r>
          <w:r>
            <w:fldChar w:fldCharType="begin"/>
          </w:r>
          <w:r>
            <w:instrText xml:space="preserve"> PAGEREF _Toc24232 \h </w:instrText>
          </w:r>
          <w:r>
            <w:fldChar w:fldCharType="separate"/>
          </w:r>
          <w:r>
            <w:t>83</w:t>
          </w:r>
          <w:r>
            <w:fldChar w:fldCharType="end"/>
          </w:r>
          <w:r>
            <w:rPr>
              <w:rFonts w:hint="default" w:ascii="Times New Roman" w:hAnsi="Times New Roman" w:eastAsia="仿宋_GB2312" w:cs="Times New Roman"/>
              <w:bCs/>
              <w:color w:val="auto"/>
              <w:szCs w:val="36"/>
              <w:highlight w:val="yellow"/>
            </w:rPr>
            <w:fldChar w:fldCharType="end"/>
          </w:r>
        </w:p>
        <w:p w14:paraId="4F5CB21B">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_Toc15991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cs="Times New Roman"/>
              <w:highlight w:val="none"/>
            </w:rPr>
            <w:t>附件</w:t>
          </w:r>
          <w:r>
            <w:rPr>
              <w:rFonts w:hint="eastAsia" w:cs="Times New Roman"/>
              <w:highlight w:val="none"/>
              <w:lang w:val="en-US" w:eastAsia="zh-CN"/>
            </w:rPr>
            <w:t>7</w:t>
          </w:r>
          <w:r>
            <w:rPr>
              <w:rFonts w:hint="default" w:ascii="Times New Roman" w:hAnsi="Times New Roman" w:cs="Times New Roman"/>
              <w:highlight w:val="none"/>
            </w:rPr>
            <w:t>公示截图</w:t>
          </w:r>
          <w:r>
            <w:tab/>
          </w:r>
          <w:r>
            <w:fldChar w:fldCharType="begin"/>
          </w:r>
          <w:r>
            <w:instrText xml:space="preserve"> PAGEREF _Toc15991 \h </w:instrText>
          </w:r>
          <w:r>
            <w:fldChar w:fldCharType="separate"/>
          </w:r>
          <w:r>
            <w:t>85</w:t>
          </w:r>
          <w:r>
            <w:fldChar w:fldCharType="end"/>
          </w:r>
          <w:r>
            <w:rPr>
              <w:rFonts w:hint="default" w:ascii="Times New Roman" w:hAnsi="Times New Roman" w:eastAsia="仿宋_GB2312" w:cs="Times New Roman"/>
              <w:bCs/>
              <w:color w:val="auto"/>
              <w:szCs w:val="36"/>
              <w:highlight w:val="yellow"/>
            </w:rPr>
            <w:fldChar w:fldCharType="end"/>
          </w:r>
        </w:p>
        <w:p w14:paraId="398FA046">
          <w:pPr>
            <w:pStyle w:val="20"/>
            <w:tabs>
              <w:tab w:val="right" w:leader="dot" w:pos="8844"/>
            </w:tabs>
          </w:pPr>
          <w:r>
            <w:rPr>
              <w:rFonts w:hint="default" w:ascii="Times New Roman" w:hAnsi="Times New Roman" w:eastAsia="仿宋_GB2312" w:cs="Times New Roman"/>
              <w:bCs/>
              <w:color w:val="auto"/>
              <w:szCs w:val="36"/>
              <w:highlight w:val="yellow"/>
            </w:rPr>
            <w:fldChar w:fldCharType="begin"/>
          </w:r>
          <w:r>
            <w:rPr>
              <w:rFonts w:hint="default" w:ascii="Times New Roman" w:hAnsi="Times New Roman" w:eastAsia="仿宋_GB2312" w:cs="Times New Roman"/>
              <w:bCs/>
              <w:szCs w:val="36"/>
              <w:highlight w:val="yellow"/>
            </w:rPr>
            <w:instrText xml:space="preserve"> HYPERLINK \l _Toc9121 </w:instrText>
          </w:r>
          <w:r>
            <w:rPr>
              <w:rFonts w:hint="default" w:ascii="Times New Roman" w:hAnsi="Times New Roman" w:eastAsia="仿宋_GB2312" w:cs="Times New Roman"/>
              <w:bCs/>
              <w:szCs w:val="36"/>
              <w:highlight w:val="yellow"/>
            </w:rPr>
            <w:fldChar w:fldCharType="separate"/>
          </w:r>
          <w:r>
            <w:rPr>
              <w:rFonts w:hint="default" w:ascii="Times New Roman" w:hAnsi="Times New Roman" w:cs="Times New Roman"/>
              <w:highlight w:val="none"/>
            </w:rPr>
            <w:t>附件</w:t>
          </w:r>
          <w:r>
            <w:rPr>
              <w:rFonts w:hint="eastAsia" w:cs="Times New Roman"/>
              <w:highlight w:val="none"/>
              <w:lang w:val="en-US" w:eastAsia="zh-CN"/>
            </w:rPr>
            <w:t>8</w:t>
          </w:r>
          <w:r>
            <w:rPr>
              <w:rFonts w:hint="default" w:ascii="Times New Roman" w:hAnsi="Times New Roman" w:cs="Times New Roman"/>
              <w:highlight w:val="none"/>
            </w:rPr>
            <w:t>总量计算说明</w:t>
          </w:r>
          <w:r>
            <w:tab/>
          </w:r>
          <w:r>
            <w:fldChar w:fldCharType="begin"/>
          </w:r>
          <w:r>
            <w:instrText xml:space="preserve"> PAGEREF _Toc9121 \h </w:instrText>
          </w:r>
          <w:r>
            <w:fldChar w:fldCharType="separate"/>
          </w:r>
          <w:r>
            <w:t>86</w:t>
          </w:r>
          <w:r>
            <w:fldChar w:fldCharType="end"/>
          </w:r>
          <w:r>
            <w:rPr>
              <w:rFonts w:hint="default" w:ascii="Times New Roman" w:hAnsi="Times New Roman" w:eastAsia="仿宋_GB2312" w:cs="Times New Roman"/>
              <w:bCs/>
              <w:color w:val="auto"/>
              <w:szCs w:val="36"/>
              <w:highlight w:val="yellow"/>
            </w:rPr>
            <w:fldChar w:fldCharType="end"/>
          </w:r>
        </w:p>
        <w:p w14:paraId="656501D7">
          <w:pPr>
            <w:tabs>
              <w:tab w:val="left" w:pos="3281"/>
              <w:tab w:val="center" w:pos="4482"/>
            </w:tabs>
            <w:adjustRightInd w:val="0"/>
            <w:snapToGrid w:val="0"/>
            <w:spacing w:before="0" w:beforeLines="0" w:after="0" w:afterLines="0" w:line="288" w:lineRule="auto"/>
            <w:ind w:left="0" w:leftChars="0" w:right="0" w:rightChars="0" w:firstLine="1040" w:firstLineChars="0"/>
            <w:jc w:val="center"/>
            <w:rPr>
              <w:rFonts w:hint="default" w:ascii="Times New Roman" w:hAnsi="Times New Roman" w:eastAsia="仿宋_GB2312" w:cs="Times New Roman"/>
              <w:b w:val="0"/>
              <w:bCs/>
              <w:color w:val="auto"/>
              <w:sz w:val="36"/>
              <w:szCs w:val="36"/>
              <w:highlight w:val="yellow"/>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default" w:ascii="Times New Roman" w:hAnsi="Times New Roman" w:eastAsia="仿宋_GB2312" w:cs="Times New Roman"/>
              <w:bCs/>
              <w:color w:val="auto"/>
              <w:szCs w:val="36"/>
              <w:highlight w:val="yellow"/>
            </w:rPr>
            <w:fldChar w:fldCharType="end"/>
          </w:r>
        </w:p>
      </w:sdtContent>
    </w:sdt>
    <w:p w14:paraId="0B2469C7">
      <w:pPr>
        <w:bidi w:val="0"/>
        <w:jc w:val="center"/>
        <w:rPr>
          <w:rFonts w:hint="default" w:ascii="Times New Roman" w:hAnsi="Times New Roman" w:eastAsia="黑体" w:cs="Times New Roman"/>
          <w:snapToGrid w:val="0"/>
          <w:color w:val="auto"/>
          <w:szCs w:val="30"/>
          <w:highlight w:val="yellow"/>
        </w:rPr>
      </w:pPr>
    </w:p>
    <w:p w14:paraId="4D1B90F9">
      <w:pPr>
        <w:bidi w:val="0"/>
        <w:rPr>
          <w:rFonts w:hint="default"/>
          <w:highlight w:val="yellow"/>
        </w:rPr>
      </w:pPr>
      <w:r>
        <w:drawing>
          <wp:inline distT="0" distB="0" distL="114300" distR="114300">
            <wp:extent cx="5612765" cy="7031990"/>
            <wp:effectExtent l="0" t="0" r="6985" b="1651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10"/>
                    <a:stretch>
                      <a:fillRect/>
                    </a:stretch>
                  </pic:blipFill>
                  <pic:spPr>
                    <a:xfrm>
                      <a:off x="0" y="0"/>
                      <a:ext cx="5612765" cy="7031990"/>
                    </a:xfrm>
                    <a:prstGeom prst="rect">
                      <a:avLst/>
                    </a:prstGeom>
                    <a:noFill/>
                    <a:ln>
                      <a:noFill/>
                    </a:ln>
                  </pic:spPr>
                </pic:pic>
              </a:graphicData>
            </a:graphic>
          </wp:inline>
        </w:drawing>
      </w:r>
    </w:p>
    <w:p w14:paraId="229C0F4C">
      <w:pPr>
        <w:bidi w:val="0"/>
        <w:rPr>
          <w:rFonts w:hint="default"/>
          <w:highlight w:val="yellow"/>
        </w:rPr>
      </w:pPr>
    </w:p>
    <w:p w14:paraId="5C5232D0">
      <w:pPr>
        <w:bidi w:val="0"/>
        <w:rPr>
          <w:rFonts w:hint="default"/>
          <w:highlight w:val="yellow"/>
        </w:rPr>
      </w:pPr>
    </w:p>
    <w:p w14:paraId="38E5D6D9">
      <w:pPr>
        <w:bidi w:val="0"/>
        <w:rPr>
          <w:rFonts w:hint="default"/>
          <w:highlight w:val="yellow"/>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5CD2F5A9">
      <w:pPr>
        <w:pStyle w:val="26"/>
        <w:jc w:val="center"/>
        <w:outlineLvl w:val="0"/>
        <w:rPr>
          <w:rFonts w:hint="default" w:ascii="Times New Roman" w:hAnsi="Times New Roman" w:eastAsia="黑体" w:cs="Times New Roman"/>
          <w:snapToGrid w:val="0"/>
          <w:color w:val="auto"/>
          <w:sz w:val="30"/>
          <w:szCs w:val="30"/>
          <w:highlight w:val="none"/>
        </w:rPr>
      </w:pPr>
      <w:bookmarkStart w:id="23" w:name="_Toc17539"/>
      <w:r>
        <w:rPr>
          <w:rFonts w:hint="default" w:ascii="Times New Roman" w:hAnsi="Times New Roman" w:eastAsia="黑体" w:cs="Times New Roman"/>
          <w:snapToGrid w:val="0"/>
          <w:color w:val="auto"/>
          <w:sz w:val="30"/>
          <w:szCs w:val="30"/>
          <w:highlight w:val="none"/>
        </w:rPr>
        <w:t>一、建设项目基本情况</w:t>
      </w:r>
      <w:bookmarkEnd w:id="23"/>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83"/>
        <w:gridCol w:w="2336"/>
        <w:gridCol w:w="2280"/>
        <w:gridCol w:w="2571"/>
      </w:tblGrid>
      <w:tr w14:paraId="63C711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73" w:hRule="atLeast"/>
          <w:jc w:val="center"/>
        </w:trPr>
        <w:tc>
          <w:tcPr>
            <w:tcW w:w="1683" w:type="dxa"/>
            <w:noWrap w:val="0"/>
            <w:tcMar>
              <w:top w:w="16" w:type="dxa"/>
              <w:left w:w="16" w:type="dxa"/>
              <w:right w:w="16" w:type="dxa"/>
            </w:tcMar>
            <w:vAlign w:val="center"/>
          </w:tcPr>
          <w:p w14:paraId="67A3C685">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建设项目名称</w:t>
            </w:r>
          </w:p>
        </w:tc>
        <w:tc>
          <w:tcPr>
            <w:tcW w:w="7187" w:type="dxa"/>
            <w:gridSpan w:val="3"/>
            <w:noWrap w:val="0"/>
            <w:vAlign w:val="center"/>
          </w:tcPr>
          <w:p w14:paraId="5A547422">
            <w:pPr>
              <w:adjustRightInd w:val="0"/>
              <w:snapToGrid w:val="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黑龙江金磐装配式水泥制品制造有限责任公司年产7万吨水泥预制件建设项目</w:t>
            </w:r>
          </w:p>
        </w:tc>
      </w:tr>
      <w:tr w14:paraId="3C7861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4" w:hRule="atLeast"/>
          <w:jc w:val="center"/>
        </w:trPr>
        <w:tc>
          <w:tcPr>
            <w:tcW w:w="1683" w:type="dxa"/>
            <w:noWrap w:val="0"/>
            <w:tcMar>
              <w:top w:w="16" w:type="dxa"/>
              <w:left w:w="16" w:type="dxa"/>
              <w:right w:w="16" w:type="dxa"/>
            </w:tcMar>
            <w:vAlign w:val="center"/>
          </w:tcPr>
          <w:p w14:paraId="2247C7A1">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项目代码</w:t>
            </w:r>
          </w:p>
        </w:tc>
        <w:tc>
          <w:tcPr>
            <w:tcW w:w="7187" w:type="dxa"/>
            <w:gridSpan w:val="3"/>
            <w:noWrap w:val="0"/>
            <w:vAlign w:val="center"/>
          </w:tcPr>
          <w:p w14:paraId="7BA12F2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w:t>
            </w:r>
          </w:p>
        </w:tc>
      </w:tr>
      <w:tr w14:paraId="77B622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3" w:type="dxa"/>
            <w:noWrap w:val="0"/>
            <w:tcMar>
              <w:top w:w="16" w:type="dxa"/>
              <w:left w:w="16" w:type="dxa"/>
              <w:right w:w="16" w:type="dxa"/>
            </w:tcMar>
            <w:vAlign w:val="center"/>
          </w:tcPr>
          <w:p w14:paraId="2D79D9A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建设单位联系人</w:t>
            </w:r>
          </w:p>
        </w:tc>
        <w:tc>
          <w:tcPr>
            <w:tcW w:w="2336" w:type="dxa"/>
            <w:noWrap w:val="0"/>
            <w:vAlign w:val="center"/>
          </w:tcPr>
          <w:p w14:paraId="26581CE9">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邵继龙</w:t>
            </w:r>
          </w:p>
        </w:tc>
        <w:tc>
          <w:tcPr>
            <w:tcW w:w="2280" w:type="dxa"/>
            <w:noWrap w:val="0"/>
            <w:vAlign w:val="center"/>
          </w:tcPr>
          <w:p w14:paraId="0FBCA10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联系方式</w:t>
            </w:r>
          </w:p>
        </w:tc>
        <w:tc>
          <w:tcPr>
            <w:tcW w:w="2571" w:type="dxa"/>
            <w:noWrap w:val="0"/>
            <w:vAlign w:val="center"/>
          </w:tcPr>
          <w:p w14:paraId="7D990B23">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olor w:val="auto"/>
                <w:sz w:val="24"/>
                <w:highlight w:val="none"/>
                <w:lang w:val="en-US" w:eastAsia="zh-CN"/>
              </w:rPr>
              <w:t>13351061877</w:t>
            </w:r>
          </w:p>
        </w:tc>
      </w:tr>
      <w:tr w14:paraId="0BA96F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3" w:type="dxa"/>
            <w:noWrap w:val="0"/>
            <w:tcMar>
              <w:top w:w="16" w:type="dxa"/>
              <w:left w:w="16" w:type="dxa"/>
              <w:right w:w="16" w:type="dxa"/>
            </w:tcMar>
            <w:vAlign w:val="center"/>
          </w:tcPr>
          <w:p w14:paraId="368D3D17">
            <w:pPr>
              <w:adjustRightInd w:val="0"/>
              <w:snapToGrid w:val="0"/>
              <w:jc w:val="center"/>
              <w:rPr>
                <w:rFonts w:hint="default" w:ascii="Times New Roman" w:hAnsi="Times New Roman" w:cs="Times New Roman"/>
                <w:color w:val="auto"/>
                <w:szCs w:val="21"/>
                <w:highlight w:val="yellow"/>
              </w:rPr>
            </w:pPr>
            <w:r>
              <w:rPr>
                <w:rFonts w:hint="default" w:ascii="Times New Roman" w:hAnsi="Times New Roman" w:cs="Times New Roman"/>
                <w:color w:val="auto"/>
                <w:szCs w:val="21"/>
                <w:highlight w:val="none"/>
              </w:rPr>
              <w:t>建设地点</w:t>
            </w:r>
          </w:p>
        </w:tc>
        <w:tc>
          <w:tcPr>
            <w:tcW w:w="7187" w:type="dxa"/>
            <w:gridSpan w:val="3"/>
            <w:noWrap w:val="0"/>
            <w:vAlign w:val="center"/>
          </w:tcPr>
          <w:p w14:paraId="1417C142">
            <w:pPr>
              <w:adjustRightInd w:val="0"/>
              <w:snapToGrid w:val="0"/>
              <w:jc w:val="center"/>
              <w:rPr>
                <w:rFonts w:hint="default" w:ascii="Times New Roman" w:hAnsi="Times New Roman" w:eastAsia="宋体" w:cs="Times New Roman"/>
                <w:color w:val="auto"/>
                <w:szCs w:val="21"/>
                <w:highlight w:val="yellow"/>
                <w:lang w:val="en-US" w:eastAsia="zh-CN"/>
              </w:rPr>
            </w:pPr>
            <w:r>
              <w:rPr>
                <w:rFonts w:hint="eastAsia" w:cs="Times New Roman"/>
                <w:color w:val="auto"/>
                <w:szCs w:val="21"/>
                <w:highlight w:val="none"/>
                <w:lang w:val="en-US" w:eastAsia="zh-CN"/>
              </w:rPr>
              <w:t>黑龙江省双鸭山市宝山区友谊农场第八管理区</w:t>
            </w:r>
          </w:p>
        </w:tc>
      </w:tr>
      <w:tr w14:paraId="487B6A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3" w:hRule="atLeast"/>
          <w:jc w:val="center"/>
        </w:trPr>
        <w:tc>
          <w:tcPr>
            <w:tcW w:w="1683" w:type="dxa"/>
            <w:noWrap w:val="0"/>
            <w:tcMar>
              <w:top w:w="16" w:type="dxa"/>
              <w:left w:w="16" w:type="dxa"/>
              <w:right w:w="16" w:type="dxa"/>
            </w:tcMar>
            <w:vAlign w:val="center"/>
          </w:tcPr>
          <w:p w14:paraId="14CE2F7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地理坐标</w:t>
            </w:r>
          </w:p>
        </w:tc>
        <w:tc>
          <w:tcPr>
            <w:tcW w:w="7187" w:type="dxa"/>
            <w:gridSpan w:val="3"/>
            <w:noWrap w:val="0"/>
            <w:vAlign w:val="center"/>
          </w:tcPr>
          <w:p w14:paraId="7BDBEDD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（东经</w:t>
            </w:r>
            <w:r>
              <w:rPr>
                <w:rFonts w:hint="eastAsia" w:cs="Times New Roman"/>
                <w:color w:val="auto"/>
                <w:szCs w:val="21"/>
                <w:highlight w:val="none"/>
                <w:lang w:val="en-US" w:eastAsia="zh-CN"/>
              </w:rPr>
              <w:t>131</w:t>
            </w:r>
            <w:r>
              <w:rPr>
                <w:rFonts w:hint="default" w:ascii="Times New Roman" w:hAnsi="Times New Roman" w:cs="Times New Roman"/>
                <w:color w:val="auto"/>
                <w:szCs w:val="21"/>
                <w:highlight w:val="none"/>
              </w:rPr>
              <w:t>度</w:t>
            </w:r>
            <w:r>
              <w:rPr>
                <w:rFonts w:hint="eastAsia" w:cs="Times New Roman"/>
                <w:color w:val="auto"/>
                <w:szCs w:val="21"/>
                <w:highlight w:val="none"/>
                <w:lang w:val="en-US" w:eastAsia="zh-CN"/>
              </w:rPr>
              <w:t>40</w:t>
            </w:r>
            <w:r>
              <w:rPr>
                <w:rFonts w:hint="default" w:ascii="Times New Roman" w:hAnsi="Times New Roman" w:cs="Times New Roman"/>
                <w:color w:val="auto"/>
                <w:szCs w:val="21"/>
                <w:highlight w:val="none"/>
              </w:rPr>
              <w:t>分</w:t>
            </w:r>
            <w:r>
              <w:rPr>
                <w:rFonts w:hint="eastAsia" w:cs="Times New Roman"/>
                <w:color w:val="auto"/>
                <w:szCs w:val="21"/>
                <w:highlight w:val="none"/>
                <w:lang w:val="en-US" w:eastAsia="zh-CN"/>
              </w:rPr>
              <w:t>37.588</w:t>
            </w:r>
            <w:r>
              <w:rPr>
                <w:rFonts w:hint="default" w:ascii="Times New Roman" w:hAnsi="Times New Roman" w:cs="Times New Roman"/>
                <w:color w:val="auto"/>
                <w:szCs w:val="21"/>
                <w:highlight w:val="none"/>
              </w:rPr>
              <w:t>秒，北纬</w:t>
            </w:r>
            <w:r>
              <w:rPr>
                <w:rFonts w:hint="eastAsia" w:cs="Times New Roman"/>
                <w:color w:val="auto"/>
                <w:szCs w:val="21"/>
                <w:highlight w:val="none"/>
                <w:lang w:val="en-US" w:eastAsia="zh-CN"/>
              </w:rPr>
              <w:t>46</w:t>
            </w:r>
            <w:r>
              <w:rPr>
                <w:rFonts w:hint="default" w:ascii="Times New Roman" w:hAnsi="Times New Roman" w:cs="Times New Roman"/>
                <w:color w:val="auto"/>
                <w:szCs w:val="21"/>
                <w:highlight w:val="none"/>
              </w:rPr>
              <w:t>度</w:t>
            </w:r>
            <w:r>
              <w:rPr>
                <w:rFonts w:hint="eastAsia" w:cs="Times New Roman"/>
                <w:color w:val="auto"/>
                <w:szCs w:val="21"/>
                <w:highlight w:val="none"/>
                <w:lang w:val="en-US" w:eastAsia="zh-CN"/>
              </w:rPr>
              <w:t>33</w:t>
            </w:r>
            <w:r>
              <w:rPr>
                <w:rFonts w:hint="default" w:ascii="Times New Roman" w:hAnsi="Times New Roman" w:cs="Times New Roman"/>
                <w:color w:val="auto"/>
                <w:szCs w:val="21"/>
                <w:highlight w:val="none"/>
              </w:rPr>
              <w:t>分</w:t>
            </w:r>
            <w:r>
              <w:rPr>
                <w:rFonts w:hint="eastAsia" w:cs="Times New Roman"/>
                <w:color w:val="auto"/>
                <w:szCs w:val="21"/>
                <w:highlight w:val="none"/>
                <w:lang w:val="en-US" w:eastAsia="zh-CN"/>
              </w:rPr>
              <w:t>8.525</w:t>
            </w:r>
            <w:r>
              <w:rPr>
                <w:rFonts w:hint="default" w:ascii="Times New Roman" w:hAnsi="Times New Roman" w:cs="Times New Roman"/>
                <w:color w:val="auto"/>
                <w:szCs w:val="21"/>
                <w:highlight w:val="none"/>
              </w:rPr>
              <w:t>秒）</w:t>
            </w:r>
          </w:p>
        </w:tc>
      </w:tr>
      <w:tr w14:paraId="3CC1B8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683" w:type="dxa"/>
            <w:noWrap w:val="0"/>
            <w:tcMar>
              <w:top w:w="16" w:type="dxa"/>
              <w:left w:w="16" w:type="dxa"/>
              <w:right w:w="16" w:type="dxa"/>
            </w:tcMar>
            <w:vAlign w:val="center"/>
          </w:tcPr>
          <w:p w14:paraId="604CA5C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国民经济</w:t>
            </w:r>
          </w:p>
          <w:p w14:paraId="241B39C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行业类别</w:t>
            </w:r>
          </w:p>
        </w:tc>
        <w:tc>
          <w:tcPr>
            <w:tcW w:w="2336" w:type="dxa"/>
            <w:noWrap w:val="0"/>
            <w:vAlign w:val="center"/>
          </w:tcPr>
          <w:p w14:paraId="2B930AA4">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highlight w:val="none"/>
              </w:rPr>
            </w:pPr>
            <w:r>
              <w:rPr>
                <w:rFonts w:hint="eastAsia" w:cs="Times New Roman"/>
                <w:color w:val="auto"/>
                <w:kern w:val="0"/>
                <w:sz w:val="21"/>
                <w:szCs w:val="21"/>
                <w:highlight w:val="none"/>
                <w:lang w:val="en-US" w:eastAsia="zh-CN" w:bidi="ar-SA"/>
              </w:rPr>
              <w:t>C3021水泥制品制造；</w:t>
            </w:r>
          </w:p>
        </w:tc>
        <w:tc>
          <w:tcPr>
            <w:tcW w:w="2280" w:type="dxa"/>
            <w:noWrap w:val="0"/>
            <w:vAlign w:val="center"/>
          </w:tcPr>
          <w:p w14:paraId="4872759A">
            <w:pPr>
              <w:adjustRightInd w:val="0"/>
              <w:snapToGrid w:val="0"/>
              <w:jc w:val="center"/>
              <w:rPr>
                <w:rFonts w:hint="default" w:ascii="Times New Roman" w:hAnsi="Times New Roman" w:cs="Times New Roman"/>
                <w:color w:val="auto"/>
                <w:szCs w:val="21"/>
                <w:highlight w:val="none"/>
              </w:rPr>
            </w:pPr>
            <w:bookmarkStart w:id="24" w:name="_Hlk49843745"/>
            <w:r>
              <w:rPr>
                <w:rFonts w:hint="default" w:ascii="Times New Roman" w:hAnsi="Times New Roman" w:cs="Times New Roman"/>
                <w:color w:val="auto"/>
                <w:szCs w:val="21"/>
                <w:highlight w:val="none"/>
              </w:rPr>
              <w:t>建设项目</w:t>
            </w:r>
          </w:p>
          <w:p w14:paraId="70DBFCA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行业类别</w:t>
            </w:r>
            <w:bookmarkEnd w:id="24"/>
          </w:p>
        </w:tc>
        <w:tc>
          <w:tcPr>
            <w:tcW w:w="2571" w:type="dxa"/>
            <w:noWrap w:val="0"/>
            <w:vAlign w:val="center"/>
          </w:tcPr>
          <w:p w14:paraId="4FC87017">
            <w:pPr>
              <w:keepNext w:val="0"/>
              <w:keepLines w:val="0"/>
              <w:pageBreakBefore w:val="0"/>
              <w:widowControl w:val="0"/>
              <w:numPr>
                <w:ilvl w:val="0"/>
                <w:numId w:val="0"/>
              </w:numPr>
              <w:kinsoku/>
              <w:wordWrap/>
              <w:overflowPunct/>
              <w:topLinePunct w:val="0"/>
              <w:autoSpaceDE/>
              <w:autoSpaceDN/>
              <w:bidi w:val="0"/>
              <w:adjustRightInd w:val="0"/>
              <w:snapToGrid w:val="0"/>
              <w:jc w:val="left"/>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二十七、非金属矿物制品业</w:t>
            </w:r>
            <w:r>
              <w:rPr>
                <w:rFonts w:hint="eastAsia" w:ascii="Times New Roman" w:hAnsi="Times New Roman" w:eastAsia="宋体" w:cs="Times New Roman"/>
                <w:color w:val="auto"/>
                <w:kern w:val="0"/>
                <w:sz w:val="21"/>
                <w:szCs w:val="21"/>
                <w:highlight w:val="none"/>
                <w:lang w:val="en-US" w:eastAsia="zh-CN" w:bidi="ar-SA"/>
              </w:rPr>
              <w:t>，</w:t>
            </w:r>
            <w:r>
              <w:rPr>
                <w:rFonts w:hint="eastAsia" w:cs="Times New Roman"/>
                <w:color w:val="auto"/>
                <w:kern w:val="0"/>
                <w:sz w:val="21"/>
                <w:szCs w:val="21"/>
                <w:highlight w:val="none"/>
                <w:lang w:val="en-US" w:eastAsia="zh-CN" w:bidi="ar-SA"/>
              </w:rPr>
              <w:t>55.石膏、水泥制品及类似制品制造</w:t>
            </w:r>
            <w:r>
              <w:rPr>
                <w:rFonts w:hint="eastAsia" w:ascii="Times New Roman" w:hAnsi="Times New Roman" w:eastAsia="宋体" w:cs="Times New Roman"/>
                <w:color w:val="auto"/>
                <w:kern w:val="0"/>
                <w:sz w:val="21"/>
                <w:szCs w:val="21"/>
                <w:highlight w:val="none"/>
                <w:lang w:val="en-US" w:eastAsia="zh-CN" w:bidi="ar-SA"/>
              </w:rPr>
              <w:t>；</w:t>
            </w:r>
          </w:p>
        </w:tc>
      </w:tr>
      <w:tr w14:paraId="2EE90C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83" w:type="dxa"/>
            <w:noWrap w:val="0"/>
            <w:tcMar>
              <w:top w:w="16" w:type="dxa"/>
              <w:left w:w="16" w:type="dxa"/>
              <w:right w:w="16" w:type="dxa"/>
            </w:tcMar>
            <w:vAlign w:val="center"/>
          </w:tcPr>
          <w:p w14:paraId="61A86335">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建设性质</w:t>
            </w:r>
          </w:p>
        </w:tc>
        <w:tc>
          <w:tcPr>
            <w:tcW w:w="2336" w:type="dxa"/>
            <w:noWrap w:val="0"/>
            <w:vAlign w:val="center"/>
          </w:tcPr>
          <w:p w14:paraId="29E4A213">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sym w:font="Wingdings 2" w:char="0052"/>
            </w:r>
            <w:r>
              <w:rPr>
                <w:rFonts w:hint="default" w:ascii="Times New Roman" w:hAnsi="Times New Roman" w:cs="Times New Roman"/>
                <w:color w:val="auto"/>
                <w:szCs w:val="21"/>
                <w:highlight w:val="none"/>
              </w:rPr>
              <w:t>新建（迁建）</w:t>
            </w:r>
          </w:p>
          <w:p w14:paraId="2B1F48F3">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sym w:font="Wingdings 2" w:char="00A3"/>
            </w:r>
            <w:r>
              <w:rPr>
                <w:rFonts w:hint="default" w:ascii="Times New Roman" w:hAnsi="Times New Roman" w:cs="Times New Roman"/>
                <w:color w:val="auto"/>
                <w:szCs w:val="21"/>
                <w:highlight w:val="none"/>
              </w:rPr>
              <w:t>改建</w:t>
            </w:r>
          </w:p>
          <w:p w14:paraId="154EDF93">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sym w:font="Wingdings 2" w:char="00A3"/>
            </w:r>
            <w:r>
              <w:rPr>
                <w:rFonts w:hint="default" w:ascii="Times New Roman" w:hAnsi="Times New Roman" w:cs="Times New Roman"/>
                <w:color w:val="auto"/>
                <w:szCs w:val="21"/>
                <w:highlight w:val="none"/>
              </w:rPr>
              <w:t>扩建</w:t>
            </w:r>
          </w:p>
          <w:p w14:paraId="2E261FEC">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sym w:font="Wingdings 2" w:char="00A3"/>
            </w:r>
            <w:r>
              <w:rPr>
                <w:rFonts w:hint="default" w:ascii="Times New Roman" w:hAnsi="Times New Roman" w:cs="Times New Roman"/>
                <w:color w:val="auto"/>
                <w:szCs w:val="21"/>
                <w:highlight w:val="none"/>
              </w:rPr>
              <w:t>技术改造</w:t>
            </w:r>
          </w:p>
        </w:tc>
        <w:tc>
          <w:tcPr>
            <w:tcW w:w="2280" w:type="dxa"/>
            <w:noWrap w:val="0"/>
            <w:vAlign w:val="center"/>
          </w:tcPr>
          <w:p w14:paraId="3CD2D46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建设项目</w:t>
            </w:r>
          </w:p>
          <w:p w14:paraId="214D5AB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申报情形</w:t>
            </w:r>
          </w:p>
        </w:tc>
        <w:tc>
          <w:tcPr>
            <w:tcW w:w="2571" w:type="dxa"/>
            <w:noWrap w:val="0"/>
            <w:vAlign w:val="center"/>
          </w:tcPr>
          <w:p w14:paraId="6494C69B">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sym w:font="Wingdings 2" w:char="0052"/>
            </w:r>
            <w:r>
              <w:rPr>
                <w:rFonts w:hint="default" w:ascii="Times New Roman" w:hAnsi="Times New Roman" w:cs="Times New Roman"/>
                <w:color w:val="auto"/>
                <w:szCs w:val="21"/>
                <w:highlight w:val="none"/>
              </w:rPr>
              <w:t>首次申报项目</w:t>
            </w:r>
          </w:p>
          <w:p w14:paraId="4086A346">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sym w:font="Wingdings 2" w:char="00A3"/>
            </w:r>
            <w:r>
              <w:rPr>
                <w:rFonts w:hint="default" w:ascii="Times New Roman" w:hAnsi="Times New Roman" w:cs="Times New Roman"/>
                <w:color w:val="auto"/>
                <w:szCs w:val="21"/>
                <w:highlight w:val="none"/>
              </w:rPr>
              <w:t>不予批准后再次申报项目</w:t>
            </w:r>
          </w:p>
          <w:p w14:paraId="5D0BD7B2">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sym w:font="Wingdings 2" w:char="00A3"/>
            </w:r>
            <w:r>
              <w:rPr>
                <w:rFonts w:hint="default" w:ascii="Times New Roman" w:hAnsi="Times New Roman" w:cs="Times New Roman"/>
                <w:color w:val="auto"/>
                <w:szCs w:val="21"/>
                <w:highlight w:val="none"/>
              </w:rPr>
              <w:t>超五年重新审核项目</w:t>
            </w:r>
          </w:p>
          <w:p w14:paraId="5787E965">
            <w:pPr>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sym w:font="Wingdings 2" w:char="00A3"/>
            </w:r>
            <w:r>
              <w:rPr>
                <w:rFonts w:hint="default" w:ascii="Times New Roman" w:hAnsi="Times New Roman" w:cs="Times New Roman"/>
                <w:color w:val="auto"/>
                <w:szCs w:val="21"/>
                <w:highlight w:val="none"/>
              </w:rPr>
              <w:t>重大变动重新报批项目</w:t>
            </w:r>
          </w:p>
        </w:tc>
      </w:tr>
      <w:tr w14:paraId="6702E4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83" w:type="dxa"/>
            <w:noWrap w:val="0"/>
            <w:tcMar>
              <w:top w:w="16" w:type="dxa"/>
              <w:left w:w="16" w:type="dxa"/>
              <w:right w:w="16" w:type="dxa"/>
            </w:tcMar>
            <w:vAlign w:val="center"/>
          </w:tcPr>
          <w:p w14:paraId="1ED620FD">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 w:val="21"/>
                <w:szCs w:val="21"/>
                <w:highlight w:val="none"/>
              </w:rPr>
            </w:pPr>
            <w:r>
              <w:rPr>
                <w:rFonts w:hint="default" w:ascii="宋体" w:hAnsi="宋体" w:eastAsia="宋体" w:cs="宋体"/>
                <w:color w:val="auto"/>
                <w:sz w:val="21"/>
                <w:szCs w:val="21"/>
                <w:highlight w:val="none"/>
              </w:rPr>
              <w:t>项目审批（核准/</w:t>
            </w:r>
          </w:p>
          <w:p w14:paraId="6A1D354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宋体" w:hAnsi="宋体" w:eastAsia="宋体" w:cs="宋体"/>
                <w:color w:val="auto"/>
                <w:sz w:val="21"/>
                <w:szCs w:val="21"/>
                <w:highlight w:val="none"/>
              </w:rPr>
              <w:t>备案）部门（选填）</w:t>
            </w:r>
          </w:p>
        </w:tc>
        <w:tc>
          <w:tcPr>
            <w:tcW w:w="2336" w:type="dxa"/>
            <w:noWrap w:val="0"/>
            <w:vAlign w:val="center"/>
          </w:tcPr>
          <w:p w14:paraId="2972F59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w:t>
            </w:r>
          </w:p>
        </w:tc>
        <w:tc>
          <w:tcPr>
            <w:tcW w:w="2280" w:type="dxa"/>
            <w:noWrap w:val="0"/>
            <w:vAlign w:val="center"/>
          </w:tcPr>
          <w:p w14:paraId="6B9F3A0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项目审批（核准/</w:t>
            </w:r>
          </w:p>
          <w:p w14:paraId="79DC6F9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备案）文号（选填）</w:t>
            </w:r>
          </w:p>
        </w:tc>
        <w:tc>
          <w:tcPr>
            <w:tcW w:w="2571" w:type="dxa"/>
            <w:noWrap w:val="0"/>
            <w:vAlign w:val="center"/>
          </w:tcPr>
          <w:p w14:paraId="3C8455B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w:t>
            </w:r>
          </w:p>
        </w:tc>
      </w:tr>
      <w:tr w14:paraId="093347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3" w:type="dxa"/>
            <w:noWrap w:val="0"/>
            <w:tcMar>
              <w:top w:w="16" w:type="dxa"/>
              <w:left w:w="16" w:type="dxa"/>
              <w:right w:w="16" w:type="dxa"/>
            </w:tcMar>
            <w:vAlign w:val="center"/>
          </w:tcPr>
          <w:p w14:paraId="7659540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总投资（万元）</w:t>
            </w:r>
          </w:p>
        </w:tc>
        <w:tc>
          <w:tcPr>
            <w:tcW w:w="2336" w:type="dxa"/>
            <w:noWrap w:val="0"/>
            <w:vAlign w:val="center"/>
          </w:tcPr>
          <w:p w14:paraId="65C9FC06">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2000</w:t>
            </w:r>
          </w:p>
        </w:tc>
        <w:tc>
          <w:tcPr>
            <w:tcW w:w="2280" w:type="dxa"/>
            <w:noWrap w:val="0"/>
            <w:tcMar>
              <w:top w:w="16" w:type="dxa"/>
              <w:left w:w="16" w:type="dxa"/>
              <w:right w:w="16" w:type="dxa"/>
            </w:tcMar>
            <w:vAlign w:val="center"/>
          </w:tcPr>
          <w:p w14:paraId="2D7DD2D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环保投资（万元）</w:t>
            </w:r>
          </w:p>
        </w:tc>
        <w:tc>
          <w:tcPr>
            <w:tcW w:w="2571" w:type="dxa"/>
            <w:noWrap w:val="0"/>
            <w:vAlign w:val="center"/>
          </w:tcPr>
          <w:p w14:paraId="23CF5AC5">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55.5</w:t>
            </w:r>
          </w:p>
        </w:tc>
      </w:tr>
      <w:tr w14:paraId="203E76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3" w:type="dxa"/>
            <w:noWrap w:val="0"/>
            <w:tcMar>
              <w:top w:w="16" w:type="dxa"/>
              <w:left w:w="16" w:type="dxa"/>
              <w:right w:w="16" w:type="dxa"/>
            </w:tcMar>
            <w:vAlign w:val="center"/>
          </w:tcPr>
          <w:p w14:paraId="4A61E83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环保投资占比（%）</w:t>
            </w:r>
          </w:p>
        </w:tc>
        <w:tc>
          <w:tcPr>
            <w:tcW w:w="2336" w:type="dxa"/>
            <w:noWrap w:val="0"/>
            <w:vAlign w:val="center"/>
          </w:tcPr>
          <w:p w14:paraId="75D18F55">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2.8</w:t>
            </w:r>
          </w:p>
        </w:tc>
        <w:tc>
          <w:tcPr>
            <w:tcW w:w="2280" w:type="dxa"/>
            <w:noWrap w:val="0"/>
            <w:tcMar>
              <w:top w:w="16" w:type="dxa"/>
              <w:left w:w="16" w:type="dxa"/>
              <w:right w:w="16" w:type="dxa"/>
            </w:tcMar>
            <w:vAlign w:val="center"/>
          </w:tcPr>
          <w:p w14:paraId="3E9A16B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施工工期</w:t>
            </w:r>
          </w:p>
        </w:tc>
        <w:tc>
          <w:tcPr>
            <w:tcW w:w="2571" w:type="dxa"/>
            <w:noWrap w:val="0"/>
            <w:vAlign w:val="center"/>
          </w:tcPr>
          <w:p w14:paraId="4278787F">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2025.07-2025.08</w:t>
            </w:r>
          </w:p>
        </w:tc>
      </w:tr>
      <w:tr w14:paraId="0050F1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3" w:type="dxa"/>
            <w:noWrap w:val="0"/>
            <w:tcMar>
              <w:top w:w="16" w:type="dxa"/>
              <w:left w:w="16" w:type="dxa"/>
              <w:right w:w="16" w:type="dxa"/>
            </w:tcMar>
            <w:vAlign w:val="center"/>
          </w:tcPr>
          <w:p w14:paraId="7576725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是否开工建设</w:t>
            </w:r>
          </w:p>
        </w:tc>
        <w:tc>
          <w:tcPr>
            <w:tcW w:w="2336" w:type="dxa"/>
            <w:noWrap w:val="0"/>
            <w:vAlign w:val="center"/>
          </w:tcPr>
          <w:p w14:paraId="6D8565CE">
            <w:pPr>
              <w:adjustRightInd w:val="0"/>
              <w:snapToGrid w:val="0"/>
              <w:rPr>
                <w:rFonts w:hint="default" w:ascii="Times New Roman" w:hAnsi="Times New Roman" w:cs="Times New Roman"/>
                <w:color w:val="auto"/>
                <w:szCs w:val="21"/>
                <w:highlight w:val="yellow"/>
              </w:rPr>
            </w:pPr>
            <w:r>
              <w:rPr>
                <w:rFonts w:hint="default" w:ascii="Times New Roman" w:hAnsi="Times New Roman" w:cs="Times New Roman"/>
                <w:color w:val="auto"/>
                <w:szCs w:val="21"/>
                <w:highlight w:val="none"/>
              </w:rPr>
              <w:sym w:font="Wingdings 2" w:char="00A3"/>
            </w:r>
            <w:r>
              <w:rPr>
                <w:rFonts w:hint="default" w:ascii="Times New Roman" w:hAnsi="Times New Roman" w:cs="Times New Roman"/>
                <w:color w:val="auto"/>
                <w:szCs w:val="21"/>
                <w:highlight w:val="none"/>
              </w:rPr>
              <w:t>否</w:t>
            </w:r>
          </w:p>
          <w:p w14:paraId="4CC4132E">
            <w:pPr>
              <w:adjustRightInd w:val="0"/>
              <w:snapToGrid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yellow"/>
              </w:rPr>
              <w:sym w:font="Wingdings 2" w:char="0052"/>
            </w:r>
            <w:r>
              <w:rPr>
                <w:rFonts w:hint="default" w:ascii="Times New Roman" w:hAnsi="Times New Roman" w:cs="Times New Roman"/>
                <w:color w:val="auto"/>
                <w:szCs w:val="21"/>
                <w:highlight w:val="yellow"/>
              </w:rPr>
              <w:t>是</w:t>
            </w:r>
            <w:r>
              <w:rPr>
                <w:rFonts w:hint="default" w:ascii="Times New Roman" w:hAnsi="Times New Roman" w:cs="Times New Roman"/>
                <w:color w:val="auto"/>
                <w:szCs w:val="21"/>
                <w:highlight w:val="yellow"/>
                <w:u w:val="single"/>
              </w:rPr>
              <w:t>：</w:t>
            </w:r>
            <w:r>
              <w:rPr>
                <w:rFonts w:hint="eastAsia" w:cs="Times New Roman"/>
                <w:color w:val="auto"/>
                <w:szCs w:val="21"/>
                <w:highlight w:val="yellow"/>
                <w:u w:val="single"/>
                <w:lang w:val="en-US" w:eastAsia="zh-CN"/>
              </w:rPr>
              <w:t>本项目已开工建设，已建设2个水泥筒仓和1个粉煤灰筒仓、2台2.5t/h燃生物质蒸汽发生器以及软化水设备，目前本项目已暂停建设，已对未批先建进行处罚。</w:t>
            </w:r>
          </w:p>
        </w:tc>
        <w:tc>
          <w:tcPr>
            <w:tcW w:w="2280" w:type="dxa"/>
            <w:noWrap w:val="0"/>
            <w:tcMar>
              <w:top w:w="16" w:type="dxa"/>
              <w:left w:w="16" w:type="dxa"/>
              <w:right w:w="16" w:type="dxa"/>
            </w:tcMar>
            <w:vAlign w:val="center"/>
          </w:tcPr>
          <w:p w14:paraId="1E969347">
            <w:pPr>
              <w:adjustRightInd w:val="0"/>
              <w:snapToGrid w:val="0"/>
              <w:jc w:val="center"/>
              <w:rPr>
                <w:rFonts w:hint="default" w:ascii="Times New Roman" w:hAnsi="Times New Roman" w:cs="Times New Roman"/>
                <w:color w:val="auto"/>
                <w:spacing w:val="-6"/>
                <w:szCs w:val="21"/>
                <w:highlight w:val="none"/>
              </w:rPr>
            </w:pPr>
            <w:r>
              <w:rPr>
                <w:rFonts w:hint="default" w:ascii="Times New Roman" w:hAnsi="Times New Roman" w:cs="Times New Roman"/>
                <w:color w:val="auto"/>
                <w:spacing w:val="-6"/>
                <w:szCs w:val="21"/>
                <w:highlight w:val="none"/>
              </w:rPr>
              <w:t>用地（用海）</w:t>
            </w:r>
          </w:p>
          <w:p w14:paraId="7A1D0AF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pacing w:val="-6"/>
                <w:szCs w:val="21"/>
                <w:highlight w:val="none"/>
              </w:rPr>
              <w:t>面积（m</w:t>
            </w:r>
            <w:r>
              <w:rPr>
                <w:rFonts w:hint="default" w:ascii="Times New Roman" w:hAnsi="Times New Roman" w:cs="Times New Roman"/>
                <w:color w:val="auto"/>
                <w:spacing w:val="-6"/>
                <w:szCs w:val="21"/>
                <w:highlight w:val="none"/>
                <w:vertAlign w:val="superscript"/>
              </w:rPr>
              <w:t>2</w:t>
            </w:r>
            <w:r>
              <w:rPr>
                <w:rFonts w:hint="default" w:ascii="Times New Roman" w:hAnsi="Times New Roman" w:cs="Times New Roman"/>
                <w:color w:val="auto"/>
                <w:spacing w:val="-6"/>
                <w:szCs w:val="21"/>
                <w:highlight w:val="none"/>
              </w:rPr>
              <w:t>）</w:t>
            </w:r>
          </w:p>
        </w:tc>
        <w:tc>
          <w:tcPr>
            <w:tcW w:w="2571" w:type="dxa"/>
            <w:noWrap w:val="0"/>
            <w:vAlign w:val="center"/>
          </w:tcPr>
          <w:p w14:paraId="40004EC6">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48175.48</w:t>
            </w:r>
          </w:p>
        </w:tc>
      </w:tr>
      <w:tr w14:paraId="5E0F4A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1683" w:type="dxa"/>
            <w:noWrap w:val="0"/>
            <w:vAlign w:val="center"/>
          </w:tcPr>
          <w:p w14:paraId="19819EC4">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专项评价设置情况</w:t>
            </w:r>
          </w:p>
        </w:tc>
        <w:tc>
          <w:tcPr>
            <w:tcW w:w="7187" w:type="dxa"/>
            <w:gridSpan w:val="3"/>
            <w:noWrap w:val="0"/>
            <w:vAlign w:val="center"/>
          </w:tcPr>
          <w:p w14:paraId="6B92CA1A">
            <w:pPr>
              <w:keepNext w:val="0"/>
              <w:keepLines w:val="0"/>
              <w:suppressLineNumbers w:val="0"/>
              <w:autoSpaceDE w:val="0"/>
              <w:autoSpaceDN w:val="0"/>
              <w:adjustRightInd w:val="0"/>
              <w:snapToGrid w:val="0"/>
              <w:spacing w:before="0" w:beforeAutospacing="0" w:after="0" w:afterAutospacing="0" w:line="360" w:lineRule="auto"/>
              <w:ind w:left="0" w:right="0" w:firstLine="420" w:firstLineChars="200"/>
              <w:rPr>
                <w:rFonts w:hint="default" w:ascii="Times New Roman" w:hAnsi="Times New Roman" w:eastAsia="宋体"/>
                <w:b/>
                <w:smallCaps w:val="0"/>
                <w:color w:val="000000"/>
                <w:kern w:val="44"/>
                <w:sz w:val="21"/>
                <w:szCs w:val="21"/>
                <w:highlight w:val="none"/>
              </w:rPr>
            </w:pPr>
            <w:r>
              <w:rPr>
                <w:rFonts w:hint="eastAsia"/>
                <w:smallCaps w:val="0"/>
                <w:snapToGrid w:val="0"/>
                <w:color w:val="000000"/>
                <w:kern w:val="0"/>
                <w:sz w:val="21"/>
                <w:szCs w:val="21"/>
                <w:highlight w:val="none"/>
                <w:lang w:val="en-US" w:eastAsia="zh-CN"/>
              </w:rPr>
              <w:t>根据</w:t>
            </w:r>
            <w:r>
              <w:rPr>
                <w:rFonts w:hint="default" w:ascii="Times New Roman" w:hAnsi="Times New Roman" w:eastAsia="宋体"/>
                <w:smallCaps w:val="0"/>
                <w:snapToGrid w:val="0"/>
                <w:color w:val="000000"/>
                <w:kern w:val="0"/>
                <w:sz w:val="21"/>
                <w:szCs w:val="21"/>
                <w:highlight w:val="none"/>
              </w:rPr>
              <w:t>《建设项目环境影响报告表编制技术指南（污染影响类）（试行）》要求，土壤和声环境不开展专项评价，本工程专项评价具体设置情况见表1-1。</w:t>
            </w:r>
          </w:p>
          <w:p w14:paraId="2A68CA0B">
            <w:pPr>
              <w:keepNext w:val="0"/>
              <w:keepLines w:val="0"/>
              <w:suppressLineNumbers w:val="0"/>
              <w:autoSpaceDE w:val="0"/>
              <w:autoSpaceDN w:val="0"/>
              <w:adjustRightInd w:val="0"/>
              <w:snapToGrid w:val="0"/>
              <w:spacing w:before="0" w:beforeAutospacing="0" w:after="0" w:afterAutospacing="0"/>
              <w:ind w:left="0" w:right="0"/>
              <w:jc w:val="center"/>
              <w:rPr>
                <w:rFonts w:hint="eastAsia"/>
                <w:color w:val="auto"/>
                <w:kern w:val="0"/>
                <w:sz w:val="21"/>
                <w:szCs w:val="21"/>
                <w:highlight w:val="none"/>
                <w:lang w:val="en-US" w:eastAsia="zh-CN"/>
              </w:rPr>
            </w:pPr>
            <w:r>
              <w:rPr>
                <w:rFonts w:hint="eastAsia" w:ascii="Times New Roman" w:hAnsi="Times New Roman" w:eastAsia="宋体" w:cs="Times New Roman"/>
                <w:b/>
                <w:bCs/>
                <w:color w:val="auto"/>
                <w:kern w:val="0"/>
                <w:sz w:val="21"/>
                <w:szCs w:val="21"/>
                <w:highlight w:val="none"/>
                <w:lang w:val="en-US" w:eastAsia="zh-CN"/>
              </w:rPr>
              <w:t xml:space="preserve">表1-1  </w:t>
            </w:r>
            <w:r>
              <w:rPr>
                <w:rFonts w:hint="default" w:ascii="Times New Roman" w:hAnsi="Times New Roman" w:eastAsia="宋体" w:cs="Times New Roman"/>
                <w:b/>
                <w:bCs/>
                <w:color w:val="auto"/>
                <w:kern w:val="0"/>
                <w:sz w:val="21"/>
                <w:szCs w:val="21"/>
                <w:highlight w:val="none"/>
                <w:lang w:val="en-US" w:eastAsia="zh-CN"/>
              </w:rPr>
              <w:t>专项评价设置原则表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5"/>
              <w:gridCol w:w="4078"/>
              <w:gridCol w:w="1688"/>
            </w:tblGrid>
            <w:tr w14:paraId="7169C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95" w:type="dxa"/>
                  <w:tcBorders>
                    <w:tl2br w:val="nil"/>
                    <w:tr2bl w:val="nil"/>
                  </w:tcBorders>
                  <w:noWrap w:val="0"/>
                  <w:vAlign w:val="center"/>
                </w:tcPr>
                <w:p w14:paraId="1E44C077">
                  <w:pPr>
                    <w:keepNext w:val="0"/>
                    <w:keepLines w:val="0"/>
                    <w:suppressLineNumbers w:val="0"/>
                    <w:adjustRightInd w:val="0"/>
                    <w:snapToGrid w:val="0"/>
                    <w:spacing w:before="0" w:beforeAutospacing="0" w:after="0" w:afterAutospacing="0" w:line="240" w:lineRule="auto"/>
                    <w:ind w:left="0" w:right="0"/>
                    <w:jc w:val="center"/>
                    <w:rPr>
                      <w:rFonts w:hint="default"/>
                      <w:b w:val="0"/>
                      <w:bCs w:val="0"/>
                      <w:color w:val="auto"/>
                      <w:kern w:val="0"/>
                      <w:sz w:val="21"/>
                      <w:szCs w:val="21"/>
                      <w:highlight w:val="none"/>
                    </w:rPr>
                  </w:pPr>
                  <w:r>
                    <w:rPr>
                      <w:rFonts w:hint="default"/>
                      <w:b w:val="0"/>
                      <w:bCs w:val="0"/>
                      <w:color w:val="auto"/>
                      <w:kern w:val="0"/>
                      <w:sz w:val="21"/>
                      <w:szCs w:val="21"/>
                      <w:highlight w:val="none"/>
                    </w:rPr>
                    <w:t>专项评价的类别</w:t>
                  </w:r>
                </w:p>
              </w:tc>
              <w:tc>
                <w:tcPr>
                  <w:tcW w:w="4078" w:type="dxa"/>
                  <w:tcBorders>
                    <w:tl2br w:val="nil"/>
                    <w:tr2bl w:val="nil"/>
                  </w:tcBorders>
                  <w:noWrap w:val="0"/>
                  <w:vAlign w:val="center"/>
                </w:tcPr>
                <w:p w14:paraId="701FA1A9">
                  <w:pPr>
                    <w:keepNext w:val="0"/>
                    <w:keepLines w:val="0"/>
                    <w:suppressLineNumbers w:val="0"/>
                    <w:adjustRightInd w:val="0"/>
                    <w:snapToGrid w:val="0"/>
                    <w:spacing w:before="0" w:beforeAutospacing="0" w:after="0" w:afterAutospacing="0" w:line="240" w:lineRule="auto"/>
                    <w:ind w:left="0" w:right="0"/>
                    <w:jc w:val="center"/>
                    <w:rPr>
                      <w:rFonts w:hint="default"/>
                      <w:b w:val="0"/>
                      <w:bCs w:val="0"/>
                      <w:color w:val="auto"/>
                      <w:kern w:val="0"/>
                      <w:sz w:val="21"/>
                      <w:szCs w:val="21"/>
                      <w:highlight w:val="none"/>
                    </w:rPr>
                  </w:pPr>
                  <w:r>
                    <w:rPr>
                      <w:rFonts w:hint="default"/>
                      <w:b w:val="0"/>
                      <w:bCs w:val="0"/>
                      <w:color w:val="auto"/>
                      <w:kern w:val="0"/>
                      <w:sz w:val="21"/>
                      <w:szCs w:val="21"/>
                      <w:highlight w:val="none"/>
                    </w:rPr>
                    <w:t>设置原则</w:t>
                  </w:r>
                </w:p>
              </w:tc>
              <w:tc>
                <w:tcPr>
                  <w:tcW w:w="1688" w:type="dxa"/>
                  <w:tcBorders>
                    <w:tl2br w:val="nil"/>
                    <w:tr2bl w:val="nil"/>
                  </w:tcBorders>
                  <w:noWrap w:val="0"/>
                  <w:vAlign w:val="center"/>
                </w:tcPr>
                <w:p w14:paraId="23A0BB0B">
                  <w:pPr>
                    <w:keepNext w:val="0"/>
                    <w:keepLines w:val="0"/>
                    <w:suppressLineNumbers w:val="0"/>
                    <w:adjustRightInd w:val="0"/>
                    <w:snapToGrid w:val="0"/>
                    <w:spacing w:before="0" w:beforeAutospacing="0" w:after="0" w:afterAutospacing="0" w:line="240" w:lineRule="auto"/>
                    <w:ind w:left="0" w:right="0"/>
                    <w:jc w:val="center"/>
                    <w:rPr>
                      <w:rFonts w:hint="default"/>
                      <w:b w:val="0"/>
                      <w:bCs w:val="0"/>
                      <w:color w:val="auto"/>
                      <w:kern w:val="0"/>
                      <w:sz w:val="21"/>
                      <w:szCs w:val="21"/>
                      <w:highlight w:val="none"/>
                    </w:rPr>
                  </w:pPr>
                  <w:r>
                    <w:rPr>
                      <w:rFonts w:hint="default"/>
                      <w:b w:val="0"/>
                      <w:bCs w:val="0"/>
                      <w:color w:val="auto"/>
                      <w:kern w:val="0"/>
                      <w:sz w:val="21"/>
                      <w:szCs w:val="21"/>
                      <w:highlight w:val="none"/>
                    </w:rPr>
                    <w:t>本项目对应情况</w:t>
                  </w:r>
                </w:p>
              </w:tc>
            </w:tr>
            <w:tr w14:paraId="4EF04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95" w:type="dxa"/>
                  <w:tcBorders>
                    <w:tl2br w:val="nil"/>
                    <w:tr2bl w:val="nil"/>
                  </w:tcBorders>
                  <w:noWrap w:val="0"/>
                  <w:vAlign w:val="center"/>
                </w:tcPr>
                <w:p w14:paraId="39649B09">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none"/>
                    </w:rPr>
                  </w:pPr>
                  <w:r>
                    <w:rPr>
                      <w:rFonts w:hint="default"/>
                      <w:color w:val="auto"/>
                      <w:kern w:val="0"/>
                      <w:sz w:val="21"/>
                      <w:szCs w:val="21"/>
                      <w:highlight w:val="none"/>
                    </w:rPr>
                    <w:t>大气</w:t>
                  </w:r>
                </w:p>
              </w:tc>
              <w:tc>
                <w:tcPr>
                  <w:tcW w:w="4078" w:type="dxa"/>
                  <w:tcBorders>
                    <w:tl2br w:val="nil"/>
                    <w:tr2bl w:val="nil"/>
                  </w:tcBorders>
                  <w:noWrap w:val="0"/>
                  <w:vAlign w:val="center"/>
                </w:tcPr>
                <w:p w14:paraId="51A31DE2">
                  <w:pPr>
                    <w:keepNext w:val="0"/>
                    <w:keepLines w:val="0"/>
                    <w:suppressLineNumbers w:val="0"/>
                    <w:bidi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lang w:val="en-US" w:eastAsia="zh-CN"/>
                    </w:rPr>
                    <w:t>排放废气含有毒有害污染物、</w:t>
                  </w:r>
                  <w:r>
                    <w:rPr>
                      <w:rFonts w:hint="eastAsia"/>
                      <w:color w:val="auto"/>
                      <w:sz w:val="21"/>
                      <w:szCs w:val="21"/>
                      <w:highlight w:val="none"/>
                      <w:lang w:val="en-US" w:eastAsia="zh-CN"/>
                    </w:rPr>
                    <w:t>二噁英</w:t>
                  </w:r>
                  <w:r>
                    <w:rPr>
                      <w:rFonts w:hint="default"/>
                      <w:color w:val="auto"/>
                      <w:sz w:val="21"/>
                      <w:szCs w:val="21"/>
                      <w:highlight w:val="none"/>
                      <w:lang w:val="en-US" w:eastAsia="zh-CN"/>
                    </w:rPr>
                    <w:t>、苯并[a]芘、氰化物、氯气且厂界外500米范围内有环境空气保护目标的建设项目</w:t>
                  </w:r>
                </w:p>
              </w:tc>
              <w:tc>
                <w:tcPr>
                  <w:tcW w:w="1688" w:type="dxa"/>
                  <w:tcBorders>
                    <w:tl2br w:val="nil"/>
                    <w:tr2bl w:val="nil"/>
                  </w:tcBorders>
                  <w:noWrap w:val="0"/>
                  <w:vAlign w:val="center"/>
                </w:tcPr>
                <w:p w14:paraId="05D887A9">
                  <w:pPr>
                    <w:keepNext w:val="0"/>
                    <w:keepLines w:val="0"/>
                    <w:suppressLineNumbers w:val="0"/>
                    <w:bidi w:val="0"/>
                    <w:spacing w:before="0" w:beforeAutospacing="0" w:after="0" w:afterAutospacing="0" w:line="240" w:lineRule="auto"/>
                    <w:ind w:left="0" w:right="0"/>
                    <w:jc w:val="center"/>
                    <w:rPr>
                      <w:rFonts w:hint="default"/>
                      <w:color w:val="auto"/>
                      <w:kern w:val="0"/>
                      <w:sz w:val="21"/>
                      <w:szCs w:val="21"/>
                      <w:highlight w:val="none"/>
                    </w:rPr>
                  </w:pPr>
                  <w:r>
                    <w:rPr>
                      <w:rFonts w:hint="eastAsia"/>
                      <w:color w:val="auto"/>
                      <w:sz w:val="21"/>
                      <w:szCs w:val="21"/>
                      <w:highlight w:val="none"/>
                      <w:lang w:val="en-US" w:eastAsia="zh-CN"/>
                    </w:rPr>
                    <w:t>本项目排放废气污染物中不含有有毒有害污染物</w:t>
                  </w:r>
                </w:p>
              </w:tc>
            </w:tr>
            <w:tr w14:paraId="24079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95" w:type="dxa"/>
                  <w:tcBorders>
                    <w:tl2br w:val="nil"/>
                    <w:tr2bl w:val="nil"/>
                  </w:tcBorders>
                  <w:noWrap w:val="0"/>
                  <w:vAlign w:val="center"/>
                </w:tcPr>
                <w:p w14:paraId="1FE9DB4E">
                  <w:pPr>
                    <w:keepNext w:val="0"/>
                    <w:keepLines w:val="0"/>
                    <w:suppressLineNumbers w:val="0"/>
                    <w:adjustRightInd w:val="0"/>
                    <w:snapToGrid w:val="0"/>
                    <w:spacing w:before="0" w:beforeAutospacing="0" w:after="0" w:afterAutospacing="0" w:line="240" w:lineRule="auto"/>
                    <w:ind w:left="0" w:right="0"/>
                    <w:jc w:val="center"/>
                    <w:rPr>
                      <w:rFonts w:hint="default"/>
                      <w:color w:val="auto"/>
                      <w:kern w:val="0"/>
                      <w:sz w:val="21"/>
                      <w:szCs w:val="21"/>
                      <w:highlight w:val="none"/>
                    </w:rPr>
                  </w:pPr>
                  <w:r>
                    <w:rPr>
                      <w:rFonts w:hint="default"/>
                      <w:color w:val="auto"/>
                      <w:kern w:val="0"/>
                      <w:sz w:val="21"/>
                      <w:szCs w:val="21"/>
                      <w:highlight w:val="none"/>
                    </w:rPr>
                    <w:t>地表水</w:t>
                  </w:r>
                </w:p>
              </w:tc>
              <w:tc>
                <w:tcPr>
                  <w:tcW w:w="4078" w:type="dxa"/>
                  <w:tcBorders>
                    <w:tl2br w:val="nil"/>
                    <w:tr2bl w:val="nil"/>
                  </w:tcBorders>
                  <w:noWrap w:val="0"/>
                  <w:vAlign w:val="center"/>
                </w:tcPr>
                <w:p w14:paraId="2A7B1114">
                  <w:pPr>
                    <w:keepNext w:val="0"/>
                    <w:keepLines w:val="0"/>
                    <w:suppressLineNumbers w:val="0"/>
                    <w:bidi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lang w:val="en-US" w:eastAsia="zh-CN"/>
                    </w:rPr>
                    <w:t>新增工业废水直排建设项目（槽罐车外送污水处理厂的除外）﹔新增废水直排的污水集中处理厂</w:t>
                  </w:r>
                </w:p>
              </w:tc>
              <w:tc>
                <w:tcPr>
                  <w:tcW w:w="1688" w:type="dxa"/>
                  <w:tcBorders>
                    <w:tl2br w:val="nil"/>
                    <w:tr2bl w:val="nil"/>
                  </w:tcBorders>
                  <w:noWrap w:val="0"/>
                  <w:vAlign w:val="center"/>
                </w:tcPr>
                <w:p w14:paraId="12E615C9">
                  <w:pPr>
                    <w:keepNext w:val="0"/>
                    <w:keepLines w:val="0"/>
                    <w:suppressLineNumbers w:val="0"/>
                    <w:bidi w:val="0"/>
                    <w:spacing w:before="0" w:beforeAutospacing="0" w:after="0" w:afterAutospacing="0" w:line="240" w:lineRule="auto"/>
                    <w:ind w:left="0" w:right="0"/>
                    <w:jc w:val="center"/>
                    <w:rPr>
                      <w:rFonts w:hint="default"/>
                      <w:color w:val="auto"/>
                      <w:kern w:val="0"/>
                      <w:sz w:val="21"/>
                      <w:szCs w:val="21"/>
                      <w:highlight w:val="none"/>
                    </w:rPr>
                  </w:pPr>
                  <w:r>
                    <w:rPr>
                      <w:rFonts w:hint="eastAsia"/>
                      <w:color w:val="auto"/>
                      <w:sz w:val="21"/>
                      <w:szCs w:val="21"/>
                      <w:highlight w:val="none"/>
                      <w:lang w:val="en-US" w:eastAsia="zh-CN"/>
                    </w:rPr>
                    <w:t>不涉及</w:t>
                  </w:r>
                </w:p>
              </w:tc>
            </w:tr>
            <w:tr w14:paraId="3FD69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95" w:type="dxa"/>
                  <w:tcBorders>
                    <w:tl2br w:val="nil"/>
                    <w:tr2bl w:val="nil"/>
                  </w:tcBorders>
                  <w:noWrap w:val="0"/>
                  <w:vAlign w:val="center"/>
                </w:tcPr>
                <w:p w14:paraId="7EBB5107">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highlight w:val="none"/>
                      <w:lang w:eastAsia="zh-CN"/>
                    </w:rPr>
                  </w:pPr>
                  <w:r>
                    <w:rPr>
                      <w:rFonts w:hint="eastAsia"/>
                      <w:color w:val="auto"/>
                      <w:kern w:val="0"/>
                      <w:sz w:val="21"/>
                      <w:szCs w:val="21"/>
                      <w:highlight w:val="none"/>
                      <w:lang w:eastAsia="zh-CN"/>
                    </w:rPr>
                    <w:t>环境风险</w:t>
                  </w:r>
                </w:p>
              </w:tc>
              <w:tc>
                <w:tcPr>
                  <w:tcW w:w="4078" w:type="dxa"/>
                  <w:tcBorders>
                    <w:tl2br w:val="nil"/>
                    <w:tr2bl w:val="nil"/>
                  </w:tcBorders>
                  <w:noWrap w:val="0"/>
                  <w:vAlign w:val="center"/>
                </w:tcPr>
                <w:p w14:paraId="0C25283A">
                  <w:pPr>
                    <w:keepNext w:val="0"/>
                    <w:keepLines w:val="0"/>
                    <w:suppressLineNumbers w:val="0"/>
                    <w:bidi w:val="0"/>
                    <w:spacing w:before="0" w:beforeAutospacing="0" w:after="0" w:afterAutospacing="0" w:line="240" w:lineRule="auto"/>
                    <w:ind w:left="0" w:right="0"/>
                    <w:jc w:val="center"/>
                    <w:rPr>
                      <w:rFonts w:hint="default"/>
                      <w:color w:val="auto"/>
                      <w:kern w:val="0"/>
                      <w:sz w:val="21"/>
                      <w:szCs w:val="21"/>
                      <w:highlight w:val="none"/>
                    </w:rPr>
                  </w:pPr>
                  <w:r>
                    <w:rPr>
                      <w:rFonts w:hint="default"/>
                      <w:color w:val="auto"/>
                      <w:sz w:val="21"/>
                      <w:szCs w:val="21"/>
                      <w:highlight w:val="none"/>
                      <w:lang w:val="en-US" w:eastAsia="zh-CN"/>
                    </w:rPr>
                    <w:t>有毒有害和易燃易爆危险物质存储量超过临界量的建设项目</w:t>
                  </w:r>
                </w:p>
              </w:tc>
              <w:tc>
                <w:tcPr>
                  <w:tcW w:w="1688" w:type="dxa"/>
                  <w:tcBorders>
                    <w:tl2br w:val="nil"/>
                    <w:tr2bl w:val="nil"/>
                  </w:tcBorders>
                  <w:noWrap w:val="0"/>
                  <w:vAlign w:val="center"/>
                </w:tcPr>
                <w:p w14:paraId="2E843F45">
                  <w:pPr>
                    <w:keepNext w:val="0"/>
                    <w:keepLines w:val="0"/>
                    <w:suppressLineNumbers w:val="0"/>
                    <w:bidi w:val="0"/>
                    <w:spacing w:before="0" w:beforeAutospacing="0" w:after="0" w:afterAutospacing="0" w:line="240" w:lineRule="auto"/>
                    <w:ind w:left="0" w:right="0"/>
                    <w:jc w:val="center"/>
                    <w:rPr>
                      <w:rFonts w:hint="default"/>
                      <w:color w:val="auto"/>
                      <w:kern w:val="0"/>
                      <w:sz w:val="21"/>
                      <w:szCs w:val="21"/>
                      <w:highlight w:val="none"/>
                      <w:lang w:val="en-US"/>
                    </w:rPr>
                  </w:pPr>
                  <w:r>
                    <w:rPr>
                      <w:rFonts w:hint="eastAsia"/>
                      <w:color w:val="auto"/>
                      <w:sz w:val="21"/>
                      <w:szCs w:val="21"/>
                      <w:highlight w:val="none"/>
                      <w:lang w:val="en-US" w:eastAsia="zh-CN"/>
                    </w:rPr>
                    <w:t>不涉及</w:t>
                  </w:r>
                </w:p>
              </w:tc>
            </w:tr>
            <w:tr w14:paraId="70FA3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95" w:type="dxa"/>
                  <w:tcBorders>
                    <w:tl2br w:val="nil"/>
                    <w:tr2bl w:val="nil"/>
                  </w:tcBorders>
                  <w:noWrap w:val="0"/>
                  <w:vAlign w:val="center"/>
                </w:tcPr>
                <w:p w14:paraId="2D4637EF">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highlight w:val="none"/>
                      <w:lang w:eastAsia="zh-CN"/>
                    </w:rPr>
                  </w:pPr>
                  <w:r>
                    <w:rPr>
                      <w:rFonts w:hint="eastAsia"/>
                      <w:color w:val="auto"/>
                      <w:kern w:val="0"/>
                      <w:sz w:val="21"/>
                      <w:szCs w:val="21"/>
                      <w:highlight w:val="none"/>
                      <w:lang w:eastAsia="zh-CN"/>
                    </w:rPr>
                    <w:t>生态</w:t>
                  </w:r>
                </w:p>
              </w:tc>
              <w:tc>
                <w:tcPr>
                  <w:tcW w:w="4078" w:type="dxa"/>
                  <w:tcBorders>
                    <w:tl2br w:val="nil"/>
                    <w:tr2bl w:val="nil"/>
                  </w:tcBorders>
                  <w:noWrap w:val="0"/>
                  <w:vAlign w:val="center"/>
                </w:tcPr>
                <w:p w14:paraId="3EA2074B">
                  <w:pPr>
                    <w:keepNext w:val="0"/>
                    <w:keepLines w:val="0"/>
                    <w:suppressLineNumbers w:val="0"/>
                    <w:bidi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lang w:val="en-US" w:eastAsia="zh-CN"/>
                    </w:rPr>
                    <w:t>取水口下游500米范围内有重要水生生物的自然产卵场、索饵场、越冬场和洄游通道的新增河道取水的污染类建设项目</w:t>
                  </w:r>
                </w:p>
              </w:tc>
              <w:tc>
                <w:tcPr>
                  <w:tcW w:w="1688" w:type="dxa"/>
                  <w:tcBorders>
                    <w:tl2br w:val="nil"/>
                    <w:tr2bl w:val="nil"/>
                  </w:tcBorders>
                  <w:noWrap w:val="0"/>
                  <w:vAlign w:val="center"/>
                </w:tcPr>
                <w:p w14:paraId="0115A163">
                  <w:pPr>
                    <w:keepNext w:val="0"/>
                    <w:keepLines w:val="0"/>
                    <w:suppressLineNumbers w:val="0"/>
                    <w:bidi w:val="0"/>
                    <w:spacing w:before="0" w:beforeAutospacing="0" w:after="0" w:afterAutospacing="0" w:line="240" w:lineRule="auto"/>
                    <w:ind w:left="0" w:right="0"/>
                    <w:jc w:val="center"/>
                    <w:rPr>
                      <w:rFonts w:hint="default"/>
                      <w:color w:val="auto"/>
                      <w:kern w:val="0"/>
                      <w:sz w:val="21"/>
                      <w:szCs w:val="21"/>
                      <w:highlight w:val="none"/>
                    </w:rPr>
                  </w:pPr>
                  <w:r>
                    <w:rPr>
                      <w:rFonts w:hint="eastAsia"/>
                      <w:color w:val="auto"/>
                      <w:sz w:val="21"/>
                      <w:szCs w:val="21"/>
                      <w:highlight w:val="none"/>
                      <w:lang w:val="en-US" w:eastAsia="zh-CN"/>
                    </w:rPr>
                    <w:t>不涉及</w:t>
                  </w:r>
                </w:p>
              </w:tc>
            </w:tr>
            <w:tr w14:paraId="73A03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95" w:type="dxa"/>
                  <w:tcBorders>
                    <w:tl2br w:val="nil"/>
                    <w:tr2bl w:val="nil"/>
                  </w:tcBorders>
                  <w:noWrap w:val="0"/>
                  <w:vAlign w:val="center"/>
                </w:tcPr>
                <w:p w14:paraId="72B1D35D">
                  <w:pPr>
                    <w:keepNext w:val="0"/>
                    <w:keepLines w:val="0"/>
                    <w:suppressLineNumbers w:val="0"/>
                    <w:adjustRightInd w:val="0"/>
                    <w:snapToGrid w:val="0"/>
                    <w:spacing w:before="0" w:beforeAutospacing="0" w:after="0" w:afterAutospacing="0" w:line="240" w:lineRule="auto"/>
                    <w:ind w:left="0" w:right="0"/>
                    <w:jc w:val="center"/>
                    <w:rPr>
                      <w:rFonts w:hint="eastAsia" w:eastAsia="宋体"/>
                      <w:color w:val="auto"/>
                      <w:kern w:val="0"/>
                      <w:sz w:val="21"/>
                      <w:szCs w:val="21"/>
                      <w:highlight w:val="none"/>
                      <w:lang w:eastAsia="zh-CN"/>
                    </w:rPr>
                  </w:pPr>
                  <w:r>
                    <w:rPr>
                      <w:rFonts w:hint="eastAsia"/>
                      <w:color w:val="auto"/>
                      <w:kern w:val="0"/>
                      <w:sz w:val="21"/>
                      <w:szCs w:val="21"/>
                      <w:highlight w:val="none"/>
                      <w:lang w:eastAsia="zh-CN"/>
                    </w:rPr>
                    <w:t>海洋</w:t>
                  </w:r>
                </w:p>
              </w:tc>
              <w:tc>
                <w:tcPr>
                  <w:tcW w:w="4078" w:type="dxa"/>
                  <w:tcBorders>
                    <w:tl2br w:val="nil"/>
                    <w:tr2bl w:val="nil"/>
                  </w:tcBorders>
                  <w:noWrap w:val="0"/>
                  <w:vAlign w:val="center"/>
                </w:tcPr>
                <w:p w14:paraId="0EB3F3E7">
                  <w:pPr>
                    <w:keepNext w:val="0"/>
                    <w:keepLines w:val="0"/>
                    <w:suppressLineNumbers w:val="0"/>
                    <w:bidi w:val="0"/>
                    <w:spacing w:before="0" w:beforeAutospacing="0" w:after="0" w:afterAutospacing="0" w:line="240" w:lineRule="auto"/>
                    <w:ind w:left="0" w:right="0"/>
                    <w:jc w:val="center"/>
                    <w:rPr>
                      <w:rFonts w:hint="default"/>
                      <w:color w:val="auto"/>
                      <w:kern w:val="0"/>
                      <w:sz w:val="21"/>
                      <w:szCs w:val="21"/>
                      <w:highlight w:val="none"/>
                    </w:rPr>
                  </w:pPr>
                  <w:r>
                    <w:rPr>
                      <w:rFonts w:hint="default"/>
                      <w:color w:val="auto"/>
                      <w:sz w:val="21"/>
                      <w:szCs w:val="21"/>
                      <w:highlight w:val="none"/>
                      <w:lang w:val="en-US" w:eastAsia="zh-CN"/>
                    </w:rPr>
                    <w:t>直接向海排放污染物的海洋工程建设项目</w:t>
                  </w:r>
                </w:p>
              </w:tc>
              <w:tc>
                <w:tcPr>
                  <w:tcW w:w="1688" w:type="dxa"/>
                  <w:tcBorders>
                    <w:tl2br w:val="nil"/>
                    <w:tr2bl w:val="nil"/>
                  </w:tcBorders>
                  <w:noWrap w:val="0"/>
                  <w:vAlign w:val="center"/>
                </w:tcPr>
                <w:p w14:paraId="673EADDB">
                  <w:pPr>
                    <w:keepNext w:val="0"/>
                    <w:keepLines w:val="0"/>
                    <w:suppressLineNumbers w:val="0"/>
                    <w:bidi w:val="0"/>
                    <w:spacing w:before="0" w:beforeAutospacing="0" w:after="0" w:afterAutospacing="0" w:line="240" w:lineRule="auto"/>
                    <w:ind w:left="0" w:right="0"/>
                    <w:jc w:val="center"/>
                    <w:rPr>
                      <w:rFonts w:hint="default"/>
                      <w:color w:val="auto"/>
                      <w:kern w:val="0"/>
                      <w:sz w:val="21"/>
                      <w:szCs w:val="21"/>
                      <w:highlight w:val="none"/>
                    </w:rPr>
                  </w:pPr>
                  <w:r>
                    <w:rPr>
                      <w:rFonts w:hint="eastAsia"/>
                      <w:color w:val="auto"/>
                      <w:sz w:val="21"/>
                      <w:szCs w:val="21"/>
                      <w:highlight w:val="none"/>
                      <w:lang w:val="en-US" w:eastAsia="zh-CN"/>
                    </w:rPr>
                    <w:t>不涉及</w:t>
                  </w:r>
                </w:p>
              </w:tc>
            </w:tr>
          </w:tbl>
          <w:p w14:paraId="1256DA56">
            <w:pPr>
              <w:adjustRightInd w:val="0"/>
              <w:snapToGrid w:val="0"/>
              <w:jc w:val="center"/>
              <w:rPr>
                <w:rFonts w:hint="default" w:ascii="Times New Roman" w:hAnsi="Times New Roman" w:cs="Times New Roman"/>
                <w:color w:val="auto"/>
                <w:szCs w:val="21"/>
                <w:highlight w:val="none"/>
              </w:rPr>
            </w:pPr>
            <w:r>
              <w:rPr>
                <w:rFonts w:hint="eastAsia" w:ascii="Times New Roman" w:hAnsi="Times New Roman" w:eastAsia="宋体" w:cs="Times New Roman"/>
                <w:color w:val="auto"/>
                <w:kern w:val="0"/>
                <w:sz w:val="21"/>
                <w:szCs w:val="21"/>
                <w:highlight w:val="none"/>
                <w:lang w:val="en-US" w:eastAsia="zh-CN"/>
              </w:rPr>
              <w:t>根据专项设置原则，本项目无需设置专项评价。</w:t>
            </w:r>
          </w:p>
        </w:tc>
      </w:tr>
      <w:tr w14:paraId="2989B2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1683" w:type="dxa"/>
            <w:noWrap w:val="0"/>
            <w:vAlign w:val="center"/>
          </w:tcPr>
          <w:p w14:paraId="1259D25C">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规划情况</w:t>
            </w:r>
          </w:p>
        </w:tc>
        <w:tc>
          <w:tcPr>
            <w:tcW w:w="7187" w:type="dxa"/>
            <w:gridSpan w:val="3"/>
            <w:noWrap w:val="0"/>
            <w:vAlign w:val="center"/>
          </w:tcPr>
          <w:p w14:paraId="3C677123">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center"/>
              <w:textAlignment w:val="auto"/>
              <w:rPr>
                <w:rFonts w:hint="default"/>
                <w:highlight w:val="none"/>
                <w:lang w:val="en-US" w:eastAsia="zh-CN"/>
              </w:rPr>
            </w:pPr>
            <w:r>
              <w:rPr>
                <w:rFonts w:hint="eastAsia"/>
                <w:highlight w:val="none"/>
                <w:lang w:val="en-US" w:eastAsia="zh-CN"/>
              </w:rPr>
              <w:t>无</w:t>
            </w:r>
          </w:p>
        </w:tc>
      </w:tr>
      <w:tr w14:paraId="6B2E48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1683" w:type="dxa"/>
            <w:noWrap w:val="0"/>
            <w:vAlign w:val="center"/>
          </w:tcPr>
          <w:p w14:paraId="38EA8DC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规划环境影响</w:t>
            </w:r>
          </w:p>
          <w:p w14:paraId="1B58117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评价情况</w:t>
            </w:r>
          </w:p>
        </w:tc>
        <w:tc>
          <w:tcPr>
            <w:tcW w:w="7187" w:type="dxa"/>
            <w:gridSpan w:val="3"/>
            <w:noWrap w:val="0"/>
            <w:vAlign w:val="center"/>
          </w:tcPr>
          <w:p w14:paraId="4F1E3085">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center"/>
              <w:textAlignment w:val="auto"/>
              <w:rPr>
                <w:rFonts w:hint="eastAsia"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无</w:t>
            </w:r>
          </w:p>
        </w:tc>
      </w:tr>
      <w:tr w14:paraId="039C14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1683" w:type="dxa"/>
            <w:noWrap w:val="0"/>
            <w:vAlign w:val="center"/>
          </w:tcPr>
          <w:p w14:paraId="6F748F2E">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规划及规划环境影响评价符合性分析</w:t>
            </w:r>
          </w:p>
        </w:tc>
        <w:tc>
          <w:tcPr>
            <w:tcW w:w="7187" w:type="dxa"/>
            <w:gridSpan w:val="3"/>
            <w:noWrap w:val="0"/>
            <w:vAlign w:val="center"/>
          </w:tcPr>
          <w:p w14:paraId="187A361C">
            <w:pPr>
              <w:keepNext w:val="0"/>
              <w:keepLines w:val="0"/>
              <w:pageBreakBefore w:val="0"/>
              <w:widowControl w:val="0"/>
              <w:kinsoku/>
              <w:wordWrap w:val="0"/>
              <w:overflowPunct/>
              <w:topLinePunct w:val="0"/>
              <w:autoSpaceDE w:val="0"/>
              <w:autoSpaceDN w:val="0"/>
              <w:bidi w:val="0"/>
              <w:adjustRightInd w:val="0"/>
              <w:snapToGrid w:val="0"/>
              <w:spacing w:line="360" w:lineRule="auto"/>
              <w:ind w:firstLine="0" w:firstLineChars="0"/>
              <w:jc w:val="center"/>
              <w:textAlignment w:val="auto"/>
              <w:rPr>
                <w:rFonts w:hint="default" w:hAnsiTheme="minorEastAsia" w:eastAsiaTheme="minorEastAsia"/>
                <w:sz w:val="21"/>
                <w:szCs w:val="21"/>
                <w:highlight w:val="none"/>
                <w:lang w:val="en-US" w:eastAsia="zh-CN"/>
              </w:rPr>
            </w:pPr>
            <w:r>
              <w:rPr>
                <w:rFonts w:hint="eastAsia" w:cs="Times New Roman"/>
                <w:b w:val="0"/>
                <w:bCs w:val="0"/>
                <w:color w:val="auto"/>
                <w:spacing w:val="0"/>
                <w:kern w:val="0"/>
                <w:sz w:val="21"/>
                <w:szCs w:val="21"/>
                <w:highlight w:val="none"/>
                <w:lang w:val="en-US" w:eastAsia="zh-CN"/>
              </w:rPr>
              <w:t>无</w:t>
            </w:r>
          </w:p>
        </w:tc>
      </w:tr>
      <w:tr w14:paraId="5CC8AB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683" w:type="dxa"/>
            <w:noWrap w:val="0"/>
            <w:vAlign w:val="center"/>
          </w:tcPr>
          <w:p w14:paraId="64A8868D">
            <w:pPr>
              <w:autoSpaceDE w:val="0"/>
              <w:autoSpaceDN w:val="0"/>
              <w:adjustRightInd w:val="0"/>
              <w:snapToGrid w:val="0"/>
              <w:jc w:val="center"/>
              <w:rPr>
                <w:rFonts w:hint="default" w:ascii="Times New Roman" w:hAnsi="Times New Roman" w:cs="Times New Roman"/>
                <w:color w:val="auto"/>
                <w:kern w:val="0"/>
                <w:szCs w:val="21"/>
                <w:highlight w:val="yellow"/>
              </w:rPr>
            </w:pPr>
            <w:r>
              <w:rPr>
                <w:rFonts w:hint="default" w:ascii="Times New Roman" w:hAnsi="Times New Roman" w:cs="Times New Roman"/>
                <w:color w:val="auto"/>
                <w:kern w:val="0"/>
                <w:szCs w:val="21"/>
                <w:highlight w:val="none"/>
              </w:rPr>
              <w:t>其他符合性分析</w:t>
            </w:r>
          </w:p>
        </w:tc>
        <w:tc>
          <w:tcPr>
            <w:tcW w:w="7187" w:type="dxa"/>
            <w:gridSpan w:val="3"/>
            <w:noWrap w:val="0"/>
            <w:vAlign w:val="center"/>
          </w:tcPr>
          <w:p w14:paraId="2089D84C">
            <w:pPr>
              <w:spacing w:line="360" w:lineRule="auto"/>
              <w:ind w:firstLine="482" w:firstLineChars="200"/>
              <w:rPr>
                <w:rFonts w:hint="default" w:ascii="Times New Roman" w:hAnsi="Times New Roman" w:cs="Times New Roman"/>
                <w:b/>
                <w:bCs/>
                <w:color w:val="auto"/>
                <w:sz w:val="24"/>
                <w:szCs w:val="24"/>
                <w:highlight w:val="yellow"/>
              </w:rPr>
            </w:pPr>
            <w:r>
              <w:rPr>
                <w:rFonts w:hint="default" w:ascii="Times New Roman" w:hAnsi="Times New Roman" w:cs="Times New Roman"/>
                <w:b/>
                <w:bCs/>
                <w:color w:val="auto"/>
                <w:sz w:val="24"/>
                <w:szCs w:val="24"/>
                <w:highlight w:val="none"/>
              </w:rPr>
              <w:t>1</w:t>
            </w:r>
            <w:r>
              <w:rPr>
                <w:rFonts w:hint="default" w:ascii="Times New Roman" w:hAnsi="Times New Roman" w:cs="Times New Roman"/>
                <w:b/>
                <w:bCs/>
                <w:color w:val="auto"/>
                <w:sz w:val="24"/>
                <w:szCs w:val="24"/>
                <w:highlight w:val="yellow"/>
              </w:rPr>
              <w:t>.与</w:t>
            </w:r>
            <w:r>
              <w:rPr>
                <w:rFonts w:hint="default" w:ascii="Times New Roman" w:hAnsi="Times New Roman" w:cs="Times New Roman"/>
                <w:b/>
                <w:bCs/>
                <w:color w:val="auto"/>
                <w:sz w:val="24"/>
                <w:szCs w:val="24"/>
                <w:highlight w:val="yellow"/>
                <w:lang w:val="en-US" w:eastAsia="zh-CN"/>
              </w:rPr>
              <w:t>生态环境分区管控</w:t>
            </w:r>
            <w:r>
              <w:rPr>
                <w:rFonts w:hint="default" w:ascii="Times New Roman" w:hAnsi="Times New Roman" w:cs="Times New Roman"/>
                <w:b/>
                <w:bCs/>
                <w:color w:val="auto"/>
                <w:sz w:val="24"/>
                <w:szCs w:val="24"/>
                <w:highlight w:val="yellow"/>
              </w:rPr>
              <w:t>符合性分析</w:t>
            </w:r>
          </w:p>
          <w:p w14:paraId="04FE533F">
            <w:pPr>
              <w:keepNext w:val="0"/>
              <w:keepLines w:val="0"/>
              <w:pageBreakBefore w:val="0"/>
              <w:widowControl w:val="0"/>
              <w:kinsoku/>
              <w:wordWrap/>
              <w:overflowPunct/>
              <w:topLinePunct w:val="0"/>
              <w:autoSpaceDE w:val="0"/>
              <w:autoSpaceDN w:val="0"/>
              <w:bidi w:val="0"/>
              <w:adjustRightInd w:val="0"/>
              <w:snapToGrid w:val="0"/>
              <w:spacing w:line="360" w:lineRule="auto"/>
              <w:ind w:leftChars="0" w:firstLine="480" w:firstLineChars="200"/>
              <w:jc w:val="both"/>
              <w:textAlignment w:val="auto"/>
              <w:rPr>
                <w:rFonts w:hint="default" w:ascii="Times New Roman" w:hAnsi="Times New Roman" w:eastAsia="宋体" w:cs="Times New Roman"/>
                <w:color w:val="auto"/>
                <w:spacing w:val="0"/>
                <w:kern w:val="0"/>
                <w:sz w:val="24"/>
                <w:szCs w:val="24"/>
                <w:highlight w:val="none"/>
                <w:lang w:val="en-US" w:eastAsia="zh-CN"/>
              </w:rPr>
            </w:pPr>
            <w:r>
              <w:rPr>
                <w:rFonts w:hint="default" w:ascii="Times New Roman" w:hAnsi="Times New Roman" w:eastAsia="宋体" w:cs="Times New Roman"/>
                <w:color w:val="auto"/>
                <w:spacing w:val="0"/>
                <w:kern w:val="0"/>
                <w:sz w:val="24"/>
                <w:szCs w:val="24"/>
                <w:highlight w:val="none"/>
                <w:lang w:val="en-US" w:eastAsia="zh-CN"/>
              </w:rPr>
              <w:t>本项目位于黑龙江省</w:t>
            </w:r>
            <w:r>
              <w:rPr>
                <w:rFonts w:hint="eastAsia" w:cs="Times New Roman"/>
                <w:color w:val="auto"/>
                <w:spacing w:val="0"/>
                <w:kern w:val="0"/>
                <w:sz w:val="24"/>
                <w:szCs w:val="24"/>
                <w:highlight w:val="none"/>
                <w:lang w:val="en-US" w:eastAsia="zh-CN"/>
              </w:rPr>
              <w:t>双鸭山</w:t>
            </w:r>
            <w:r>
              <w:rPr>
                <w:rFonts w:hint="eastAsia" w:ascii="Times New Roman" w:hAnsi="Times New Roman" w:eastAsia="宋体" w:cs="Times New Roman"/>
                <w:color w:val="auto"/>
                <w:spacing w:val="0"/>
                <w:kern w:val="0"/>
                <w:sz w:val="24"/>
                <w:szCs w:val="24"/>
                <w:highlight w:val="none"/>
                <w:lang w:val="en-US" w:eastAsia="zh-CN"/>
              </w:rPr>
              <w:t>市</w:t>
            </w:r>
            <w:r>
              <w:rPr>
                <w:rFonts w:hint="eastAsia" w:cs="Times New Roman"/>
                <w:color w:val="auto"/>
                <w:spacing w:val="0"/>
                <w:kern w:val="0"/>
                <w:sz w:val="24"/>
                <w:szCs w:val="24"/>
                <w:highlight w:val="none"/>
                <w:lang w:val="en-US" w:eastAsia="zh-CN"/>
              </w:rPr>
              <w:t>宝山区</w:t>
            </w:r>
            <w:r>
              <w:rPr>
                <w:rFonts w:hint="eastAsia" w:ascii="Times New Roman" w:hAnsi="Times New Roman" w:eastAsia="宋体" w:cs="Times New Roman"/>
                <w:color w:val="auto"/>
                <w:spacing w:val="0"/>
                <w:kern w:val="0"/>
                <w:sz w:val="24"/>
                <w:szCs w:val="24"/>
                <w:highlight w:val="none"/>
                <w:lang w:val="en-US" w:eastAsia="zh-CN"/>
              </w:rPr>
              <w:t>友谊农场第八管理区</w:t>
            </w:r>
            <w:r>
              <w:rPr>
                <w:rFonts w:hint="default" w:ascii="Times New Roman" w:hAnsi="Times New Roman" w:eastAsia="宋体" w:cs="Times New Roman"/>
                <w:color w:val="auto"/>
                <w:spacing w:val="0"/>
                <w:kern w:val="0"/>
                <w:sz w:val="24"/>
                <w:szCs w:val="24"/>
                <w:highlight w:val="none"/>
                <w:lang w:val="en-US" w:eastAsia="zh-CN"/>
              </w:rPr>
              <w:t>。根据《黑龙江省人民政府关于实施“三线一单”生态环境分区管控的意见》（黑政发〔2020〕14号）、</w:t>
            </w:r>
            <w:r>
              <w:rPr>
                <w:rFonts w:hint="eastAsia"/>
                <w:sz w:val="24"/>
                <w:szCs w:val="24"/>
                <w:highlight w:val="none"/>
              </w:rPr>
              <w:t>双鸭山市人民政府关于实施“三线一单”生态环境分区管控的意见</w:t>
            </w:r>
            <w:r>
              <w:rPr>
                <w:sz w:val="24"/>
                <w:szCs w:val="24"/>
                <w:highlight w:val="none"/>
              </w:rPr>
              <w:t>》（双政规〔2021〕2号）及</w:t>
            </w:r>
            <w:r>
              <w:rPr>
                <w:rFonts w:hint="eastAsia" w:ascii="Times New Roman" w:hAnsi="Times New Roman" w:eastAsia="宋体" w:cs="Times New Roman"/>
                <w:color w:val="auto"/>
                <w:spacing w:val="0"/>
                <w:kern w:val="0"/>
                <w:sz w:val="24"/>
                <w:szCs w:val="24"/>
                <w:highlight w:val="none"/>
                <w:lang w:val="en-US" w:eastAsia="zh-CN"/>
              </w:rPr>
              <w:t>、《</w:t>
            </w:r>
            <w:r>
              <w:rPr>
                <w:rFonts w:hint="default" w:ascii="Times New Roman" w:hAnsi="Times New Roman" w:eastAsia="宋体" w:cs="Times New Roman"/>
                <w:color w:val="auto"/>
                <w:spacing w:val="0"/>
                <w:kern w:val="0"/>
                <w:sz w:val="24"/>
                <w:szCs w:val="24"/>
                <w:highlight w:val="none"/>
                <w:lang w:val="en-US" w:eastAsia="zh-CN"/>
              </w:rPr>
              <w:t>自然资源部办公厅关于依据“三区三线”划定成果报批建设项目用地用海有关事宜的函》（自然资办函〔2022〕2072号）</w:t>
            </w:r>
            <w:r>
              <w:rPr>
                <w:rFonts w:hint="eastAsia" w:cs="Times New Roman"/>
                <w:color w:val="auto"/>
                <w:spacing w:val="0"/>
                <w:kern w:val="0"/>
                <w:sz w:val="24"/>
                <w:szCs w:val="24"/>
                <w:highlight w:val="none"/>
                <w:lang w:val="en-US" w:eastAsia="zh-CN"/>
              </w:rPr>
              <w:t>以及</w:t>
            </w:r>
            <w:r>
              <w:rPr>
                <w:sz w:val="24"/>
                <w:szCs w:val="24"/>
                <w:highlight w:val="none"/>
              </w:rPr>
              <w:t>《</w:t>
            </w:r>
            <w:bookmarkStart w:id="25" w:name="_Toc12967"/>
            <w:bookmarkStart w:id="26" w:name="_Toc26531"/>
            <w:r>
              <w:rPr>
                <w:rFonts w:hint="eastAsia"/>
                <w:sz w:val="24"/>
                <w:szCs w:val="24"/>
                <w:highlight w:val="none"/>
              </w:rPr>
              <w:t>双鸭山市生态环境准入清单</w:t>
            </w:r>
            <w:bookmarkEnd w:id="25"/>
            <w:bookmarkEnd w:id="26"/>
            <w:r>
              <w:rPr>
                <w:sz w:val="24"/>
                <w:szCs w:val="24"/>
                <w:highlight w:val="none"/>
              </w:rPr>
              <w:t>（2023年版）》中要求</w:t>
            </w:r>
            <w:r>
              <w:rPr>
                <w:rFonts w:hint="eastAsia" w:ascii="Times New Roman" w:hAnsi="Times New Roman" w:eastAsia="宋体" w:cs="Times New Roman"/>
                <w:color w:val="auto"/>
                <w:spacing w:val="0"/>
                <w:kern w:val="0"/>
                <w:sz w:val="24"/>
                <w:szCs w:val="24"/>
                <w:highlight w:val="none"/>
                <w:lang w:val="en-US" w:eastAsia="zh-CN"/>
              </w:rPr>
              <w:t>依据黑龙江省生态环境分区管控平台所出具的《黑龙江金磐装配式水泥制品制造有限责任公司年产7万吨水泥预制件建设项目生态环境生态环境分区管控分析报告》，</w:t>
            </w:r>
            <w:r>
              <w:rPr>
                <w:rFonts w:hint="eastAsia"/>
                <w:color w:val="auto"/>
                <w:sz w:val="24"/>
                <w:szCs w:val="24"/>
                <w:highlight w:val="none"/>
              </w:rPr>
              <w:t>项目用地性质为</w:t>
            </w:r>
            <w:r>
              <w:rPr>
                <w:rFonts w:hint="eastAsia"/>
                <w:color w:val="auto"/>
                <w:sz w:val="24"/>
                <w:szCs w:val="24"/>
                <w:highlight w:val="none"/>
                <w:lang w:eastAsia="zh-CN"/>
              </w:rPr>
              <w:t>建设</w:t>
            </w:r>
            <w:r>
              <w:rPr>
                <w:rFonts w:hint="eastAsia"/>
                <w:color w:val="auto"/>
                <w:sz w:val="24"/>
                <w:szCs w:val="24"/>
                <w:highlight w:val="none"/>
              </w:rPr>
              <w:t>用地，用地性质符合国家规定。厂区地理位置交通便利，基础设施齐全，与周边环境协调。项目不在风景名胜区、自然保护区、水源保护区及其他需要特别保护的区域内，没有明显的环境制约因素，项目选址合理。</w:t>
            </w:r>
            <w:r>
              <w:rPr>
                <w:rFonts w:hint="default" w:ascii="Times New Roman" w:hAnsi="Times New Roman" w:eastAsia="宋体" w:cs="Times New Roman"/>
                <w:color w:val="auto"/>
                <w:spacing w:val="0"/>
                <w:kern w:val="0"/>
                <w:sz w:val="24"/>
                <w:szCs w:val="24"/>
                <w:highlight w:val="none"/>
                <w:lang w:val="en-US" w:eastAsia="zh-CN"/>
              </w:rPr>
              <w:t>本工程与“三线一单”符合性情况见下表</w:t>
            </w:r>
            <w:r>
              <w:rPr>
                <w:rFonts w:hint="eastAsia" w:cs="Times New Roman"/>
                <w:color w:val="auto"/>
                <w:spacing w:val="0"/>
                <w:kern w:val="0"/>
                <w:sz w:val="24"/>
                <w:szCs w:val="24"/>
                <w:highlight w:val="none"/>
                <w:lang w:val="en-US" w:eastAsia="zh-CN"/>
              </w:rPr>
              <w:t>1-2</w:t>
            </w:r>
            <w:r>
              <w:rPr>
                <w:rFonts w:hint="default" w:ascii="Times New Roman" w:hAnsi="Times New Roman" w:eastAsia="宋体" w:cs="Times New Roman"/>
                <w:color w:val="auto"/>
                <w:spacing w:val="0"/>
                <w:kern w:val="0"/>
                <w:sz w:val="24"/>
                <w:szCs w:val="24"/>
                <w:highlight w:val="none"/>
                <w:lang w:val="en-US" w:eastAsia="zh-CN"/>
              </w:rPr>
              <w:t>。</w:t>
            </w:r>
          </w:p>
          <w:p w14:paraId="58D54CA5">
            <w:pPr>
              <w:keepNext w:val="0"/>
              <w:keepLines w:val="0"/>
              <w:pageBreakBefore w:val="0"/>
              <w:widowControl w:val="0"/>
              <w:kinsoku/>
              <w:wordWrap/>
              <w:overflowPunct/>
              <w:topLinePunct w:val="0"/>
              <w:autoSpaceDE w:val="0"/>
              <w:autoSpaceDN w:val="0"/>
              <w:bidi w:val="0"/>
              <w:adjustRightInd w:val="0"/>
              <w:snapToGrid w:val="0"/>
              <w:spacing w:line="360" w:lineRule="auto"/>
              <w:ind w:leftChars="0" w:firstLine="480" w:firstLineChars="200"/>
              <w:jc w:val="both"/>
              <w:textAlignment w:val="auto"/>
              <w:rPr>
                <w:rFonts w:hint="default" w:ascii="Times New Roman" w:hAnsi="Times New Roman" w:eastAsia="宋体" w:cs="Times New Roman"/>
                <w:color w:val="auto"/>
                <w:spacing w:val="0"/>
                <w:kern w:val="0"/>
                <w:sz w:val="24"/>
                <w:szCs w:val="24"/>
                <w:highlight w:val="none"/>
                <w:lang w:val="en-US" w:eastAsia="zh-CN"/>
              </w:rPr>
            </w:pPr>
            <w:r>
              <w:rPr>
                <w:rFonts w:hint="default" w:ascii="Times New Roman" w:hAnsi="Times New Roman" w:eastAsia="宋体" w:cs="Times New Roman"/>
                <w:color w:val="auto"/>
                <w:spacing w:val="0"/>
                <w:kern w:val="0"/>
                <w:sz w:val="24"/>
                <w:szCs w:val="24"/>
                <w:highlight w:val="none"/>
                <w:lang w:val="en-US" w:eastAsia="zh-CN"/>
              </w:rPr>
              <w:t>（1）生态保护红线</w:t>
            </w:r>
          </w:p>
          <w:p w14:paraId="4539978A">
            <w:pPr>
              <w:keepNext w:val="0"/>
              <w:keepLines w:val="0"/>
              <w:pageBreakBefore w:val="0"/>
              <w:widowControl w:val="0"/>
              <w:kinsoku/>
              <w:wordWrap/>
              <w:overflowPunct/>
              <w:topLinePunct w:val="0"/>
              <w:autoSpaceDE w:val="0"/>
              <w:autoSpaceDN w:val="0"/>
              <w:bidi w:val="0"/>
              <w:adjustRightInd w:val="0"/>
              <w:snapToGrid w:val="0"/>
              <w:spacing w:line="360" w:lineRule="auto"/>
              <w:ind w:leftChars="0" w:firstLine="480" w:firstLineChars="200"/>
              <w:jc w:val="both"/>
              <w:textAlignment w:val="auto"/>
              <w:rPr>
                <w:rFonts w:hint="default" w:ascii="Times New Roman" w:hAnsi="Times New Roman" w:eastAsia="宋体" w:cs="Times New Roman"/>
                <w:color w:val="auto"/>
                <w:spacing w:val="0"/>
                <w:kern w:val="0"/>
                <w:sz w:val="24"/>
                <w:szCs w:val="24"/>
                <w:highlight w:val="yellow"/>
                <w:lang w:val="en-US" w:eastAsia="zh-CN"/>
              </w:rPr>
            </w:pPr>
            <w:r>
              <w:rPr>
                <w:rFonts w:hint="default" w:ascii="Times New Roman" w:hAnsi="Times New Roman" w:eastAsia="宋体" w:cs="Times New Roman"/>
                <w:color w:val="auto"/>
                <w:spacing w:val="0"/>
                <w:kern w:val="0"/>
                <w:sz w:val="24"/>
                <w:szCs w:val="24"/>
                <w:highlight w:val="none"/>
                <w:lang w:val="en-US" w:eastAsia="zh-CN"/>
              </w:rPr>
              <w:t>本项目位于黑龙江省</w:t>
            </w:r>
            <w:r>
              <w:rPr>
                <w:rFonts w:hint="eastAsia" w:cs="Times New Roman"/>
                <w:color w:val="auto"/>
                <w:spacing w:val="0"/>
                <w:kern w:val="0"/>
                <w:sz w:val="24"/>
                <w:szCs w:val="24"/>
                <w:highlight w:val="none"/>
                <w:lang w:val="en-US" w:eastAsia="zh-CN"/>
              </w:rPr>
              <w:t>双鸭山</w:t>
            </w:r>
            <w:r>
              <w:rPr>
                <w:rFonts w:hint="eastAsia" w:ascii="Times New Roman" w:hAnsi="Times New Roman" w:eastAsia="宋体" w:cs="Times New Roman"/>
                <w:color w:val="auto"/>
                <w:spacing w:val="0"/>
                <w:kern w:val="0"/>
                <w:sz w:val="24"/>
                <w:szCs w:val="24"/>
                <w:highlight w:val="none"/>
                <w:lang w:val="en-US" w:eastAsia="zh-CN"/>
              </w:rPr>
              <w:t>市</w:t>
            </w:r>
            <w:r>
              <w:rPr>
                <w:rFonts w:hint="eastAsia" w:cs="Times New Roman"/>
                <w:color w:val="auto"/>
                <w:spacing w:val="0"/>
                <w:kern w:val="0"/>
                <w:sz w:val="24"/>
                <w:szCs w:val="24"/>
                <w:highlight w:val="none"/>
                <w:lang w:val="en-US" w:eastAsia="zh-CN"/>
              </w:rPr>
              <w:t>宝山区</w:t>
            </w:r>
            <w:r>
              <w:rPr>
                <w:rFonts w:hint="eastAsia" w:ascii="Times New Roman" w:hAnsi="Times New Roman" w:eastAsia="宋体" w:cs="Times New Roman"/>
                <w:color w:val="auto"/>
                <w:spacing w:val="0"/>
                <w:kern w:val="0"/>
                <w:sz w:val="24"/>
                <w:szCs w:val="24"/>
                <w:highlight w:val="none"/>
                <w:lang w:val="en-US" w:eastAsia="zh-CN"/>
              </w:rPr>
              <w:t>友谊农场第八管理区</w:t>
            </w:r>
            <w:r>
              <w:rPr>
                <w:rFonts w:hint="default" w:ascii="Times New Roman" w:hAnsi="Times New Roman" w:eastAsia="宋体" w:cs="Times New Roman"/>
                <w:color w:val="auto"/>
                <w:spacing w:val="0"/>
                <w:kern w:val="0"/>
                <w:sz w:val="24"/>
                <w:szCs w:val="24"/>
                <w:highlight w:val="none"/>
                <w:lang w:val="en-US" w:eastAsia="zh-CN"/>
              </w:rPr>
              <w:t>，不占用生态保护红线。</w:t>
            </w:r>
          </w:p>
          <w:p w14:paraId="021ABAF9">
            <w:pPr>
              <w:keepNext w:val="0"/>
              <w:keepLines w:val="0"/>
              <w:pageBreakBefore w:val="0"/>
              <w:widowControl w:val="0"/>
              <w:kinsoku/>
              <w:wordWrap/>
              <w:overflowPunct/>
              <w:topLinePunct w:val="0"/>
              <w:autoSpaceDE w:val="0"/>
              <w:autoSpaceDN w:val="0"/>
              <w:bidi w:val="0"/>
              <w:adjustRightInd w:val="0"/>
              <w:snapToGrid w:val="0"/>
              <w:spacing w:line="360" w:lineRule="auto"/>
              <w:ind w:leftChars="0" w:firstLine="480" w:firstLineChars="200"/>
              <w:jc w:val="both"/>
              <w:textAlignment w:val="auto"/>
              <w:rPr>
                <w:rFonts w:hint="default" w:ascii="Times New Roman" w:hAnsi="Times New Roman" w:eastAsia="宋体" w:cs="Times New Roman"/>
                <w:color w:val="auto"/>
                <w:spacing w:val="0"/>
                <w:kern w:val="0"/>
                <w:sz w:val="24"/>
                <w:szCs w:val="24"/>
                <w:highlight w:val="none"/>
                <w:lang w:val="en-US" w:eastAsia="zh-CN"/>
              </w:rPr>
            </w:pPr>
            <w:r>
              <w:rPr>
                <w:rFonts w:hint="default" w:ascii="Times New Roman" w:hAnsi="Times New Roman" w:eastAsia="宋体" w:cs="Times New Roman"/>
                <w:color w:val="auto"/>
                <w:spacing w:val="0"/>
                <w:kern w:val="0"/>
                <w:sz w:val="24"/>
                <w:szCs w:val="24"/>
                <w:highlight w:val="none"/>
                <w:lang w:val="en-US" w:eastAsia="zh-CN"/>
              </w:rPr>
              <w:t>（2）环境质量底线</w:t>
            </w:r>
          </w:p>
          <w:p w14:paraId="64127A1B">
            <w:pPr>
              <w:pStyle w:val="26"/>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pacing w:val="0"/>
                <w:kern w:val="0"/>
                <w:sz w:val="24"/>
                <w:szCs w:val="24"/>
                <w:highlight w:val="yellow"/>
                <w:lang w:val="en-US" w:eastAsia="zh-CN" w:bidi="ar-SA"/>
              </w:rPr>
            </w:pPr>
            <w:r>
              <w:rPr>
                <w:kern w:val="0"/>
                <w:sz w:val="24"/>
                <w:highlight w:val="none"/>
              </w:rPr>
              <w:t>本项目运营期针对各类污染物均采取了有效的防治措施确保达标排放，对周围环境影响较小，不会改变项目所在地周边环境的环境功能质量现状，符合环境质量控制底线要求。</w:t>
            </w:r>
          </w:p>
          <w:p w14:paraId="30A1FB2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0" w:right="0" w:rightChars="0"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（3）资源利用上线</w:t>
            </w:r>
          </w:p>
          <w:p w14:paraId="18911AED">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w:t>
            </w:r>
            <w:r>
              <w:rPr>
                <w:rFonts w:hint="eastAsia" w:ascii="Times New Roman" w:hAnsi="Times New Roman" w:cs="Times New Roman"/>
                <w:color w:val="auto"/>
                <w:sz w:val="24"/>
                <w:szCs w:val="24"/>
                <w:highlight w:val="none"/>
                <w:lang w:eastAsia="zh-CN"/>
              </w:rPr>
              <w:t>生产采用</w:t>
            </w:r>
            <w:r>
              <w:rPr>
                <w:rFonts w:hint="eastAsia" w:ascii="Times New Roman" w:hAnsi="Times New Roman" w:cs="Times New Roman"/>
                <w:color w:val="auto"/>
                <w:sz w:val="24"/>
                <w:szCs w:val="24"/>
                <w:highlight w:val="none"/>
                <w:lang w:val="en-US" w:eastAsia="zh-CN"/>
              </w:rPr>
              <w:t>燃</w:t>
            </w:r>
            <w:r>
              <w:rPr>
                <w:rFonts w:hint="eastAsia" w:cs="Times New Roman"/>
                <w:color w:val="auto"/>
                <w:sz w:val="24"/>
                <w:szCs w:val="24"/>
                <w:highlight w:val="none"/>
                <w:lang w:val="en-US" w:eastAsia="zh-CN"/>
              </w:rPr>
              <w:t>生物质</w:t>
            </w:r>
            <w:r>
              <w:rPr>
                <w:rFonts w:hint="eastAsia" w:ascii="Times New Roman" w:hAnsi="Times New Roman" w:cs="Times New Roman"/>
                <w:color w:val="auto"/>
                <w:sz w:val="24"/>
                <w:szCs w:val="24"/>
                <w:highlight w:val="none"/>
                <w:lang w:val="en-US" w:eastAsia="zh-CN"/>
              </w:rPr>
              <w:t>蒸汽</w:t>
            </w:r>
            <w:r>
              <w:rPr>
                <w:rFonts w:hint="eastAsia" w:cs="Times New Roman"/>
                <w:color w:val="auto"/>
                <w:sz w:val="24"/>
                <w:szCs w:val="24"/>
                <w:highlight w:val="none"/>
                <w:lang w:val="en-US" w:eastAsia="zh-CN"/>
              </w:rPr>
              <w:t>发生器</w:t>
            </w:r>
            <w:r>
              <w:rPr>
                <w:rFonts w:hint="default" w:ascii="Times New Roman" w:hAnsi="Times New Roman" w:cs="Times New Roman"/>
                <w:color w:val="auto"/>
                <w:sz w:val="24"/>
                <w:szCs w:val="24"/>
                <w:highlight w:val="none"/>
              </w:rPr>
              <w:t>，供电电源为当地供电电网，供电电源可靠，用水水源为</w:t>
            </w:r>
            <w:r>
              <w:rPr>
                <w:rFonts w:hint="eastAsia" w:ascii="Times New Roman" w:hAnsi="Times New Roman" w:cs="Times New Roman"/>
                <w:color w:val="auto"/>
                <w:sz w:val="24"/>
                <w:szCs w:val="24"/>
                <w:highlight w:val="none"/>
                <w:lang w:val="en-US" w:eastAsia="zh-CN"/>
              </w:rPr>
              <w:t>厂区</w:t>
            </w:r>
            <w:r>
              <w:rPr>
                <w:rFonts w:hint="eastAsia" w:cs="Times New Roman"/>
                <w:color w:val="auto"/>
                <w:sz w:val="24"/>
                <w:szCs w:val="24"/>
                <w:highlight w:val="none"/>
                <w:lang w:val="en-US" w:eastAsia="zh-CN"/>
              </w:rPr>
              <w:t>外购</w:t>
            </w:r>
            <w:r>
              <w:rPr>
                <w:rFonts w:hint="default" w:ascii="Times New Roman" w:hAnsi="Times New Roman" w:cs="Times New Roman"/>
                <w:color w:val="auto"/>
                <w:sz w:val="24"/>
                <w:szCs w:val="24"/>
                <w:highlight w:val="none"/>
              </w:rPr>
              <w:t>，项目用水主要为生活用水</w:t>
            </w:r>
            <w:r>
              <w:rPr>
                <w:rFonts w:hint="eastAsia" w:ascii="Times New Roman" w:hAnsi="Times New Roman" w:cs="Times New Roman"/>
                <w:color w:val="auto"/>
                <w:sz w:val="24"/>
                <w:szCs w:val="24"/>
                <w:highlight w:val="none"/>
                <w:lang w:val="en-US" w:eastAsia="zh-CN"/>
              </w:rPr>
              <w:t>和生产用水</w:t>
            </w:r>
            <w:r>
              <w:rPr>
                <w:rFonts w:hint="default" w:ascii="Times New Roman" w:hAnsi="Times New Roman" w:cs="Times New Roman"/>
                <w:color w:val="auto"/>
                <w:sz w:val="24"/>
                <w:szCs w:val="24"/>
                <w:highlight w:val="none"/>
              </w:rPr>
              <w:t>，资源消耗量相对于区域资源利用总量较小，符合资源利用上线要求。</w:t>
            </w:r>
          </w:p>
          <w:p w14:paraId="4FEAD72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0" w:right="0" w:rightChars="0"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（4）生态环境准入清单</w:t>
            </w:r>
          </w:p>
          <w:p w14:paraId="415687AF">
            <w:pPr>
              <w:autoSpaceDE w:val="0"/>
              <w:autoSpaceDN w:val="0"/>
              <w:adjustRightInd w:val="0"/>
              <w:snapToGrid w:val="0"/>
              <w:jc w:val="center"/>
              <w:rPr>
                <w:rFonts w:hint="eastAsia"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w:t>
            </w: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 xml:space="preserve"> </w:t>
            </w:r>
            <w:r>
              <w:rPr>
                <w:rFonts w:hint="default" w:ascii="Times New Roman" w:hAnsi="Times New Roman" w:eastAsia="宋体" w:cs="Times New Roman"/>
                <w:b/>
                <w:bCs/>
                <w:color w:val="auto"/>
                <w:sz w:val="24"/>
                <w:szCs w:val="24"/>
                <w:highlight w:val="none"/>
                <w:lang w:val="en-US" w:eastAsia="zh-CN"/>
              </w:rPr>
              <w:t>生态环境准入清单</w:t>
            </w:r>
            <w:r>
              <w:rPr>
                <w:rFonts w:hint="default" w:ascii="Times New Roman" w:hAnsi="Times New Roman" w:eastAsia="宋体" w:cs="Times New Roman"/>
                <w:b/>
                <w:bCs/>
                <w:color w:val="auto"/>
                <w:sz w:val="24"/>
                <w:szCs w:val="24"/>
                <w:highlight w:val="none"/>
              </w:rPr>
              <w:t>管控要求符合性分析</w:t>
            </w:r>
          </w:p>
          <w:tbl>
            <w:tblPr>
              <w:tblStyle w:val="32"/>
              <w:tblpPr w:leftFromText="180" w:rightFromText="180" w:vertAnchor="text" w:tblpX="5" w:tblpY="1"/>
              <w:tblOverlap w:val="never"/>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1"/>
              <w:gridCol w:w="425"/>
              <w:gridCol w:w="425"/>
              <w:gridCol w:w="424"/>
              <w:gridCol w:w="2347"/>
              <w:gridCol w:w="1698"/>
            </w:tblGrid>
            <w:tr w14:paraId="5895AD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4" w:type="pct"/>
                  <w:noWrap w:val="0"/>
                  <w:vAlign w:val="center"/>
                </w:tcPr>
                <w:p w14:paraId="7C6E0A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42" w:leftChars="-20" w:right="-42" w:rightChars="-20" w:firstLine="0" w:firstLineChars="0"/>
                    <w:jc w:val="center"/>
                    <w:textAlignment w:val="auto"/>
                    <w:rPr>
                      <w:rFonts w:hint="default" w:ascii="Times New Roman" w:hAnsi="Times New Roman" w:eastAsia="宋体" w:cs="Times New Roman"/>
                      <w:color w:val="000000"/>
                      <w:spacing w:val="0"/>
                      <w:sz w:val="21"/>
                      <w:szCs w:val="21"/>
                      <w:highlight w:val="none"/>
                    </w:rPr>
                  </w:pPr>
                  <w:r>
                    <w:rPr>
                      <w:rFonts w:hint="default" w:ascii="Times New Roman" w:hAnsi="Times New Roman" w:eastAsia="宋体" w:cs="Times New Roman"/>
                      <w:color w:val="000000"/>
                      <w:spacing w:val="0"/>
                      <w:sz w:val="21"/>
                      <w:szCs w:val="21"/>
                      <w:highlight w:val="none"/>
                    </w:rPr>
                    <w:t>环境管控单元编码</w:t>
                  </w:r>
                </w:p>
              </w:tc>
              <w:tc>
                <w:tcPr>
                  <w:tcW w:w="304" w:type="pct"/>
                  <w:noWrap w:val="0"/>
                  <w:vAlign w:val="center"/>
                </w:tcPr>
                <w:p w14:paraId="6B8D87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42" w:leftChars="-20" w:right="-42" w:rightChars="-20" w:firstLine="0" w:firstLineChars="0"/>
                    <w:jc w:val="center"/>
                    <w:textAlignment w:val="auto"/>
                    <w:rPr>
                      <w:rFonts w:hint="default" w:ascii="Times New Roman" w:hAnsi="Times New Roman" w:eastAsia="宋体" w:cs="Times New Roman"/>
                      <w:color w:val="000000"/>
                      <w:spacing w:val="0"/>
                      <w:sz w:val="21"/>
                      <w:szCs w:val="21"/>
                      <w:highlight w:val="none"/>
                      <w:lang w:eastAsia="zh-CN"/>
                    </w:rPr>
                  </w:pPr>
                  <w:r>
                    <w:rPr>
                      <w:rFonts w:hint="default" w:ascii="Times New Roman" w:hAnsi="Times New Roman" w:eastAsia="宋体" w:cs="Times New Roman"/>
                      <w:color w:val="000000"/>
                      <w:spacing w:val="0"/>
                      <w:sz w:val="21"/>
                      <w:szCs w:val="21"/>
                      <w:highlight w:val="none"/>
                    </w:rPr>
                    <w:t>环境管控单元名称</w:t>
                  </w:r>
                </w:p>
              </w:tc>
              <w:tc>
                <w:tcPr>
                  <w:tcW w:w="304" w:type="pct"/>
                  <w:noWrap w:val="0"/>
                  <w:vAlign w:val="center"/>
                </w:tcPr>
                <w:p w14:paraId="3F7F88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none"/>
                    </w:rPr>
                  </w:pPr>
                  <w:r>
                    <w:rPr>
                      <w:rFonts w:hint="default" w:ascii="Times New Roman" w:hAnsi="Times New Roman" w:eastAsia="宋体" w:cs="Times New Roman"/>
                      <w:color w:val="000000"/>
                      <w:spacing w:val="0"/>
                      <w:sz w:val="21"/>
                      <w:szCs w:val="21"/>
                      <w:highlight w:val="none"/>
                    </w:rPr>
                    <w:t>管控单元类别</w:t>
                  </w:r>
                </w:p>
              </w:tc>
              <w:tc>
                <w:tcPr>
                  <w:tcW w:w="1987" w:type="pct"/>
                  <w:gridSpan w:val="2"/>
                  <w:noWrap w:val="0"/>
                  <w:vAlign w:val="center"/>
                </w:tcPr>
                <w:p w14:paraId="00ACB2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none"/>
                    </w:rPr>
                  </w:pPr>
                  <w:r>
                    <w:rPr>
                      <w:rFonts w:hint="default" w:ascii="Times New Roman" w:hAnsi="Times New Roman" w:eastAsia="宋体" w:cs="Times New Roman"/>
                      <w:color w:val="000000"/>
                      <w:spacing w:val="0"/>
                      <w:kern w:val="0"/>
                      <w:sz w:val="21"/>
                      <w:szCs w:val="21"/>
                      <w:highlight w:val="none"/>
                    </w:rPr>
                    <w:t>管控要求</w:t>
                  </w:r>
                </w:p>
              </w:tc>
              <w:tc>
                <w:tcPr>
                  <w:tcW w:w="1218" w:type="pct"/>
                  <w:noWrap w:val="0"/>
                  <w:vAlign w:val="center"/>
                </w:tcPr>
                <w:p w14:paraId="4216A8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none"/>
                    </w:rPr>
                  </w:pPr>
                  <w:r>
                    <w:rPr>
                      <w:rFonts w:hint="default" w:ascii="Times New Roman" w:hAnsi="Times New Roman" w:eastAsia="宋体" w:cs="Times New Roman"/>
                      <w:color w:val="000000"/>
                      <w:spacing w:val="0"/>
                      <w:sz w:val="21"/>
                      <w:szCs w:val="21"/>
                      <w:highlight w:val="none"/>
                    </w:rPr>
                    <w:t>符合性</w:t>
                  </w:r>
                </w:p>
                <w:p w14:paraId="1D42C1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none"/>
                    </w:rPr>
                  </w:pPr>
                  <w:r>
                    <w:rPr>
                      <w:rFonts w:hint="default" w:ascii="Times New Roman" w:hAnsi="Times New Roman" w:eastAsia="宋体" w:cs="Times New Roman"/>
                      <w:color w:val="000000"/>
                      <w:spacing w:val="0"/>
                      <w:sz w:val="21"/>
                      <w:szCs w:val="21"/>
                      <w:highlight w:val="none"/>
                    </w:rPr>
                    <w:t>分析</w:t>
                  </w:r>
                </w:p>
              </w:tc>
            </w:tr>
            <w:tr w14:paraId="666C0A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4" w:type="pct"/>
                  <w:vMerge w:val="restart"/>
                  <w:noWrap w:val="0"/>
                  <w:vAlign w:val="center"/>
                </w:tcPr>
                <w:p w14:paraId="3329CC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yellow"/>
                      <w:lang w:val="en-US" w:eastAsia="zh-CN"/>
                    </w:rPr>
                  </w:pPr>
                  <w:r>
                    <w:rPr>
                      <w:rFonts w:hint="eastAsia"/>
                      <w:snapToGrid w:val="0"/>
                      <w:color w:val="auto"/>
                      <w:kern w:val="0"/>
                      <w:sz w:val="21"/>
                      <w:szCs w:val="21"/>
                      <w:highlight w:val="none"/>
                    </w:rPr>
                    <w:t>ZH230</w:t>
                  </w:r>
                  <w:r>
                    <w:rPr>
                      <w:rFonts w:hint="eastAsia"/>
                      <w:snapToGrid w:val="0"/>
                      <w:color w:val="auto"/>
                      <w:kern w:val="0"/>
                      <w:sz w:val="21"/>
                      <w:szCs w:val="21"/>
                      <w:highlight w:val="none"/>
                      <w:lang w:val="en-US" w:eastAsia="zh-CN"/>
                    </w:rPr>
                    <w:t>50630002</w:t>
                  </w:r>
                </w:p>
              </w:tc>
              <w:tc>
                <w:tcPr>
                  <w:tcW w:w="304" w:type="pct"/>
                  <w:vMerge w:val="restart"/>
                  <w:noWrap w:val="0"/>
                  <w:vAlign w:val="center"/>
                </w:tcPr>
                <w:p w14:paraId="487E9A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none"/>
                      <w:lang w:val="en-US" w:eastAsia="zh-CN"/>
                    </w:rPr>
                  </w:pPr>
                  <w:r>
                    <w:rPr>
                      <w:rFonts w:hint="eastAsia"/>
                      <w:snapToGrid w:val="0"/>
                      <w:color w:val="auto"/>
                      <w:kern w:val="0"/>
                      <w:sz w:val="21"/>
                      <w:szCs w:val="21"/>
                      <w:highlight w:val="none"/>
                      <w:lang w:val="en-US" w:eastAsia="zh-CN"/>
                    </w:rPr>
                    <w:t>宝山区其他区域</w:t>
                  </w:r>
                </w:p>
              </w:tc>
              <w:tc>
                <w:tcPr>
                  <w:tcW w:w="304" w:type="pct"/>
                  <w:vMerge w:val="restart"/>
                  <w:noWrap w:val="0"/>
                  <w:vAlign w:val="center"/>
                </w:tcPr>
                <w:p w14:paraId="39832B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none"/>
                      <w:lang w:val="en-US" w:eastAsia="zh-CN"/>
                    </w:rPr>
                  </w:pPr>
                  <w:r>
                    <w:rPr>
                      <w:rFonts w:hint="eastAsia" w:cs="Times New Roman"/>
                      <w:color w:val="000000"/>
                      <w:spacing w:val="0"/>
                      <w:sz w:val="21"/>
                      <w:szCs w:val="21"/>
                      <w:highlight w:val="none"/>
                      <w:lang w:val="en-US" w:eastAsia="zh-CN"/>
                    </w:rPr>
                    <w:t>一般</w:t>
                  </w:r>
                  <w:r>
                    <w:rPr>
                      <w:rFonts w:hint="default" w:ascii="Times New Roman" w:hAnsi="Times New Roman" w:eastAsia="宋体" w:cs="Times New Roman"/>
                      <w:color w:val="000000"/>
                      <w:spacing w:val="0"/>
                      <w:sz w:val="21"/>
                      <w:szCs w:val="21"/>
                      <w:highlight w:val="none"/>
                      <w:lang w:val="en-US" w:eastAsia="zh-CN"/>
                    </w:rPr>
                    <w:t>管控单元</w:t>
                  </w:r>
                </w:p>
              </w:tc>
              <w:tc>
                <w:tcPr>
                  <w:tcW w:w="304" w:type="pct"/>
                  <w:noWrap w:val="0"/>
                  <w:vAlign w:val="center"/>
                </w:tcPr>
                <w:p w14:paraId="621F1BD7">
                  <w:pPr>
                    <w:spacing w:line="0" w:lineRule="atLeast"/>
                    <w:contextualSpacing/>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rPr>
                    <w:t>空间布局约束</w:t>
                  </w:r>
                </w:p>
              </w:tc>
              <w:tc>
                <w:tcPr>
                  <w:tcW w:w="1683" w:type="pct"/>
                  <w:noWrap w:val="0"/>
                  <w:vAlign w:val="center"/>
                </w:tcPr>
                <w:p w14:paraId="1B3D1D8A">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color w:val="auto"/>
                      <w:spacing w:val="0"/>
                      <w:kern w:val="2"/>
                      <w:sz w:val="21"/>
                      <w:szCs w:val="21"/>
                      <w:highlight w:val="none"/>
                      <w:lang w:val="en-US" w:eastAsia="zh-CN" w:bidi="zh-CN"/>
                    </w:rPr>
                  </w:pPr>
                  <w:r>
                    <w:rPr>
                      <w:rFonts w:hint="eastAsia"/>
                      <w:highlight w:val="none"/>
                    </w:rPr>
                    <w:t>1.引导工业项目向开发区集中，促进产业集聚、资源集约、绿色发展。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1218" w:type="pct"/>
                  <w:vMerge w:val="restart"/>
                  <w:noWrap w:val="0"/>
                  <w:vAlign w:val="center"/>
                </w:tcPr>
                <w:p w14:paraId="5DD3AC0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000000"/>
                      <w:spacing w:val="0"/>
                      <w:sz w:val="21"/>
                      <w:szCs w:val="21"/>
                      <w:highlight w:val="yellow"/>
                      <w:lang w:eastAsia="zh-CN"/>
                    </w:rPr>
                  </w:pPr>
                  <w:r>
                    <w:rPr>
                      <w:rFonts w:hint="eastAsia" w:ascii="Times New Roman" w:hAnsi="Times New Roman" w:eastAsia="宋体" w:cs="Times New Roman"/>
                      <w:color w:val="000000"/>
                      <w:spacing w:val="0"/>
                      <w:sz w:val="21"/>
                      <w:szCs w:val="21"/>
                      <w:highlight w:val="none"/>
                      <w:lang w:val="en-US" w:eastAsia="zh-CN"/>
                    </w:rPr>
                    <w:t>拟建</w:t>
                  </w:r>
                  <w:r>
                    <w:rPr>
                      <w:rFonts w:hint="default" w:ascii="Times New Roman" w:hAnsi="Times New Roman" w:eastAsia="宋体" w:cs="Times New Roman"/>
                      <w:color w:val="000000"/>
                      <w:spacing w:val="0"/>
                      <w:sz w:val="21"/>
                      <w:szCs w:val="21"/>
                      <w:highlight w:val="none"/>
                      <w:lang w:eastAsia="zh-CN"/>
                    </w:rPr>
                    <w:t>项目位于黑龙江省</w:t>
                  </w:r>
                  <w:r>
                    <w:rPr>
                      <w:rFonts w:hint="eastAsia" w:cs="Times New Roman"/>
                      <w:color w:val="000000"/>
                      <w:spacing w:val="0"/>
                      <w:sz w:val="21"/>
                      <w:szCs w:val="21"/>
                      <w:highlight w:val="none"/>
                      <w:lang w:val="en-US" w:eastAsia="zh-CN"/>
                    </w:rPr>
                    <w:t>双鸭山市宝山区友谊农场第八管理区</w:t>
                  </w:r>
                  <w:r>
                    <w:rPr>
                      <w:rFonts w:hint="eastAsia" w:cs="Times New Roman"/>
                      <w:color w:val="auto"/>
                      <w:spacing w:val="0"/>
                      <w:kern w:val="0"/>
                      <w:sz w:val="21"/>
                      <w:szCs w:val="21"/>
                      <w:highlight w:val="none"/>
                      <w:lang w:val="en-US" w:eastAsia="zh-CN" w:bidi="ar-SA"/>
                    </w:rPr>
                    <w:t>。</w:t>
                  </w:r>
                  <w:r>
                    <w:rPr>
                      <w:rFonts w:hint="default" w:ascii="Times New Roman" w:hAnsi="Times New Roman" w:eastAsia="宋体" w:cs="Times New Roman"/>
                      <w:color w:val="000000"/>
                      <w:spacing w:val="0"/>
                      <w:sz w:val="21"/>
                      <w:szCs w:val="21"/>
                      <w:highlight w:val="none"/>
                      <w:lang w:eastAsia="zh-CN"/>
                    </w:rPr>
                    <w:t>为</w:t>
                  </w:r>
                  <w:r>
                    <w:rPr>
                      <w:rFonts w:hint="eastAsia" w:cs="Times New Roman"/>
                      <w:color w:val="000000"/>
                      <w:spacing w:val="0"/>
                      <w:sz w:val="21"/>
                      <w:szCs w:val="21"/>
                      <w:highlight w:val="none"/>
                      <w:lang w:val="en-US" w:eastAsia="zh-CN"/>
                    </w:rPr>
                    <w:t>水泥制品制造项目。本项目生产采用2.5t/h燃生物质蒸汽发生器（一用一备），不属于淘汰类。</w:t>
                  </w:r>
                  <w:r>
                    <w:rPr>
                      <w:rFonts w:hint="default" w:ascii="Times New Roman" w:hAnsi="Times New Roman" w:eastAsia="宋体" w:cs="Times New Roman"/>
                      <w:color w:val="000000"/>
                      <w:spacing w:val="0"/>
                      <w:sz w:val="21"/>
                      <w:szCs w:val="21"/>
                      <w:highlight w:val="none"/>
                      <w:lang w:eastAsia="zh-CN"/>
                    </w:rPr>
                    <w:t>产生废气为</w:t>
                  </w:r>
                  <w:r>
                    <w:rPr>
                      <w:rFonts w:hint="eastAsia" w:cs="Times New Roman"/>
                      <w:color w:val="000000"/>
                      <w:spacing w:val="0"/>
                      <w:sz w:val="21"/>
                      <w:szCs w:val="21"/>
                      <w:highlight w:val="none"/>
                      <w:lang w:val="en-US" w:eastAsia="zh-CN"/>
                    </w:rPr>
                    <w:t>蒸汽发生器</w:t>
                  </w:r>
                  <w:r>
                    <w:rPr>
                      <w:rFonts w:hint="default" w:ascii="Times New Roman" w:hAnsi="Times New Roman" w:eastAsia="宋体" w:cs="Times New Roman"/>
                      <w:color w:val="000000"/>
                      <w:spacing w:val="0"/>
                      <w:sz w:val="21"/>
                      <w:szCs w:val="21"/>
                      <w:highlight w:val="none"/>
                      <w:lang w:eastAsia="zh-CN"/>
                    </w:rPr>
                    <w:t>烟气，本项目</w:t>
                  </w:r>
                  <w:r>
                    <w:rPr>
                      <w:rFonts w:hint="eastAsia" w:cs="Times New Roman"/>
                      <w:color w:val="000000"/>
                      <w:spacing w:val="0"/>
                      <w:sz w:val="21"/>
                      <w:szCs w:val="21"/>
                      <w:highlight w:val="none"/>
                      <w:lang w:val="en-US" w:eastAsia="zh-CN"/>
                    </w:rPr>
                    <w:t>燃生物质蒸汽发生器</w:t>
                  </w:r>
                  <w:r>
                    <w:rPr>
                      <w:rFonts w:hint="default" w:ascii="Times New Roman" w:hAnsi="Times New Roman" w:eastAsia="宋体" w:cs="Times New Roman"/>
                      <w:color w:val="000000"/>
                      <w:spacing w:val="0"/>
                      <w:sz w:val="21"/>
                      <w:szCs w:val="21"/>
                      <w:highlight w:val="none"/>
                      <w:lang w:eastAsia="zh-CN"/>
                    </w:rPr>
                    <w:t>安装</w:t>
                  </w:r>
                  <w:r>
                    <w:rPr>
                      <w:rFonts w:hint="eastAsia" w:cs="Times New Roman"/>
                      <w:color w:val="000000"/>
                      <w:spacing w:val="0"/>
                      <w:sz w:val="21"/>
                      <w:szCs w:val="21"/>
                      <w:highlight w:val="none"/>
                      <w:lang w:val="en-US" w:eastAsia="zh-CN"/>
                    </w:rPr>
                    <w:t>低氮燃烧器+旋风除尘+布袋除尘器</w:t>
                  </w:r>
                  <w:r>
                    <w:rPr>
                      <w:rFonts w:hint="default" w:ascii="Times New Roman" w:hAnsi="Times New Roman" w:eastAsia="宋体" w:cs="Times New Roman"/>
                      <w:color w:val="000000"/>
                      <w:spacing w:val="0"/>
                      <w:sz w:val="21"/>
                      <w:szCs w:val="21"/>
                      <w:highlight w:val="none"/>
                      <w:lang w:eastAsia="zh-CN"/>
                    </w:rPr>
                    <w:t>处理烟气，烟气处理达标后经</w:t>
                  </w:r>
                  <w:r>
                    <w:rPr>
                      <w:rFonts w:hint="eastAsia" w:cs="Times New Roman"/>
                      <w:color w:val="000000"/>
                      <w:spacing w:val="0"/>
                      <w:sz w:val="21"/>
                      <w:szCs w:val="21"/>
                      <w:highlight w:val="none"/>
                      <w:lang w:val="en-US" w:eastAsia="zh-CN"/>
                    </w:rPr>
                    <w:t>30</w:t>
                  </w:r>
                  <w:r>
                    <w:rPr>
                      <w:rFonts w:hint="default" w:ascii="Times New Roman" w:hAnsi="Times New Roman" w:eastAsia="宋体" w:cs="Times New Roman"/>
                      <w:color w:val="000000"/>
                      <w:spacing w:val="0"/>
                      <w:sz w:val="21"/>
                      <w:szCs w:val="21"/>
                      <w:highlight w:val="none"/>
                      <w:lang w:eastAsia="zh-CN"/>
                    </w:rPr>
                    <w:t>m</w:t>
                  </w:r>
                  <w:r>
                    <w:rPr>
                      <w:rFonts w:hint="eastAsia" w:ascii="Times New Roman" w:hAnsi="Times New Roman" w:eastAsia="宋体" w:cs="Times New Roman"/>
                      <w:color w:val="000000"/>
                      <w:spacing w:val="0"/>
                      <w:sz w:val="21"/>
                      <w:szCs w:val="21"/>
                      <w:highlight w:val="none"/>
                      <w:lang w:val="en-US" w:eastAsia="zh-CN"/>
                    </w:rPr>
                    <w:t>高</w:t>
                  </w:r>
                  <w:r>
                    <w:rPr>
                      <w:rFonts w:hint="default" w:ascii="Times New Roman" w:hAnsi="Times New Roman" w:eastAsia="宋体" w:cs="Times New Roman"/>
                      <w:color w:val="000000"/>
                      <w:spacing w:val="0"/>
                      <w:sz w:val="21"/>
                      <w:szCs w:val="21"/>
                      <w:highlight w:val="none"/>
                      <w:lang w:eastAsia="zh-CN"/>
                    </w:rPr>
                    <w:t>烟囱排放，排放浓度满足《锅炉大气污染物排放标准》（GB13271-2014）表</w:t>
                  </w:r>
                  <w:r>
                    <w:rPr>
                      <w:rFonts w:hint="eastAsia" w:ascii="Times New Roman" w:hAnsi="Times New Roman" w:eastAsia="宋体" w:cs="Times New Roman"/>
                      <w:color w:val="000000"/>
                      <w:spacing w:val="0"/>
                      <w:sz w:val="21"/>
                      <w:szCs w:val="21"/>
                      <w:highlight w:val="none"/>
                      <w:lang w:val="en-US" w:eastAsia="zh-CN"/>
                    </w:rPr>
                    <w:t>2</w:t>
                  </w:r>
                  <w:r>
                    <w:rPr>
                      <w:rFonts w:hint="default" w:ascii="Times New Roman" w:hAnsi="Times New Roman" w:eastAsia="宋体" w:cs="Times New Roman"/>
                      <w:color w:val="000000"/>
                      <w:spacing w:val="0"/>
                      <w:sz w:val="21"/>
                      <w:szCs w:val="21"/>
                      <w:highlight w:val="none"/>
                      <w:lang w:eastAsia="zh-CN"/>
                    </w:rPr>
                    <w:t>中</w:t>
                  </w:r>
                  <w:r>
                    <w:rPr>
                      <w:rFonts w:hint="eastAsia" w:ascii="Times New Roman" w:hAnsi="Times New Roman" w:eastAsia="宋体" w:cs="Times New Roman"/>
                      <w:color w:val="000000"/>
                      <w:spacing w:val="0"/>
                      <w:sz w:val="21"/>
                      <w:szCs w:val="21"/>
                      <w:highlight w:val="none"/>
                      <w:lang w:val="en-US" w:eastAsia="zh-CN"/>
                    </w:rPr>
                    <w:t>规定限值</w:t>
                  </w:r>
                  <w:r>
                    <w:rPr>
                      <w:rFonts w:hint="eastAsia" w:cs="Times New Roman"/>
                      <w:color w:val="000000"/>
                      <w:spacing w:val="0"/>
                      <w:sz w:val="21"/>
                      <w:szCs w:val="21"/>
                      <w:highlight w:val="none"/>
                      <w:lang w:eastAsia="zh-CN"/>
                    </w:rPr>
                    <w:t>。</w:t>
                  </w:r>
                  <w:r>
                    <w:rPr>
                      <w:rFonts w:hint="eastAsia" w:cs="Times New Roman"/>
                      <w:color w:val="000000"/>
                      <w:spacing w:val="0"/>
                      <w:sz w:val="21"/>
                      <w:szCs w:val="21"/>
                      <w:highlight w:val="none"/>
                      <w:lang w:val="en-US" w:eastAsia="zh-CN"/>
                    </w:rPr>
                    <w:t>本项目生活污水排入厂区防渗旱厕，定期清掏外运堆肥；生产废水经沉淀池沉淀后回用不外排。</w:t>
                  </w:r>
                </w:p>
              </w:tc>
            </w:tr>
            <w:tr w14:paraId="2B8036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4" w:type="pct"/>
                  <w:vMerge w:val="continue"/>
                  <w:noWrap w:val="0"/>
                  <w:vAlign w:val="center"/>
                </w:tcPr>
                <w:p w14:paraId="390579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yellow"/>
                    </w:rPr>
                  </w:pPr>
                </w:p>
              </w:tc>
              <w:tc>
                <w:tcPr>
                  <w:tcW w:w="304" w:type="pct"/>
                  <w:vMerge w:val="continue"/>
                  <w:noWrap w:val="0"/>
                  <w:vAlign w:val="center"/>
                </w:tcPr>
                <w:p w14:paraId="71477D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kern w:val="0"/>
                      <w:sz w:val="21"/>
                      <w:szCs w:val="21"/>
                      <w:highlight w:val="yellow"/>
                    </w:rPr>
                  </w:pPr>
                </w:p>
              </w:tc>
              <w:tc>
                <w:tcPr>
                  <w:tcW w:w="304" w:type="pct"/>
                  <w:vMerge w:val="continue"/>
                  <w:noWrap w:val="0"/>
                  <w:vAlign w:val="center"/>
                </w:tcPr>
                <w:p w14:paraId="269979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yellow"/>
                    </w:rPr>
                  </w:pPr>
                </w:p>
              </w:tc>
              <w:tc>
                <w:tcPr>
                  <w:tcW w:w="304" w:type="pct"/>
                  <w:noWrap w:val="0"/>
                  <w:vAlign w:val="center"/>
                </w:tcPr>
                <w:p w14:paraId="3EBE28A0">
                  <w:pPr>
                    <w:spacing w:line="0" w:lineRule="atLeast"/>
                    <w:contextualSpacing/>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rPr>
                    <w:t>污染物排放管控</w:t>
                  </w:r>
                </w:p>
              </w:tc>
              <w:tc>
                <w:tcPr>
                  <w:tcW w:w="1683" w:type="pct"/>
                  <w:noWrap w:val="0"/>
                  <w:vAlign w:val="center"/>
                </w:tcPr>
                <w:p w14:paraId="3BBAF269">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kern w:val="0"/>
                      <w:sz w:val="21"/>
                      <w:szCs w:val="21"/>
                      <w:highlight w:val="none"/>
                      <w:lang w:val="zh-CN" w:eastAsia="zh-CN" w:bidi="zh-CN"/>
                    </w:rPr>
                  </w:pPr>
                  <w:r>
                    <w:rPr>
                      <w:rFonts w:hint="eastAsia"/>
                      <w:color w:val="auto"/>
                      <w:spacing w:val="-3"/>
                      <w:kern w:val="0"/>
                      <w:sz w:val="21"/>
                      <w:szCs w:val="21"/>
                      <w:highlight w:val="none"/>
                      <w:lang w:val="en-US" w:bidi="zh-CN"/>
                    </w:rPr>
                    <w:t>/</w:t>
                  </w:r>
                </w:p>
              </w:tc>
              <w:tc>
                <w:tcPr>
                  <w:tcW w:w="1218" w:type="pct"/>
                  <w:vMerge w:val="continue"/>
                  <w:noWrap w:val="0"/>
                  <w:vAlign w:val="center"/>
                </w:tcPr>
                <w:p w14:paraId="62EDB2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yellow"/>
                      <w:lang w:eastAsia="zh-CN"/>
                    </w:rPr>
                  </w:pPr>
                </w:p>
              </w:tc>
            </w:tr>
            <w:tr w14:paraId="33F894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84" w:type="pct"/>
                  <w:vMerge w:val="continue"/>
                  <w:noWrap w:val="0"/>
                  <w:vAlign w:val="center"/>
                </w:tcPr>
                <w:p w14:paraId="178DA5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yellow"/>
                    </w:rPr>
                  </w:pPr>
                </w:p>
              </w:tc>
              <w:tc>
                <w:tcPr>
                  <w:tcW w:w="304" w:type="pct"/>
                  <w:vMerge w:val="continue"/>
                  <w:noWrap w:val="0"/>
                  <w:vAlign w:val="center"/>
                </w:tcPr>
                <w:p w14:paraId="7A585D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kern w:val="0"/>
                      <w:sz w:val="21"/>
                      <w:szCs w:val="21"/>
                      <w:highlight w:val="yellow"/>
                    </w:rPr>
                  </w:pPr>
                </w:p>
              </w:tc>
              <w:tc>
                <w:tcPr>
                  <w:tcW w:w="304" w:type="pct"/>
                  <w:vMerge w:val="continue"/>
                  <w:noWrap w:val="0"/>
                  <w:vAlign w:val="center"/>
                </w:tcPr>
                <w:p w14:paraId="16073A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yellow"/>
                    </w:rPr>
                  </w:pPr>
                </w:p>
              </w:tc>
              <w:tc>
                <w:tcPr>
                  <w:tcW w:w="304" w:type="pct"/>
                  <w:noWrap w:val="0"/>
                  <w:vAlign w:val="center"/>
                </w:tcPr>
                <w:p w14:paraId="71F1395A">
                  <w:pPr>
                    <w:spacing w:line="0" w:lineRule="atLeast"/>
                    <w:contextualSpacing/>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环境风险防控</w:t>
                  </w:r>
                </w:p>
              </w:tc>
              <w:tc>
                <w:tcPr>
                  <w:tcW w:w="1683" w:type="pct"/>
                  <w:noWrap w:val="0"/>
                  <w:vAlign w:val="center"/>
                </w:tcPr>
                <w:p w14:paraId="6E7FFA36">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仿宋_GB2312" w:hAnsi="仿宋_GB2312" w:eastAsia="仿宋_GB2312" w:cs="仿宋_GB2312"/>
                      <w:color w:val="auto"/>
                      <w:szCs w:val="21"/>
                      <w:highlight w:val="none"/>
                      <w:lang w:val="en-US" w:eastAsia="zh-CN"/>
                    </w:rPr>
                  </w:pPr>
                  <w:r>
                    <w:rPr>
                      <w:rFonts w:hint="eastAsia"/>
                      <w:color w:val="auto"/>
                      <w:spacing w:val="-3"/>
                      <w:kern w:val="0"/>
                      <w:sz w:val="21"/>
                      <w:szCs w:val="21"/>
                      <w:highlight w:val="none"/>
                      <w:lang w:val="en-US" w:bidi="zh-CN"/>
                    </w:rPr>
                    <w:t>/</w:t>
                  </w:r>
                </w:p>
              </w:tc>
              <w:tc>
                <w:tcPr>
                  <w:tcW w:w="1218" w:type="pct"/>
                  <w:vMerge w:val="continue"/>
                  <w:noWrap w:val="0"/>
                  <w:vAlign w:val="center"/>
                </w:tcPr>
                <w:p w14:paraId="3CA63A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pacing w:val="0"/>
                      <w:sz w:val="21"/>
                      <w:szCs w:val="21"/>
                      <w:highlight w:val="yellow"/>
                      <w:lang w:eastAsia="zh-CN"/>
                    </w:rPr>
                  </w:pPr>
                </w:p>
              </w:tc>
            </w:tr>
          </w:tbl>
          <w:p w14:paraId="6AAA2439">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pacing w:val="0"/>
                <w:kern w:val="0"/>
                <w:sz w:val="24"/>
                <w:szCs w:val="24"/>
                <w:highlight w:val="none"/>
                <w:lang w:val="en-US" w:eastAsia="zh-CN"/>
              </w:rPr>
            </w:pPr>
            <w:r>
              <w:rPr>
                <w:rFonts w:hint="default" w:ascii="Times New Roman" w:hAnsi="Times New Roman" w:eastAsia="宋体" w:cs="Times New Roman"/>
                <w:b/>
                <w:bCs/>
                <w:color w:val="auto"/>
                <w:spacing w:val="0"/>
                <w:kern w:val="0"/>
                <w:sz w:val="24"/>
                <w:szCs w:val="24"/>
                <w:highlight w:val="none"/>
                <w:lang w:val="en-US" w:eastAsia="zh-CN"/>
              </w:rPr>
              <w:t>2.产业政策符合性分析</w:t>
            </w:r>
          </w:p>
          <w:p w14:paraId="1A87E75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spacing w:val="0"/>
                <w:kern w:val="0"/>
                <w:sz w:val="24"/>
                <w:szCs w:val="24"/>
                <w:highlight w:val="yellow"/>
                <w:lang w:val="en-US" w:eastAsia="zh-CN"/>
              </w:rPr>
            </w:pPr>
            <w:r>
              <w:rPr>
                <w:rFonts w:hint="eastAsia" w:ascii="Times New Roman" w:hAnsi="Times New Roman" w:eastAsia="宋体" w:cs="Times New Roman"/>
                <w:b w:val="0"/>
                <w:bCs w:val="0"/>
                <w:color w:val="auto"/>
                <w:spacing w:val="0"/>
                <w:kern w:val="0"/>
                <w:sz w:val="24"/>
                <w:szCs w:val="24"/>
                <w:highlight w:val="yellow"/>
                <w:lang w:val="en-US" w:eastAsia="zh-CN"/>
              </w:rPr>
              <w:t>拟建项目为</w:t>
            </w:r>
            <w:r>
              <w:rPr>
                <w:rFonts w:hint="eastAsia" w:cs="Times New Roman"/>
                <w:b w:val="0"/>
                <w:bCs w:val="0"/>
                <w:color w:val="auto"/>
                <w:spacing w:val="0"/>
                <w:kern w:val="0"/>
                <w:sz w:val="24"/>
                <w:szCs w:val="24"/>
                <w:highlight w:val="yellow"/>
                <w:lang w:val="en-US" w:eastAsia="zh-CN"/>
              </w:rPr>
              <w:t>C3021水泥制品制造</w:t>
            </w:r>
            <w:r>
              <w:rPr>
                <w:rFonts w:hint="eastAsia" w:ascii="Times New Roman" w:hAnsi="Times New Roman" w:eastAsia="宋体" w:cs="Times New Roman"/>
                <w:b w:val="0"/>
                <w:bCs w:val="0"/>
                <w:color w:val="auto"/>
                <w:spacing w:val="0"/>
                <w:kern w:val="0"/>
                <w:sz w:val="24"/>
                <w:szCs w:val="24"/>
                <w:highlight w:val="yellow"/>
                <w:lang w:val="en-US" w:eastAsia="zh-CN"/>
              </w:rPr>
              <w:t>项目</w:t>
            </w:r>
            <w:r>
              <w:rPr>
                <w:rFonts w:hint="eastAsia" w:cs="Times New Roman"/>
                <w:b w:val="0"/>
                <w:bCs w:val="0"/>
                <w:color w:val="auto"/>
                <w:spacing w:val="0"/>
                <w:kern w:val="0"/>
                <w:sz w:val="24"/>
                <w:szCs w:val="24"/>
                <w:highlight w:val="yellow"/>
                <w:lang w:val="en-US" w:eastAsia="zh-CN"/>
              </w:rPr>
              <w:t>，</w:t>
            </w:r>
            <w:r>
              <w:rPr>
                <w:rFonts w:hint="default" w:ascii="Times New Roman" w:hAnsi="Times New Roman" w:eastAsia="宋体" w:cs="Times New Roman"/>
                <w:b w:val="0"/>
                <w:bCs w:val="0"/>
                <w:color w:val="auto"/>
                <w:spacing w:val="0"/>
                <w:kern w:val="0"/>
                <w:sz w:val="24"/>
                <w:szCs w:val="24"/>
                <w:highlight w:val="yellow"/>
                <w:lang w:val="en-US" w:eastAsia="zh-CN"/>
              </w:rPr>
              <w:t>根据《产业结构调整指导目录（20</w:t>
            </w:r>
            <w:r>
              <w:rPr>
                <w:rFonts w:hint="eastAsia" w:ascii="Times New Roman" w:hAnsi="Times New Roman" w:eastAsia="宋体" w:cs="Times New Roman"/>
                <w:b w:val="0"/>
                <w:bCs w:val="0"/>
                <w:color w:val="auto"/>
                <w:spacing w:val="0"/>
                <w:kern w:val="0"/>
                <w:sz w:val="24"/>
                <w:szCs w:val="24"/>
                <w:highlight w:val="yellow"/>
                <w:lang w:val="en-US" w:eastAsia="zh-CN"/>
              </w:rPr>
              <w:t>24</w:t>
            </w:r>
            <w:r>
              <w:rPr>
                <w:rFonts w:hint="default" w:ascii="Times New Roman" w:hAnsi="Times New Roman" w:eastAsia="宋体" w:cs="Times New Roman"/>
                <w:b w:val="0"/>
                <w:bCs w:val="0"/>
                <w:color w:val="auto"/>
                <w:spacing w:val="0"/>
                <w:kern w:val="0"/>
                <w:sz w:val="24"/>
                <w:szCs w:val="24"/>
                <w:highlight w:val="yellow"/>
                <w:lang w:val="en-US" w:eastAsia="zh-CN"/>
              </w:rPr>
              <w:t>年本）》本项目</w:t>
            </w:r>
            <w:r>
              <w:rPr>
                <w:rFonts w:hint="eastAsia" w:cs="Times New Roman"/>
                <w:b w:val="0"/>
                <w:bCs w:val="0"/>
                <w:color w:val="auto"/>
                <w:spacing w:val="0"/>
                <w:kern w:val="0"/>
                <w:sz w:val="24"/>
                <w:szCs w:val="24"/>
                <w:highlight w:val="yellow"/>
                <w:lang w:val="en-US" w:eastAsia="zh-CN"/>
              </w:rPr>
              <w:t>不</w:t>
            </w:r>
            <w:r>
              <w:rPr>
                <w:rFonts w:hint="default" w:ascii="Times New Roman" w:hAnsi="Times New Roman" w:eastAsia="宋体" w:cs="Times New Roman"/>
                <w:b w:val="0"/>
                <w:bCs w:val="0"/>
                <w:color w:val="auto"/>
                <w:spacing w:val="0"/>
                <w:kern w:val="0"/>
                <w:sz w:val="24"/>
                <w:szCs w:val="24"/>
                <w:highlight w:val="yellow"/>
                <w:lang w:val="en-US" w:eastAsia="zh-CN"/>
              </w:rPr>
              <w:t>属于于鼓励类、限制类和淘汰类项目，属于允许类项目</w:t>
            </w:r>
            <w:r>
              <w:rPr>
                <w:rFonts w:hint="eastAsia" w:cs="Times New Roman"/>
                <w:b w:val="0"/>
                <w:bCs w:val="0"/>
                <w:color w:val="auto"/>
                <w:spacing w:val="0"/>
                <w:kern w:val="0"/>
                <w:sz w:val="24"/>
                <w:szCs w:val="24"/>
                <w:highlight w:val="yellow"/>
                <w:lang w:val="en-US" w:eastAsia="zh-CN"/>
              </w:rPr>
              <w:t>。本项目使用2台2.5t/h专用生物质蒸汽发生器，不属于“固定炉排的35蒸吨生物质锅炉”限制类设备和落后生产工艺装备的“2蒸吨以下生物质锅炉”</w:t>
            </w:r>
            <w:r>
              <w:rPr>
                <w:rFonts w:hint="default" w:ascii="Times New Roman" w:hAnsi="Times New Roman" w:eastAsia="宋体" w:cs="Times New Roman"/>
                <w:b w:val="0"/>
                <w:bCs w:val="0"/>
                <w:color w:val="auto"/>
                <w:spacing w:val="0"/>
                <w:kern w:val="0"/>
                <w:sz w:val="24"/>
                <w:szCs w:val="24"/>
                <w:highlight w:val="yellow"/>
                <w:lang w:val="en-US" w:eastAsia="zh-CN"/>
              </w:rPr>
              <w:t>因此，本项目属于</w:t>
            </w:r>
            <w:r>
              <w:rPr>
                <w:rFonts w:hint="eastAsia" w:cs="Times New Roman"/>
                <w:b w:val="0"/>
                <w:bCs w:val="0"/>
                <w:color w:val="auto"/>
                <w:spacing w:val="0"/>
                <w:kern w:val="0"/>
                <w:sz w:val="24"/>
                <w:szCs w:val="24"/>
                <w:highlight w:val="yellow"/>
                <w:lang w:val="en-US" w:eastAsia="zh-CN"/>
              </w:rPr>
              <w:t>允许</w:t>
            </w:r>
            <w:r>
              <w:rPr>
                <w:rFonts w:hint="default" w:ascii="Times New Roman" w:hAnsi="Times New Roman" w:eastAsia="宋体" w:cs="Times New Roman"/>
                <w:b w:val="0"/>
                <w:bCs w:val="0"/>
                <w:color w:val="auto"/>
                <w:spacing w:val="0"/>
                <w:kern w:val="0"/>
                <w:sz w:val="24"/>
                <w:szCs w:val="24"/>
                <w:highlight w:val="yellow"/>
                <w:lang w:val="en-US" w:eastAsia="zh-CN"/>
              </w:rPr>
              <w:t>类，符合国家产业政策。</w:t>
            </w:r>
          </w:p>
          <w:p w14:paraId="71C4B529">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pacing w:val="0"/>
                <w:kern w:val="0"/>
                <w:sz w:val="24"/>
                <w:szCs w:val="24"/>
                <w:highlight w:val="none"/>
                <w:lang w:val="en-US" w:eastAsia="zh-CN"/>
              </w:rPr>
            </w:pPr>
            <w:r>
              <w:rPr>
                <w:rFonts w:hint="eastAsia" w:cs="Times New Roman"/>
                <w:b/>
                <w:bCs/>
                <w:color w:val="auto"/>
                <w:spacing w:val="0"/>
                <w:kern w:val="0"/>
                <w:sz w:val="24"/>
                <w:szCs w:val="24"/>
                <w:highlight w:val="none"/>
                <w:lang w:val="en-US" w:eastAsia="zh-CN"/>
              </w:rPr>
              <w:t>3</w:t>
            </w:r>
            <w:r>
              <w:rPr>
                <w:rFonts w:hint="default" w:ascii="Times New Roman" w:hAnsi="Times New Roman" w:eastAsia="宋体" w:cs="Times New Roman"/>
                <w:b/>
                <w:bCs/>
                <w:color w:val="auto"/>
                <w:spacing w:val="0"/>
                <w:kern w:val="0"/>
                <w:sz w:val="24"/>
                <w:szCs w:val="24"/>
                <w:highlight w:val="none"/>
                <w:lang w:val="en-US" w:eastAsia="zh-CN"/>
              </w:rPr>
              <w:t>.选址合理性分析</w:t>
            </w:r>
          </w:p>
          <w:p w14:paraId="254ABCE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（1）选址符合性</w:t>
            </w:r>
          </w:p>
          <w:p w14:paraId="4ED2341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本项目厂区布局合理、厂区内道路铺设混凝土。厂区东侧、</w:t>
            </w:r>
            <w:r>
              <w:rPr>
                <w:rFonts w:hint="eastAsia" w:cs="Times New Roman"/>
                <w:b w:val="0"/>
                <w:bCs w:val="0"/>
                <w:color w:val="auto"/>
                <w:spacing w:val="0"/>
                <w:kern w:val="0"/>
                <w:sz w:val="24"/>
                <w:szCs w:val="24"/>
                <w:highlight w:val="none"/>
                <w:lang w:val="en-US" w:eastAsia="zh-CN"/>
              </w:rPr>
              <w:t>西侧、南侧均为农田，</w:t>
            </w:r>
            <w:r>
              <w:rPr>
                <w:rFonts w:hint="eastAsia" w:ascii="Times New Roman" w:hAnsi="Times New Roman" w:eastAsia="宋体" w:cs="Times New Roman"/>
                <w:b w:val="0"/>
                <w:bCs w:val="0"/>
                <w:color w:val="auto"/>
                <w:spacing w:val="0"/>
                <w:kern w:val="0"/>
                <w:sz w:val="24"/>
                <w:szCs w:val="24"/>
                <w:highlight w:val="none"/>
                <w:lang w:val="en-US" w:eastAsia="zh-CN"/>
              </w:rPr>
              <w:t>北侧为</w:t>
            </w:r>
            <w:r>
              <w:rPr>
                <w:rFonts w:hint="eastAsia" w:cs="Times New Roman"/>
                <w:b w:val="0"/>
                <w:bCs w:val="0"/>
                <w:color w:val="auto"/>
                <w:spacing w:val="0"/>
                <w:kern w:val="0"/>
                <w:sz w:val="24"/>
                <w:szCs w:val="24"/>
                <w:highlight w:val="none"/>
                <w:lang w:val="en-US" w:eastAsia="zh-CN"/>
              </w:rPr>
              <w:t>G501国道（一级公路）。</w:t>
            </w:r>
          </w:p>
          <w:p w14:paraId="25A3DDEF">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项目选址</w:t>
            </w:r>
            <w:r>
              <w:rPr>
                <w:rFonts w:hint="eastAsia" w:cs="Times New Roman"/>
                <w:b w:val="0"/>
                <w:bCs w:val="0"/>
                <w:color w:val="auto"/>
                <w:spacing w:val="0"/>
                <w:kern w:val="0"/>
                <w:sz w:val="24"/>
                <w:szCs w:val="24"/>
                <w:highlight w:val="none"/>
                <w:lang w:val="en-US" w:eastAsia="zh-CN"/>
              </w:rPr>
              <w:t>不</w:t>
            </w:r>
            <w:r>
              <w:rPr>
                <w:rFonts w:hint="eastAsia" w:ascii="Times New Roman" w:hAnsi="Times New Roman" w:eastAsia="宋体" w:cs="Times New Roman"/>
                <w:b w:val="0"/>
                <w:bCs w:val="0"/>
                <w:color w:val="auto"/>
                <w:spacing w:val="0"/>
                <w:kern w:val="0"/>
                <w:sz w:val="24"/>
                <w:szCs w:val="24"/>
                <w:highlight w:val="none"/>
                <w:lang w:val="en-US" w:eastAsia="zh-CN"/>
              </w:rPr>
              <w:t>属于生活饮用水源地和地下水补给区、风景名胜区、温泉疗养区、水产养殖区、基本农田保护区、自然保护区等需要特殊保护区域。</w:t>
            </w:r>
          </w:p>
          <w:p w14:paraId="6E7D8DA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（2）外环境相容性</w:t>
            </w:r>
          </w:p>
          <w:p w14:paraId="43B1197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拟建项目选址符合</w:t>
            </w:r>
            <w:r>
              <w:rPr>
                <w:rFonts w:hint="eastAsia" w:cs="Times New Roman"/>
                <w:b w:val="0"/>
                <w:bCs w:val="0"/>
                <w:color w:val="auto"/>
                <w:spacing w:val="0"/>
                <w:kern w:val="0"/>
                <w:sz w:val="24"/>
                <w:szCs w:val="24"/>
                <w:highlight w:val="none"/>
                <w:lang w:val="en-US" w:eastAsia="zh-CN"/>
              </w:rPr>
              <w:t>双鸭山市</w:t>
            </w:r>
            <w:r>
              <w:rPr>
                <w:rFonts w:hint="eastAsia" w:ascii="Times New Roman" w:hAnsi="Times New Roman" w:eastAsia="宋体" w:cs="Times New Roman"/>
                <w:b w:val="0"/>
                <w:bCs w:val="0"/>
                <w:color w:val="auto"/>
                <w:spacing w:val="0"/>
                <w:kern w:val="0"/>
                <w:sz w:val="24"/>
                <w:szCs w:val="24"/>
                <w:highlight w:val="none"/>
                <w:lang w:val="en-US" w:eastAsia="zh-CN"/>
              </w:rPr>
              <w:t>土地利用发展规划的要求。项目所在地交通便利，地质条件稳定，电力、通讯等基础设施完善，可以满足项目建设的需求。</w:t>
            </w:r>
          </w:p>
          <w:p w14:paraId="2080157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fldChar w:fldCharType="begin"/>
            </w:r>
            <w:r>
              <w:rPr>
                <w:rFonts w:hint="eastAsia" w:ascii="Times New Roman" w:hAnsi="Times New Roman" w:eastAsia="宋体" w:cs="Times New Roman"/>
                <w:b w:val="0"/>
                <w:bCs w:val="0"/>
                <w:color w:val="auto"/>
                <w:spacing w:val="0"/>
                <w:kern w:val="0"/>
                <w:sz w:val="24"/>
                <w:szCs w:val="24"/>
                <w:highlight w:val="none"/>
                <w:lang w:val="en-US" w:eastAsia="zh-CN"/>
              </w:rPr>
              <w:instrText xml:space="preserve"> = 1 \* GB3 </w:instrText>
            </w:r>
            <w:r>
              <w:rPr>
                <w:rFonts w:hint="eastAsia" w:ascii="Times New Roman" w:hAnsi="Times New Roman" w:eastAsia="宋体" w:cs="Times New Roman"/>
                <w:b w:val="0"/>
                <w:bCs w:val="0"/>
                <w:color w:val="auto"/>
                <w:spacing w:val="0"/>
                <w:kern w:val="0"/>
                <w:sz w:val="24"/>
                <w:szCs w:val="24"/>
                <w:highlight w:val="none"/>
                <w:lang w:val="en-US" w:eastAsia="zh-CN"/>
              </w:rPr>
              <w:fldChar w:fldCharType="separate"/>
            </w:r>
            <w:r>
              <w:rPr>
                <w:rFonts w:hint="eastAsia" w:ascii="Times New Roman" w:hAnsi="Times New Roman" w:eastAsia="宋体" w:cs="Times New Roman"/>
                <w:b w:val="0"/>
                <w:bCs w:val="0"/>
                <w:color w:val="auto"/>
                <w:spacing w:val="0"/>
                <w:kern w:val="0"/>
                <w:sz w:val="24"/>
                <w:szCs w:val="24"/>
                <w:highlight w:val="none"/>
                <w:lang w:val="en-US" w:eastAsia="zh-CN"/>
              </w:rPr>
              <w:t>①</w:t>
            </w:r>
            <w:r>
              <w:rPr>
                <w:rFonts w:hint="eastAsia" w:ascii="Times New Roman" w:hAnsi="Times New Roman" w:eastAsia="宋体" w:cs="Times New Roman"/>
                <w:b w:val="0"/>
                <w:bCs w:val="0"/>
                <w:color w:val="auto"/>
                <w:spacing w:val="0"/>
                <w:kern w:val="0"/>
                <w:sz w:val="24"/>
                <w:szCs w:val="24"/>
                <w:highlight w:val="none"/>
                <w:lang w:val="en-US" w:eastAsia="zh-CN"/>
              </w:rPr>
              <w:fldChar w:fldCharType="end"/>
            </w:r>
            <w:r>
              <w:rPr>
                <w:rFonts w:hint="eastAsia" w:ascii="Times New Roman" w:hAnsi="Times New Roman" w:eastAsia="宋体" w:cs="Times New Roman"/>
                <w:b w:val="0"/>
                <w:bCs w:val="0"/>
                <w:color w:val="auto"/>
                <w:spacing w:val="0"/>
                <w:kern w:val="0"/>
                <w:sz w:val="24"/>
                <w:szCs w:val="24"/>
                <w:highlight w:val="none"/>
                <w:lang w:val="en-US" w:eastAsia="zh-CN"/>
              </w:rPr>
              <w:t>项目所在地具有方便的交通运输和水电条件，便于项目的建设。</w:t>
            </w:r>
          </w:p>
          <w:p w14:paraId="358B693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yellow"/>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fldChar w:fldCharType="begin"/>
            </w:r>
            <w:r>
              <w:rPr>
                <w:rFonts w:hint="eastAsia" w:ascii="Times New Roman" w:hAnsi="Times New Roman" w:eastAsia="宋体" w:cs="Times New Roman"/>
                <w:b w:val="0"/>
                <w:bCs w:val="0"/>
                <w:color w:val="auto"/>
                <w:spacing w:val="0"/>
                <w:kern w:val="0"/>
                <w:sz w:val="24"/>
                <w:szCs w:val="24"/>
                <w:highlight w:val="none"/>
                <w:lang w:val="en-US" w:eastAsia="zh-CN"/>
              </w:rPr>
              <w:instrText xml:space="preserve"> = 2 \* GB3 \* MERGEFORMAT </w:instrText>
            </w:r>
            <w:r>
              <w:rPr>
                <w:rFonts w:hint="eastAsia" w:ascii="Times New Roman" w:hAnsi="Times New Roman" w:eastAsia="宋体" w:cs="Times New Roman"/>
                <w:b w:val="0"/>
                <w:bCs w:val="0"/>
                <w:color w:val="auto"/>
                <w:spacing w:val="0"/>
                <w:kern w:val="0"/>
                <w:sz w:val="24"/>
                <w:szCs w:val="24"/>
                <w:highlight w:val="none"/>
                <w:lang w:val="en-US" w:eastAsia="zh-CN"/>
              </w:rPr>
              <w:fldChar w:fldCharType="separate"/>
            </w:r>
            <w:r>
              <w:rPr>
                <w:rFonts w:hint="eastAsia" w:ascii="Times New Roman" w:hAnsi="Times New Roman" w:eastAsia="宋体" w:cs="Times New Roman"/>
                <w:b w:val="0"/>
                <w:bCs w:val="0"/>
                <w:color w:val="auto"/>
                <w:spacing w:val="0"/>
                <w:kern w:val="0"/>
                <w:sz w:val="24"/>
                <w:szCs w:val="24"/>
                <w:highlight w:val="none"/>
                <w:lang w:val="en-US" w:eastAsia="zh-CN"/>
              </w:rPr>
              <w:t>②</w:t>
            </w:r>
            <w:r>
              <w:rPr>
                <w:rFonts w:hint="eastAsia" w:ascii="Times New Roman" w:hAnsi="Times New Roman" w:eastAsia="宋体" w:cs="Times New Roman"/>
                <w:b w:val="0"/>
                <w:bCs w:val="0"/>
                <w:color w:val="auto"/>
                <w:spacing w:val="0"/>
                <w:kern w:val="0"/>
                <w:sz w:val="24"/>
                <w:szCs w:val="24"/>
                <w:highlight w:val="none"/>
                <w:lang w:val="en-US" w:eastAsia="zh-CN"/>
              </w:rPr>
              <w:fldChar w:fldCharType="end"/>
            </w:r>
            <w:r>
              <w:rPr>
                <w:rFonts w:hint="eastAsia" w:ascii="Times New Roman" w:hAnsi="Times New Roman" w:eastAsia="宋体" w:cs="Times New Roman"/>
                <w:b w:val="0"/>
                <w:bCs w:val="0"/>
                <w:color w:val="auto"/>
                <w:spacing w:val="0"/>
                <w:kern w:val="0"/>
                <w:sz w:val="24"/>
                <w:szCs w:val="24"/>
                <w:highlight w:val="none"/>
                <w:lang w:val="en-US" w:eastAsia="zh-CN"/>
              </w:rPr>
              <w:t>建成后对周边环境的影响主要是废气、废水、固体废物以及设备产生的噪声，通过采取相应的环保措施后该项目对周边环境影响较小。</w:t>
            </w:r>
          </w:p>
          <w:p w14:paraId="34A70DA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fldChar w:fldCharType="begin"/>
            </w:r>
            <w:r>
              <w:rPr>
                <w:rFonts w:hint="eastAsia" w:ascii="Times New Roman" w:hAnsi="Times New Roman" w:eastAsia="宋体" w:cs="Times New Roman"/>
                <w:b w:val="0"/>
                <w:bCs w:val="0"/>
                <w:color w:val="auto"/>
                <w:spacing w:val="0"/>
                <w:kern w:val="0"/>
                <w:sz w:val="24"/>
                <w:szCs w:val="24"/>
                <w:highlight w:val="none"/>
                <w:lang w:val="en-US" w:eastAsia="zh-CN"/>
              </w:rPr>
              <w:instrText xml:space="preserve"> = 3 \* GB3 \* MERGEFORMAT </w:instrText>
            </w:r>
            <w:r>
              <w:rPr>
                <w:rFonts w:hint="eastAsia" w:ascii="Times New Roman" w:hAnsi="Times New Roman" w:eastAsia="宋体" w:cs="Times New Roman"/>
                <w:b w:val="0"/>
                <w:bCs w:val="0"/>
                <w:color w:val="auto"/>
                <w:spacing w:val="0"/>
                <w:kern w:val="0"/>
                <w:sz w:val="24"/>
                <w:szCs w:val="24"/>
                <w:highlight w:val="none"/>
                <w:lang w:val="en-US" w:eastAsia="zh-CN"/>
              </w:rPr>
              <w:fldChar w:fldCharType="separate"/>
            </w:r>
            <w:r>
              <w:rPr>
                <w:rFonts w:hint="eastAsia" w:ascii="Times New Roman" w:hAnsi="Times New Roman" w:eastAsia="宋体" w:cs="Times New Roman"/>
                <w:b w:val="0"/>
                <w:bCs w:val="0"/>
                <w:color w:val="auto"/>
                <w:spacing w:val="0"/>
                <w:kern w:val="0"/>
                <w:sz w:val="24"/>
                <w:szCs w:val="24"/>
                <w:highlight w:val="none"/>
                <w:lang w:val="en-US" w:eastAsia="zh-CN"/>
              </w:rPr>
              <w:t>③</w:t>
            </w:r>
            <w:r>
              <w:rPr>
                <w:rFonts w:hint="eastAsia" w:ascii="Times New Roman" w:hAnsi="Times New Roman" w:eastAsia="宋体" w:cs="Times New Roman"/>
                <w:b w:val="0"/>
                <w:bCs w:val="0"/>
                <w:color w:val="auto"/>
                <w:spacing w:val="0"/>
                <w:kern w:val="0"/>
                <w:sz w:val="24"/>
                <w:szCs w:val="24"/>
                <w:highlight w:val="none"/>
                <w:lang w:val="en-US" w:eastAsia="zh-CN"/>
              </w:rPr>
              <w:fldChar w:fldCharType="end"/>
            </w:r>
            <w:r>
              <w:rPr>
                <w:rFonts w:hint="eastAsia" w:ascii="Times New Roman" w:hAnsi="Times New Roman" w:eastAsia="宋体" w:cs="Times New Roman"/>
                <w:b w:val="0"/>
                <w:bCs w:val="0"/>
                <w:color w:val="auto"/>
                <w:spacing w:val="0"/>
                <w:kern w:val="0"/>
                <w:sz w:val="24"/>
                <w:szCs w:val="24"/>
                <w:highlight w:val="none"/>
                <w:lang w:val="en-US" w:eastAsia="zh-CN"/>
              </w:rPr>
              <w:t>本项目评价范围内无自然保护区、风景名胜区、饮用水水源保护区等环境敏感目标。</w:t>
            </w:r>
          </w:p>
          <w:p w14:paraId="110A68B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（3）环境功能一致性分析</w:t>
            </w:r>
          </w:p>
          <w:p w14:paraId="3ACB2E7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根据工程分析确定的污染物源强，通过大气环境、水环境、声环境影响分析，说明项目建成后污染物达标排放对区域环境空气、水环境、声环境影响较小。项目建设不会使得环境功能发生改变。</w:t>
            </w:r>
          </w:p>
          <w:p w14:paraId="208BDF7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在严格落实本报告表提出的污染防治措施，保证各项污染物稳定达标排放前提下，项目选址可行。</w:t>
            </w:r>
          </w:p>
          <w:p w14:paraId="01FF48D5">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eastAsia" w:ascii="Times New Roman" w:hAnsi="Times New Roman" w:eastAsia="宋体" w:cs="Times New Roman"/>
                <w:b/>
                <w:bCs/>
                <w:color w:val="auto"/>
                <w:spacing w:val="0"/>
                <w:kern w:val="0"/>
                <w:sz w:val="24"/>
                <w:szCs w:val="24"/>
                <w:highlight w:val="none"/>
                <w:lang w:val="en-US" w:eastAsia="zh-CN"/>
              </w:rPr>
            </w:pPr>
            <w:r>
              <w:rPr>
                <w:rFonts w:hint="eastAsia" w:cs="Times New Roman"/>
                <w:b/>
                <w:bCs/>
                <w:color w:val="auto"/>
                <w:spacing w:val="0"/>
                <w:kern w:val="0"/>
                <w:sz w:val="24"/>
                <w:szCs w:val="24"/>
                <w:highlight w:val="none"/>
                <w:lang w:val="en-US" w:eastAsia="zh-CN"/>
              </w:rPr>
              <w:t>4</w:t>
            </w:r>
            <w:r>
              <w:rPr>
                <w:rFonts w:hint="eastAsia" w:ascii="Times New Roman" w:hAnsi="Times New Roman" w:eastAsia="宋体" w:cs="Times New Roman"/>
                <w:b/>
                <w:bCs/>
                <w:color w:val="auto"/>
                <w:spacing w:val="0"/>
                <w:kern w:val="0"/>
                <w:sz w:val="24"/>
                <w:szCs w:val="24"/>
                <w:highlight w:val="none"/>
                <w:lang w:val="en-US" w:eastAsia="zh-CN"/>
              </w:rPr>
              <w:t>.与《</w:t>
            </w:r>
            <w:r>
              <w:rPr>
                <w:rFonts w:hint="eastAsia" w:cs="Times New Roman"/>
                <w:b/>
                <w:bCs/>
                <w:color w:val="auto"/>
                <w:spacing w:val="0"/>
                <w:kern w:val="0"/>
                <w:sz w:val="24"/>
                <w:szCs w:val="24"/>
                <w:highlight w:val="none"/>
                <w:lang w:val="en-US" w:eastAsia="zh-CN"/>
              </w:rPr>
              <w:t>中华人民共和国大气污染防治法</w:t>
            </w:r>
            <w:r>
              <w:rPr>
                <w:rFonts w:hint="eastAsia" w:ascii="Times New Roman" w:hAnsi="Times New Roman" w:eastAsia="宋体" w:cs="Times New Roman"/>
                <w:b/>
                <w:bCs/>
                <w:color w:val="auto"/>
                <w:spacing w:val="0"/>
                <w:kern w:val="0"/>
                <w:sz w:val="24"/>
                <w:szCs w:val="24"/>
                <w:highlight w:val="none"/>
                <w:lang w:val="en-US" w:eastAsia="zh-CN"/>
              </w:rPr>
              <w:t>》（</w:t>
            </w:r>
            <w:r>
              <w:rPr>
                <w:rFonts w:hint="eastAsia" w:cs="Times New Roman"/>
                <w:b/>
                <w:bCs/>
                <w:color w:val="auto"/>
                <w:spacing w:val="0"/>
                <w:kern w:val="0"/>
                <w:sz w:val="24"/>
                <w:szCs w:val="24"/>
                <w:highlight w:val="none"/>
                <w:lang w:val="en-US" w:eastAsia="zh-CN"/>
              </w:rPr>
              <w:t>2018修订</w:t>
            </w:r>
            <w:r>
              <w:rPr>
                <w:rFonts w:hint="eastAsia" w:ascii="Times New Roman" w:hAnsi="Times New Roman" w:eastAsia="宋体" w:cs="Times New Roman"/>
                <w:b/>
                <w:bCs/>
                <w:color w:val="auto"/>
                <w:spacing w:val="0"/>
                <w:kern w:val="0"/>
                <w:sz w:val="24"/>
                <w:szCs w:val="24"/>
                <w:highlight w:val="none"/>
                <w:lang w:val="en-US" w:eastAsia="zh-CN"/>
              </w:rPr>
              <w:t>）符合性分析</w:t>
            </w:r>
          </w:p>
          <w:p w14:paraId="3101CAD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根据《中华人民共和大气污染防治法》（2018修订）中“</w:t>
            </w:r>
            <w:r>
              <w:rPr>
                <w:rFonts w:hint="eastAsia" w:ascii="Times New Roman" w:hAnsi="Times New Roman" w:eastAsia="宋体" w:cs="Times New Roman"/>
                <w:b/>
                <w:bCs/>
                <w:color w:val="auto"/>
                <w:spacing w:val="0"/>
                <w:kern w:val="0"/>
                <w:sz w:val="24"/>
                <w:szCs w:val="24"/>
                <w:highlight w:val="none"/>
                <w:lang w:val="en-US" w:eastAsia="zh-CN"/>
              </w:rPr>
              <w:t>第七十二条</w:t>
            </w:r>
            <w:r>
              <w:rPr>
                <w:rFonts w:hint="eastAsia" w:cs="Times New Roman"/>
                <w:b/>
                <w:bCs/>
                <w:color w:val="auto"/>
                <w:spacing w:val="0"/>
                <w:kern w:val="0"/>
                <w:sz w:val="24"/>
                <w:szCs w:val="24"/>
                <w:highlight w:val="none"/>
                <w:lang w:val="en-US" w:eastAsia="zh-CN"/>
              </w:rPr>
              <w:t>、</w:t>
            </w:r>
            <w:r>
              <w:rPr>
                <w:rFonts w:hint="eastAsia" w:ascii="Times New Roman" w:hAnsi="Times New Roman" w:eastAsia="宋体" w:cs="Times New Roman"/>
                <w:b w:val="0"/>
                <w:bCs w:val="0"/>
                <w:color w:val="auto"/>
                <w:spacing w:val="0"/>
                <w:kern w:val="0"/>
                <w:sz w:val="24"/>
                <w:szCs w:val="24"/>
                <w:highlight w:val="none"/>
                <w:lang w:val="en-US" w:eastAsia="zh-CN"/>
              </w:rPr>
              <w:t>贮存煤炭、煤矸石、煤渣、煤灰、水泥、石灰、石膏、砂土等易产生扬尘的物料应当密闭；不能密闭的，应当设置不低于堆放物高度的严密围挡，并采取有效覆盖措施防治扬尘污染。”</w:t>
            </w:r>
          </w:p>
          <w:p w14:paraId="6D9D8E6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spacing w:val="0"/>
                <w:kern w:val="0"/>
                <w:sz w:val="24"/>
                <w:szCs w:val="24"/>
                <w:highlight w:val="yellow"/>
                <w:lang w:val="en-US" w:eastAsia="zh-CN"/>
              </w:rPr>
            </w:pPr>
            <w:r>
              <w:rPr>
                <w:rFonts w:hint="eastAsia" w:eastAsia="宋体" w:cs="Times New Roman"/>
                <w:b w:val="0"/>
                <w:bCs w:val="0"/>
                <w:color w:val="auto"/>
                <w:spacing w:val="0"/>
                <w:kern w:val="0"/>
                <w:sz w:val="24"/>
                <w:szCs w:val="24"/>
                <w:highlight w:val="none"/>
                <w:lang w:val="en-US" w:eastAsia="zh-CN"/>
              </w:rPr>
              <w:t>本项目所使用的</w:t>
            </w:r>
            <w:r>
              <w:rPr>
                <w:rFonts w:hint="eastAsia" w:cs="Times New Roman"/>
                <w:b w:val="0"/>
                <w:bCs w:val="0"/>
                <w:color w:val="auto"/>
                <w:spacing w:val="0"/>
                <w:kern w:val="0"/>
                <w:sz w:val="24"/>
                <w:szCs w:val="24"/>
                <w:highlight w:val="none"/>
                <w:lang w:val="en-US" w:eastAsia="zh-CN"/>
              </w:rPr>
              <w:t>水泥、粉煤灰均采用密闭筒仓贮存</w:t>
            </w:r>
            <w:r>
              <w:rPr>
                <w:rFonts w:hint="eastAsia" w:eastAsia="宋体" w:cs="Times New Roman"/>
                <w:b w:val="0"/>
                <w:bCs w:val="0"/>
                <w:color w:val="auto"/>
                <w:spacing w:val="0"/>
                <w:kern w:val="0"/>
                <w:sz w:val="24"/>
                <w:szCs w:val="24"/>
                <w:highlight w:val="none"/>
                <w:lang w:val="en-US" w:eastAsia="zh-CN"/>
              </w:rPr>
              <w:t>，</w:t>
            </w:r>
            <w:r>
              <w:rPr>
                <w:rFonts w:hint="eastAsia" w:cs="Times New Roman"/>
                <w:b w:val="0"/>
                <w:bCs w:val="0"/>
                <w:color w:val="auto"/>
                <w:spacing w:val="0"/>
                <w:kern w:val="0"/>
                <w:sz w:val="24"/>
                <w:szCs w:val="24"/>
                <w:highlight w:val="none"/>
                <w:lang w:val="en-US" w:eastAsia="zh-CN"/>
              </w:rPr>
              <w:t>筒仓顶部设置除尘器</w:t>
            </w:r>
            <w:r>
              <w:rPr>
                <w:rFonts w:hint="eastAsia" w:eastAsia="宋体" w:cs="Times New Roman"/>
                <w:b w:val="0"/>
                <w:bCs w:val="0"/>
                <w:color w:val="auto"/>
                <w:spacing w:val="0"/>
                <w:kern w:val="0"/>
                <w:sz w:val="24"/>
                <w:szCs w:val="24"/>
                <w:highlight w:val="none"/>
                <w:lang w:val="en-US" w:eastAsia="zh-CN"/>
              </w:rPr>
              <w:t>，因此符合</w:t>
            </w:r>
            <w:r>
              <w:rPr>
                <w:rFonts w:hint="eastAsia" w:ascii="Times New Roman" w:hAnsi="Times New Roman" w:eastAsia="宋体" w:cs="Times New Roman"/>
                <w:b w:val="0"/>
                <w:bCs w:val="0"/>
                <w:color w:val="auto"/>
                <w:spacing w:val="0"/>
                <w:kern w:val="0"/>
                <w:sz w:val="24"/>
                <w:szCs w:val="24"/>
                <w:highlight w:val="none"/>
                <w:lang w:val="en-US" w:eastAsia="zh-CN"/>
              </w:rPr>
              <w:t>《中华人民共和大气污染防治法》（2018修订）</w:t>
            </w:r>
            <w:r>
              <w:rPr>
                <w:rFonts w:hint="eastAsia" w:eastAsia="宋体" w:cs="Times New Roman"/>
                <w:b w:val="0"/>
                <w:bCs w:val="0"/>
                <w:color w:val="auto"/>
                <w:spacing w:val="0"/>
                <w:kern w:val="0"/>
                <w:sz w:val="24"/>
                <w:szCs w:val="24"/>
                <w:highlight w:val="none"/>
                <w:lang w:val="en-US" w:eastAsia="zh-CN"/>
              </w:rPr>
              <w:t>。</w:t>
            </w:r>
          </w:p>
          <w:p w14:paraId="543C5579">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eastAsia" w:ascii="Times New Roman" w:hAnsi="Times New Roman" w:eastAsia="宋体" w:cs="Times New Roman"/>
                <w:b/>
                <w:bCs/>
                <w:color w:val="auto"/>
                <w:spacing w:val="0"/>
                <w:kern w:val="0"/>
                <w:sz w:val="21"/>
                <w:szCs w:val="21"/>
                <w:highlight w:val="none"/>
                <w:lang w:val="en-US" w:eastAsia="zh-CN"/>
              </w:rPr>
            </w:pPr>
            <w:r>
              <w:rPr>
                <w:rFonts w:hint="eastAsia" w:cs="Times New Roman"/>
                <w:b/>
                <w:bCs/>
                <w:color w:val="auto"/>
                <w:spacing w:val="0"/>
                <w:kern w:val="0"/>
                <w:sz w:val="24"/>
                <w:szCs w:val="24"/>
                <w:highlight w:val="none"/>
                <w:lang w:val="en-US" w:eastAsia="zh-CN"/>
              </w:rPr>
              <w:t>5</w:t>
            </w:r>
            <w:r>
              <w:rPr>
                <w:rFonts w:hint="eastAsia" w:ascii="Times New Roman" w:hAnsi="Times New Roman" w:eastAsia="宋体" w:cs="Times New Roman"/>
                <w:b/>
                <w:bCs/>
                <w:color w:val="auto"/>
                <w:spacing w:val="0"/>
                <w:kern w:val="0"/>
                <w:sz w:val="24"/>
                <w:szCs w:val="24"/>
                <w:highlight w:val="none"/>
                <w:lang w:val="en-US" w:eastAsia="zh-CN"/>
              </w:rPr>
              <w:t>.与黑龙江省人民政府关于印发《黑龙江省空气质量持续改善行动计划实施方案》黑政发[2023]19号的通知的符合性分析</w:t>
            </w:r>
          </w:p>
          <w:tbl>
            <w:tblPr>
              <w:tblStyle w:val="3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60"/>
              <w:gridCol w:w="2415"/>
              <w:gridCol w:w="696"/>
            </w:tblGrid>
            <w:tr w14:paraId="3F38A9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68" w:type="pct"/>
                  <w:noWrap w:val="0"/>
                  <w:vAlign w:val="center"/>
                </w:tcPr>
                <w:p w14:paraId="6B6D0458">
                  <w:pPr>
                    <w:autoSpaceDE w:val="0"/>
                    <w:autoSpaceDN w:val="0"/>
                    <w:adjustRightInd w:val="0"/>
                    <w:snapToGrid w:val="0"/>
                    <w:jc w:val="center"/>
                    <w:rPr>
                      <w:rStyle w:val="35"/>
                      <w:rFonts w:ascii="Arial" w:hAnsi="Arial" w:cs="Arial"/>
                      <w:b w:val="0"/>
                      <w:color w:val="auto"/>
                      <w:spacing w:val="23"/>
                      <w:szCs w:val="21"/>
                      <w:highlight w:val="none"/>
                    </w:rPr>
                  </w:pPr>
                  <w:r>
                    <w:rPr>
                      <w:rFonts w:hint="eastAsia"/>
                      <w:color w:val="auto"/>
                      <w:kern w:val="0"/>
                      <w:szCs w:val="21"/>
                      <w:highlight w:val="none"/>
                    </w:rPr>
                    <w:t>文件要求</w:t>
                  </w:r>
                </w:p>
              </w:tc>
              <w:tc>
                <w:tcPr>
                  <w:tcW w:w="1732" w:type="pct"/>
                  <w:noWrap w:val="0"/>
                  <w:vAlign w:val="center"/>
                </w:tcPr>
                <w:p w14:paraId="048AF7B5">
                  <w:pPr>
                    <w:autoSpaceDE w:val="0"/>
                    <w:autoSpaceDN w:val="0"/>
                    <w:adjustRightInd w:val="0"/>
                    <w:snapToGrid w:val="0"/>
                    <w:jc w:val="center"/>
                    <w:rPr>
                      <w:rStyle w:val="35"/>
                      <w:rFonts w:ascii="Arial" w:hAnsi="Arial" w:cs="Arial"/>
                      <w:b w:val="0"/>
                      <w:color w:val="auto"/>
                      <w:spacing w:val="23"/>
                      <w:szCs w:val="21"/>
                      <w:highlight w:val="none"/>
                    </w:rPr>
                  </w:pPr>
                  <w:r>
                    <w:rPr>
                      <w:rStyle w:val="35"/>
                      <w:rFonts w:hint="eastAsia" w:ascii="Arial" w:hAnsi="Arial" w:cs="Arial"/>
                      <w:b w:val="0"/>
                      <w:color w:val="auto"/>
                      <w:spacing w:val="23"/>
                      <w:szCs w:val="21"/>
                      <w:highlight w:val="none"/>
                    </w:rPr>
                    <w:t>本项目情况</w:t>
                  </w:r>
                </w:p>
              </w:tc>
              <w:tc>
                <w:tcPr>
                  <w:tcW w:w="499" w:type="pct"/>
                  <w:noWrap w:val="0"/>
                  <w:vAlign w:val="center"/>
                </w:tcPr>
                <w:p w14:paraId="7A3F8E75">
                  <w:pPr>
                    <w:autoSpaceDE w:val="0"/>
                    <w:autoSpaceDN w:val="0"/>
                    <w:adjustRightInd w:val="0"/>
                    <w:snapToGrid w:val="0"/>
                    <w:jc w:val="center"/>
                    <w:rPr>
                      <w:rStyle w:val="35"/>
                      <w:rFonts w:ascii="Arial" w:hAnsi="Arial" w:cs="Arial"/>
                      <w:b w:val="0"/>
                      <w:color w:val="auto"/>
                      <w:spacing w:val="23"/>
                      <w:szCs w:val="21"/>
                      <w:highlight w:val="none"/>
                    </w:rPr>
                  </w:pPr>
                  <w:r>
                    <w:rPr>
                      <w:rStyle w:val="35"/>
                      <w:rFonts w:hint="eastAsia" w:ascii="Arial" w:hAnsi="Arial" w:cs="Arial"/>
                      <w:b w:val="0"/>
                      <w:color w:val="auto"/>
                      <w:spacing w:val="23"/>
                      <w:szCs w:val="21"/>
                      <w:highlight w:val="none"/>
                    </w:rPr>
                    <w:t>符合性</w:t>
                  </w:r>
                </w:p>
              </w:tc>
            </w:tr>
            <w:tr w14:paraId="14CB8F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68" w:type="pct"/>
                  <w:noWrap w:val="0"/>
                  <w:vAlign w:val="center"/>
                </w:tcPr>
                <w:p w14:paraId="080C526A">
                  <w:pPr>
                    <w:autoSpaceDE w:val="0"/>
                    <w:autoSpaceDN w:val="0"/>
                    <w:adjustRightInd w:val="0"/>
                    <w:snapToGrid w:val="0"/>
                    <w:jc w:val="center"/>
                    <w:rPr>
                      <w:rStyle w:val="35"/>
                      <w:rFonts w:hint="eastAsia" w:ascii="Arial" w:hAnsi="Arial" w:cs="Arial"/>
                      <w:color w:val="auto"/>
                      <w:spacing w:val="23"/>
                      <w:sz w:val="26"/>
                      <w:szCs w:val="26"/>
                      <w:highlight w:val="none"/>
                    </w:rPr>
                  </w:pPr>
                  <w:r>
                    <w:rPr>
                      <w:rFonts w:hint="eastAsia"/>
                      <w:color w:val="auto"/>
                      <w:kern w:val="0"/>
                      <w:szCs w:val="21"/>
                      <w:highlight w:val="none"/>
                    </w:rPr>
                    <w:t>（五）加快重点行业落后产能淘汰退出。严格执行《产业结构调整指导目录》要求，加大退出淘汰类产能、工艺、装备，提高限制类产能、工艺、装备淘汰改造引导力度。</w:t>
                  </w:r>
                </w:p>
              </w:tc>
              <w:tc>
                <w:tcPr>
                  <w:tcW w:w="1732" w:type="pct"/>
                  <w:noWrap w:val="0"/>
                  <w:vAlign w:val="center"/>
                </w:tcPr>
                <w:p w14:paraId="70BE00EC">
                  <w:pPr>
                    <w:autoSpaceDE w:val="0"/>
                    <w:autoSpaceDN w:val="0"/>
                    <w:adjustRightInd w:val="0"/>
                    <w:snapToGrid w:val="0"/>
                    <w:rPr>
                      <w:rStyle w:val="35"/>
                      <w:rFonts w:hint="eastAsia" w:ascii="Arial" w:hAnsi="Arial" w:eastAsia="宋体" w:cs="Arial"/>
                      <w:color w:val="auto"/>
                      <w:spacing w:val="23"/>
                      <w:sz w:val="26"/>
                      <w:szCs w:val="26"/>
                      <w:highlight w:val="none"/>
                      <w:lang w:eastAsia="zh-CN"/>
                    </w:rPr>
                  </w:pPr>
                  <w:r>
                    <w:rPr>
                      <w:rFonts w:hint="eastAsia"/>
                      <w:color w:val="auto"/>
                      <w:kern w:val="0"/>
                      <w:szCs w:val="21"/>
                      <w:highlight w:val="none"/>
                    </w:rPr>
                    <w:t>本项目为</w:t>
                  </w:r>
                  <w:r>
                    <w:rPr>
                      <w:rFonts w:hint="eastAsia" w:cs="Times New Roman"/>
                      <w:color w:val="auto"/>
                      <w:kern w:val="0"/>
                      <w:sz w:val="21"/>
                      <w:szCs w:val="21"/>
                      <w:highlight w:val="none"/>
                      <w:lang w:val="en-US" w:eastAsia="zh-CN" w:bidi="ar-SA"/>
                    </w:rPr>
                    <w:t>石膏、水泥制品及类似制品制造</w:t>
                  </w:r>
                  <w:r>
                    <w:rPr>
                      <w:rFonts w:hint="eastAsia"/>
                      <w:color w:val="auto"/>
                      <w:kern w:val="0"/>
                      <w:szCs w:val="21"/>
                      <w:highlight w:val="none"/>
                    </w:rPr>
                    <w:t>项目</w:t>
                  </w:r>
                  <w:r>
                    <w:rPr>
                      <w:rFonts w:hint="eastAsia"/>
                      <w:color w:val="auto"/>
                      <w:kern w:val="0"/>
                      <w:szCs w:val="21"/>
                      <w:highlight w:val="none"/>
                      <w:lang w:val="en-US" w:eastAsia="zh-CN"/>
                    </w:rPr>
                    <w:t>-水泥预制件加工生产</w:t>
                  </w:r>
                  <w:r>
                    <w:rPr>
                      <w:rFonts w:hint="eastAsia"/>
                      <w:color w:val="auto"/>
                      <w:kern w:val="0"/>
                      <w:szCs w:val="21"/>
                      <w:highlight w:val="none"/>
                    </w:rPr>
                    <w:t>，</w:t>
                  </w:r>
                  <w:r>
                    <w:rPr>
                      <w:rFonts w:hint="eastAsia"/>
                      <w:color w:val="auto"/>
                      <w:kern w:val="0"/>
                      <w:szCs w:val="21"/>
                      <w:highlight w:val="none"/>
                      <w:lang w:val="en-US" w:eastAsia="zh-CN"/>
                    </w:rPr>
                    <w:t>新建2台2.5t/h燃生物质蒸汽发生器（1用1备），不</w:t>
                  </w:r>
                  <w:r>
                    <w:rPr>
                      <w:rFonts w:hint="eastAsia"/>
                      <w:color w:val="auto"/>
                      <w:kern w:val="0"/>
                      <w:szCs w:val="21"/>
                      <w:highlight w:val="none"/>
                    </w:rPr>
                    <w:t>属于《产业结构调整指导目录</w:t>
                  </w:r>
                  <w:r>
                    <w:rPr>
                      <w:rFonts w:hint="eastAsia"/>
                      <w:color w:val="auto"/>
                      <w:kern w:val="0"/>
                      <w:szCs w:val="21"/>
                      <w:highlight w:val="none"/>
                      <w:lang w:eastAsia="zh-CN"/>
                    </w:rPr>
                    <w:t>（</w:t>
                  </w:r>
                  <w:r>
                    <w:rPr>
                      <w:rFonts w:hint="eastAsia"/>
                      <w:color w:val="auto"/>
                      <w:kern w:val="0"/>
                      <w:szCs w:val="21"/>
                      <w:highlight w:val="none"/>
                      <w:lang w:val="en-US" w:eastAsia="zh-CN"/>
                    </w:rPr>
                    <w:t>2024年本</w:t>
                  </w:r>
                  <w:r>
                    <w:rPr>
                      <w:rFonts w:hint="eastAsia"/>
                      <w:color w:val="auto"/>
                      <w:kern w:val="0"/>
                      <w:szCs w:val="21"/>
                      <w:highlight w:val="none"/>
                      <w:lang w:eastAsia="zh-CN"/>
                    </w:rPr>
                    <w:t>）</w:t>
                  </w:r>
                  <w:r>
                    <w:rPr>
                      <w:rFonts w:hint="eastAsia"/>
                      <w:color w:val="auto"/>
                      <w:kern w:val="0"/>
                      <w:szCs w:val="21"/>
                      <w:highlight w:val="none"/>
                    </w:rPr>
                    <w:t>》要求中</w:t>
                  </w:r>
                  <w:r>
                    <w:rPr>
                      <w:rFonts w:hint="eastAsia"/>
                      <w:color w:val="auto"/>
                      <w:kern w:val="0"/>
                      <w:szCs w:val="21"/>
                      <w:highlight w:val="none"/>
                      <w:lang w:val="en-US" w:eastAsia="zh-CN"/>
                    </w:rPr>
                    <w:t>限制类、淘汰类</w:t>
                  </w:r>
                  <w:r>
                    <w:rPr>
                      <w:rFonts w:hint="eastAsia"/>
                      <w:color w:val="auto"/>
                      <w:kern w:val="0"/>
                      <w:szCs w:val="21"/>
                      <w:highlight w:val="none"/>
                    </w:rPr>
                    <w:t>项目</w:t>
                  </w:r>
                  <w:r>
                    <w:rPr>
                      <w:rFonts w:hint="eastAsia"/>
                      <w:color w:val="auto"/>
                      <w:kern w:val="0"/>
                      <w:szCs w:val="21"/>
                      <w:highlight w:val="none"/>
                      <w:lang w:eastAsia="zh-CN"/>
                    </w:rPr>
                    <w:t>。</w:t>
                  </w:r>
                </w:p>
              </w:tc>
              <w:tc>
                <w:tcPr>
                  <w:tcW w:w="499" w:type="pct"/>
                  <w:noWrap w:val="0"/>
                  <w:vAlign w:val="center"/>
                </w:tcPr>
                <w:p w14:paraId="26F6BAC5">
                  <w:pPr>
                    <w:autoSpaceDE w:val="0"/>
                    <w:autoSpaceDN w:val="0"/>
                    <w:adjustRightInd w:val="0"/>
                    <w:snapToGrid w:val="0"/>
                    <w:jc w:val="center"/>
                    <w:rPr>
                      <w:color w:val="auto"/>
                      <w:kern w:val="0"/>
                      <w:szCs w:val="21"/>
                      <w:highlight w:val="none"/>
                    </w:rPr>
                  </w:pPr>
                  <w:r>
                    <w:rPr>
                      <w:rFonts w:hint="eastAsia"/>
                      <w:color w:val="auto"/>
                      <w:kern w:val="0"/>
                      <w:szCs w:val="21"/>
                      <w:highlight w:val="none"/>
                    </w:rPr>
                    <w:t>符合</w:t>
                  </w:r>
                </w:p>
              </w:tc>
            </w:tr>
            <w:tr w14:paraId="2740FC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68" w:type="pct"/>
                  <w:noWrap w:val="0"/>
                  <w:vAlign w:val="center"/>
                </w:tcPr>
                <w:p w14:paraId="7B234B31">
                  <w:pPr>
                    <w:autoSpaceDE w:val="0"/>
                    <w:autoSpaceDN w:val="0"/>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十一）积极推进燃煤锅炉淘汰改造。各地要将燃煤供热锅炉替代项目纳入城镇供热规划。县级及以上城市建成区原则上不再新建35蒸吨/小时及以下燃煤锅炉，其他地区原则上不再新建10蒸吨/小时及以下燃煤锅炉。加快热力管网建设，依托电厂、大型工业企业开展远距离供热示范，充分释放热电联产、工业余热等供热能力，淘汰管网覆盖范围内的供热燃煤锅炉和散煤。</w:t>
                  </w:r>
                </w:p>
              </w:tc>
              <w:tc>
                <w:tcPr>
                  <w:tcW w:w="1732" w:type="pct"/>
                  <w:noWrap w:val="0"/>
                  <w:vAlign w:val="center"/>
                </w:tcPr>
                <w:p w14:paraId="586DA4E7">
                  <w:pPr>
                    <w:autoSpaceDE w:val="0"/>
                    <w:autoSpaceDN w:val="0"/>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本项目建设</w:t>
                  </w:r>
                  <w:r>
                    <w:rPr>
                      <w:rFonts w:hint="eastAsia" w:cs="Times New Roman"/>
                      <w:color w:val="auto"/>
                      <w:kern w:val="0"/>
                      <w:sz w:val="21"/>
                      <w:szCs w:val="21"/>
                      <w:highlight w:val="none"/>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台</w:t>
                  </w:r>
                  <w:r>
                    <w:rPr>
                      <w:rFonts w:hint="eastAsia" w:cs="Times New Roman"/>
                      <w:color w:val="auto"/>
                      <w:kern w:val="0"/>
                      <w:sz w:val="21"/>
                      <w:szCs w:val="21"/>
                      <w:highlight w:val="none"/>
                      <w:lang w:val="en-US" w:eastAsia="zh-CN" w:bidi="ar-SA"/>
                    </w:rPr>
                    <w:t>2.5</w:t>
                  </w:r>
                  <w:r>
                    <w:rPr>
                      <w:rFonts w:hint="eastAsia" w:ascii="Times New Roman" w:hAnsi="Times New Roman" w:eastAsia="宋体" w:cs="Times New Roman"/>
                      <w:color w:val="auto"/>
                      <w:kern w:val="0"/>
                      <w:sz w:val="21"/>
                      <w:szCs w:val="21"/>
                      <w:highlight w:val="none"/>
                      <w:lang w:val="en-US" w:eastAsia="zh-CN" w:bidi="ar-SA"/>
                    </w:rPr>
                    <w:t>t/h</w:t>
                  </w:r>
                  <w:r>
                    <w:rPr>
                      <w:rFonts w:hint="eastAsia" w:cs="Times New Roman"/>
                      <w:color w:val="auto"/>
                      <w:kern w:val="0"/>
                      <w:sz w:val="21"/>
                      <w:szCs w:val="21"/>
                      <w:highlight w:val="none"/>
                      <w:lang w:val="en-US" w:eastAsia="zh-CN" w:bidi="ar-SA"/>
                    </w:rPr>
                    <w:t>燃生物质</w:t>
                  </w:r>
                  <w:r>
                    <w:rPr>
                      <w:rFonts w:hint="eastAsia" w:ascii="Times New Roman" w:hAnsi="Times New Roman" w:eastAsia="宋体" w:cs="Times New Roman"/>
                      <w:color w:val="auto"/>
                      <w:kern w:val="0"/>
                      <w:sz w:val="21"/>
                      <w:szCs w:val="21"/>
                      <w:highlight w:val="none"/>
                      <w:lang w:val="en-US" w:eastAsia="zh-CN" w:bidi="ar-SA"/>
                    </w:rPr>
                    <w:t>蒸汽</w:t>
                  </w:r>
                  <w:r>
                    <w:rPr>
                      <w:rFonts w:hint="eastAsia" w:cs="Times New Roman"/>
                      <w:color w:val="auto"/>
                      <w:kern w:val="0"/>
                      <w:sz w:val="21"/>
                      <w:szCs w:val="21"/>
                      <w:highlight w:val="none"/>
                      <w:lang w:val="en-US" w:eastAsia="zh-CN" w:bidi="ar-SA"/>
                    </w:rPr>
                    <w:t>发生器（1用1备）</w:t>
                  </w:r>
                  <w:r>
                    <w:rPr>
                      <w:rFonts w:hint="eastAsia" w:ascii="Times New Roman" w:hAnsi="Times New Roman" w:eastAsia="宋体" w:cs="Times New Roman"/>
                      <w:color w:val="auto"/>
                      <w:kern w:val="0"/>
                      <w:sz w:val="21"/>
                      <w:szCs w:val="21"/>
                      <w:highlight w:val="none"/>
                      <w:lang w:val="en-US" w:eastAsia="zh-CN" w:bidi="ar-SA"/>
                    </w:rPr>
                    <w:t>，燃料为</w:t>
                  </w:r>
                  <w:r>
                    <w:rPr>
                      <w:rFonts w:hint="eastAsia" w:cs="Times New Roman"/>
                      <w:color w:val="auto"/>
                      <w:kern w:val="0"/>
                      <w:sz w:val="21"/>
                      <w:szCs w:val="21"/>
                      <w:highlight w:val="none"/>
                      <w:lang w:val="en-US" w:eastAsia="zh-CN" w:bidi="ar-SA"/>
                    </w:rPr>
                    <w:t>生物质颗粒</w:t>
                  </w:r>
                  <w:r>
                    <w:rPr>
                      <w:rFonts w:hint="eastAsia" w:ascii="Times New Roman" w:hAnsi="Times New Roman" w:eastAsia="宋体" w:cs="Times New Roman"/>
                      <w:color w:val="auto"/>
                      <w:kern w:val="0"/>
                      <w:sz w:val="21"/>
                      <w:szCs w:val="21"/>
                      <w:highlight w:val="none"/>
                      <w:lang w:val="en-US" w:eastAsia="zh-CN" w:bidi="ar-SA"/>
                    </w:rPr>
                    <w:t>；本项目不涉及煤炭使用。</w:t>
                  </w:r>
                </w:p>
              </w:tc>
              <w:tc>
                <w:tcPr>
                  <w:tcW w:w="499" w:type="pct"/>
                  <w:noWrap w:val="0"/>
                  <w:vAlign w:val="center"/>
                </w:tcPr>
                <w:p w14:paraId="742C1317">
                  <w:pPr>
                    <w:autoSpaceDE w:val="0"/>
                    <w:autoSpaceDN w:val="0"/>
                    <w:adjustRightInd w:val="0"/>
                    <w:snapToGrid w:val="0"/>
                    <w:jc w:val="center"/>
                    <w:rPr>
                      <w:color w:val="auto"/>
                      <w:kern w:val="0"/>
                      <w:szCs w:val="21"/>
                      <w:highlight w:val="none"/>
                    </w:rPr>
                  </w:pPr>
                  <w:r>
                    <w:rPr>
                      <w:rFonts w:hint="eastAsia"/>
                      <w:color w:val="auto"/>
                      <w:kern w:val="0"/>
                      <w:szCs w:val="21"/>
                      <w:highlight w:val="none"/>
                    </w:rPr>
                    <w:t>符合</w:t>
                  </w:r>
                </w:p>
              </w:tc>
            </w:tr>
          </w:tbl>
          <w:p w14:paraId="4AAAD772">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eastAsia" w:ascii="Times New Roman" w:hAnsi="Times New Roman" w:eastAsia="宋体" w:cs="Times New Roman"/>
                <w:b/>
                <w:bCs/>
                <w:color w:val="auto"/>
                <w:spacing w:val="0"/>
                <w:kern w:val="0"/>
                <w:sz w:val="24"/>
                <w:szCs w:val="24"/>
                <w:highlight w:val="none"/>
                <w:lang w:val="en-US" w:eastAsia="zh-CN"/>
              </w:rPr>
            </w:pPr>
            <w:r>
              <w:rPr>
                <w:rFonts w:hint="eastAsia" w:cs="Times New Roman"/>
                <w:b/>
                <w:bCs/>
                <w:color w:val="auto"/>
                <w:spacing w:val="0"/>
                <w:kern w:val="0"/>
                <w:sz w:val="24"/>
                <w:szCs w:val="24"/>
                <w:highlight w:val="none"/>
                <w:lang w:val="en-US" w:eastAsia="zh-CN"/>
              </w:rPr>
              <w:t>6</w:t>
            </w:r>
            <w:r>
              <w:rPr>
                <w:rFonts w:hint="eastAsia" w:ascii="Times New Roman" w:hAnsi="Times New Roman" w:eastAsia="宋体" w:cs="Times New Roman"/>
                <w:b/>
                <w:bCs/>
                <w:color w:val="auto"/>
                <w:spacing w:val="0"/>
                <w:kern w:val="0"/>
                <w:sz w:val="24"/>
                <w:szCs w:val="24"/>
                <w:highlight w:val="none"/>
                <w:lang w:val="en-US" w:eastAsia="zh-CN"/>
              </w:rPr>
              <w:t>.与大气污染防治条例符合性分析</w:t>
            </w:r>
          </w:p>
          <w:p w14:paraId="746C69D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b w:val="0"/>
                <w:bCs w:val="0"/>
                <w:color w:val="auto"/>
                <w:spacing w:val="0"/>
                <w:kern w:val="0"/>
                <w:sz w:val="24"/>
                <w:szCs w:val="24"/>
                <w:highlight w:val="none"/>
                <w:lang w:val="en-US" w:eastAsia="zh-CN"/>
              </w:rPr>
              <w:t>根据《黑龙江省大气污染防治条例》</w:t>
            </w:r>
            <w:r>
              <w:rPr>
                <w:rFonts w:hint="eastAsia" w:cs="Times New Roman"/>
                <w:b w:val="0"/>
                <w:bCs w:val="0"/>
                <w:color w:val="auto"/>
                <w:spacing w:val="0"/>
                <w:kern w:val="0"/>
                <w:sz w:val="24"/>
                <w:szCs w:val="24"/>
                <w:highlight w:val="none"/>
                <w:lang w:val="en-US" w:eastAsia="zh-CN"/>
              </w:rPr>
              <w:t>第三十二条</w:t>
            </w:r>
            <w:r>
              <w:rPr>
                <w:rFonts w:hint="eastAsia" w:ascii="Times New Roman" w:hAnsi="Times New Roman" w:eastAsia="宋体" w:cs="Times New Roman"/>
                <w:b w:val="0"/>
                <w:bCs w:val="0"/>
                <w:color w:val="auto"/>
                <w:spacing w:val="0"/>
                <w:kern w:val="0"/>
                <w:sz w:val="24"/>
                <w:szCs w:val="24"/>
                <w:highlight w:val="none"/>
                <w:lang w:val="en-US" w:eastAsia="zh-CN"/>
              </w:rPr>
              <w:t>燃煤电厂、燃煤供热锅炉以及其他燃煤单位，应当采用清洁生产工艺，配套建设除尘、脱硫、脱硝等装置或者采用技术改造等措施，减少大气污染物的产生和排放，排放的大气污染物应当达到规定标准。县级以上人民政府应当向社会公布燃煤锅炉计划淘汰名单和时限，并合理控制城市建成区外规划区内额定蒸发量每小时十吨以下或者额定功率七兆瓦以下燃煤锅炉的建设和使用。</w:t>
            </w:r>
          </w:p>
          <w:p w14:paraId="0C8AFFC9">
            <w:pPr>
              <w:spacing w:line="360" w:lineRule="auto"/>
              <w:ind w:firstLine="480" w:firstLineChars="200"/>
              <w:rPr>
                <w:rFonts w:hint="eastAsia"/>
                <w:position w:val="6"/>
                <w:sz w:val="24"/>
                <w:highlight w:val="none"/>
              </w:rPr>
            </w:pPr>
            <w:r>
              <w:rPr>
                <w:rFonts w:hint="eastAsia"/>
                <w:position w:val="6"/>
                <w:sz w:val="24"/>
                <w:highlight w:val="none"/>
              </w:rPr>
              <w:t>根据《黑龙江省大气污染防治条例》第五十四条各级人民政府应当科学合理扩大绿地、水面、湿地和地面铺装面积，规划、组织建设建筑垃圾和工程渣土处置场，防治扬尘污染。</w:t>
            </w:r>
          </w:p>
          <w:p w14:paraId="5117D48A">
            <w:pPr>
              <w:spacing w:line="360" w:lineRule="auto"/>
              <w:ind w:firstLine="480" w:firstLineChars="200"/>
              <w:rPr>
                <w:rFonts w:hint="eastAsia"/>
                <w:position w:val="6"/>
                <w:sz w:val="24"/>
                <w:highlight w:val="none"/>
              </w:rPr>
            </w:pPr>
            <w:r>
              <w:rPr>
                <w:rFonts w:hint="eastAsia"/>
                <w:position w:val="6"/>
                <w:sz w:val="24"/>
                <w:highlight w:val="none"/>
              </w:rPr>
              <w:t>县级以上有关行政主管部门应当按照下列规定履行扬尘污染防治职责：（一）住房和城乡建设部门负责对房屋建筑、市政基础设施建设等施工工地扬尘污染防治实施监督管理；（二）市容环境卫生行政主管部门负责对城市公共区域道路清扫、园林绿化等领域扬尘污染防治实施监督管理；（三）生态环境主管部门负责对企业物料堆场扬尘污染防治实施监督管理；（四）煤炭管理部门负责对煤炭矿山的扬尘污染防治实施监督管理；（五）应急管理部门负责对非煤矿山扬尘污染防治实施监督管理；（六）县级以上人民政府确定的监督管理部门负责对运输煤炭、垃圾、渣土、砂石、土方、灰浆等散装、流体物料车辆扬尘污染防治实施监督管理。</w:t>
            </w:r>
          </w:p>
          <w:p w14:paraId="7DE9176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position w:val="6"/>
                <w:sz w:val="24"/>
                <w:highlight w:val="none"/>
              </w:rPr>
              <w:t>第五十六条在道路、广场、停车场和其他公共场所进行清扫保洁作业的单位和个人，应当执行清扫保洁作业有关标准，防治扬尘污染。市容环境卫生行政主管部门应当及时巡查，对清扫不达标的，按照有关规定予以处理。运输煤炭、垃圾、渣土、砂石、土方、灰浆等散装、流体物料的车辆，应当采取密闭或者其他措施防止物料遗撒、泄漏，并按照规定的路线和时间行驶。</w:t>
            </w:r>
          </w:p>
          <w:p w14:paraId="54B1C5FC">
            <w:pPr>
              <w:keepNext w:val="0"/>
              <w:keepLines w:val="0"/>
              <w:pageBreakBefore w:val="0"/>
              <w:widowControl w:val="0"/>
              <w:kinsoku/>
              <w:wordWrap w:val="0"/>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none"/>
                <w:lang w:val="en-US" w:eastAsia="zh-CN"/>
              </w:rPr>
            </w:pPr>
            <w:r>
              <w:rPr>
                <w:rFonts w:hint="eastAsia" w:ascii="Times New Roman" w:hAnsi="Times New Roman" w:eastAsia="宋体" w:cs="Times New Roman"/>
                <w:position w:val="6"/>
                <w:sz w:val="24"/>
                <w:highlight w:val="none"/>
                <w:lang w:val="en-US" w:eastAsia="zh-CN"/>
              </w:rPr>
              <w:t>项目建设</w:t>
            </w:r>
            <w:r>
              <w:rPr>
                <w:rFonts w:hint="eastAsia" w:cs="Times New Roman"/>
                <w:position w:val="6"/>
                <w:sz w:val="24"/>
                <w:highlight w:val="none"/>
                <w:lang w:val="en-US" w:eastAsia="zh-CN"/>
              </w:rPr>
              <w:t>2</w:t>
            </w:r>
            <w:r>
              <w:rPr>
                <w:rFonts w:hint="eastAsia" w:ascii="Times New Roman" w:hAnsi="Times New Roman" w:eastAsia="宋体" w:cs="Times New Roman"/>
                <w:position w:val="6"/>
                <w:sz w:val="24"/>
                <w:highlight w:val="none"/>
                <w:lang w:val="en-US" w:eastAsia="zh-CN"/>
              </w:rPr>
              <w:t>台</w:t>
            </w:r>
            <w:r>
              <w:rPr>
                <w:rFonts w:hint="eastAsia" w:cs="Times New Roman"/>
                <w:position w:val="6"/>
                <w:sz w:val="24"/>
                <w:highlight w:val="none"/>
                <w:lang w:val="en-US" w:eastAsia="zh-CN"/>
              </w:rPr>
              <w:t>2.5</w:t>
            </w:r>
            <w:r>
              <w:rPr>
                <w:rFonts w:hint="eastAsia" w:ascii="Times New Roman" w:hAnsi="Times New Roman" w:eastAsia="宋体" w:cs="Times New Roman"/>
                <w:position w:val="6"/>
                <w:sz w:val="24"/>
                <w:highlight w:val="none"/>
                <w:lang w:val="en-US" w:eastAsia="zh-CN"/>
              </w:rPr>
              <w:t>t/h燃</w:t>
            </w:r>
            <w:r>
              <w:rPr>
                <w:rFonts w:hint="eastAsia" w:cs="Times New Roman"/>
                <w:position w:val="6"/>
                <w:sz w:val="24"/>
                <w:highlight w:val="none"/>
                <w:lang w:val="en-US" w:eastAsia="zh-CN"/>
              </w:rPr>
              <w:t>生物质</w:t>
            </w:r>
            <w:r>
              <w:rPr>
                <w:rFonts w:hint="eastAsia" w:ascii="Times New Roman" w:hAnsi="Times New Roman" w:eastAsia="宋体" w:cs="Times New Roman"/>
                <w:position w:val="6"/>
                <w:sz w:val="24"/>
                <w:highlight w:val="none"/>
                <w:lang w:val="en-US" w:eastAsia="zh-CN"/>
              </w:rPr>
              <w:t>蒸汽</w:t>
            </w:r>
            <w:r>
              <w:rPr>
                <w:rFonts w:hint="eastAsia" w:cs="Times New Roman"/>
                <w:position w:val="6"/>
                <w:sz w:val="24"/>
                <w:highlight w:val="none"/>
                <w:lang w:val="en-US" w:eastAsia="zh-CN"/>
              </w:rPr>
              <w:t>发生器</w:t>
            </w:r>
            <w:r>
              <w:rPr>
                <w:rFonts w:hint="eastAsia" w:ascii="Times New Roman" w:hAnsi="Times New Roman" w:eastAsia="宋体" w:cs="Times New Roman"/>
                <w:position w:val="6"/>
                <w:sz w:val="24"/>
                <w:highlight w:val="none"/>
                <w:lang w:val="en-US" w:eastAsia="zh-CN"/>
              </w:rPr>
              <w:t>，且</w:t>
            </w:r>
            <w:r>
              <w:rPr>
                <w:rFonts w:hint="eastAsia" w:cs="Times New Roman"/>
                <w:position w:val="6"/>
                <w:sz w:val="24"/>
                <w:highlight w:val="none"/>
                <w:lang w:val="en-US" w:eastAsia="zh-CN"/>
              </w:rPr>
              <w:t>生物质</w:t>
            </w:r>
            <w:r>
              <w:rPr>
                <w:rFonts w:hint="eastAsia" w:ascii="Times New Roman" w:hAnsi="Times New Roman" w:eastAsia="宋体" w:cs="Times New Roman"/>
                <w:position w:val="6"/>
                <w:sz w:val="24"/>
                <w:highlight w:val="none"/>
                <w:lang w:val="en-US" w:eastAsia="zh-CN"/>
              </w:rPr>
              <w:t>蒸汽发生器烟气经低氮燃烧器+旋风除尘+布袋除尘器处理烟气技术处理后通过</w:t>
            </w:r>
            <w:r>
              <w:rPr>
                <w:rFonts w:hint="eastAsia" w:cs="Times New Roman"/>
                <w:position w:val="6"/>
                <w:sz w:val="24"/>
                <w:highlight w:val="none"/>
                <w:lang w:val="en-US" w:eastAsia="zh-CN"/>
              </w:rPr>
              <w:t>30</w:t>
            </w:r>
            <w:r>
              <w:rPr>
                <w:rFonts w:hint="eastAsia" w:ascii="Times New Roman" w:hAnsi="Times New Roman" w:eastAsia="宋体" w:cs="Times New Roman"/>
                <w:position w:val="6"/>
                <w:sz w:val="24"/>
                <w:highlight w:val="none"/>
                <w:lang w:val="en-US" w:eastAsia="zh-CN"/>
              </w:rPr>
              <w:t>m高烟囱排放，烟气中颗粒物、SO</w:t>
            </w:r>
            <w:r>
              <w:rPr>
                <w:rFonts w:hint="eastAsia" w:ascii="Times New Roman" w:hAnsi="Times New Roman" w:eastAsia="宋体" w:cs="Times New Roman"/>
                <w:position w:val="6"/>
                <w:sz w:val="24"/>
                <w:highlight w:val="none"/>
                <w:vertAlign w:val="subscript"/>
                <w:lang w:val="en-US" w:eastAsia="zh-CN"/>
              </w:rPr>
              <w:t>2</w:t>
            </w:r>
            <w:r>
              <w:rPr>
                <w:rFonts w:hint="eastAsia" w:ascii="Times New Roman" w:hAnsi="Times New Roman" w:eastAsia="宋体" w:cs="Times New Roman"/>
                <w:position w:val="6"/>
                <w:sz w:val="24"/>
                <w:highlight w:val="none"/>
                <w:lang w:val="en-US" w:eastAsia="zh-CN"/>
              </w:rPr>
              <w:t>、NO</w:t>
            </w:r>
            <w:r>
              <w:rPr>
                <w:rFonts w:hint="eastAsia" w:ascii="Times New Roman" w:hAnsi="Times New Roman" w:eastAsia="宋体" w:cs="Times New Roman"/>
                <w:position w:val="6"/>
                <w:sz w:val="24"/>
                <w:highlight w:val="none"/>
                <w:vertAlign w:val="subscript"/>
                <w:lang w:val="en-US" w:eastAsia="zh-CN"/>
              </w:rPr>
              <w:t>X</w:t>
            </w:r>
            <w:r>
              <w:rPr>
                <w:rFonts w:hint="eastAsia" w:ascii="Times New Roman" w:hAnsi="Times New Roman" w:eastAsia="宋体" w:cs="Times New Roman"/>
                <w:position w:val="6"/>
                <w:sz w:val="24"/>
                <w:highlight w:val="none"/>
                <w:lang w:val="en-US" w:eastAsia="zh-CN"/>
              </w:rPr>
              <w:t>、烟气黑度（林格曼黑度）排放浓度满足《锅炉大气污染物排放标准》（GB13271-2014）表2中燃</w:t>
            </w:r>
            <w:r>
              <w:rPr>
                <w:rFonts w:hint="eastAsia" w:cs="Times New Roman"/>
                <w:position w:val="6"/>
                <w:sz w:val="24"/>
                <w:highlight w:val="none"/>
                <w:lang w:val="en-US" w:eastAsia="zh-CN"/>
              </w:rPr>
              <w:t>煤</w:t>
            </w:r>
            <w:r>
              <w:rPr>
                <w:rFonts w:hint="eastAsia" w:ascii="Times New Roman" w:hAnsi="Times New Roman" w:eastAsia="宋体" w:cs="Times New Roman"/>
                <w:position w:val="6"/>
                <w:sz w:val="24"/>
                <w:highlight w:val="none"/>
                <w:lang w:val="en-US" w:eastAsia="zh-CN"/>
              </w:rPr>
              <w:t>锅炉标准要求，本项目所用粉煤灰、水泥采取密闭罐车运输，采用及时清扫地面，定期洒水降尘等措</w:t>
            </w:r>
            <w:r>
              <w:rPr>
                <w:rFonts w:hint="eastAsia" w:ascii="Times New Roman" w:hAnsi="Times New Roman" w:eastAsia="宋体" w:cs="Times New Roman"/>
                <w:position w:val="6"/>
                <w:sz w:val="24"/>
                <w:highlight w:val="none"/>
              </w:rPr>
              <w:t>施，以减少道路扬尘的产生。输送带均设挡板围蔽，密闭输送。对出厂</w:t>
            </w:r>
            <w:r>
              <w:rPr>
                <w:rFonts w:hint="eastAsia" w:ascii="Times New Roman" w:hAnsi="Times New Roman" w:eastAsia="宋体" w:cs="Times New Roman"/>
                <w:position w:val="6"/>
                <w:sz w:val="24"/>
                <w:highlight w:val="none"/>
                <w:lang w:val="en-US" w:eastAsia="zh-CN"/>
              </w:rPr>
              <w:t>运输车辆</w:t>
            </w:r>
            <w:r>
              <w:rPr>
                <w:rFonts w:hint="eastAsia" w:ascii="Times New Roman" w:hAnsi="Times New Roman" w:eastAsia="宋体" w:cs="Times New Roman"/>
                <w:position w:val="6"/>
                <w:sz w:val="24"/>
                <w:highlight w:val="none"/>
              </w:rPr>
              <w:t>进行清扫</w:t>
            </w:r>
            <w:r>
              <w:rPr>
                <w:rFonts w:hint="eastAsia" w:ascii="Times New Roman" w:hAnsi="Times New Roman" w:eastAsia="宋体" w:cs="Times New Roman"/>
                <w:position w:val="6"/>
                <w:sz w:val="24"/>
                <w:highlight w:val="none"/>
                <w:lang w:eastAsia="zh-CN"/>
              </w:rPr>
              <w:t>，</w:t>
            </w:r>
            <w:r>
              <w:rPr>
                <w:rFonts w:hint="eastAsia" w:ascii="Times New Roman" w:hAnsi="Times New Roman" w:eastAsia="宋体" w:cs="Times New Roman"/>
                <w:position w:val="6"/>
                <w:sz w:val="24"/>
                <w:highlight w:val="none"/>
              </w:rPr>
              <w:t>使用固定路线，不经过学校、居民聚集的地区，不超载。规划、组织建设建筑垃圾和工程渣土处置场，防治扬尘污染</w:t>
            </w:r>
            <w:r>
              <w:rPr>
                <w:rFonts w:hint="eastAsia" w:ascii="Times New Roman" w:hAnsi="Times New Roman" w:eastAsia="宋体" w:cs="Times New Roman"/>
                <w:position w:val="6"/>
                <w:sz w:val="24"/>
                <w:highlight w:val="none"/>
                <w:lang w:eastAsia="zh-CN"/>
              </w:rPr>
              <w:t>。</w:t>
            </w:r>
            <w:r>
              <w:rPr>
                <w:rFonts w:hint="eastAsia" w:ascii="Times New Roman" w:hAnsi="Times New Roman" w:eastAsia="宋体" w:cs="Times New Roman"/>
                <w:position w:val="6"/>
                <w:sz w:val="24"/>
                <w:highlight w:val="none"/>
              </w:rPr>
              <w:t>因此，项目建设</w:t>
            </w:r>
            <w:r>
              <w:rPr>
                <w:rFonts w:hint="eastAsia" w:ascii="Times New Roman" w:hAnsi="Times New Roman" w:eastAsia="宋体" w:cs="Times New Roman"/>
                <w:position w:val="6"/>
                <w:sz w:val="24"/>
                <w:highlight w:val="none"/>
                <w:lang w:val="en-US" w:eastAsia="zh-CN"/>
              </w:rPr>
              <w:t>符合《黑龙江省大气污染防治条例》。</w:t>
            </w:r>
          </w:p>
          <w:p w14:paraId="5BE8AEB9">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eastAsia" w:ascii="Times New Roman" w:hAnsi="Times New Roman" w:eastAsia="宋体" w:cs="Times New Roman"/>
                <w:b/>
                <w:bCs/>
                <w:color w:val="auto"/>
                <w:spacing w:val="0"/>
                <w:kern w:val="0"/>
                <w:sz w:val="24"/>
                <w:szCs w:val="24"/>
                <w:highlight w:val="yellow"/>
                <w:lang w:val="en-US" w:eastAsia="zh-CN"/>
              </w:rPr>
            </w:pPr>
            <w:r>
              <w:rPr>
                <w:rFonts w:hint="eastAsia" w:cs="Times New Roman"/>
                <w:b/>
                <w:bCs/>
                <w:color w:val="auto"/>
                <w:spacing w:val="0"/>
                <w:kern w:val="0"/>
                <w:sz w:val="24"/>
                <w:szCs w:val="24"/>
                <w:highlight w:val="none"/>
                <w:lang w:val="en-US" w:eastAsia="zh-CN"/>
              </w:rPr>
              <w:t>7.与《双鸭山市“十四五”生态环境保护规划》</w:t>
            </w:r>
            <w:r>
              <w:rPr>
                <w:rFonts w:hint="eastAsia" w:ascii="Times New Roman" w:hAnsi="Times New Roman" w:eastAsia="宋体" w:cs="Times New Roman"/>
                <w:b/>
                <w:bCs/>
                <w:color w:val="auto"/>
                <w:spacing w:val="0"/>
                <w:kern w:val="0"/>
                <w:sz w:val="24"/>
                <w:szCs w:val="24"/>
                <w:highlight w:val="none"/>
                <w:lang w:val="en-US" w:eastAsia="zh-CN"/>
              </w:rPr>
              <w:t xml:space="preserve">符合性分析 </w:t>
            </w:r>
          </w:p>
          <w:p w14:paraId="70AEF8A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yellow"/>
                <w:lang w:val="en-US" w:eastAsia="zh-CN"/>
              </w:rPr>
            </w:pPr>
            <w:r>
              <w:rPr>
                <w:rFonts w:hint="eastAsia"/>
                <w:position w:val="6"/>
                <w:sz w:val="24"/>
                <w:highlight w:val="yellow"/>
              </w:rPr>
              <w:t>《</w:t>
            </w:r>
            <w:r>
              <w:rPr>
                <w:rFonts w:hint="eastAsia"/>
                <w:position w:val="6"/>
                <w:sz w:val="24"/>
                <w:highlight w:val="yellow"/>
                <w:lang w:val="en-US" w:eastAsia="zh-CN"/>
              </w:rPr>
              <w:t>双鸭山市</w:t>
            </w:r>
            <w:r>
              <w:rPr>
                <w:position w:val="6"/>
                <w:sz w:val="24"/>
                <w:highlight w:val="yellow"/>
              </w:rPr>
              <w:t>“</w:t>
            </w:r>
            <w:r>
              <w:rPr>
                <w:rFonts w:hint="eastAsia"/>
                <w:position w:val="6"/>
                <w:sz w:val="24"/>
                <w:highlight w:val="yellow"/>
              </w:rPr>
              <w:t>十四五</w:t>
            </w:r>
            <w:r>
              <w:rPr>
                <w:position w:val="6"/>
                <w:sz w:val="24"/>
                <w:highlight w:val="yellow"/>
              </w:rPr>
              <w:t>”</w:t>
            </w:r>
            <w:r>
              <w:rPr>
                <w:rFonts w:hint="eastAsia"/>
                <w:position w:val="6"/>
                <w:sz w:val="24"/>
                <w:highlight w:val="yellow"/>
              </w:rPr>
              <w:t>生态环境保护规划》中要求：</w:t>
            </w:r>
            <w:r>
              <w:rPr>
                <w:position w:val="6"/>
                <w:sz w:val="24"/>
                <w:highlight w:val="yellow"/>
              </w:rPr>
              <w:t>规划指出：加强细颗粒物污染防治。深化燃煤设施整治。全面开展市级城市建成区内35蒸吨以下燃煤锅炉淘汰工作；按照《双鸭山市燃煤储粮烘干设施清洁能源改建项目实施方案》要求，逐步推进燃煤储粮烘干设施清洁能源改建，将燃料由煤改为醇基清洁燃料；加强扬尘精细化管控，加强城市裸露地面、粉粒类物料堆放以及大型煤炭物料堆场的抑尘设施建设。</w:t>
            </w:r>
          </w:p>
          <w:p w14:paraId="6B0270D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sz w:val="24"/>
                <w:szCs w:val="24"/>
                <w:highlight w:val="yellow"/>
              </w:rPr>
            </w:pPr>
            <w:r>
              <w:rPr>
                <w:rFonts w:hint="eastAsia"/>
                <w:position w:val="6"/>
                <w:sz w:val="24"/>
                <w:highlight w:val="yellow"/>
                <w:lang w:val="en-US" w:eastAsia="zh-CN"/>
              </w:rPr>
              <w:t>本项目新建2台2.5</w:t>
            </w:r>
            <w:r>
              <w:rPr>
                <w:rFonts w:hint="default"/>
                <w:position w:val="6"/>
                <w:sz w:val="24"/>
                <w:highlight w:val="yellow"/>
                <w:lang w:val="en-US" w:eastAsia="zh-CN"/>
              </w:rPr>
              <w:t>t/h</w:t>
            </w:r>
            <w:r>
              <w:rPr>
                <w:rFonts w:hint="eastAsia"/>
                <w:position w:val="6"/>
                <w:sz w:val="24"/>
                <w:highlight w:val="yellow"/>
                <w:lang w:val="en-US" w:eastAsia="zh-CN"/>
              </w:rPr>
              <w:t>燃生物质蒸汽发生器（1用1备），且生物质蒸汽发生器烟气经低氮燃烧器+旋风除尘+布袋除尘器技术处理后通过30m高烟囱排放，因此，本项目符合《黑龙江省“十四五”生态环境保护规划》规划要求。</w:t>
            </w:r>
          </w:p>
          <w:p w14:paraId="67EDA87C">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eastAsia" w:cs="Times New Roman"/>
                <w:b/>
                <w:bCs/>
                <w:color w:val="auto"/>
                <w:spacing w:val="0"/>
                <w:kern w:val="0"/>
                <w:sz w:val="24"/>
                <w:szCs w:val="24"/>
                <w:highlight w:val="none"/>
                <w:lang w:val="en-US" w:eastAsia="zh-CN"/>
              </w:rPr>
            </w:pPr>
            <w:r>
              <w:rPr>
                <w:rFonts w:hint="eastAsia" w:cs="Times New Roman"/>
                <w:b/>
                <w:bCs/>
                <w:color w:val="auto"/>
                <w:spacing w:val="0"/>
                <w:kern w:val="0"/>
                <w:sz w:val="24"/>
                <w:szCs w:val="24"/>
                <w:highlight w:val="none"/>
                <w:lang w:val="en-US" w:eastAsia="zh-CN"/>
              </w:rPr>
              <w:t xml:space="preserve">8.与与双鸭山市生态环境局关于印发《双鸭山市扬尘源专项整治工作方案》的通知（双环发〔2020〕17号）的符合性分析 </w:t>
            </w:r>
          </w:p>
          <w:p w14:paraId="66C3D2AE">
            <w:pPr>
              <w:spacing w:line="360" w:lineRule="auto"/>
              <w:ind w:firstLine="480" w:firstLineChars="200"/>
              <w:rPr>
                <w:rFonts w:hint="eastAsia" w:eastAsia="宋体"/>
                <w:position w:val="6"/>
                <w:sz w:val="24"/>
                <w:highlight w:val="cyan"/>
                <w:lang w:eastAsia="zh-CN"/>
              </w:rPr>
            </w:pPr>
            <w:r>
              <w:rPr>
                <w:rFonts w:hint="eastAsia"/>
                <w:position w:val="6"/>
                <w:sz w:val="24"/>
                <w:highlight w:val="none"/>
              </w:rPr>
              <w:t>根据双鸭山市生态环境局关于印发《双鸭山市扬尘源专项整治工作方案》的通知（双环发〔2020〕17号）中附件3要求各行业扬尘污染控制要求（六）其他行业</w:t>
            </w:r>
          </w:p>
          <w:tbl>
            <w:tblPr>
              <w:tblStyle w:val="31"/>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451"/>
              <w:gridCol w:w="4727"/>
            </w:tblGrid>
            <w:tr w14:paraId="7DDBA5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noWrap w:val="0"/>
                  <w:vAlign w:val="center"/>
                </w:tcPr>
                <w:p w14:paraId="7E486951">
                  <w:pPr>
                    <w:spacing w:line="360" w:lineRule="auto"/>
                    <w:jc w:val="center"/>
                    <w:rPr>
                      <w:position w:val="6"/>
                      <w:szCs w:val="21"/>
                      <w:highlight w:val="none"/>
                    </w:rPr>
                  </w:pPr>
                  <w:r>
                    <w:rPr>
                      <w:position w:val="6"/>
                      <w:szCs w:val="21"/>
                      <w:highlight w:val="none"/>
                    </w:rPr>
                    <w:t>序号</w:t>
                  </w:r>
                </w:p>
              </w:tc>
              <w:tc>
                <w:tcPr>
                  <w:tcW w:w="1451" w:type="dxa"/>
                  <w:noWrap w:val="0"/>
                  <w:vAlign w:val="center"/>
                </w:tcPr>
                <w:p w14:paraId="1312EEB0">
                  <w:pPr>
                    <w:spacing w:line="360" w:lineRule="auto"/>
                    <w:jc w:val="center"/>
                    <w:rPr>
                      <w:position w:val="6"/>
                      <w:szCs w:val="21"/>
                      <w:highlight w:val="none"/>
                    </w:rPr>
                  </w:pPr>
                  <w:r>
                    <w:rPr>
                      <w:position w:val="6"/>
                      <w:szCs w:val="21"/>
                      <w:highlight w:val="none"/>
                    </w:rPr>
                    <w:t>主要生产单元</w:t>
                  </w:r>
                </w:p>
              </w:tc>
              <w:tc>
                <w:tcPr>
                  <w:tcW w:w="4727" w:type="dxa"/>
                  <w:noWrap w:val="0"/>
                  <w:vAlign w:val="center"/>
                </w:tcPr>
                <w:p w14:paraId="311BFD45">
                  <w:pPr>
                    <w:spacing w:line="360" w:lineRule="auto"/>
                    <w:jc w:val="center"/>
                    <w:rPr>
                      <w:position w:val="6"/>
                      <w:szCs w:val="21"/>
                      <w:highlight w:val="none"/>
                    </w:rPr>
                  </w:pPr>
                  <w:r>
                    <w:rPr>
                      <w:position w:val="6"/>
                      <w:szCs w:val="21"/>
                      <w:highlight w:val="none"/>
                    </w:rPr>
                    <w:t>扬尘污染控制要求</w:t>
                  </w:r>
                </w:p>
              </w:tc>
            </w:tr>
            <w:tr w14:paraId="7571A2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noWrap w:val="0"/>
                  <w:vAlign w:val="center"/>
                </w:tcPr>
                <w:p w14:paraId="4821CEB6">
                  <w:pPr>
                    <w:spacing w:line="360" w:lineRule="auto"/>
                    <w:jc w:val="center"/>
                    <w:rPr>
                      <w:rFonts w:hint="eastAsia" w:eastAsia="宋体"/>
                      <w:position w:val="6"/>
                      <w:szCs w:val="21"/>
                      <w:highlight w:val="none"/>
                      <w:lang w:val="en-US" w:eastAsia="zh-CN"/>
                    </w:rPr>
                  </w:pPr>
                  <w:r>
                    <w:rPr>
                      <w:rFonts w:hint="eastAsia"/>
                      <w:position w:val="6"/>
                      <w:szCs w:val="21"/>
                      <w:highlight w:val="none"/>
                      <w:lang w:val="en-US" w:eastAsia="zh-CN"/>
                    </w:rPr>
                    <w:t>1</w:t>
                  </w:r>
                </w:p>
              </w:tc>
              <w:tc>
                <w:tcPr>
                  <w:tcW w:w="1451" w:type="dxa"/>
                  <w:noWrap w:val="0"/>
                  <w:vAlign w:val="center"/>
                </w:tcPr>
                <w:p w14:paraId="69F02AA5">
                  <w:pPr>
                    <w:spacing w:line="360" w:lineRule="auto"/>
                    <w:jc w:val="center"/>
                    <w:rPr>
                      <w:position w:val="6"/>
                      <w:szCs w:val="21"/>
                      <w:highlight w:val="none"/>
                    </w:rPr>
                  </w:pPr>
                  <w:r>
                    <w:rPr>
                      <w:position w:val="6"/>
                      <w:szCs w:val="21"/>
                      <w:highlight w:val="none"/>
                    </w:rPr>
                    <w:t>物料运输</w:t>
                  </w:r>
                </w:p>
              </w:tc>
              <w:tc>
                <w:tcPr>
                  <w:tcW w:w="4727" w:type="dxa"/>
                  <w:noWrap w:val="0"/>
                  <w:vAlign w:val="center"/>
                </w:tcPr>
                <w:p w14:paraId="70028EC3">
                  <w:pPr>
                    <w:spacing w:line="360" w:lineRule="auto"/>
                    <w:jc w:val="left"/>
                    <w:rPr>
                      <w:position w:val="6"/>
                      <w:szCs w:val="21"/>
                      <w:highlight w:val="none"/>
                    </w:rPr>
                  </w:pPr>
                  <w:r>
                    <w:rPr>
                      <w:position w:val="6"/>
                      <w:szCs w:val="21"/>
                      <w:highlight w:val="none"/>
                    </w:rPr>
                    <w:t>(1)运输散装粉状物料应采用密闭车厢或罐车</w:t>
                  </w:r>
                  <w:r>
                    <w:rPr>
                      <w:rFonts w:hint="eastAsia"/>
                      <w:position w:val="6"/>
                      <w:szCs w:val="21"/>
                      <w:highlight w:val="none"/>
                    </w:rPr>
                    <w:t>；</w:t>
                  </w:r>
                </w:p>
                <w:p w14:paraId="25693086">
                  <w:pPr>
                    <w:spacing w:line="360" w:lineRule="auto"/>
                    <w:jc w:val="left"/>
                    <w:rPr>
                      <w:position w:val="6"/>
                      <w:szCs w:val="21"/>
                      <w:highlight w:val="none"/>
                    </w:rPr>
                  </w:pPr>
                  <w:r>
                    <w:rPr>
                      <w:position w:val="6"/>
                      <w:szCs w:val="21"/>
                      <w:highlight w:val="none"/>
                    </w:rPr>
                    <w:t>(2)运输袋装粉状物料，以及粒状、块状等易散发粉尘的物料应采用密闭车厢，或使用防尘布、防尘物料运输网覆盖物料，捆扎紧密，不得有物料遗撒</w:t>
                  </w:r>
                  <w:r>
                    <w:rPr>
                      <w:rFonts w:hint="eastAsia"/>
                      <w:position w:val="6"/>
                      <w:szCs w:val="21"/>
                      <w:highlight w:val="none"/>
                    </w:rPr>
                    <w:t>；</w:t>
                  </w:r>
                </w:p>
                <w:p w14:paraId="7749BBCB">
                  <w:pPr>
                    <w:spacing w:line="360" w:lineRule="auto"/>
                    <w:jc w:val="left"/>
                    <w:rPr>
                      <w:position w:val="6"/>
                      <w:szCs w:val="21"/>
                      <w:highlight w:val="none"/>
                    </w:rPr>
                  </w:pPr>
                  <w:r>
                    <w:rPr>
                      <w:position w:val="6"/>
                      <w:szCs w:val="21"/>
                      <w:highlight w:val="none"/>
                    </w:rPr>
                    <w:t>(3)厂区道路应硬化，并定期清扫、</w:t>
                  </w:r>
                  <w:r>
                    <w:rPr>
                      <w:rFonts w:hint="eastAsia"/>
                      <w:position w:val="6"/>
                      <w:szCs w:val="21"/>
                      <w:highlight w:val="none"/>
                    </w:rPr>
                    <w:t>洒</w:t>
                  </w:r>
                  <w:r>
                    <w:rPr>
                      <w:position w:val="6"/>
                      <w:szCs w:val="21"/>
                      <w:highlight w:val="none"/>
                    </w:rPr>
                    <w:t>水保持清洁。车辆在驶离煤场、料场、储库、堆棚前应清洗车轮、清洗车身。</w:t>
                  </w:r>
                </w:p>
              </w:tc>
            </w:tr>
            <w:tr w14:paraId="284E9D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noWrap w:val="0"/>
                  <w:vAlign w:val="center"/>
                </w:tcPr>
                <w:p w14:paraId="6373CCE3">
                  <w:pPr>
                    <w:spacing w:line="360" w:lineRule="auto"/>
                    <w:jc w:val="center"/>
                    <w:rPr>
                      <w:rFonts w:hint="eastAsia" w:eastAsia="宋体"/>
                      <w:position w:val="6"/>
                      <w:szCs w:val="21"/>
                      <w:highlight w:val="none"/>
                      <w:lang w:val="en-US" w:eastAsia="zh-CN"/>
                    </w:rPr>
                  </w:pPr>
                  <w:r>
                    <w:rPr>
                      <w:rFonts w:hint="eastAsia"/>
                      <w:position w:val="6"/>
                      <w:szCs w:val="21"/>
                      <w:highlight w:val="none"/>
                      <w:lang w:val="en-US" w:eastAsia="zh-CN"/>
                    </w:rPr>
                    <w:t>2</w:t>
                  </w:r>
                </w:p>
              </w:tc>
              <w:tc>
                <w:tcPr>
                  <w:tcW w:w="1451" w:type="dxa"/>
                  <w:noWrap w:val="0"/>
                  <w:vAlign w:val="center"/>
                </w:tcPr>
                <w:p w14:paraId="06418EF2">
                  <w:pPr>
                    <w:spacing w:line="360" w:lineRule="auto"/>
                    <w:jc w:val="center"/>
                    <w:rPr>
                      <w:position w:val="6"/>
                      <w:szCs w:val="21"/>
                      <w:highlight w:val="none"/>
                    </w:rPr>
                  </w:pPr>
                  <w:r>
                    <w:rPr>
                      <w:position w:val="6"/>
                      <w:szCs w:val="21"/>
                      <w:highlight w:val="none"/>
                    </w:rPr>
                    <w:t>物料装卸</w:t>
                  </w:r>
                </w:p>
              </w:tc>
              <w:tc>
                <w:tcPr>
                  <w:tcW w:w="4727" w:type="dxa"/>
                  <w:noWrap w:val="0"/>
                  <w:vAlign w:val="center"/>
                </w:tcPr>
                <w:p w14:paraId="1E08C9B2">
                  <w:pPr>
                    <w:spacing w:line="360" w:lineRule="auto"/>
                    <w:jc w:val="left"/>
                    <w:rPr>
                      <w:position w:val="6"/>
                      <w:szCs w:val="21"/>
                      <w:highlight w:val="none"/>
                    </w:rPr>
                  </w:pPr>
                  <w:r>
                    <w:rPr>
                      <w:position w:val="6"/>
                      <w:szCs w:val="21"/>
                      <w:highlight w:val="none"/>
                    </w:rPr>
                    <w:t>装卸易散发粉尘的物料应采取以下方式之一</w:t>
                  </w:r>
                </w:p>
                <w:p w14:paraId="7F93F536">
                  <w:pPr>
                    <w:spacing w:line="360" w:lineRule="auto"/>
                    <w:jc w:val="left"/>
                    <w:rPr>
                      <w:position w:val="6"/>
                      <w:szCs w:val="21"/>
                      <w:highlight w:val="none"/>
                    </w:rPr>
                  </w:pPr>
                  <w:r>
                    <w:rPr>
                      <w:position w:val="6"/>
                      <w:szCs w:val="21"/>
                      <w:highlight w:val="none"/>
                    </w:rPr>
                    <w:t>(1)密闭操作</w:t>
                  </w:r>
                  <w:r>
                    <w:rPr>
                      <w:rFonts w:hint="eastAsia"/>
                      <w:position w:val="6"/>
                      <w:szCs w:val="21"/>
                      <w:highlight w:val="none"/>
                    </w:rPr>
                    <w:t>；</w:t>
                  </w:r>
                </w:p>
                <w:p w14:paraId="1A84E72B">
                  <w:pPr>
                    <w:spacing w:line="360" w:lineRule="auto"/>
                    <w:jc w:val="left"/>
                    <w:rPr>
                      <w:position w:val="6"/>
                      <w:szCs w:val="21"/>
                      <w:highlight w:val="none"/>
                    </w:rPr>
                  </w:pPr>
                  <w:r>
                    <w:rPr>
                      <w:position w:val="6"/>
                      <w:szCs w:val="21"/>
                      <w:highlight w:val="none"/>
                    </w:rPr>
                    <w:t>(2)在封闭式建筑物内进行物料装</w:t>
                  </w:r>
                  <w:r>
                    <w:rPr>
                      <w:rFonts w:hint="eastAsia"/>
                      <w:position w:val="6"/>
                      <w:szCs w:val="21"/>
                      <w:highlight w:val="none"/>
                    </w:rPr>
                    <w:t>；</w:t>
                  </w:r>
                </w:p>
                <w:p w14:paraId="1C95E5F0">
                  <w:pPr>
                    <w:spacing w:line="360" w:lineRule="auto"/>
                    <w:jc w:val="left"/>
                    <w:rPr>
                      <w:position w:val="6"/>
                      <w:szCs w:val="21"/>
                      <w:highlight w:val="none"/>
                    </w:rPr>
                  </w:pPr>
                  <w:r>
                    <w:rPr>
                      <w:position w:val="6"/>
                      <w:szCs w:val="21"/>
                      <w:highlight w:val="none"/>
                    </w:rPr>
                    <w:t>(3)在装卸位置采取局部气体收集处理、</w:t>
                  </w:r>
                  <w:r>
                    <w:rPr>
                      <w:rFonts w:hint="eastAsia"/>
                      <w:position w:val="6"/>
                      <w:szCs w:val="21"/>
                      <w:highlight w:val="none"/>
                    </w:rPr>
                    <w:t>洒</w:t>
                  </w:r>
                  <w:r>
                    <w:rPr>
                      <w:position w:val="6"/>
                      <w:szCs w:val="21"/>
                      <w:highlight w:val="none"/>
                    </w:rPr>
                    <w:t>水塇湿等控制措施。</w:t>
                  </w:r>
                </w:p>
              </w:tc>
            </w:tr>
            <w:tr w14:paraId="1CCBB6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noWrap w:val="0"/>
                  <w:vAlign w:val="center"/>
                </w:tcPr>
                <w:p w14:paraId="4E0CA8B7">
                  <w:pPr>
                    <w:spacing w:line="360" w:lineRule="auto"/>
                    <w:jc w:val="center"/>
                    <w:rPr>
                      <w:rFonts w:hint="eastAsia" w:eastAsia="宋体"/>
                      <w:position w:val="6"/>
                      <w:szCs w:val="21"/>
                      <w:highlight w:val="none"/>
                      <w:lang w:val="en-US" w:eastAsia="zh-CN"/>
                    </w:rPr>
                  </w:pPr>
                  <w:r>
                    <w:rPr>
                      <w:rFonts w:hint="eastAsia"/>
                      <w:position w:val="6"/>
                      <w:szCs w:val="21"/>
                      <w:highlight w:val="none"/>
                      <w:lang w:val="en-US" w:eastAsia="zh-CN"/>
                    </w:rPr>
                    <w:t>3</w:t>
                  </w:r>
                </w:p>
              </w:tc>
              <w:tc>
                <w:tcPr>
                  <w:tcW w:w="1451" w:type="dxa"/>
                  <w:noWrap w:val="0"/>
                  <w:vAlign w:val="center"/>
                </w:tcPr>
                <w:p w14:paraId="582DCEDB">
                  <w:pPr>
                    <w:spacing w:line="360" w:lineRule="auto"/>
                    <w:jc w:val="center"/>
                    <w:rPr>
                      <w:position w:val="6"/>
                      <w:szCs w:val="21"/>
                      <w:highlight w:val="none"/>
                    </w:rPr>
                  </w:pPr>
                  <w:r>
                    <w:rPr>
                      <w:position w:val="6"/>
                      <w:szCs w:val="21"/>
                      <w:highlight w:val="none"/>
                    </w:rPr>
                    <w:t>物料存储</w:t>
                  </w:r>
                </w:p>
              </w:tc>
              <w:tc>
                <w:tcPr>
                  <w:tcW w:w="4727" w:type="dxa"/>
                  <w:noWrap w:val="0"/>
                  <w:vAlign w:val="center"/>
                </w:tcPr>
                <w:p w14:paraId="41EC60FA">
                  <w:pPr>
                    <w:spacing w:line="360" w:lineRule="auto"/>
                    <w:jc w:val="left"/>
                    <w:rPr>
                      <w:position w:val="6"/>
                      <w:szCs w:val="21"/>
                      <w:highlight w:val="none"/>
                    </w:rPr>
                  </w:pPr>
                  <w:r>
                    <w:rPr>
                      <w:position w:val="6"/>
                      <w:szCs w:val="21"/>
                      <w:highlight w:val="none"/>
                    </w:rPr>
                    <w:t>(1)粉状物料应储存于密闭料仓或封闭式建筑物内(2)粒状、块状等易散发粉尘的物料储存于储库、堆栩中,或储存于密闭料仓中。储库、堆棚应至少三面有围墙(或围挡)及屋顶,敞开侧应避开常年主导风向的的上风风位。</w:t>
                  </w:r>
                </w:p>
                <w:p w14:paraId="6CF8152D">
                  <w:pPr>
                    <w:spacing w:line="360" w:lineRule="auto"/>
                    <w:jc w:val="left"/>
                    <w:rPr>
                      <w:position w:val="6"/>
                      <w:szCs w:val="21"/>
                      <w:highlight w:val="none"/>
                    </w:rPr>
                  </w:pPr>
                  <w:r>
                    <w:rPr>
                      <w:position w:val="6"/>
                      <w:szCs w:val="21"/>
                      <w:highlight w:val="none"/>
                    </w:rPr>
                    <w:t>(3)露天储存粒状块状等易散发粉尘的物料，堆置区四周应以挡风墙、防风抑尘网等方式围挡(出入口除外)围挡高度不应低于堆存物料高度的1.1倍，同时采取酒水、覆盖防尘布(网)剂等控制措施。</w:t>
                  </w:r>
                </w:p>
                <w:p w14:paraId="7FADD886">
                  <w:pPr>
                    <w:spacing w:line="360" w:lineRule="auto"/>
                    <w:jc w:val="left"/>
                    <w:rPr>
                      <w:position w:val="6"/>
                      <w:szCs w:val="21"/>
                      <w:highlight w:val="none"/>
                    </w:rPr>
                  </w:pPr>
                  <w:r>
                    <w:rPr>
                      <w:position w:val="6"/>
                      <w:szCs w:val="21"/>
                      <w:highlight w:val="none"/>
                    </w:rPr>
                    <w:t>(4)临时露天堆存粒状、块状等易散发粉尘的物料，应使用防尘布、防尘网覆盖严密。</w:t>
                  </w:r>
                </w:p>
              </w:tc>
            </w:tr>
            <w:tr w14:paraId="0E6A9E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noWrap w:val="0"/>
                  <w:vAlign w:val="center"/>
                </w:tcPr>
                <w:p w14:paraId="48E6666E">
                  <w:pPr>
                    <w:spacing w:line="360" w:lineRule="auto"/>
                    <w:jc w:val="center"/>
                    <w:rPr>
                      <w:rFonts w:hint="eastAsia" w:eastAsia="宋体"/>
                      <w:position w:val="6"/>
                      <w:szCs w:val="21"/>
                      <w:highlight w:val="none"/>
                      <w:lang w:val="en-US" w:eastAsia="zh-CN"/>
                    </w:rPr>
                  </w:pPr>
                  <w:r>
                    <w:rPr>
                      <w:rFonts w:hint="eastAsia"/>
                      <w:position w:val="6"/>
                      <w:szCs w:val="21"/>
                      <w:highlight w:val="none"/>
                      <w:lang w:val="en-US" w:eastAsia="zh-CN"/>
                    </w:rPr>
                    <w:t>4</w:t>
                  </w:r>
                </w:p>
              </w:tc>
              <w:tc>
                <w:tcPr>
                  <w:tcW w:w="1451" w:type="dxa"/>
                  <w:noWrap w:val="0"/>
                  <w:vAlign w:val="center"/>
                </w:tcPr>
                <w:p w14:paraId="5724617F">
                  <w:pPr>
                    <w:spacing w:line="360" w:lineRule="auto"/>
                    <w:jc w:val="center"/>
                    <w:rPr>
                      <w:position w:val="6"/>
                      <w:szCs w:val="21"/>
                      <w:highlight w:val="none"/>
                    </w:rPr>
                  </w:pPr>
                  <w:r>
                    <w:rPr>
                      <w:position w:val="6"/>
                      <w:szCs w:val="21"/>
                      <w:highlight w:val="none"/>
                    </w:rPr>
                    <w:t>物料转移和输送</w:t>
                  </w:r>
                </w:p>
              </w:tc>
              <w:tc>
                <w:tcPr>
                  <w:tcW w:w="4727" w:type="dxa"/>
                  <w:noWrap w:val="0"/>
                  <w:vAlign w:val="center"/>
                </w:tcPr>
                <w:p w14:paraId="53DFF8D7">
                  <w:pPr>
                    <w:spacing w:line="360" w:lineRule="auto"/>
                    <w:jc w:val="left"/>
                    <w:rPr>
                      <w:rFonts w:hint="eastAsia"/>
                      <w:position w:val="6"/>
                      <w:szCs w:val="21"/>
                      <w:highlight w:val="none"/>
                    </w:rPr>
                  </w:pPr>
                  <w:r>
                    <w:rPr>
                      <w:position w:val="6"/>
                      <w:szCs w:val="21"/>
                      <w:highlight w:val="none"/>
                    </w:rPr>
                    <w:t>厂内转移和输送易散发粉尘的物料应采取以下方式之</w:t>
                  </w:r>
                  <w:r>
                    <w:rPr>
                      <w:rFonts w:hint="eastAsia"/>
                      <w:position w:val="6"/>
                      <w:szCs w:val="21"/>
                      <w:highlight w:val="none"/>
                    </w:rPr>
                    <w:t>一</w:t>
                  </w:r>
                </w:p>
                <w:p w14:paraId="5A6C20C6">
                  <w:pPr>
                    <w:spacing w:line="360" w:lineRule="auto"/>
                    <w:jc w:val="left"/>
                    <w:rPr>
                      <w:position w:val="6"/>
                      <w:szCs w:val="21"/>
                      <w:highlight w:val="none"/>
                    </w:rPr>
                  </w:pPr>
                  <w:r>
                    <w:rPr>
                      <w:position w:val="6"/>
                      <w:szCs w:val="21"/>
                      <w:highlight w:val="none"/>
                    </w:rPr>
                    <w:t>(1)采用密闭输送系统</w:t>
                  </w:r>
                  <w:r>
                    <w:rPr>
                      <w:rFonts w:hint="eastAsia"/>
                      <w:position w:val="6"/>
                      <w:szCs w:val="21"/>
                      <w:highlight w:val="none"/>
                    </w:rPr>
                    <w:t>；</w:t>
                  </w:r>
                </w:p>
                <w:p w14:paraId="07594E3C">
                  <w:pPr>
                    <w:spacing w:line="360" w:lineRule="auto"/>
                    <w:jc w:val="left"/>
                    <w:rPr>
                      <w:rFonts w:hint="eastAsia"/>
                      <w:position w:val="6"/>
                      <w:szCs w:val="21"/>
                      <w:highlight w:val="none"/>
                    </w:rPr>
                  </w:pPr>
                  <w:r>
                    <w:rPr>
                      <w:position w:val="6"/>
                      <w:szCs w:val="21"/>
                      <w:highlight w:val="none"/>
                    </w:rPr>
                    <w:t>(2)在封闭式建筑物内进行物料转移和输送</w:t>
                  </w:r>
                  <w:r>
                    <w:rPr>
                      <w:rFonts w:hint="eastAsia"/>
                      <w:position w:val="6"/>
                      <w:szCs w:val="21"/>
                      <w:highlight w:val="none"/>
                    </w:rPr>
                    <w:t>；</w:t>
                  </w:r>
                </w:p>
                <w:p w14:paraId="76CF725B">
                  <w:pPr>
                    <w:spacing w:line="360" w:lineRule="auto"/>
                    <w:jc w:val="left"/>
                    <w:rPr>
                      <w:position w:val="6"/>
                      <w:szCs w:val="21"/>
                      <w:highlight w:val="none"/>
                    </w:rPr>
                  </w:pPr>
                  <w:r>
                    <w:rPr>
                      <w:position w:val="6"/>
                      <w:szCs w:val="21"/>
                      <w:highlight w:val="none"/>
                    </w:rPr>
                    <w:t>(3)在上料点、落料点及其他易散发粉尘位置采取局部气体收集处理、</w:t>
                  </w:r>
                  <w:r>
                    <w:rPr>
                      <w:rFonts w:hint="eastAsia"/>
                      <w:position w:val="6"/>
                      <w:szCs w:val="21"/>
                      <w:highlight w:val="none"/>
                    </w:rPr>
                    <w:t>洒</w:t>
                  </w:r>
                  <w:r>
                    <w:rPr>
                      <w:position w:val="6"/>
                      <w:szCs w:val="21"/>
                      <w:highlight w:val="none"/>
                    </w:rPr>
                    <w:t>水增湿等控制措施。</w:t>
                  </w:r>
                </w:p>
              </w:tc>
            </w:tr>
            <w:tr w14:paraId="4A104E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noWrap w:val="0"/>
                  <w:vAlign w:val="center"/>
                </w:tcPr>
                <w:p w14:paraId="24160764">
                  <w:pPr>
                    <w:spacing w:line="360" w:lineRule="auto"/>
                    <w:jc w:val="center"/>
                    <w:rPr>
                      <w:rFonts w:hint="eastAsia" w:eastAsia="宋体"/>
                      <w:position w:val="6"/>
                      <w:szCs w:val="21"/>
                      <w:highlight w:val="none"/>
                      <w:lang w:val="en-US" w:eastAsia="zh-CN"/>
                    </w:rPr>
                  </w:pPr>
                  <w:r>
                    <w:rPr>
                      <w:rFonts w:hint="eastAsia"/>
                      <w:position w:val="6"/>
                      <w:szCs w:val="21"/>
                      <w:highlight w:val="none"/>
                      <w:lang w:val="en-US" w:eastAsia="zh-CN"/>
                    </w:rPr>
                    <w:t>5</w:t>
                  </w:r>
                </w:p>
              </w:tc>
              <w:tc>
                <w:tcPr>
                  <w:tcW w:w="1451" w:type="dxa"/>
                  <w:noWrap w:val="0"/>
                  <w:vAlign w:val="center"/>
                </w:tcPr>
                <w:p w14:paraId="5F61DCE4">
                  <w:pPr>
                    <w:spacing w:line="360" w:lineRule="auto"/>
                    <w:jc w:val="center"/>
                    <w:rPr>
                      <w:position w:val="6"/>
                      <w:szCs w:val="21"/>
                      <w:highlight w:val="none"/>
                    </w:rPr>
                  </w:pPr>
                  <w:r>
                    <w:rPr>
                      <w:position w:val="6"/>
                      <w:szCs w:val="21"/>
                      <w:highlight w:val="none"/>
                    </w:rPr>
                    <w:t>物料加工与处理</w:t>
                  </w:r>
                </w:p>
              </w:tc>
              <w:tc>
                <w:tcPr>
                  <w:tcW w:w="4727" w:type="dxa"/>
                  <w:noWrap w:val="0"/>
                  <w:vAlign w:val="center"/>
                </w:tcPr>
                <w:p w14:paraId="3B190839">
                  <w:pPr>
                    <w:spacing w:line="360" w:lineRule="auto"/>
                    <w:jc w:val="left"/>
                    <w:rPr>
                      <w:position w:val="6"/>
                      <w:szCs w:val="21"/>
                      <w:highlight w:val="none"/>
                    </w:rPr>
                  </w:pPr>
                  <w:r>
                    <w:rPr>
                      <w:position w:val="6"/>
                      <w:szCs w:val="21"/>
                      <w:highlight w:val="none"/>
                    </w:rPr>
                    <w:t>(1)物料加工与处理过程中易散发粉尘的工艺环节(如破碎、粉磨、筛分、混合、打磨、切割、投料、出料(渣)、包装等)应采用密闭物料加工与设备，或在密闭空间内进行。不能处理密闭的,应采取局部气体收集处理、洒水塇湿等控制措施。</w:t>
                  </w:r>
                </w:p>
                <w:p w14:paraId="410087E2">
                  <w:pPr>
                    <w:spacing w:line="360" w:lineRule="auto"/>
                    <w:jc w:val="left"/>
                    <w:rPr>
                      <w:position w:val="6"/>
                      <w:szCs w:val="21"/>
                      <w:highlight w:val="none"/>
                    </w:rPr>
                  </w:pPr>
                  <w:r>
                    <w:rPr>
                      <w:position w:val="6"/>
                      <w:szCs w:val="21"/>
                      <w:highlight w:val="none"/>
                    </w:rPr>
                    <w:t>(2)密闭式生产工艺设备、废气收集系统、除尘设施等应密封良好,无粉尘外溢。</w:t>
                  </w:r>
                </w:p>
              </w:tc>
            </w:tr>
          </w:tbl>
          <w:p w14:paraId="7001C14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yellow"/>
                <w:lang w:val="en-US" w:eastAsia="zh-CN"/>
              </w:rPr>
            </w:pPr>
            <w:r>
              <w:rPr>
                <w:rFonts w:hint="eastAsia"/>
                <w:position w:val="6"/>
                <w:sz w:val="24"/>
                <w:highlight w:val="none"/>
              </w:rPr>
              <w:t>本项目</w:t>
            </w:r>
            <w:r>
              <w:rPr>
                <w:rFonts w:hint="eastAsia"/>
                <w:position w:val="6"/>
                <w:sz w:val="24"/>
                <w:highlight w:val="none"/>
                <w:lang w:val="en-US" w:eastAsia="zh-CN"/>
              </w:rPr>
              <w:t>所用粉煤灰、水泥</w:t>
            </w:r>
            <w:r>
              <w:rPr>
                <w:rFonts w:hint="eastAsia"/>
                <w:position w:val="6"/>
                <w:sz w:val="24"/>
                <w:highlight w:val="none"/>
              </w:rPr>
              <w:t>采取密闭罐车运输</w:t>
            </w:r>
            <w:r>
              <w:rPr>
                <w:rFonts w:hint="eastAsia"/>
                <w:position w:val="6"/>
                <w:sz w:val="24"/>
                <w:highlight w:val="none"/>
                <w:lang w:eastAsia="zh-CN"/>
              </w:rPr>
              <w:t>，</w:t>
            </w:r>
            <w:r>
              <w:rPr>
                <w:rFonts w:hint="eastAsia"/>
                <w:position w:val="6"/>
                <w:sz w:val="24"/>
                <w:highlight w:val="none"/>
                <w:lang w:val="en-US" w:eastAsia="zh-CN"/>
              </w:rPr>
              <w:t>厂区内粉煤灰、水泥均贮存在全封闭筒仓内，筒仓顶部设布袋除尘器，砂、石贮存于厂区原料贮存库，原料贮存库全封闭并设置1套喷淋设施，定期喷洒降尘</w:t>
            </w:r>
            <w:r>
              <w:rPr>
                <w:rFonts w:hint="eastAsia"/>
                <w:position w:val="6"/>
                <w:sz w:val="24"/>
                <w:highlight w:val="none"/>
              </w:rPr>
              <w:t>等措施，以减少道路扬尘的产生。输送带均设挡板围蔽，密闭输送。对出厂</w:t>
            </w:r>
            <w:r>
              <w:rPr>
                <w:rFonts w:hint="eastAsia"/>
                <w:position w:val="6"/>
                <w:sz w:val="24"/>
                <w:highlight w:val="none"/>
                <w:lang w:val="en-US" w:eastAsia="zh-CN"/>
              </w:rPr>
              <w:t>运输车辆</w:t>
            </w:r>
            <w:r>
              <w:rPr>
                <w:rFonts w:hint="eastAsia"/>
                <w:position w:val="6"/>
                <w:sz w:val="24"/>
                <w:highlight w:val="none"/>
              </w:rPr>
              <w:t>进行清扫</w:t>
            </w:r>
            <w:r>
              <w:rPr>
                <w:rFonts w:hint="eastAsia"/>
                <w:position w:val="6"/>
                <w:sz w:val="24"/>
                <w:highlight w:val="none"/>
                <w:lang w:eastAsia="zh-CN"/>
              </w:rPr>
              <w:t>，</w:t>
            </w:r>
            <w:r>
              <w:rPr>
                <w:rFonts w:hint="eastAsia"/>
                <w:position w:val="6"/>
                <w:sz w:val="24"/>
                <w:highlight w:val="none"/>
              </w:rPr>
              <w:t>使用固定路线，不经过学校、居民聚集的地区，不超载。规划、组织建设建筑垃圾和工程渣土处置场，防治扬尘污染。因此，本项目符合双鸭山市生态环境局关于印发《双鸭山市扬尘源专项整治工作方案》的通知（双环发〔2020〕17号）要求。</w:t>
            </w:r>
          </w:p>
          <w:p w14:paraId="41B290B3">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default" w:eastAsia="宋体" w:cs="Times New Roman"/>
                <w:b/>
                <w:bCs/>
                <w:color w:val="auto"/>
                <w:spacing w:val="0"/>
                <w:kern w:val="0"/>
                <w:sz w:val="24"/>
                <w:szCs w:val="24"/>
                <w:highlight w:val="none"/>
                <w:lang w:val="en-US" w:eastAsia="zh-CN"/>
              </w:rPr>
            </w:pPr>
            <w:r>
              <w:rPr>
                <w:rFonts w:hint="eastAsia" w:eastAsia="宋体" w:cs="Times New Roman"/>
                <w:b/>
                <w:bCs/>
                <w:color w:val="auto"/>
                <w:spacing w:val="0"/>
                <w:kern w:val="0"/>
                <w:sz w:val="24"/>
                <w:szCs w:val="24"/>
                <w:highlight w:val="none"/>
                <w:lang w:val="en-US" w:eastAsia="zh-CN"/>
              </w:rPr>
              <w:t>9.与《双鸭山市空气质量持续改善行动计划贯彻落实方案》的符合性分析</w:t>
            </w:r>
          </w:p>
          <w:p w14:paraId="6898EE3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yellow"/>
                <w:lang w:val="en-US" w:eastAsia="zh-CN"/>
              </w:rPr>
            </w:pPr>
            <w:r>
              <w:rPr>
                <w:rFonts w:hint="eastAsia" w:ascii="Times New Roman" w:hAnsi="Times New Roman" w:eastAsia="宋体" w:cs="Times New Roman"/>
                <w:b w:val="0"/>
                <w:bCs w:val="0"/>
                <w:color w:val="auto"/>
                <w:spacing w:val="0"/>
                <w:kern w:val="0"/>
                <w:sz w:val="24"/>
                <w:szCs w:val="24"/>
                <w:highlight w:val="yellow"/>
                <w:lang w:val="en-US" w:eastAsia="zh-CN"/>
              </w:rPr>
              <w:t>方案指出：新改扩建“两高一低”项目要严格落实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同步关停后，新建项目方可投产。坚决遏制“两高一低”项目盲目上马。贯彻落实《产业结构调整指导目录》，加大退出淘汰落后产能、工艺、装备，提高限制类产能、工艺、装备淘汰改造引导力度。持续推进 散煤污染治理，有序推进煤改电，推进清洁能源改造项目。积极推动民用散煤替代和农村散煤治理及清洁能源改造项目的谋划工作。加快实施散煤源头减量、散煤清洁替代、供应能力提升和基础设施保障等“四大工程”，持续推进棚户区拆迁改造、清洁能源替代、节能建筑和老旧小区管网改造、燃煤锅炉淘汰、规范散煤经营行为、打击非法经营行为等方面工作</w:t>
            </w:r>
          </w:p>
          <w:p w14:paraId="4AAE1FC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yellow"/>
                <w:lang w:val="en-US" w:eastAsia="zh-CN"/>
              </w:rPr>
            </w:pPr>
            <w:r>
              <w:rPr>
                <w:rFonts w:hint="eastAsia" w:eastAsia="宋体" w:cs="Times New Roman"/>
                <w:b w:val="0"/>
                <w:bCs w:val="0"/>
                <w:color w:val="auto"/>
                <w:spacing w:val="0"/>
                <w:kern w:val="0"/>
                <w:sz w:val="24"/>
                <w:szCs w:val="24"/>
                <w:highlight w:val="yellow"/>
                <w:lang w:val="en-US" w:eastAsia="zh-CN"/>
              </w:rPr>
              <w:t>本项目</w:t>
            </w:r>
            <w:r>
              <w:rPr>
                <w:rFonts w:hint="eastAsia" w:ascii="Times New Roman" w:hAnsi="Times New Roman" w:eastAsia="宋体" w:cs="Times New Roman"/>
                <w:b w:val="0"/>
                <w:bCs w:val="0"/>
                <w:color w:val="auto"/>
                <w:spacing w:val="0"/>
                <w:kern w:val="0"/>
                <w:sz w:val="24"/>
                <w:szCs w:val="24"/>
                <w:highlight w:val="yellow"/>
                <w:lang w:val="en-US" w:eastAsia="zh-CN"/>
              </w:rPr>
              <w:t>为</w:t>
            </w:r>
            <w:r>
              <w:rPr>
                <w:rFonts w:hint="eastAsia" w:cs="Times New Roman"/>
                <w:b w:val="0"/>
                <w:bCs w:val="0"/>
                <w:color w:val="auto"/>
                <w:spacing w:val="0"/>
                <w:kern w:val="0"/>
                <w:sz w:val="24"/>
                <w:szCs w:val="24"/>
                <w:highlight w:val="yellow"/>
                <w:lang w:val="en-US" w:eastAsia="zh-CN"/>
              </w:rPr>
              <w:t>C3021水泥制品制造</w:t>
            </w:r>
            <w:r>
              <w:rPr>
                <w:rFonts w:hint="eastAsia" w:ascii="Times New Roman" w:hAnsi="Times New Roman" w:eastAsia="宋体" w:cs="Times New Roman"/>
                <w:b w:val="0"/>
                <w:bCs w:val="0"/>
                <w:color w:val="auto"/>
                <w:spacing w:val="0"/>
                <w:kern w:val="0"/>
                <w:sz w:val="24"/>
                <w:szCs w:val="24"/>
                <w:highlight w:val="yellow"/>
                <w:lang w:val="en-US" w:eastAsia="zh-CN"/>
              </w:rPr>
              <w:t>项目</w:t>
            </w:r>
            <w:r>
              <w:rPr>
                <w:rFonts w:hint="eastAsia" w:cs="Times New Roman"/>
                <w:b w:val="0"/>
                <w:bCs w:val="0"/>
                <w:color w:val="auto"/>
                <w:spacing w:val="0"/>
                <w:kern w:val="0"/>
                <w:sz w:val="24"/>
                <w:szCs w:val="24"/>
                <w:highlight w:val="yellow"/>
                <w:lang w:val="en-US" w:eastAsia="zh-CN"/>
              </w:rPr>
              <w:t>，</w:t>
            </w:r>
            <w:r>
              <w:rPr>
                <w:rFonts w:hint="default" w:ascii="Times New Roman" w:hAnsi="Times New Roman" w:eastAsia="宋体" w:cs="Times New Roman"/>
                <w:b w:val="0"/>
                <w:bCs w:val="0"/>
                <w:color w:val="auto"/>
                <w:spacing w:val="0"/>
                <w:kern w:val="0"/>
                <w:sz w:val="24"/>
                <w:szCs w:val="24"/>
                <w:highlight w:val="yellow"/>
                <w:lang w:val="en-US" w:eastAsia="zh-CN"/>
              </w:rPr>
              <w:t>根据《产业结构调整指导目录（20</w:t>
            </w:r>
            <w:r>
              <w:rPr>
                <w:rFonts w:hint="eastAsia" w:ascii="Times New Roman" w:hAnsi="Times New Roman" w:eastAsia="宋体" w:cs="Times New Roman"/>
                <w:b w:val="0"/>
                <w:bCs w:val="0"/>
                <w:color w:val="auto"/>
                <w:spacing w:val="0"/>
                <w:kern w:val="0"/>
                <w:sz w:val="24"/>
                <w:szCs w:val="24"/>
                <w:highlight w:val="yellow"/>
                <w:lang w:val="en-US" w:eastAsia="zh-CN"/>
              </w:rPr>
              <w:t>24</w:t>
            </w:r>
            <w:r>
              <w:rPr>
                <w:rFonts w:hint="default" w:ascii="Times New Roman" w:hAnsi="Times New Roman" w:eastAsia="宋体" w:cs="Times New Roman"/>
                <w:b w:val="0"/>
                <w:bCs w:val="0"/>
                <w:color w:val="auto"/>
                <w:spacing w:val="0"/>
                <w:kern w:val="0"/>
                <w:sz w:val="24"/>
                <w:szCs w:val="24"/>
                <w:highlight w:val="yellow"/>
                <w:lang w:val="en-US" w:eastAsia="zh-CN"/>
              </w:rPr>
              <w:t>年本）》本项目</w:t>
            </w:r>
            <w:r>
              <w:rPr>
                <w:rFonts w:hint="eastAsia" w:cs="Times New Roman"/>
                <w:b w:val="0"/>
                <w:bCs w:val="0"/>
                <w:color w:val="auto"/>
                <w:spacing w:val="0"/>
                <w:kern w:val="0"/>
                <w:sz w:val="24"/>
                <w:szCs w:val="24"/>
                <w:highlight w:val="yellow"/>
                <w:lang w:val="en-US" w:eastAsia="zh-CN"/>
              </w:rPr>
              <w:t>不</w:t>
            </w:r>
            <w:r>
              <w:rPr>
                <w:rFonts w:hint="default" w:ascii="Times New Roman" w:hAnsi="Times New Roman" w:eastAsia="宋体" w:cs="Times New Roman"/>
                <w:b w:val="0"/>
                <w:bCs w:val="0"/>
                <w:color w:val="auto"/>
                <w:spacing w:val="0"/>
                <w:kern w:val="0"/>
                <w:sz w:val="24"/>
                <w:szCs w:val="24"/>
                <w:highlight w:val="yellow"/>
                <w:lang w:val="en-US" w:eastAsia="zh-CN"/>
              </w:rPr>
              <w:t>属于于鼓励类、限制类和淘汰类项目，属于允许类项目</w:t>
            </w:r>
            <w:r>
              <w:rPr>
                <w:rFonts w:hint="eastAsia" w:cs="Times New Roman"/>
                <w:b w:val="0"/>
                <w:bCs w:val="0"/>
                <w:color w:val="auto"/>
                <w:spacing w:val="0"/>
                <w:kern w:val="0"/>
                <w:sz w:val="24"/>
                <w:szCs w:val="24"/>
                <w:highlight w:val="yellow"/>
                <w:lang w:val="en-US" w:eastAsia="zh-CN"/>
              </w:rPr>
              <w:t>。</w:t>
            </w:r>
            <w:r>
              <w:rPr>
                <w:rFonts w:hint="eastAsia"/>
                <w:position w:val="6"/>
                <w:sz w:val="24"/>
                <w:highlight w:val="yellow"/>
                <w:lang w:val="en-US" w:eastAsia="zh-CN"/>
              </w:rPr>
              <w:t>本项目新建2台2.5</w:t>
            </w:r>
            <w:r>
              <w:rPr>
                <w:rFonts w:hint="default"/>
                <w:position w:val="6"/>
                <w:sz w:val="24"/>
                <w:highlight w:val="yellow"/>
                <w:lang w:val="en-US" w:eastAsia="zh-CN"/>
              </w:rPr>
              <w:t>t/h</w:t>
            </w:r>
            <w:r>
              <w:rPr>
                <w:rFonts w:hint="eastAsia"/>
                <w:position w:val="6"/>
                <w:sz w:val="24"/>
                <w:highlight w:val="yellow"/>
                <w:lang w:val="en-US" w:eastAsia="zh-CN"/>
              </w:rPr>
              <w:t>燃生物质蒸汽发生器（1用1备），且生物质蒸汽发生器烟气经低氮燃烧器+旋风除尘+布袋除尘器技术处理后通过30m高烟囱排放，因此，本项目符合《双鸭山市空气质量持续改善行动计划贯彻落实方案》相关要求。</w:t>
            </w:r>
          </w:p>
          <w:p w14:paraId="385572B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val="0"/>
                <w:color w:val="auto"/>
                <w:spacing w:val="0"/>
                <w:kern w:val="0"/>
                <w:sz w:val="24"/>
                <w:szCs w:val="24"/>
                <w:highlight w:val="yellow"/>
                <w:lang w:val="en-US" w:eastAsia="zh-CN"/>
              </w:rPr>
            </w:pPr>
          </w:p>
          <w:p w14:paraId="123E3E7F">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color w:val="auto"/>
                <w:sz w:val="21"/>
                <w:szCs w:val="21"/>
                <w:highlight w:val="yellow"/>
                <w:lang w:val="en-US" w:eastAsia="zh-CN"/>
              </w:rPr>
            </w:pPr>
          </w:p>
          <w:p w14:paraId="344C835D">
            <w:pPr>
              <w:pStyle w:val="30"/>
              <w:rPr>
                <w:rFonts w:hint="default" w:ascii="Times New Roman" w:hAnsi="Times New Roman" w:eastAsia="宋体" w:cs="Times New Roman"/>
                <w:color w:val="auto"/>
                <w:sz w:val="21"/>
                <w:szCs w:val="21"/>
                <w:highlight w:val="yellow"/>
                <w:lang w:val="en-US" w:eastAsia="zh-CN"/>
              </w:rPr>
            </w:pPr>
          </w:p>
          <w:p w14:paraId="7F1A3F63">
            <w:pPr>
              <w:pStyle w:val="29"/>
              <w:rPr>
                <w:rFonts w:hint="default" w:ascii="Times New Roman" w:hAnsi="Times New Roman" w:eastAsia="宋体" w:cs="Times New Roman"/>
                <w:color w:val="auto"/>
                <w:sz w:val="21"/>
                <w:szCs w:val="21"/>
                <w:highlight w:val="yellow"/>
                <w:lang w:val="en-US" w:eastAsia="zh-CN"/>
              </w:rPr>
            </w:pPr>
          </w:p>
          <w:p w14:paraId="3A85D80F">
            <w:pPr>
              <w:rPr>
                <w:rFonts w:hint="default" w:ascii="Times New Roman" w:hAnsi="Times New Roman" w:eastAsia="宋体" w:cs="Times New Roman"/>
                <w:color w:val="auto"/>
                <w:sz w:val="21"/>
                <w:szCs w:val="21"/>
                <w:highlight w:val="yellow"/>
                <w:lang w:val="en-US" w:eastAsia="zh-CN"/>
              </w:rPr>
            </w:pPr>
          </w:p>
          <w:p w14:paraId="2F2AFEF9">
            <w:pPr>
              <w:pStyle w:val="30"/>
              <w:rPr>
                <w:rFonts w:hint="default" w:ascii="Times New Roman" w:hAnsi="Times New Roman" w:eastAsia="宋体" w:cs="Times New Roman"/>
                <w:color w:val="auto"/>
                <w:sz w:val="21"/>
                <w:szCs w:val="21"/>
                <w:highlight w:val="yellow"/>
                <w:lang w:val="en-US" w:eastAsia="zh-CN"/>
              </w:rPr>
            </w:pPr>
          </w:p>
          <w:p w14:paraId="5BB92AF5">
            <w:pPr>
              <w:pStyle w:val="29"/>
              <w:rPr>
                <w:rFonts w:hint="default" w:ascii="Times New Roman" w:hAnsi="Times New Roman" w:eastAsia="宋体" w:cs="Times New Roman"/>
                <w:color w:val="auto"/>
                <w:sz w:val="21"/>
                <w:szCs w:val="21"/>
                <w:highlight w:val="yellow"/>
                <w:lang w:val="en-US" w:eastAsia="zh-CN"/>
              </w:rPr>
            </w:pPr>
          </w:p>
          <w:p w14:paraId="7E078E2C">
            <w:pPr>
              <w:rPr>
                <w:rFonts w:hint="default" w:ascii="Times New Roman" w:hAnsi="Times New Roman" w:eastAsia="宋体" w:cs="Times New Roman"/>
                <w:color w:val="auto"/>
                <w:sz w:val="21"/>
                <w:szCs w:val="21"/>
                <w:highlight w:val="yellow"/>
                <w:lang w:val="en-US" w:eastAsia="zh-CN"/>
              </w:rPr>
            </w:pPr>
          </w:p>
          <w:p w14:paraId="541ABDE2">
            <w:pPr>
              <w:pStyle w:val="30"/>
              <w:rPr>
                <w:rFonts w:hint="default" w:ascii="Times New Roman" w:hAnsi="Times New Roman" w:eastAsia="宋体" w:cs="Times New Roman"/>
                <w:color w:val="auto"/>
                <w:sz w:val="21"/>
                <w:szCs w:val="21"/>
                <w:highlight w:val="yellow"/>
                <w:lang w:val="en-US" w:eastAsia="zh-CN"/>
              </w:rPr>
            </w:pPr>
          </w:p>
          <w:p w14:paraId="457000C5">
            <w:pPr>
              <w:pStyle w:val="29"/>
              <w:rPr>
                <w:rFonts w:hint="default" w:ascii="Times New Roman" w:hAnsi="Times New Roman" w:eastAsia="宋体" w:cs="Times New Roman"/>
                <w:color w:val="auto"/>
                <w:sz w:val="21"/>
                <w:szCs w:val="21"/>
                <w:highlight w:val="yellow"/>
                <w:lang w:val="en-US" w:eastAsia="zh-CN"/>
              </w:rPr>
            </w:pPr>
          </w:p>
          <w:p w14:paraId="52F37F14">
            <w:pPr>
              <w:rPr>
                <w:rFonts w:hint="default" w:ascii="Times New Roman" w:hAnsi="Times New Roman" w:eastAsia="宋体" w:cs="Times New Roman"/>
                <w:color w:val="auto"/>
                <w:sz w:val="21"/>
                <w:szCs w:val="21"/>
                <w:highlight w:val="yellow"/>
                <w:lang w:val="en-US" w:eastAsia="zh-CN"/>
              </w:rPr>
            </w:pPr>
          </w:p>
          <w:p w14:paraId="02846EA9">
            <w:pPr>
              <w:pStyle w:val="30"/>
              <w:ind w:left="0" w:leftChars="0" w:firstLine="0" w:firstLineChars="0"/>
              <w:rPr>
                <w:rFonts w:hint="default"/>
                <w:lang w:val="en-US" w:eastAsia="zh-CN"/>
              </w:rPr>
            </w:pPr>
          </w:p>
          <w:p w14:paraId="415D1C4C">
            <w:pPr>
              <w:pStyle w:val="29"/>
              <w:rPr>
                <w:rFonts w:hint="default"/>
                <w:lang w:val="en-US" w:eastAsia="zh-CN"/>
              </w:rPr>
            </w:pPr>
          </w:p>
          <w:p w14:paraId="7CA0E10B">
            <w:pPr>
              <w:rPr>
                <w:rFonts w:hint="default"/>
                <w:lang w:val="en-US" w:eastAsia="zh-CN"/>
              </w:rPr>
            </w:pPr>
          </w:p>
          <w:p w14:paraId="3F30F49E">
            <w:pPr>
              <w:rPr>
                <w:rFonts w:hint="default"/>
                <w:lang w:val="en-US" w:eastAsia="zh-CN"/>
              </w:rPr>
            </w:pPr>
          </w:p>
          <w:p w14:paraId="5135366C">
            <w:pPr>
              <w:rPr>
                <w:rFonts w:hint="default"/>
                <w:lang w:val="en-US" w:eastAsia="zh-CN"/>
              </w:rPr>
            </w:pPr>
          </w:p>
          <w:p w14:paraId="4064FD7B">
            <w:pPr>
              <w:rPr>
                <w:rFonts w:hint="default"/>
                <w:lang w:val="en-US" w:eastAsia="zh-CN"/>
              </w:rPr>
            </w:pPr>
          </w:p>
          <w:p w14:paraId="5B3DBB51">
            <w:pPr>
              <w:rPr>
                <w:rFonts w:hint="default"/>
                <w:lang w:val="en-US" w:eastAsia="zh-CN"/>
              </w:rPr>
            </w:pPr>
          </w:p>
          <w:p w14:paraId="06188AF5">
            <w:pPr>
              <w:rPr>
                <w:rFonts w:hint="default"/>
                <w:lang w:val="en-US" w:eastAsia="zh-CN"/>
              </w:rPr>
            </w:pPr>
          </w:p>
          <w:p w14:paraId="3C02C468">
            <w:pPr>
              <w:rPr>
                <w:rFonts w:hint="default"/>
                <w:lang w:val="en-US" w:eastAsia="zh-CN"/>
              </w:rPr>
            </w:pPr>
          </w:p>
          <w:p w14:paraId="5418275D">
            <w:pPr>
              <w:rPr>
                <w:rFonts w:hint="default"/>
                <w:lang w:val="en-US" w:eastAsia="zh-CN"/>
              </w:rPr>
            </w:pPr>
          </w:p>
          <w:p w14:paraId="434D88AE">
            <w:pPr>
              <w:rPr>
                <w:rFonts w:hint="default"/>
                <w:lang w:val="en-US" w:eastAsia="zh-CN"/>
              </w:rPr>
            </w:pPr>
          </w:p>
          <w:p w14:paraId="1901C917">
            <w:pPr>
              <w:rPr>
                <w:rFonts w:hint="default"/>
                <w:lang w:val="en-US" w:eastAsia="zh-CN"/>
              </w:rPr>
            </w:pPr>
          </w:p>
          <w:p w14:paraId="483F8045">
            <w:pPr>
              <w:rPr>
                <w:rFonts w:hint="default"/>
                <w:lang w:val="en-US" w:eastAsia="zh-CN"/>
              </w:rPr>
            </w:pPr>
          </w:p>
          <w:p w14:paraId="35F82F92">
            <w:pPr>
              <w:rPr>
                <w:rFonts w:hint="default"/>
                <w:lang w:val="en-US" w:eastAsia="zh-CN"/>
              </w:rPr>
            </w:pPr>
          </w:p>
          <w:p w14:paraId="0D161627">
            <w:pPr>
              <w:rPr>
                <w:rFonts w:hint="default"/>
                <w:lang w:val="en-US" w:eastAsia="zh-CN"/>
              </w:rPr>
            </w:pPr>
          </w:p>
          <w:p w14:paraId="6491AD25">
            <w:pPr>
              <w:rPr>
                <w:rFonts w:hint="default"/>
                <w:lang w:val="en-US" w:eastAsia="zh-CN"/>
              </w:rPr>
            </w:pPr>
          </w:p>
          <w:p w14:paraId="7F5EA05F">
            <w:pPr>
              <w:rPr>
                <w:rFonts w:hint="default"/>
                <w:lang w:val="en-US" w:eastAsia="zh-CN"/>
              </w:rPr>
            </w:pPr>
          </w:p>
          <w:p w14:paraId="6EDCD122">
            <w:pPr>
              <w:rPr>
                <w:rFonts w:hint="default"/>
                <w:lang w:val="en-US" w:eastAsia="zh-CN"/>
              </w:rPr>
            </w:pPr>
          </w:p>
          <w:p w14:paraId="72065EE6">
            <w:pPr>
              <w:rPr>
                <w:rFonts w:hint="default"/>
                <w:lang w:val="en-US" w:eastAsia="zh-CN"/>
              </w:rPr>
            </w:pPr>
          </w:p>
          <w:p w14:paraId="1B2CE60F">
            <w:pPr>
              <w:rPr>
                <w:rFonts w:hint="default"/>
                <w:lang w:val="en-US" w:eastAsia="zh-CN"/>
              </w:rPr>
            </w:pPr>
          </w:p>
          <w:p w14:paraId="339DA8F5">
            <w:pPr>
              <w:rPr>
                <w:rFonts w:hint="default"/>
                <w:lang w:val="en-US" w:eastAsia="zh-CN"/>
              </w:rPr>
            </w:pPr>
          </w:p>
        </w:tc>
      </w:tr>
    </w:tbl>
    <w:p w14:paraId="18AE6C9A">
      <w:pPr>
        <w:spacing w:line="360" w:lineRule="auto"/>
        <w:outlineLvl w:val="9"/>
        <w:rPr>
          <w:rFonts w:hint="default" w:ascii="Times New Roman" w:hAnsi="Times New Roman" w:eastAsia="黑体" w:cs="Times New Roman"/>
          <w:color w:val="auto"/>
          <w:sz w:val="30"/>
          <w:highlight w:val="yellow"/>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580894BA">
      <w:pPr>
        <w:pStyle w:val="26"/>
        <w:jc w:val="center"/>
        <w:outlineLvl w:val="0"/>
        <w:rPr>
          <w:rFonts w:hint="default" w:ascii="Times New Roman" w:hAnsi="Times New Roman" w:eastAsia="黑体" w:cs="Times New Roman"/>
          <w:snapToGrid w:val="0"/>
          <w:color w:val="auto"/>
          <w:sz w:val="30"/>
          <w:szCs w:val="30"/>
          <w:highlight w:val="none"/>
        </w:rPr>
      </w:pPr>
      <w:bookmarkStart w:id="27" w:name="_Toc1588"/>
      <w:r>
        <w:rPr>
          <w:rFonts w:hint="default" w:ascii="Times New Roman" w:hAnsi="Times New Roman" w:eastAsia="黑体" w:cs="Times New Roman"/>
          <w:snapToGrid w:val="0"/>
          <w:color w:val="auto"/>
          <w:sz w:val="30"/>
          <w:szCs w:val="30"/>
          <w:highlight w:val="none"/>
        </w:rPr>
        <w:t>二、建设项目工程分析</w:t>
      </w:r>
      <w:bookmarkEnd w:id="27"/>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8161"/>
      </w:tblGrid>
      <w:tr w14:paraId="0DCD61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823" w:type="dxa"/>
            <w:noWrap w:val="0"/>
            <w:vAlign w:val="center"/>
          </w:tcPr>
          <w:p w14:paraId="0F2AA10D">
            <w:pPr>
              <w:pStyle w:val="26"/>
              <w:adjustRightInd w:val="0"/>
              <w:snapToGrid w:val="0"/>
              <w:spacing w:before="0" w:beforeAutospacing="0" w:after="0" w:afterAutospacing="0"/>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highlight w:val="none"/>
              </w:rPr>
              <w:t>建设内容</w:t>
            </w:r>
          </w:p>
        </w:tc>
        <w:tc>
          <w:tcPr>
            <w:tcW w:w="8161" w:type="dxa"/>
            <w:noWrap w:val="0"/>
            <w:vAlign w:val="top"/>
          </w:tcPr>
          <w:p w14:paraId="44EB6DB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本项目位于黑龙江省双鸭山市友谊农场第八管理区，为</w:t>
            </w:r>
            <w:r>
              <w:rPr>
                <w:rFonts w:hint="eastAsia" w:cs="Times New Roman"/>
                <w:color w:val="auto"/>
                <w:kern w:val="2"/>
                <w:sz w:val="24"/>
                <w:szCs w:val="24"/>
                <w:highlight w:val="none"/>
                <w:lang w:val="en-US" w:eastAsia="zh-CN" w:bidi="ar-SA"/>
              </w:rPr>
              <w:t>工业</w:t>
            </w:r>
            <w:r>
              <w:rPr>
                <w:rFonts w:hint="eastAsia" w:ascii="Times New Roman" w:hAnsi="Times New Roman" w:eastAsia="宋体" w:cs="Times New Roman"/>
                <w:color w:val="auto"/>
                <w:kern w:val="2"/>
                <w:sz w:val="24"/>
                <w:szCs w:val="24"/>
                <w:highlight w:val="none"/>
                <w:lang w:val="en-US" w:eastAsia="zh-CN" w:bidi="ar-SA"/>
              </w:rPr>
              <w:t>用地。本项目用地是双鸭山宏基建材有限公司原有</w:t>
            </w:r>
            <w:r>
              <w:rPr>
                <w:rFonts w:hint="eastAsia" w:ascii="Times New Roman" w:hAnsi="Times New Roman" w:cs="Times New Roman"/>
                <w:color w:val="auto"/>
                <w:kern w:val="2"/>
                <w:sz w:val="24"/>
                <w:szCs w:val="24"/>
                <w:highlight w:val="none"/>
                <w:lang w:val="en-US" w:eastAsia="zh-CN" w:bidi="ar-SA"/>
              </w:rPr>
              <w:t>厂址，内含</w:t>
            </w:r>
            <w:r>
              <w:rPr>
                <w:rFonts w:hint="eastAsia" w:ascii="Times New Roman" w:hAnsi="Times New Roman" w:eastAsia="宋体" w:cs="Times New Roman"/>
                <w:color w:val="auto"/>
                <w:kern w:val="2"/>
                <w:sz w:val="24"/>
                <w:szCs w:val="24"/>
                <w:highlight w:val="none"/>
                <w:lang w:val="en-US" w:eastAsia="zh-CN" w:bidi="ar-SA"/>
              </w:rPr>
              <w:t>生产车间及厂房，</w:t>
            </w:r>
            <w:r>
              <w:rPr>
                <w:rFonts w:hint="eastAsia" w:cs="Times New Roman"/>
                <w:color w:val="auto"/>
                <w:kern w:val="2"/>
                <w:sz w:val="24"/>
                <w:szCs w:val="24"/>
                <w:highlight w:val="none"/>
                <w:lang w:val="en-US" w:eastAsia="zh-CN" w:bidi="ar-SA"/>
              </w:rPr>
              <w:t>占地</w:t>
            </w:r>
            <w:r>
              <w:rPr>
                <w:rFonts w:hint="eastAsia" w:ascii="Times New Roman" w:hAnsi="Times New Roman" w:eastAsia="宋体" w:cs="Times New Roman"/>
                <w:color w:val="auto"/>
                <w:kern w:val="2"/>
                <w:sz w:val="24"/>
                <w:szCs w:val="24"/>
                <w:highlight w:val="none"/>
                <w:lang w:val="en-US" w:eastAsia="zh-CN" w:bidi="ar-SA"/>
              </w:rPr>
              <w:t>面积为</w:t>
            </w:r>
            <w:r>
              <w:rPr>
                <w:rFonts w:hint="eastAsia" w:cs="Times New Roman"/>
                <w:color w:val="auto"/>
                <w:kern w:val="2"/>
                <w:sz w:val="24"/>
                <w:szCs w:val="24"/>
                <w:highlight w:val="none"/>
                <w:lang w:val="en-US" w:eastAsia="zh-CN" w:bidi="ar-SA"/>
              </w:rPr>
              <w:t>48175.48</w:t>
            </w:r>
            <w:r>
              <w:rPr>
                <w:rFonts w:hint="eastAsia" w:ascii="Times New Roman" w:hAnsi="Times New Roman" w:eastAsia="宋体" w:cs="Times New Roman"/>
                <w:color w:val="auto"/>
                <w:kern w:val="2"/>
                <w:sz w:val="24"/>
                <w:szCs w:val="24"/>
                <w:highlight w:val="none"/>
                <w:lang w:val="en-US" w:eastAsia="zh-CN" w:bidi="ar-SA"/>
              </w:rPr>
              <w:t>㎡</w:t>
            </w:r>
            <w:r>
              <w:rPr>
                <w:rFonts w:hint="eastAsia" w:ascii="Times New Roman" w:hAnsi="Times New Roman"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建筑为一层</w:t>
            </w:r>
            <w:r>
              <w:rPr>
                <w:rFonts w:hint="eastAsia" w:ascii="Times New Roman" w:hAnsi="Times New Roman"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总投资为</w:t>
            </w:r>
            <w:r>
              <w:rPr>
                <w:rFonts w:hint="eastAsia" w:cs="Times New Roman"/>
                <w:color w:val="auto"/>
                <w:kern w:val="2"/>
                <w:sz w:val="24"/>
                <w:szCs w:val="24"/>
                <w:highlight w:val="none"/>
                <w:lang w:val="en-US" w:eastAsia="zh-CN" w:bidi="ar-SA"/>
              </w:rPr>
              <w:t>2000</w:t>
            </w:r>
            <w:r>
              <w:rPr>
                <w:rFonts w:hint="eastAsia" w:ascii="Times New Roman" w:hAnsi="Times New Roman" w:eastAsia="宋体" w:cs="Times New Roman"/>
                <w:color w:val="auto"/>
                <w:kern w:val="2"/>
                <w:sz w:val="24"/>
                <w:szCs w:val="24"/>
                <w:highlight w:val="none"/>
                <w:lang w:val="en-US" w:eastAsia="zh-CN" w:bidi="ar-SA"/>
              </w:rPr>
              <w:t>万元，环保投资为</w:t>
            </w:r>
            <w:r>
              <w:rPr>
                <w:rFonts w:hint="eastAsia" w:cs="Times New Roman"/>
                <w:color w:val="auto"/>
                <w:kern w:val="2"/>
                <w:sz w:val="24"/>
                <w:szCs w:val="24"/>
                <w:highlight w:val="none"/>
                <w:lang w:val="en-US" w:eastAsia="zh-CN" w:bidi="ar-SA"/>
              </w:rPr>
              <w:t>55.5</w:t>
            </w:r>
            <w:r>
              <w:rPr>
                <w:rFonts w:hint="eastAsia" w:ascii="Times New Roman" w:hAnsi="Times New Roman" w:eastAsia="宋体" w:cs="Times New Roman"/>
                <w:color w:val="auto"/>
                <w:kern w:val="2"/>
                <w:sz w:val="24"/>
                <w:szCs w:val="24"/>
                <w:highlight w:val="none"/>
                <w:lang w:val="en-US" w:eastAsia="zh-CN" w:bidi="ar-SA"/>
              </w:rPr>
              <w:t>万元。本项目主要从事</w:t>
            </w:r>
            <w:r>
              <w:rPr>
                <w:rFonts w:hint="eastAsia" w:ascii="Times New Roman" w:hAnsi="Times New Roman" w:cs="Times New Roman"/>
                <w:color w:val="auto"/>
                <w:kern w:val="2"/>
                <w:sz w:val="24"/>
                <w:szCs w:val="24"/>
                <w:highlight w:val="none"/>
                <w:lang w:val="en-US" w:eastAsia="zh-CN" w:bidi="ar-SA"/>
              </w:rPr>
              <w:t>水泥制品</w:t>
            </w:r>
            <w:r>
              <w:rPr>
                <w:rFonts w:hint="eastAsia" w:ascii="Times New Roman" w:hAnsi="Times New Roman" w:eastAsia="宋体" w:cs="Times New Roman"/>
                <w:color w:val="auto"/>
                <w:kern w:val="2"/>
                <w:sz w:val="24"/>
                <w:szCs w:val="24"/>
                <w:highlight w:val="none"/>
                <w:lang w:val="en-US" w:eastAsia="zh-CN" w:bidi="ar-SA"/>
              </w:rPr>
              <w:t>生产，年产水泥预制件约7万吨。</w:t>
            </w:r>
          </w:p>
          <w:p w14:paraId="26284EEC">
            <w:pPr>
              <w:numPr>
                <w:ilvl w:val="0"/>
                <w:numId w:val="0"/>
              </w:numPr>
              <w:adjustRightInd w:val="0"/>
              <w:snapToGri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工程内容及规模</w:t>
            </w:r>
          </w:p>
          <w:p w14:paraId="4D6BE7D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本项目总占地面积</w:t>
            </w:r>
            <w:r>
              <w:rPr>
                <w:rFonts w:hint="eastAsia" w:cs="Times New Roman"/>
                <w:color w:val="auto"/>
                <w:kern w:val="2"/>
                <w:sz w:val="24"/>
                <w:szCs w:val="24"/>
                <w:highlight w:val="none"/>
                <w:lang w:val="en-US" w:eastAsia="zh-CN" w:bidi="ar-SA"/>
              </w:rPr>
              <w:t>48175.48</w:t>
            </w:r>
            <w:r>
              <w:rPr>
                <w:rFonts w:hint="default" w:ascii="Times New Roman" w:hAnsi="Times New Roman" w:eastAsia="宋体" w:cs="Times New Roman"/>
                <w:color w:val="auto"/>
                <w:kern w:val="2"/>
                <w:sz w:val="24"/>
                <w:szCs w:val="24"/>
                <w:highlight w:val="none"/>
                <w:lang w:val="en-US" w:eastAsia="zh-CN" w:bidi="ar-SA"/>
              </w:rPr>
              <w:t>m</w:t>
            </w:r>
            <w:r>
              <w:rPr>
                <w:rFonts w:hint="default" w:ascii="Times New Roman" w:hAnsi="Times New Roman" w:eastAsia="宋体" w:cs="Times New Roman"/>
                <w:color w:val="auto"/>
                <w:kern w:val="2"/>
                <w:sz w:val="24"/>
                <w:szCs w:val="24"/>
                <w:highlight w:val="none"/>
                <w:vertAlign w:val="superscript"/>
                <w:lang w:val="en-US" w:eastAsia="zh-CN" w:bidi="ar-SA"/>
              </w:rPr>
              <w:t>2</w:t>
            </w:r>
            <w:r>
              <w:rPr>
                <w:rFonts w:hint="eastAsia" w:cs="Times New Roman"/>
                <w:color w:val="auto"/>
                <w:kern w:val="2"/>
                <w:sz w:val="24"/>
                <w:szCs w:val="24"/>
                <w:highlight w:val="none"/>
                <w:vertAlign w:val="baseline"/>
                <w:lang w:val="en-US" w:eastAsia="zh-CN" w:bidi="ar-SA"/>
              </w:rPr>
              <w:t>，建筑面积为8420㎡。</w:t>
            </w:r>
            <w:r>
              <w:rPr>
                <w:rFonts w:hint="default" w:ascii="Times New Roman" w:hAnsi="Times New Roman" w:eastAsia="宋体" w:cs="Times New Roman"/>
                <w:color w:val="auto"/>
                <w:kern w:val="2"/>
                <w:sz w:val="24"/>
                <w:szCs w:val="24"/>
                <w:highlight w:val="none"/>
                <w:lang w:val="en-US" w:eastAsia="zh-CN" w:bidi="ar-SA"/>
              </w:rPr>
              <w:t>本项目</w:t>
            </w:r>
            <w:r>
              <w:rPr>
                <w:rFonts w:hint="eastAsia" w:cs="Times New Roman"/>
                <w:color w:val="auto"/>
                <w:sz w:val="24"/>
                <w:szCs w:val="24"/>
                <w:highlight w:val="none"/>
                <w:lang w:val="en-US" w:eastAsia="zh-CN"/>
              </w:rPr>
              <w:t>拟利用现有车间等进行改造，改建为生产车间、原料贮存库、养护室、蒸汽发生器房、办公室等。</w:t>
            </w:r>
            <w:r>
              <w:rPr>
                <w:rFonts w:hint="eastAsia" w:cs="Times New Roman"/>
                <w:color w:val="auto"/>
                <w:kern w:val="2"/>
                <w:sz w:val="24"/>
                <w:szCs w:val="24"/>
                <w:highlight w:val="none"/>
                <w:lang w:val="en-US" w:eastAsia="zh-CN" w:bidi="ar-SA"/>
              </w:rPr>
              <w:t>建设水泥预制件1条</w:t>
            </w:r>
            <w:r>
              <w:rPr>
                <w:rFonts w:hint="default" w:ascii="Times New Roman" w:hAnsi="Times New Roman" w:eastAsia="宋体" w:cs="Times New Roman"/>
                <w:color w:val="auto"/>
                <w:kern w:val="2"/>
                <w:sz w:val="24"/>
                <w:szCs w:val="24"/>
                <w:highlight w:val="none"/>
                <w:lang w:val="en-US" w:eastAsia="zh-CN" w:bidi="ar-SA"/>
              </w:rPr>
              <w:t>整套生产线，年</w:t>
            </w:r>
            <w:r>
              <w:rPr>
                <w:rFonts w:hint="eastAsia" w:cs="Times New Roman"/>
                <w:color w:val="auto"/>
                <w:kern w:val="2"/>
                <w:sz w:val="24"/>
                <w:szCs w:val="24"/>
                <w:highlight w:val="none"/>
                <w:lang w:val="en-US" w:eastAsia="zh-CN" w:bidi="ar-SA"/>
              </w:rPr>
              <w:t>工作210</w:t>
            </w:r>
            <w:r>
              <w:rPr>
                <w:rFonts w:hint="default" w:ascii="Times New Roman" w:hAnsi="Times New Roman" w:eastAsia="宋体" w:cs="Times New Roman"/>
                <w:color w:val="auto"/>
                <w:kern w:val="2"/>
                <w:sz w:val="24"/>
                <w:szCs w:val="24"/>
                <w:highlight w:val="none"/>
                <w:lang w:val="en-US" w:eastAsia="zh-CN" w:bidi="ar-SA"/>
              </w:rPr>
              <w:t>天</w:t>
            </w:r>
            <w:r>
              <w:rPr>
                <w:rFonts w:hint="eastAsia" w:cs="Times New Roman"/>
                <w:color w:val="auto"/>
                <w:kern w:val="2"/>
                <w:sz w:val="24"/>
                <w:szCs w:val="24"/>
                <w:highlight w:val="none"/>
                <w:lang w:val="en-US" w:eastAsia="zh-CN" w:bidi="ar-SA"/>
              </w:rPr>
              <w:t>，每天工作9h</w:t>
            </w:r>
            <w:r>
              <w:rPr>
                <w:rFonts w:hint="default" w:ascii="Times New Roman" w:hAnsi="Times New Roman" w:eastAsia="宋体" w:cs="Times New Roman"/>
                <w:color w:val="auto"/>
                <w:kern w:val="2"/>
                <w:sz w:val="24"/>
                <w:szCs w:val="24"/>
                <w:highlight w:val="none"/>
                <w:lang w:val="en-US" w:eastAsia="zh-CN" w:bidi="ar-SA"/>
              </w:rPr>
              <w:t>。项目组成明细详见表2-1。</w:t>
            </w:r>
          </w:p>
          <w:p w14:paraId="201D50A8">
            <w:pPr>
              <w:keepNext w:val="0"/>
              <w:keepLines w:val="0"/>
              <w:pageBreakBefore w:val="0"/>
              <w:widowControl w:val="0"/>
              <w:kinsoku/>
              <w:wordWrap/>
              <w:overflowPunct/>
              <w:topLinePunct w:val="0"/>
              <w:autoSpaceDE/>
              <w:autoSpaceDN/>
              <w:bidi w:val="0"/>
              <w:adjustRightInd w:val="0"/>
              <w:snapToGrid w:val="0"/>
              <w:ind w:firstLine="0"/>
              <w:jc w:val="center"/>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表2-1  工程内容及规模一览表</w:t>
            </w:r>
          </w:p>
          <w:tbl>
            <w:tblPr>
              <w:tblStyle w:val="3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2"/>
              <w:gridCol w:w="1215"/>
              <w:gridCol w:w="4779"/>
              <w:gridCol w:w="1309"/>
            </w:tblGrid>
            <w:tr w14:paraId="65F68D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dxa"/>
                  <w:noWrap w:val="0"/>
                  <w:vAlign w:val="center"/>
                </w:tcPr>
                <w:p w14:paraId="22802ECF">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i w:val="0"/>
                      <w:iCs w:val="0"/>
                      <w:color w:val="auto"/>
                      <w:kern w:val="2"/>
                      <w:sz w:val="24"/>
                      <w:szCs w:val="24"/>
                      <w:highlight w:val="none"/>
                      <w:lang w:val="en-US" w:eastAsia="zh-CN" w:bidi="ar-SA"/>
                    </w:rPr>
                  </w:pPr>
                  <w:r>
                    <w:rPr>
                      <w:rFonts w:hint="default" w:ascii="Times New Roman" w:hAnsi="Times New Roman" w:eastAsia="宋体" w:cs="Times New Roman"/>
                      <w:i w:val="0"/>
                      <w:iCs w:val="0"/>
                      <w:color w:val="auto"/>
                      <w:kern w:val="2"/>
                      <w:sz w:val="24"/>
                      <w:szCs w:val="24"/>
                      <w:highlight w:val="none"/>
                      <w:lang w:val="en-US" w:eastAsia="zh-CN" w:bidi="ar-SA"/>
                    </w:rPr>
                    <w:t>类别</w:t>
                  </w:r>
                </w:p>
              </w:tc>
              <w:tc>
                <w:tcPr>
                  <w:tcW w:w="1215" w:type="dxa"/>
                  <w:noWrap w:val="0"/>
                  <w:vAlign w:val="center"/>
                </w:tcPr>
                <w:p w14:paraId="370C9E61">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i w:val="0"/>
                      <w:iCs w:val="0"/>
                      <w:color w:val="auto"/>
                      <w:kern w:val="2"/>
                      <w:sz w:val="24"/>
                      <w:szCs w:val="24"/>
                      <w:highlight w:val="none"/>
                      <w:lang w:val="en-US" w:eastAsia="zh-CN" w:bidi="ar-SA"/>
                    </w:rPr>
                  </w:pPr>
                  <w:r>
                    <w:rPr>
                      <w:rFonts w:hint="default" w:ascii="Times New Roman" w:hAnsi="Times New Roman" w:eastAsia="宋体" w:cs="Times New Roman"/>
                      <w:i w:val="0"/>
                      <w:iCs w:val="0"/>
                      <w:color w:val="auto"/>
                      <w:kern w:val="2"/>
                      <w:sz w:val="24"/>
                      <w:szCs w:val="24"/>
                      <w:highlight w:val="none"/>
                      <w:lang w:val="en-US" w:eastAsia="zh-CN" w:bidi="ar-SA"/>
                    </w:rPr>
                    <w:t>项目名称</w:t>
                  </w:r>
                </w:p>
              </w:tc>
              <w:tc>
                <w:tcPr>
                  <w:tcW w:w="4779" w:type="dxa"/>
                  <w:noWrap w:val="0"/>
                  <w:vAlign w:val="center"/>
                </w:tcPr>
                <w:p w14:paraId="413140E3">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i w:val="0"/>
                      <w:iCs w:val="0"/>
                      <w:color w:val="auto"/>
                      <w:kern w:val="2"/>
                      <w:sz w:val="24"/>
                      <w:szCs w:val="24"/>
                      <w:highlight w:val="none"/>
                      <w:lang w:val="en-US" w:eastAsia="zh-CN" w:bidi="ar-SA"/>
                    </w:rPr>
                  </w:pPr>
                  <w:r>
                    <w:rPr>
                      <w:rFonts w:hint="default" w:ascii="Times New Roman" w:hAnsi="Times New Roman" w:eastAsia="宋体" w:cs="Times New Roman"/>
                      <w:i w:val="0"/>
                      <w:iCs w:val="0"/>
                      <w:color w:val="auto"/>
                      <w:kern w:val="2"/>
                      <w:sz w:val="24"/>
                      <w:szCs w:val="24"/>
                      <w:highlight w:val="none"/>
                      <w:lang w:val="en-US" w:eastAsia="zh-CN" w:bidi="ar-SA"/>
                    </w:rPr>
                    <w:t>项目内容</w:t>
                  </w:r>
                </w:p>
              </w:tc>
              <w:tc>
                <w:tcPr>
                  <w:tcW w:w="1309" w:type="dxa"/>
                  <w:noWrap w:val="0"/>
                  <w:vAlign w:val="center"/>
                </w:tcPr>
                <w:p w14:paraId="4C7ACDF9">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i w:val="0"/>
                      <w:iCs w:val="0"/>
                      <w:color w:val="auto"/>
                      <w:kern w:val="2"/>
                      <w:sz w:val="24"/>
                      <w:szCs w:val="24"/>
                      <w:highlight w:val="none"/>
                      <w:lang w:val="en-US" w:eastAsia="zh-CN" w:bidi="ar-SA"/>
                    </w:rPr>
                  </w:pPr>
                </w:p>
              </w:tc>
            </w:tr>
            <w:tr w14:paraId="33B1FD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dxa"/>
                  <w:vMerge w:val="restart"/>
                  <w:noWrap w:val="0"/>
                  <w:vAlign w:val="center"/>
                </w:tcPr>
                <w:p w14:paraId="345BA80F">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none"/>
                      <w:lang w:val="en-US" w:eastAsia="zh-CN" w:bidi="ar-SA"/>
                    </w:rPr>
                    <w:t>主体工程</w:t>
                  </w:r>
                </w:p>
              </w:tc>
              <w:tc>
                <w:tcPr>
                  <w:tcW w:w="1215" w:type="dxa"/>
                  <w:noWrap w:val="0"/>
                  <w:vAlign w:val="center"/>
                </w:tcPr>
                <w:p w14:paraId="08ABB42E">
                  <w:pPr>
                    <w:pStyle w:val="87"/>
                    <w:keepNext w:val="0"/>
                    <w:keepLines w:val="0"/>
                    <w:pageBreakBefore w:val="0"/>
                    <w:widowControl w:val="0"/>
                    <w:kinsoku/>
                    <w:wordWrap/>
                    <w:overflowPunct/>
                    <w:topLinePunct w:val="0"/>
                    <w:bidi w:val="0"/>
                    <w:adjustRightInd w:val="0"/>
                    <w:snapToGrid w:val="0"/>
                    <w:spacing w:line="240" w:lineRule="auto"/>
                    <w:ind w:right="0" w:rightChars="0" w:firstLine="0"/>
                    <w:jc w:val="center"/>
                    <w:rPr>
                      <w:rFonts w:hint="default" w:ascii="Times New Roman" w:hAnsi="Times New Roman" w:eastAsia="宋体" w:cs="Times New Roman"/>
                      <w:color w:val="auto"/>
                      <w:kern w:val="2"/>
                      <w:sz w:val="24"/>
                      <w:szCs w:val="24"/>
                      <w:highlight w:val="yellow"/>
                      <w:lang w:val="en-US" w:eastAsia="zh-CN" w:bidi="ar-SA"/>
                    </w:rPr>
                  </w:pPr>
                  <w:r>
                    <w:rPr>
                      <w:rFonts w:hint="eastAsia" w:cs="Times New Roman"/>
                      <w:color w:val="auto"/>
                      <w:kern w:val="2"/>
                      <w:sz w:val="24"/>
                      <w:szCs w:val="24"/>
                      <w:highlight w:val="none"/>
                      <w:lang w:val="en-US" w:eastAsia="zh-CN" w:bidi="ar-SA"/>
                    </w:rPr>
                    <w:t>生产</w:t>
                  </w:r>
                  <w:r>
                    <w:rPr>
                      <w:rFonts w:hint="default" w:ascii="Times New Roman" w:hAnsi="Times New Roman" w:eastAsia="宋体" w:cs="Times New Roman"/>
                      <w:color w:val="auto"/>
                      <w:kern w:val="2"/>
                      <w:sz w:val="24"/>
                      <w:szCs w:val="24"/>
                      <w:highlight w:val="none"/>
                      <w:lang w:val="en-US" w:eastAsia="zh-CN" w:bidi="ar-SA"/>
                    </w:rPr>
                    <w:t>车间</w:t>
                  </w:r>
                </w:p>
              </w:tc>
              <w:tc>
                <w:tcPr>
                  <w:tcW w:w="4779" w:type="dxa"/>
                  <w:noWrap w:val="0"/>
                  <w:vAlign w:val="center"/>
                </w:tcPr>
                <w:p w14:paraId="0EF8BE13">
                  <w:pPr>
                    <w:pStyle w:val="87"/>
                    <w:keepNext w:val="0"/>
                    <w:keepLines w:val="0"/>
                    <w:pageBreakBefore w:val="0"/>
                    <w:widowControl w:val="0"/>
                    <w:kinsoku/>
                    <w:wordWrap/>
                    <w:overflowPunct/>
                    <w:topLinePunct w:val="0"/>
                    <w:bidi w:val="0"/>
                    <w:adjustRightInd w:val="0"/>
                    <w:snapToGrid w:val="0"/>
                    <w:spacing w:line="240" w:lineRule="auto"/>
                    <w:ind w:right="0" w:rightChars="0" w:firstLine="0"/>
                    <w:jc w:val="both"/>
                    <w:rPr>
                      <w:rFonts w:hint="default" w:ascii="Times New Roman" w:hAnsi="Times New Roman" w:eastAsia="宋体" w:cs="Times New Roman"/>
                      <w:color w:val="auto"/>
                      <w:kern w:val="2"/>
                      <w:sz w:val="24"/>
                      <w:szCs w:val="24"/>
                      <w:highlight w:val="yellow"/>
                      <w:lang w:val="en-US" w:eastAsia="zh-CN" w:bidi="ar-SA"/>
                    </w:rPr>
                  </w:pPr>
                  <w:r>
                    <w:rPr>
                      <w:rFonts w:hint="eastAsia" w:cs="Times New Roman"/>
                      <w:color w:val="auto"/>
                      <w:kern w:val="2"/>
                      <w:sz w:val="24"/>
                      <w:szCs w:val="24"/>
                      <w:highlight w:val="none"/>
                      <w:lang w:val="en-US" w:eastAsia="zh-CN" w:bidi="ar-SA"/>
                    </w:rPr>
                    <w:t>1座，占地</w:t>
                  </w:r>
                  <w:r>
                    <w:rPr>
                      <w:rFonts w:hint="default" w:ascii="Times New Roman" w:hAnsi="Times New Roman" w:eastAsia="宋体" w:cs="Times New Roman"/>
                      <w:color w:val="auto"/>
                      <w:kern w:val="2"/>
                      <w:sz w:val="24"/>
                      <w:szCs w:val="24"/>
                      <w:highlight w:val="none"/>
                      <w:lang w:val="en-US" w:eastAsia="zh-CN" w:bidi="ar-SA"/>
                    </w:rPr>
                    <w:t>面积</w:t>
                  </w:r>
                  <w:r>
                    <w:rPr>
                      <w:rFonts w:hint="eastAsia" w:ascii="Times New Roman" w:hAnsi="Times New Roman" w:eastAsia="宋体" w:cs="Times New Roman"/>
                      <w:color w:val="auto"/>
                      <w:kern w:val="2"/>
                      <w:sz w:val="24"/>
                      <w:szCs w:val="24"/>
                      <w:highlight w:val="none"/>
                      <w:lang w:val="en-US" w:eastAsia="zh-CN" w:bidi="ar-SA"/>
                    </w:rPr>
                    <w:t>为</w:t>
                  </w:r>
                  <w:r>
                    <w:rPr>
                      <w:rFonts w:hint="eastAsia" w:cs="Times New Roman"/>
                      <w:color w:val="auto"/>
                      <w:kern w:val="2"/>
                      <w:sz w:val="24"/>
                      <w:szCs w:val="24"/>
                      <w:highlight w:val="none"/>
                      <w:lang w:val="en-US" w:eastAsia="zh-CN" w:bidi="ar-SA"/>
                    </w:rPr>
                    <w:t>5900</w:t>
                  </w:r>
                  <w:r>
                    <w:rPr>
                      <w:rFonts w:hint="eastAsia"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高度为7m，全封闭钢结构。</w:t>
                  </w:r>
                  <w:r>
                    <w:rPr>
                      <w:rFonts w:hint="eastAsia" w:ascii="Times New Roman" w:hAnsi="Times New Roman" w:eastAsia="宋体" w:cs="Times New Roman"/>
                      <w:color w:val="auto"/>
                      <w:kern w:val="2"/>
                      <w:sz w:val="24"/>
                      <w:szCs w:val="24"/>
                      <w:highlight w:val="none"/>
                      <w:lang w:val="en-US" w:eastAsia="zh-CN" w:bidi="ar-SA"/>
                    </w:rPr>
                    <w:t>内</w:t>
                  </w:r>
                  <w:r>
                    <w:rPr>
                      <w:rFonts w:hint="default" w:ascii="Times New Roman" w:hAnsi="Times New Roman" w:eastAsia="宋体" w:cs="Times New Roman"/>
                      <w:color w:val="auto"/>
                      <w:kern w:val="2"/>
                      <w:sz w:val="24"/>
                      <w:szCs w:val="24"/>
                      <w:highlight w:val="none"/>
                      <w:lang w:val="en-US" w:eastAsia="zh-CN" w:bidi="ar-SA"/>
                    </w:rPr>
                    <w:t>设</w:t>
                  </w:r>
                  <w:r>
                    <w:rPr>
                      <w:rFonts w:hint="eastAsia" w:cs="Times New Roman"/>
                      <w:color w:val="auto"/>
                      <w:kern w:val="2"/>
                      <w:sz w:val="24"/>
                      <w:szCs w:val="24"/>
                      <w:highlight w:val="none"/>
                      <w:lang w:val="en-US" w:eastAsia="zh-CN" w:bidi="ar-SA"/>
                    </w:rPr>
                    <w:t>一</w:t>
                  </w:r>
                  <w:r>
                    <w:rPr>
                      <w:rFonts w:hint="eastAsia" w:ascii="Times New Roman" w:hAnsi="Times New Roman" w:eastAsia="宋体" w:cs="Times New Roman"/>
                      <w:color w:val="auto"/>
                      <w:kern w:val="2"/>
                      <w:sz w:val="24"/>
                      <w:szCs w:val="24"/>
                      <w:highlight w:val="none"/>
                      <w:lang w:val="en-US" w:eastAsia="zh-CN" w:bidi="ar-SA"/>
                    </w:rPr>
                    <w:t>条</w:t>
                  </w:r>
                  <w:r>
                    <w:rPr>
                      <w:rFonts w:hint="eastAsia" w:cs="Times New Roman"/>
                      <w:color w:val="auto"/>
                      <w:kern w:val="2"/>
                      <w:sz w:val="24"/>
                      <w:szCs w:val="24"/>
                      <w:highlight w:val="none"/>
                      <w:lang w:val="en-US" w:eastAsia="zh-CN" w:bidi="ar-SA"/>
                    </w:rPr>
                    <w:t>水泥预制件</w:t>
                  </w:r>
                  <w:r>
                    <w:rPr>
                      <w:rFonts w:hint="eastAsia" w:ascii="Times New Roman" w:hAnsi="Times New Roman" w:eastAsia="宋体" w:cs="Times New Roman"/>
                      <w:color w:val="auto"/>
                      <w:kern w:val="2"/>
                      <w:sz w:val="24"/>
                      <w:szCs w:val="24"/>
                      <w:highlight w:val="none"/>
                      <w:lang w:val="en-US" w:eastAsia="zh-CN" w:bidi="ar-SA"/>
                    </w:rPr>
                    <w:t>生产线，</w:t>
                  </w:r>
                  <w:r>
                    <w:rPr>
                      <w:rFonts w:hint="eastAsia" w:cs="Times New Roman"/>
                      <w:color w:val="auto"/>
                      <w:kern w:val="2"/>
                      <w:sz w:val="24"/>
                      <w:szCs w:val="24"/>
                      <w:highlight w:val="none"/>
                      <w:lang w:val="en-US" w:eastAsia="zh-CN" w:bidi="ar-SA"/>
                    </w:rPr>
                    <w:t>混凝土加工设备,主要进行搅拌、入模、振捣、定型、蒸汽养护、脱模等工序，年产7万吨水泥预制件。</w:t>
                  </w:r>
                </w:p>
              </w:tc>
              <w:tc>
                <w:tcPr>
                  <w:tcW w:w="1309" w:type="dxa"/>
                  <w:noWrap w:val="0"/>
                  <w:vAlign w:val="center"/>
                </w:tcPr>
                <w:p w14:paraId="4116FC4C">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yellow"/>
                      <w:lang w:val="en-US" w:eastAsia="zh-CN" w:bidi="ar-SA"/>
                    </w:rPr>
                  </w:pPr>
                  <w:r>
                    <w:rPr>
                      <w:rFonts w:hint="eastAsia" w:ascii="Times New Roman" w:cs="Times New Roman"/>
                      <w:color w:val="auto"/>
                      <w:kern w:val="2"/>
                      <w:sz w:val="24"/>
                      <w:szCs w:val="24"/>
                      <w:highlight w:val="none"/>
                      <w:lang w:val="en-US" w:eastAsia="zh-CN" w:bidi="ar-SA"/>
                    </w:rPr>
                    <w:t>利用现有厂房安装生产设备</w:t>
                  </w:r>
                </w:p>
              </w:tc>
            </w:tr>
            <w:tr w14:paraId="43CD66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dxa"/>
                  <w:vMerge w:val="continue"/>
                  <w:noWrap w:val="0"/>
                  <w:vAlign w:val="center"/>
                </w:tcPr>
                <w:p w14:paraId="03222703">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p>
              </w:tc>
              <w:tc>
                <w:tcPr>
                  <w:tcW w:w="1215" w:type="dxa"/>
                  <w:noWrap w:val="0"/>
                  <w:vAlign w:val="center"/>
                </w:tcPr>
                <w:p w14:paraId="7B819CC1">
                  <w:pPr>
                    <w:pStyle w:val="87"/>
                    <w:keepNext w:val="0"/>
                    <w:keepLines w:val="0"/>
                    <w:pageBreakBefore w:val="0"/>
                    <w:widowControl w:val="0"/>
                    <w:kinsoku/>
                    <w:wordWrap/>
                    <w:overflowPunct/>
                    <w:topLinePunct w:val="0"/>
                    <w:bidi w:val="0"/>
                    <w:adjustRightInd w:val="0"/>
                    <w:snapToGrid w:val="0"/>
                    <w:spacing w:line="240" w:lineRule="auto"/>
                    <w:ind w:right="0" w:rightChars="0" w:firstLine="0"/>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养护室</w:t>
                  </w:r>
                </w:p>
              </w:tc>
              <w:tc>
                <w:tcPr>
                  <w:tcW w:w="4779" w:type="dxa"/>
                  <w:noWrap w:val="0"/>
                  <w:vAlign w:val="center"/>
                </w:tcPr>
                <w:p w14:paraId="0E648A1A">
                  <w:pPr>
                    <w:pStyle w:val="87"/>
                    <w:keepNext w:val="0"/>
                    <w:keepLines w:val="0"/>
                    <w:pageBreakBefore w:val="0"/>
                    <w:widowControl w:val="0"/>
                    <w:kinsoku/>
                    <w:wordWrap/>
                    <w:overflowPunct/>
                    <w:topLinePunct w:val="0"/>
                    <w:bidi w:val="0"/>
                    <w:adjustRightInd w:val="0"/>
                    <w:snapToGrid w:val="0"/>
                    <w:spacing w:line="240" w:lineRule="auto"/>
                    <w:ind w:right="0" w:rightChars="0" w:firstLine="0"/>
                    <w:jc w:val="both"/>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1座，占地面积为400㎡，位于生产车间内，尺寸为50m×8m×2m。用于水泥预制件的养护。</w:t>
                  </w:r>
                </w:p>
              </w:tc>
              <w:tc>
                <w:tcPr>
                  <w:tcW w:w="1309" w:type="dxa"/>
                  <w:noWrap w:val="0"/>
                  <w:vAlign w:val="center"/>
                </w:tcPr>
                <w:p w14:paraId="7ADED5FE">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已建</w:t>
                  </w:r>
                </w:p>
              </w:tc>
            </w:tr>
            <w:tr w14:paraId="3B32C4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dxa"/>
                  <w:vMerge w:val="continue"/>
                  <w:noWrap w:val="0"/>
                  <w:vAlign w:val="center"/>
                </w:tcPr>
                <w:p w14:paraId="48E7BEB0">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p>
              </w:tc>
              <w:tc>
                <w:tcPr>
                  <w:tcW w:w="1215" w:type="dxa"/>
                  <w:noWrap w:val="0"/>
                  <w:vAlign w:val="center"/>
                </w:tcPr>
                <w:p w14:paraId="130DBBE9">
                  <w:pPr>
                    <w:pStyle w:val="87"/>
                    <w:keepNext w:val="0"/>
                    <w:keepLines w:val="0"/>
                    <w:pageBreakBefore w:val="0"/>
                    <w:widowControl w:val="0"/>
                    <w:kinsoku/>
                    <w:wordWrap/>
                    <w:overflowPunct/>
                    <w:topLinePunct w:val="0"/>
                    <w:bidi w:val="0"/>
                    <w:adjustRightInd w:val="0"/>
                    <w:snapToGrid w:val="0"/>
                    <w:spacing w:line="240" w:lineRule="auto"/>
                    <w:ind w:right="0" w:rightChars="0" w:firstLine="0"/>
                    <w:jc w:val="center"/>
                    <w:rPr>
                      <w:rFonts w:hint="default"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钢筋加工区</w:t>
                  </w:r>
                </w:p>
              </w:tc>
              <w:tc>
                <w:tcPr>
                  <w:tcW w:w="4779" w:type="dxa"/>
                  <w:noWrap w:val="0"/>
                  <w:vAlign w:val="center"/>
                </w:tcPr>
                <w:p w14:paraId="0F9FB661">
                  <w:pPr>
                    <w:pStyle w:val="87"/>
                    <w:keepNext w:val="0"/>
                    <w:keepLines w:val="0"/>
                    <w:pageBreakBefore w:val="0"/>
                    <w:widowControl w:val="0"/>
                    <w:kinsoku/>
                    <w:wordWrap/>
                    <w:overflowPunct/>
                    <w:topLinePunct w:val="0"/>
                    <w:bidi w:val="0"/>
                    <w:adjustRightInd w:val="0"/>
                    <w:snapToGrid w:val="0"/>
                    <w:spacing w:line="240" w:lineRule="auto"/>
                    <w:ind w:right="0" w:rightChars="0" w:firstLine="0"/>
                    <w:jc w:val="both"/>
                    <w:rPr>
                      <w:rFonts w:hint="default"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1处，位于生产车间内，占地面积约为100m</w:t>
                  </w:r>
                  <w:r>
                    <w:rPr>
                      <w:rFonts w:hint="eastAsia" w:cs="Times New Roman"/>
                      <w:color w:val="auto"/>
                      <w:kern w:val="2"/>
                      <w:sz w:val="24"/>
                      <w:szCs w:val="24"/>
                      <w:highlight w:val="yellow"/>
                      <w:vertAlign w:val="superscript"/>
                      <w:lang w:val="en-US" w:eastAsia="zh-CN" w:bidi="ar-SA"/>
                    </w:rPr>
                    <w:t>2</w:t>
                  </w:r>
                  <w:r>
                    <w:rPr>
                      <w:rFonts w:hint="eastAsia" w:cs="Times New Roman"/>
                      <w:color w:val="auto"/>
                      <w:kern w:val="2"/>
                      <w:sz w:val="24"/>
                      <w:szCs w:val="24"/>
                      <w:highlight w:val="yellow"/>
                      <w:vertAlign w:val="baseline"/>
                      <w:lang w:val="en-US" w:eastAsia="zh-CN" w:bidi="ar-SA"/>
                    </w:rPr>
                    <w:t>，用于钢筋切割。</w:t>
                  </w:r>
                </w:p>
              </w:tc>
              <w:tc>
                <w:tcPr>
                  <w:tcW w:w="1309" w:type="dxa"/>
                  <w:noWrap w:val="0"/>
                  <w:vAlign w:val="center"/>
                </w:tcPr>
                <w:p w14:paraId="35BEEEAC">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cs="Times New Roman"/>
                      <w:color w:val="auto"/>
                      <w:kern w:val="2"/>
                      <w:sz w:val="24"/>
                      <w:szCs w:val="24"/>
                      <w:highlight w:val="yellow"/>
                      <w:lang w:val="en-US" w:eastAsia="zh-CN" w:bidi="ar-SA"/>
                    </w:rPr>
                  </w:pPr>
                  <w:r>
                    <w:rPr>
                      <w:rFonts w:hint="eastAsia" w:ascii="Times New Roman" w:cs="Times New Roman"/>
                      <w:color w:val="auto"/>
                      <w:kern w:val="2"/>
                      <w:sz w:val="24"/>
                      <w:szCs w:val="24"/>
                      <w:highlight w:val="yellow"/>
                      <w:lang w:val="en-US" w:eastAsia="zh-CN" w:bidi="ar-SA"/>
                    </w:rPr>
                    <w:t>已建</w:t>
                  </w:r>
                </w:p>
              </w:tc>
            </w:tr>
            <w:tr w14:paraId="6DA43C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dxa"/>
                  <w:vMerge w:val="restart"/>
                  <w:noWrap w:val="0"/>
                  <w:vAlign w:val="center"/>
                </w:tcPr>
                <w:p w14:paraId="10397089">
                  <w:pPr>
                    <w:pStyle w:val="87"/>
                    <w:keepNext w:val="0"/>
                    <w:keepLines w:val="0"/>
                    <w:pageBreakBefore w:val="0"/>
                    <w:widowControl w:val="0"/>
                    <w:kinsoku/>
                    <w:wordWrap/>
                    <w:overflowPunct/>
                    <w:topLinePunct w:val="0"/>
                    <w:bidi w:val="0"/>
                    <w:adjustRightInd w:val="0"/>
                    <w:snapToGrid w:val="0"/>
                    <w:spacing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储运工程</w:t>
                  </w:r>
                </w:p>
              </w:tc>
              <w:tc>
                <w:tcPr>
                  <w:tcW w:w="1215" w:type="dxa"/>
                  <w:noWrap w:val="0"/>
                  <w:vAlign w:val="center"/>
                </w:tcPr>
                <w:p w14:paraId="3A3E8CD0">
                  <w:pPr>
                    <w:pStyle w:val="87"/>
                    <w:keepNext w:val="0"/>
                    <w:keepLines w:val="0"/>
                    <w:pageBreakBefore w:val="0"/>
                    <w:widowControl w:val="0"/>
                    <w:kinsoku/>
                    <w:wordWrap/>
                    <w:overflowPunct/>
                    <w:topLinePunct w:val="0"/>
                    <w:bidi w:val="0"/>
                    <w:adjustRightInd w:val="0"/>
                    <w:snapToGrid w:val="0"/>
                    <w:spacing w:line="240" w:lineRule="auto"/>
                    <w:ind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原料堆场</w:t>
                  </w:r>
                </w:p>
              </w:tc>
              <w:tc>
                <w:tcPr>
                  <w:tcW w:w="4779" w:type="dxa"/>
                  <w:noWrap w:val="0"/>
                  <w:vAlign w:val="center"/>
                </w:tcPr>
                <w:p w14:paraId="0FD6D75E">
                  <w:pPr>
                    <w:pStyle w:val="87"/>
                    <w:keepNext w:val="0"/>
                    <w:keepLines w:val="0"/>
                    <w:pageBreakBefore w:val="0"/>
                    <w:widowControl w:val="0"/>
                    <w:kinsoku/>
                    <w:wordWrap/>
                    <w:overflowPunct/>
                    <w:topLinePunct w:val="0"/>
                    <w:bidi w:val="0"/>
                    <w:adjustRightInd w:val="0"/>
                    <w:snapToGrid w:val="0"/>
                    <w:spacing w:line="240" w:lineRule="auto"/>
                    <w:ind w:right="0" w:rightChars="0" w:firstLine="0" w:firstLineChars="0"/>
                    <w:jc w:val="both"/>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1处，占地面积为2000㎡，用于原料砂、石储存。采取水泥地面硬化，料堆防尘布苫盖，定时洒水抑尘，堆场四周设置防风抑尘网，高度约为10m。</w:t>
                  </w:r>
                </w:p>
              </w:tc>
              <w:tc>
                <w:tcPr>
                  <w:tcW w:w="1309" w:type="dxa"/>
                  <w:noWrap w:val="0"/>
                  <w:vAlign w:val="center"/>
                </w:tcPr>
                <w:p w14:paraId="5B9DDB9A">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hAnsi="Times New Roman" w:eastAsia="宋体" w:cs="Times New Roman"/>
                      <w:color w:val="auto"/>
                      <w:kern w:val="2"/>
                      <w:sz w:val="24"/>
                      <w:szCs w:val="24"/>
                      <w:highlight w:val="yellow"/>
                      <w:lang w:val="en-US" w:eastAsia="zh-CN" w:bidi="ar-SA"/>
                    </w:rPr>
                  </w:pPr>
                  <w:r>
                    <w:rPr>
                      <w:rFonts w:hint="eastAsia" w:ascii="Times New Roman" w:cs="Times New Roman"/>
                      <w:color w:val="auto"/>
                      <w:kern w:val="2"/>
                      <w:sz w:val="24"/>
                      <w:szCs w:val="24"/>
                      <w:highlight w:val="yellow"/>
                      <w:lang w:val="en-US" w:eastAsia="zh-CN" w:bidi="ar-SA"/>
                    </w:rPr>
                    <w:t>新建</w:t>
                  </w:r>
                </w:p>
              </w:tc>
            </w:tr>
            <w:tr w14:paraId="42E0C4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 w:hRule="atLeast"/>
                <w:jc w:val="center"/>
              </w:trPr>
              <w:tc>
                <w:tcPr>
                  <w:tcW w:w="642" w:type="dxa"/>
                  <w:vMerge w:val="continue"/>
                  <w:noWrap w:val="0"/>
                  <w:vAlign w:val="center"/>
                </w:tcPr>
                <w:p w14:paraId="29BF4461">
                  <w:pPr>
                    <w:pStyle w:val="87"/>
                    <w:keepNext w:val="0"/>
                    <w:keepLines w:val="0"/>
                    <w:pageBreakBefore w:val="0"/>
                    <w:widowControl w:val="0"/>
                    <w:kinsoku/>
                    <w:wordWrap/>
                    <w:overflowPunct/>
                    <w:topLinePunct w:val="0"/>
                    <w:bidi w:val="0"/>
                    <w:adjustRightInd w:val="0"/>
                    <w:snapToGrid w:val="0"/>
                    <w:spacing w:line="240" w:lineRule="auto"/>
                    <w:ind w:right="0" w:rightChars="0" w:firstLine="0"/>
                    <w:jc w:val="center"/>
                    <w:rPr>
                      <w:rFonts w:hint="eastAsia" w:cs="Times New Roman"/>
                      <w:color w:val="auto"/>
                      <w:kern w:val="2"/>
                      <w:sz w:val="24"/>
                      <w:szCs w:val="24"/>
                      <w:highlight w:val="none"/>
                      <w:lang w:val="en-US" w:eastAsia="zh-CN" w:bidi="ar-SA"/>
                    </w:rPr>
                  </w:pPr>
                </w:p>
              </w:tc>
              <w:tc>
                <w:tcPr>
                  <w:tcW w:w="1215" w:type="dxa"/>
                  <w:noWrap w:val="0"/>
                  <w:vAlign w:val="center"/>
                </w:tcPr>
                <w:p w14:paraId="457B2469">
                  <w:pPr>
                    <w:pStyle w:val="87"/>
                    <w:keepNext w:val="0"/>
                    <w:keepLines w:val="0"/>
                    <w:pageBreakBefore w:val="0"/>
                    <w:widowControl w:val="0"/>
                    <w:kinsoku/>
                    <w:wordWrap/>
                    <w:overflowPunct/>
                    <w:topLinePunct w:val="0"/>
                    <w:bidi w:val="0"/>
                    <w:adjustRightInd w:val="0"/>
                    <w:snapToGrid w:val="0"/>
                    <w:spacing w:line="240" w:lineRule="auto"/>
                    <w:ind w:right="0" w:rightChars="0" w:firstLine="0" w:firstLineChars="0"/>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成品堆放区</w:t>
                  </w:r>
                </w:p>
              </w:tc>
              <w:tc>
                <w:tcPr>
                  <w:tcW w:w="4779" w:type="dxa"/>
                  <w:noWrap w:val="0"/>
                  <w:vAlign w:val="center"/>
                </w:tcPr>
                <w:p w14:paraId="0588BD7B">
                  <w:pPr>
                    <w:pStyle w:val="87"/>
                    <w:keepNext w:val="0"/>
                    <w:keepLines w:val="0"/>
                    <w:pageBreakBefore w:val="0"/>
                    <w:widowControl w:val="0"/>
                    <w:kinsoku/>
                    <w:wordWrap/>
                    <w:overflowPunct/>
                    <w:topLinePunct w:val="0"/>
                    <w:bidi w:val="0"/>
                    <w:adjustRightInd w:val="0"/>
                    <w:snapToGrid w:val="0"/>
                    <w:spacing w:line="240" w:lineRule="auto"/>
                    <w:ind w:right="0" w:rightChars="0" w:firstLine="0" w:firstLineChars="0"/>
                    <w:jc w:val="both"/>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成品储存区，地面硬化处理，面积5000m</w:t>
                  </w:r>
                  <w:r>
                    <w:rPr>
                      <w:rFonts w:hint="eastAsia" w:cs="Times New Roman"/>
                      <w:color w:val="auto"/>
                      <w:kern w:val="2"/>
                      <w:sz w:val="24"/>
                      <w:szCs w:val="24"/>
                      <w:highlight w:val="none"/>
                      <w:vertAlign w:val="superscript"/>
                      <w:lang w:val="en-US" w:eastAsia="zh-CN" w:bidi="ar-SA"/>
                    </w:rPr>
                    <w:t>2</w:t>
                  </w:r>
                  <w:r>
                    <w:rPr>
                      <w:rFonts w:hint="eastAsia" w:cs="Times New Roman"/>
                      <w:color w:val="auto"/>
                      <w:kern w:val="2"/>
                      <w:sz w:val="24"/>
                      <w:szCs w:val="24"/>
                      <w:highlight w:val="none"/>
                      <w:lang w:val="en-US" w:eastAsia="zh-CN" w:bidi="ar-SA"/>
                    </w:rPr>
                    <w:t>，用以储存预制件成品。</w:t>
                  </w:r>
                </w:p>
              </w:tc>
              <w:tc>
                <w:tcPr>
                  <w:tcW w:w="1309" w:type="dxa"/>
                  <w:noWrap w:val="0"/>
                  <w:vAlign w:val="center"/>
                </w:tcPr>
                <w:p w14:paraId="4A36E82D">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新建</w:t>
                  </w:r>
                </w:p>
              </w:tc>
            </w:tr>
            <w:tr w14:paraId="4E50DA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 w:hRule="atLeast"/>
                <w:jc w:val="center"/>
              </w:trPr>
              <w:tc>
                <w:tcPr>
                  <w:tcW w:w="642" w:type="dxa"/>
                  <w:vMerge w:val="continue"/>
                  <w:noWrap w:val="0"/>
                  <w:vAlign w:val="center"/>
                </w:tcPr>
                <w:p w14:paraId="799760F7">
                  <w:pPr>
                    <w:pStyle w:val="87"/>
                    <w:keepNext w:val="0"/>
                    <w:keepLines w:val="0"/>
                    <w:pageBreakBefore w:val="0"/>
                    <w:widowControl w:val="0"/>
                    <w:kinsoku/>
                    <w:wordWrap/>
                    <w:overflowPunct/>
                    <w:topLinePunct w:val="0"/>
                    <w:bidi w:val="0"/>
                    <w:adjustRightInd w:val="0"/>
                    <w:snapToGrid w:val="0"/>
                    <w:spacing w:line="240" w:lineRule="auto"/>
                    <w:ind w:right="0" w:rightChars="0" w:firstLine="0"/>
                    <w:jc w:val="center"/>
                    <w:rPr>
                      <w:rFonts w:hint="eastAsia" w:cs="Times New Roman"/>
                      <w:color w:val="auto"/>
                      <w:kern w:val="2"/>
                      <w:sz w:val="24"/>
                      <w:szCs w:val="24"/>
                      <w:highlight w:val="none"/>
                      <w:lang w:val="en-US" w:eastAsia="zh-CN" w:bidi="ar-SA"/>
                    </w:rPr>
                  </w:pPr>
                </w:p>
              </w:tc>
              <w:tc>
                <w:tcPr>
                  <w:tcW w:w="1215" w:type="dxa"/>
                  <w:noWrap w:val="0"/>
                  <w:vAlign w:val="center"/>
                </w:tcPr>
                <w:p w14:paraId="72D5EB6E">
                  <w:pPr>
                    <w:pStyle w:val="87"/>
                    <w:keepNext w:val="0"/>
                    <w:keepLines w:val="0"/>
                    <w:pageBreakBefore w:val="0"/>
                    <w:widowControl w:val="0"/>
                    <w:kinsoku/>
                    <w:wordWrap/>
                    <w:overflowPunct/>
                    <w:topLinePunct w:val="0"/>
                    <w:bidi w:val="0"/>
                    <w:adjustRightInd w:val="0"/>
                    <w:snapToGrid w:val="0"/>
                    <w:spacing w:line="240" w:lineRule="auto"/>
                    <w:ind w:right="0" w:rightChars="0" w:firstLine="0" w:firstLineChars="0"/>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水泥筒仓和粉煤灰筒仓</w:t>
                  </w:r>
                </w:p>
              </w:tc>
              <w:tc>
                <w:tcPr>
                  <w:tcW w:w="4779" w:type="dxa"/>
                  <w:noWrap w:val="0"/>
                  <w:vAlign w:val="center"/>
                </w:tcPr>
                <w:p w14:paraId="02DA56FA">
                  <w:pPr>
                    <w:pStyle w:val="87"/>
                    <w:keepNext w:val="0"/>
                    <w:keepLines w:val="0"/>
                    <w:pageBreakBefore w:val="0"/>
                    <w:widowControl w:val="0"/>
                    <w:kinsoku/>
                    <w:wordWrap/>
                    <w:overflowPunct/>
                    <w:topLinePunct w:val="0"/>
                    <w:bidi w:val="0"/>
                    <w:adjustRightInd w:val="0"/>
                    <w:snapToGrid w:val="0"/>
                    <w:spacing w:line="240" w:lineRule="auto"/>
                    <w:ind w:right="0" w:rightChars="0" w:firstLine="0" w:firstLineChars="0"/>
                    <w:jc w:val="both"/>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yellow"/>
                      <w:lang w:val="en-US" w:eastAsia="zh-CN" w:bidi="ar-SA"/>
                    </w:rPr>
                    <w:t>本项目设置2个60m</w:t>
                  </w:r>
                  <w:r>
                    <w:rPr>
                      <w:rFonts w:hint="eastAsia" w:cs="Times New Roman"/>
                      <w:color w:val="auto"/>
                      <w:kern w:val="2"/>
                      <w:sz w:val="24"/>
                      <w:szCs w:val="24"/>
                      <w:highlight w:val="yellow"/>
                      <w:vertAlign w:val="superscript"/>
                      <w:lang w:val="en-US" w:eastAsia="zh-CN" w:bidi="ar-SA"/>
                    </w:rPr>
                    <w:t>3</w:t>
                  </w:r>
                  <w:r>
                    <w:rPr>
                      <w:rFonts w:hint="eastAsia" w:cs="Times New Roman"/>
                      <w:color w:val="auto"/>
                      <w:kern w:val="2"/>
                      <w:sz w:val="24"/>
                      <w:szCs w:val="24"/>
                      <w:highlight w:val="yellow"/>
                      <w:lang w:val="en-US" w:eastAsia="zh-CN" w:bidi="ar-SA"/>
                    </w:rPr>
                    <w:t>水泥筒仓用于水泥储存，高度为8m；设1个60m</w:t>
                  </w:r>
                  <w:r>
                    <w:rPr>
                      <w:rFonts w:hint="eastAsia" w:cs="Times New Roman"/>
                      <w:color w:val="auto"/>
                      <w:kern w:val="2"/>
                      <w:sz w:val="24"/>
                      <w:szCs w:val="24"/>
                      <w:highlight w:val="yellow"/>
                      <w:vertAlign w:val="superscript"/>
                      <w:lang w:val="en-US" w:eastAsia="zh-CN" w:bidi="ar-SA"/>
                    </w:rPr>
                    <w:t>3</w:t>
                  </w:r>
                  <w:r>
                    <w:rPr>
                      <w:rFonts w:hint="eastAsia" w:cs="Times New Roman"/>
                      <w:color w:val="auto"/>
                      <w:kern w:val="2"/>
                      <w:sz w:val="24"/>
                      <w:szCs w:val="24"/>
                      <w:highlight w:val="yellow"/>
                      <w:lang w:val="en-US" w:eastAsia="zh-CN" w:bidi="ar-SA"/>
                    </w:rPr>
                    <w:t>粉煤灰筒仓用于粉煤灰储存，高度为10m。三个筒仓均为立式，占地面积约为30㎡。</w:t>
                  </w:r>
                </w:p>
              </w:tc>
              <w:tc>
                <w:tcPr>
                  <w:tcW w:w="1309" w:type="dxa"/>
                  <w:noWrap w:val="0"/>
                  <w:vAlign w:val="center"/>
                </w:tcPr>
                <w:p w14:paraId="4F4CE7E7">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已建</w:t>
                  </w:r>
                </w:p>
              </w:tc>
            </w:tr>
            <w:tr w14:paraId="1F31B8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 w:hRule="atLeast"/>
                <w:jc w:val="center"/>
              </w:trPr>
              <w:tc>
                <w:tcPr>
                  <w:tcW w:w="642" w:type="dxa"/>
                  <w:vMerge w:val="continue"/>
                  <w:noWrap w:val="0"/>
                  <w:vAlign w:val="center"/>
                </w:tcPr>
                <w:p w14:paraId="2BFED334">
                  <w:pPr>
                    <w:pStyle w:val="87"/>
                    <w:keepNext w:val="0"/>
                    <w:keepLines w:val="0"/>
                    <w:pageBreakBefore w:val="0"/>
                    <w:widowControl w:val="0"/>
                    <w:kinsoku/>
                    <w:wordWrap/>
                    <w:overflowPunct/>
                    <w:topLinePunct w:val="0"/>
                    <w:bidi w:val="0"/>
                    <w:adjustRightInd w:val="0"/>
                    <w:snapToGrid w:val="0"/>
                    <w:spacing w:line="240" w:lineRule="auto"/>
                    <w:ind w:right="0" w:rightChars="0" w:firstLine="0"/>
                    <w:jc w:val="center"/>
                    <w:rPr>
                      <w:rFonts w:hint="eastAsia" w:cs="Times New Roman"/>
                      <w:color w:val="auto"/>
                      <w:kern w:val="2"/>
                      <w:sz w:val="24"/>
                      <w:szCs w:val="24"/>
                      <w:highlight w:val="none"/>
                      <w:lang w:val="en-US" w:eastAsia="zh-CN" w:bidi="ar-SA"/>
                    </w:rPr>
                  </w:pPr>
                </w:p>
              </w:tc>
              <w:tc>
                <w:tcPr>
                  <w:tcW w:w="1215" w:type="dxa"/>
                  <w:noWrap w:val="0"/>
                  <w:vAlign w:val="center"/>
                </w:tcPr>
                <w:p w14:paraId="685B9D17">
                  <w:pPr>
                    <w:pStyle w:val="87"/>
                    <w:keepNext w:val="0"/>
                    <w:keepLines w:val="0"/>
                    <w:pageBreakBefore w:val="0"/>
                    <w:widowControl w:val="0"/>
                    <w:kinsoku/>
                    <w:wordWrap/>
                    <w:overflowPunct/>
                    <w:topLinePunct w:val="0"/>
                    <w:bidi w:val="0"/>
                    <w:adjustRightInd w:val="0"/>
                    <w:snapToGrid w:val="0"/>
                    <w:spacing w:line="240" w:lineRule="auto"/>
                    <w:ind w:right="0" w:rightChars="0" w:firstLine="0" w:firstLineChars="0"/>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生物质贮存区</w:t>
                  </w:r>
                </w:p>
              </w:tc>
              <w:tc>
                <w:tcPr>
                  <w:tcW w:w="4779" w:type="dxa"/>
                  <w:noWrap w:val="0"/>
                  <w:vAlign w:val="center"/>
                </w:tcPr>
                <w:p w14:paraId="3EB5DD2C">
                  <w:pPr>
                    <w:pStyle w:val="87"/>
                    <w:keepNext w:val="0"/>
                    <w:keepLines w:val="0"/>
                    <w:pageBreakBefore w:val="0"/>
                    <w:widowControl w:val="0"/>
                    <w:kinsoku/>
                    <w:wordWrap/>
                    <w:overflowPunct/>
                    <w:topLinePunct w:val="0"/>
                    <w:bidi w:val="0"/>
                    <w:adjustRightInd w:val="0"/>
                    <w:snapToGrid w:val="0"/>
                    <w:spacing w:line="240" w:lineRule="auto"/>
                    <w:ind w:right="0" w:rightChars="0" w:firstLine="0" w:firstLineChars="0"/>
                    <w:jc w:val="both"/>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生物质颗粒贮存位于蒸汽发生器房内，占地面积为5m</w:t>
                  </w:r>
                  <w:r>
                    <w:rPr>
                      <w:rFonts w:hint="eastAsia" w:cs="Times New Roman"/>
                      <w:color w:val="auto"/>
                      <w:kern w:val="2"/>
                      <w:sz w:val="24"/>
                      <w:szCs w:val="24"/>
                      <w:highlight w:val="none"/>
                      <w:vertAlign w:val="superscript"/>
                      <w:lang w:val="en-US" w:eastAsia="zh-CN" w:bidi="ar-SA"/>
                    </w:rPr>
                    <w:t>2</w:t>
                  </w:r>
                  <w:r>
                    <w:rPr>
                      <w:rFonts w:hint="eastAsia" w:cs="Times New Roman"/>
                      <w:color w:val="auto"/>
                      <w:kern w:val="2"/>
                      <w:sz w:val="24"/>
                      <w:szCs w:val="24"/>
                      <w:highlight w:val="none"/>
                      <w:vertAlign w:val="baseline"/>
                      <w:lang w:val="en-US" w:eastAsia="zh-CN" w:bidi="ar-SA"/>
                    </w:rPr>
                    <w:t>。</w:t>
                  </w:r>
                </w:p>
              </w:tc>
              <w:tc>
                <w:tcPr>
                  <w:tcW w:w="1309" w:type="dxa"/>
                  <w:noWrap w:val="0"/>
                  <w:vAlign w:val="center"/>
                </w:tcPr>
                <w:p w14:paraId="28E44E48">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新建</w:t>
                  </w:r>
                </w:p>
              </w:tc>
            </w:tr>
            <w:tr w14:paraId="36B2ED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 w:hRule="atLeast"/>
                <w:jc w:val="center"/>
              </w:trPr>
              <w:tc>
                <w:tcPr>
                  <w:tcW w:w="642" w:type="dxa"/>
                  <w:vMerge w:val="continue"/>
                  <w:noWrap w:val="0"/>
                  <w:vAlign w:val="center"/>
                </w:tcPr>
                <w:p w14:paraId="250DDCF2">
                  <w:pPr>
                    <w:pStyle w:val="87"/>
                    <w:keepNext w:val="0"/>
                    <w:keepLines w:val="0"/>
                    <w:pageBreakBefore w:val="0"/>
                    <w:widowControl w:val="0"/>
                    <w:kinsoku/>
                    <w:wordWrap/>
                    <w:overflowPunct/>
                    <w:topLinePunct w:val="0"/>
                    <w:bidi w:val="0"/>
                    <w:adjustRightInd w:val="0"/>
                    <w:snapToGrid w:val="0"/>
                    <w:spacing w:line="240" w:lineRule="auto"/>
                    <w:ind w:right="0" w:rightChars="0" w:firstLine="0"/>
                    <w:jc w:val="center"/>
                    <w:rPr>
                      <w:rFonts w:hint="eastAsia" w:cs="Times New Roman"/>
                      <w:color w:val="auto"/>
                      <w:kern w:val="2"/>
                      <w:sz w:val="24"/>
                      <w:szCs w:val="24"/>
                      <w:highlight w:val="none"/>
                      <w:lang w:val="en-US" w:eastAsia="zh-CN" w:bidi="ar-SA"/>
                    </w:rPr>
                  </w:pPr>
                </w:p>
              </w:tc>
              <w:tc>
                <w:tcPr>
                  <w:tcW w:w="1215" w:type="dxa"/>
                  <w:noWrap w:val="0"/>
                  <w:vAlign w:val="center"/>
                </w:tcPr>
                <w:p w14:paraId="4448FFBB">
                  <w:pPr>
                    <w:pStyle w:val="87"/>
                    <w:keepNext w:val="0"/>
                    <w:keepLines w:val="0"/>
                    <w:pageBreakBefore w:val="0"/>
                    <w:widowControl w:val="0"/>
                    <w:kinsoku/>
                    <w:wordWrap/>
                    <w:overflowPunct/>
                    <w:topLinePunct w:val="0"/>
                    <w:bidi w:val="0"/>
                    <w:adjustRightInd w:val="0"/>
                    <w:snapToGrid w:val="0"/>
                    <w:spacing w:line="240" w:lineRule="auto"/>
                    <w:ind w:right="0" w:rightChars="0" w:firstLine="0" w:firstLineChars="0"/>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灰渣间</w:t>
                  </w:r>
                </w:p>
              </w:tc>
              <w:tc>
                <w:tcPr>
                  <w:tcW w:w="4779" w:type="dxa"/>
                  <w:noWrap w:val="0"/>
                  <w:vAlign w:val="center"/>
                </w:tcPr>
                <w:p w14:paraId="28CD97E5">
                  <w:pPr>
                    <w:pStyle w:val="87"/>
                    <w:keepNext w:val="0"/>
                    <w:keepLines w:val="0"/>
                    <w:pageBreakBefore w:val="0"/>
                    <w:widowControl w:val="0"/>
                    <w:kinsoku/>
                    <w:wordWrap/>
                    <w:overflowPunct/>
                    <w:topLinePunct w:val="0"/>
                    <w:bidi w:val="0"/>
                    <w:adjustRightInd w:val="0"/>
                    <w:snapToGrid w:val="0"/>
                    <w:spacing w:line="240" w:lineRule="auto"/>
                    <w:ind w:right="0" w:rightChars="0" w:firstLine="0" w:firstLineChars="0"/>
                    <w:jc w:val="both"/>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灰渣贮存位于蒸汽发生器房内，占地面积为5m</w:t>
                  </w:r>
                  <w:r>
                    <w:rPr>
                      <w:rFonts w:hint="eastAsia" w:cs="Times New Roman"/>
                      <w:color w:val="auto"/>
                      <w:kern w:val="2"/>
                      <w:sz w:val="24"/>
                      <w:szCs w:val="24"/>
                      <w:highlight w:val="none"/>
                      <w:vertAlign w:val="superscript"/>
                      <w:lang w:val="en-US" w:eastAsia="zh-CN" w:bidi="ar-SA"/>
                    </w:rPr>
                    <w:t>2</w:t>
                  </w:r>
                </w:p>
              </w:tc>
              <w:tc>
                <w:tcPr>
                  <w:tcW w:w="1309" w:type="dxa"/>
                  <w:noWrap w:val="0"/>
                  <w:vAlign w:val="center"/>
                </w:tcPr>
                <w:p w14:paraId="2309B5B8">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新建</w:t>
                  </w:r>
                </w:p>
              </w:tc>
            </w:tr>
            <w:tr w14:paraId="7AC639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dxa"/>
                  <w:vMerge w:val="restart"/>
                  <w:noWrap w:val="0"/>
                  <w:vAlign w:val="center"/>
                </w:tcPr>
                <w:p w14:paraId="0836BD95">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辅助工程</w:t>
                  </w:r>
                </w:p>
              </w:tc>
              <w:tc>
                <w:tcPr>
                  <w:tcW w:w="1215" w:type="dxa"/>
                  <w:noWrap w:val="0"/>
                  <w:vAlign w:val="center"/>
                </w:tcPr>
                <w:p w14:paraId="079EBE5A">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办公用房</w:t>
                  </w:r>
                </w:p>
              </w:tc>
              <w:tc>
                <w:tcPr>
                  <w:tcW w:w="4779" w:type="dxa"/>
                  <w:noWrap w:val="0"/>
                  <w:vAlign w:val="center"/>
                </w:tcPr>
                <w:p w14:paraId="13228298">
                  <w:pPr>
                    <w:pStyle w:val="73"/>
                    <w:keepNext w:val="0"/>
                    <w:keepLines w:val="0"/>
                    <w:pageBreakBefore w:val="0"/>
                    <w:widowControl w:val="0"/>
                    <w:kinsoku/>
                    <w:wordWrap/>
                    <w:overflowPunct/>
                    <w:topLinePunct w:val="0"/>
                    <w:bidi w:val="0"/>
                    <w:spacing w:beforeLines="0" w:afterLines="0" w:line="240" w:lineRule="auto"/>
                    <w:ind w:right="0" w:rightChars="0" w:firstLine="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占地</w:t>
                  </w:r>
                  <w:r>
                    <w:rPr>
                      <w:rFonts w:hint="eastAsia" w:ascii="Times New Roman" w:hAnsi="Times New Roman" w:eastAsia="宋体" w:cs="Times New Roman"/>
                      <w:color w:val="auto"/>
                      <w:kern w:val="2"/>
                      <w:sz w:val="24"/>
                      <w:szCs w:val="24"/>
                      <w:highlight w:val="none"/>
                      <w:lang w:val="en-US" w:eastAsia="zh-CN" w:bidi="ar-SA"/>
                    </w:rPr>
                    <w:t>面积为</w:t>
                  </w:r>
                  <w:r>
                    <w:rPr>
                      <w:rFonts w:hint="eastAsia" w:ascii="Times New Roman" w:cs="Times New Roman"/>
                      <w:color w:val="auto"/>
                      <w:kern w:val="2"/>
                      <w:sz w:val="24"/>
                      <w:szCs w:val="24"/>
                      <w:highlight w:val="none"/>
                      <w:lang w:val="en-US" w:eastAsia="zh-CN" w:bidi="ar-SA"/>
                    </w:rPr>
                    <w:t>520</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cs="Times New Roman"/>
                      <w:color w:val="auto"/>
                      <w:kern w:val="2"/>
                      <w:sz w:val="24"/>
                      <w:szCs w:val="24"/>
                      <w:highlight w:val="none"/>
                      <w:lang w:val="en-US" w:eastAsia="zh-CN" w:bidi="ar-SA"/>
                    </w:rPr>
                    <w:t>一</w:t>
                  </w:r>
                  <w:r>
                    <w:rPr>
                      <w:rFonts w:hint="default" w:ascii="Times New Roman" w:hAnsi="Times New Roman" w:eastAsia="宋体" w:cs="Times New Roman"/>
                      <w:color w:val="auto"/>
                      <w:kern w:val="2"/>
                      <w:sz w:val="24"/>
                      <w:szCs w:val="24"/>
                      <w:highlight w:val="none"/>
                      <w:lang w:val="en-US" w:eastAsia="zh-CN" w:bidi="ar-SA"/>
                    </w:rPr>
                    <w:t>层建筑，用于工作人员办公休息</w:t>
                  </w:r>
                  <w:r>
                    <w:rPr>
                      <w:rFonts w:hint="eastAsia" w:ascii="Times New Roman" w:cs="Times New Roman"/>
                      <w:color w:val="auto"/>
                      <w:kern w:val="2"/>
                      <w:sz w:val="24"/>
                      <w:szCs w:val="24"/>
                      <w:highlight w:val="none"/>
                      <w:lang w:val="en-US" w:eastAsia="zh-CN" w:bidi="ar-SA"/>
                    </w:rPr>
                    <w:t>。</w:t>
                  </w:r>
                </w:p>
              </w:tc>
              <w:tc>
                <w:tcPr>
                  <w:tcW w:w="1309" w:type="dxa"/>
                  <w:noWrap w:val="0"/>
                  <w:vAlign w:val="center"/>
                </w:tcPr>
                <w:p w14:paraId="61985F5B">
                  <w:pPr>
                    <w:keepNext w:val="0"/>
                    <w:keepLines w:val="0"/>
                    <w:pageBreakBefore w:val="0"/>
                    <w:widowControl w:val="0"/>
                    <w:kinsoku/>
                    <w:wordWrap/>
                    <w:overflowPunct/>
                    <w:topLinePunct w:val="0"/>
                    <w:bidi w:val="0"/>
                    <w:spacing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利用现有厂房安装</w:t>
                  </w:r>
                </w:p>
              </w:tc>
            </w:tr>
            <w:tr w14:paraId="030AE0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642" w:type="dxa"/>
                  <w:vMerge w:val="continue"/>
                  <w:noWrap w:val="0"/>
                  <w:vAlign w:val="center"/>
                </w:tcPr>
                <w:p w14:paraId="10BB5B36">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p>
              </w:tc>
              <w:tc>
                <w:tcPr>
                  <w:tcW w:w="1215" w:type="dxa"/>
                  <w:noWrap w:val="0"/>
                  <w:vAlign w:val="center"/>
                </w:tcPr>
                <w:p w14:paraId="7432353A">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蒸汽发生器房</w:t>
                  </w:r>
                </w:p>
              </w:tc>
              <w:tc>
                <w:tcPr>
                  <w:tcW w:w="4779" w:type="dxa"/>
                  <w:noWrap w:val="0"/>
                  <w:vAlign w:val="center"/>
                </w:tcPr>
                <w:p w14:paraId="7BBB2680">
                  <w:pPr>
                    <w:pStyle w:val="73"/>
                    <w:keepNext w:val="0"/>
                    <w:keepLines w:val="0"/>
                    <w:pageBreakBefore w:val="0"/>
                    <w:widowControl w:val="0"/>
                    <w:kinsoku/>
                    <w:wordWrap/>
                    <w:overflowPunct/>
                    <w:topLinePunct w:val="0"/>
                    <w:bidi w:val="0"/>
                    <w:spacing w:beforeLines="0" w:afterLines="0" w:line="240" w:lineRule="auto"/>
                    <w:ind w:right="0" w:rightChars="0" w:firstLine="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占地</w:t>
                  </w:r>
                  <w:r>
                    <w:rPr>
                      <w:rFonts w:hint="eastAsia" w:ascii="Times New Roman" w:hAnsi="Times New Roman" w:eastAsia="宋体" w:cs="Times New Roman"/>
                      <w:color w:val="auto"/>
                      <w:kern w:val="2"/>
                      <w:sz w:val="24"/>
                      <w:szCs w:val="24"/>
                      <w:highlight w:val="none"/>
                      <w:lang w:val="en-US" w:eastAsia="zh-CN" w:bidi="ar-SA"/>
                    </w:rPr>
                    <w:t>面积为</w:t>
                  </w:r>
                  <w:r>
                    <w:rPr>
                      <w:rFonts w:hint="eastAsia" w:ascii="Times New Roman" w:cs="Times New Roman"/>
                      <w:color w:val="auto"/>
                      <w:kern w:val="2"/>
                      <w:sz w:val="24"/>
                      <w:szCs w:val="24"/>
                      <w:highlight w:val="none"/>
                      <w:lang w:val="en-US" w:eastAsia="zh-CN" w:bidi="ar-SA"/>
                    </w:rPr>
                    <w:t>30</w:t>
                  </w:r>
                  <w:r>
                    <w:rPr>
                      <w:rFonts w:hint="eastAsia" w:ascii="Times New Roman" w:hAnsi="Times New Roman" w:eastAsia="宋体" w:cs="Times New Roman"/>
                      <w:color w:val="auto"/>
                      <w:kern w:val="2"/>
                      <w:sz w:val="24"/>
                      <w:szCs w:val="24"/>
                      <w:highlight w:val="none"/>
                      <w:lang w:val="en-US" w:eastAsia="zh-CN" w:bidi="ar-SA"/>
                    </w:rPr>
                    <w:t>㎡，</w:t>
                  </w:r>
                  <w:r>
                    <w:rPr>
                      <w:rFonts w:hint="eastAsia" w:ascii="Times New Roman" w:cs="Times New Roman"/>
                      <w:color w:val="auto"/>
                      <w:kern w:val="2"/>
                      <w:sz w:val="24"/>
                      <w:szCs w:val="24"/>
                      <w:highlight w:val="none"/>
                      <w:lang w:val="en-US" w:eastAsia="zh-CN" w:bidi="ar-SA"/>
                    </w:rPr>
                    <w:t>位于生产车间内，</w:t>
                  </w:r>
                  <w:r>
                    <w:rPr>
                      <w:rFonts w:hint="eastAsia" w:ascii="Times New Roman" w:hAnsi="Times New Roman" w:eastAsia="宋体" w:cs="Times New Roman"/>
                      <w:color w:val="auto"/>
                      <w:kern w:val="2"/>
                      <w:sz w:val="24"/>
                      <w:szCs w:val="24"/>
                      <w:highlight w:val="none"/>
                      <w:lang w:val="en-US" w:eastAsia="zh-CN" w:bidi="ar-SA"/>
                    </w:rPr>
                    <w:t>内置</w:t>
                  </w:r>
                  <w:r>
                    <w:rPr>
                      <w:rFonts w:hint="eastAsia" w:ascii="Times New Roman"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台</w:t>
                  </w:r>
                  <w:r>
                    <w:rPr>
                      <w:rFonts w:hint="eastAsia" w:ascii="Times New Roman" w:cs="Times New Roman"/>
                      <w:color w:val="auto"/>
                      <w:kern w:val="2"/>
                      <w:sz w:val="24"/>
                      <w:szCs w:val="24"/>
                      <w:highlight w:val="none"/>
                      <w:lang w:val="en-US" w:eastAsia="zh-CN" w:bidi="ar-SA"/>
                    </w:rPr>
                    <w:t>2.5</w:t>
                  </w:r>
                  <w:r>
                    <w:rPr>
                      <w:rFonts w:hint="default" w:ascii="Times New Roman" w:hAnsi="Times New Roman" w:eastAsia="宋体" w:cs="Times New Roman"/>
                      <w:color w:val="auto"/>
                      <w:kern w:val="2"/>
                      <w:sz w:val="24"/>
                      <w:szCs w:val="24"/>
                      <w:highlight w:val="none"/>
                      <w:lang w:val="en-US" w:eastAsia="zh-CN" w:bidi="ar-SA"/>
                    </w:rPr>
                    <w:t>t/h</w:t>
                  </w:r>
                  <w:r>
                    <w:rPr>
                      <w:rFonts w:hint="eastAsia" w:ascii="Times New Roman" w:cs="Times New Roman"/>
                      <w:color w:val="auto"/>
                      <w:kern w:val="2"/>
                      <w:sz w:val="24"/>
                      <w:szCs w:val="24"/>
                      <w:highlight w:val="none"/>
                      <w:lang w:val="en-US" w:eastAsia="zh-CN" w:bidi="ar-SA"/>
                    </w:rPr>
                    <w:t>燃生物质蒸汽发生器（1用1备）。</w:t>
                  </w:r>
                </w:p>
              </w:tc>
              <w:tc>
                <w:tcPr>
                  <w:tcW w:w="1309" w:type="dxa"/>
                  <w:noWrap w:val="0"/>
                  <w:vAlign w:val="center"/>
                </w:tcPr>
                <w:p w14:paraId="70615DFD">
                  <w:pPr>
                    <w:keepNext w:val="0"/>
                    <w:keepLines w:val="0"/>
                    <w:pageBreakBefore w:val="0"/>
                    <w:widowControl w:val="0"/>
                    <w:kinsoku/>
                    <w:wordWrap/>
                    <w:overflowPunct/>
                    <w:topLinePunct w:val="0"/>
                    <w:bidi w:val="0"/>
                    <w:spacing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已建</w:t>
                  </w:r>
                </w:p>
              </w:tc>
            </w:tr>
            <w:tr w14:paraId="0C08FF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642" w:type="dxa"/>
                  <w:vMerge w:val="restart"/>
                  <w:noWrap w:val="0"/>
                  <w:vAlign w:val="center"/>
                </w:tcPr>
                <w:p w14:paraId="25AB99E7">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依托工程</w:t>
                  </w:r>
                </w:p>
              </w:tc>
              <w:tc>
                <w:tcPr>
                  <w:tcW w:w="1215" w:type="dxa"/>
                  <w:noWrap w:val="0"/>
                  <w:vAlign w:val="center"/>
                </w:tcPr>
                <w:p w14:paraId="08664D41">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供水</w:t>
                  </w:r>
                </w:p>
              </w:tc>
              <w:tc>
                <w:tcPr>
                  <w:tcW w:w="4779" w:type="dxa"/>
                  <w:noWrap w:val="0"/>
                  <w:vAlign w:val="center"/>
                </w:tcPr>
                <w:p w14:paraId="174B1461">
                  <w:pPr>
                    <w:pStyle w:val="73"/>
                    <w:keepNext w:val="0"/>
                    <w:keepLines w:val="0"/>
                    <w:pageBreakBefore w:val="0"/>
                    <w:widowControl w:val="0"/>
                    <w:kinsoku/>
                    <w:wordWrap/>
                    <w:overflowPunct/>
                    <w:topLinePunct w:val="0"/>
                    <w:bidi w:val="0"/>
                    <w:spacing w:beforeLines="0" w:afterLines="0" w:line="240" w:lineRule="auto"/>
                    <w:ind w:right="0" w:rightChars="0" w:firstLine="0"/>
                    <w:jc w:val="left"/>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w:t>
                  </w:r>
                  <w:r>
                    <w:rPr>
                      <w:rFonts w:hint="default" w:ascii="Times New Roman" w:hAnsi="Times New Roman" w:eastAsia="宋体" w:cs="Times New Roman"/>
                      <w:color w:val="auto"/>
                      <w:kern w:val="2"/>
                      <w:sz w:val="24"/>
                      <w:szCs w:val="24"/>
                      <w:highlight w:val="none"/>
                      <w:lang w:val="en-US" w:eastAsia="zh-CN" w:bidi="ar-SA"/>
                    </w:rPr>
                    <w:t>项目</w:t>
                  </w:r>
                  <w:r>
                    <w:rPr>
                      <w:rFonts w:hint="eastAsia" w:ascii="Times New Roman" w:cs="Times New Roman"/>
                      <w:color w:val="auto"/>
                      <w:kern w:val="2"/>
                      <w:sz w:val="24"/>
                      <w:szCs w:val="24"/>
                      <w:highlight w:val="none"/>
                      <w:lang w:val="en-US" w:eastAsia="zh-CN" w:bidi="ar-SA"/>
                    </w:rPr>
                    <w:t>用水由企业外购。</w:t>
                  </w:r>
                </w:p>
              </w:tc>
              <w:tc>
                <w:tcPr>
                  <w:tcW w:w="1309" w:type="dxa"/>
                  <w:noWrap w:val="0"/>
                  <w:vAlign w:val="center"/>
                </w:tcPr>
                <w:p w14:paraId="51267DEC">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依托</w:t>
                  </w:r>
                </w:p>
              </w:tc>
            </w:tr>
            <w:tr w14:paraId="427CD9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642" w:type="dxa"/>
                  <w:vMerge w:val="continue"/>
                  <w:noWrap w:val="0"/>
                  <w:vAlign w:val="center"/>
                </w:tcPr>
                <w:p w14:paraId="234B0308">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yellow"/>
                      <w:lang w:val="en-US" w:eastAsia="zh-CN" w:bidi="ar-SA"/>
                    </w:rPr>
                  </w:pPr>
                </w:p>
              </w:tc>
              <w:tc>
                <w:tcPr>
                  <w:tcW w:w="1215" w:type="dxa"/>
                  <w:noWrap w:val="0"/>
                  <w:vAlign w:val="center"/>
                </w:tcPr>
                <w:p w14:paraId="188D95A4">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供电</w:t>
                  </w:r>
                </w:p>
              </w:tc>
              <w:tc>
                <w:tcPr>
                  <w:tcW w:w="4779" w:type="dxa"/>
                  <w:noWrap w:val="0"/>
                  <w:vAlign w:val="center"/>
                </w:tcPr>
                <w:p w14:paraId="43BA8CCE">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left"/>
                    <w:rPr>
                      <w:rFonts w:hint="eastAsia"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由市政供电部门供给</w:t>
                  </w:r>
                  <w:r>
                    <w:rPr>
                      <w:rFonts w:hint="eastAsia" w:ascii="Times New Roman" w:hAnsi="Times New Roman" w:eastAsia="宋体" w:cs="Times New Roman"/>
                      <w:color w:val="auto"/>
                      <w:kern w:val="2"/>
                      <w:sz w:val="24"/>
                      <w:szCs w:val="24"/>
                      <w:highlight w:val="none"/>
                      <w:lang w:val="en-US" w:eastAsia="zh-CN" w:bidi="ar-SA"/>
                    </w:rPr>
                    <w:t>。</w:t>
                  </w:r>
                </w:p>
              </w:tc>
              <w:tc>
                <w:tcPr>
                  <w:tcW w:w="1309" w:type="dxa"/>
                  <w:noWrap w:val="0"/>
                  <w:vAlign w:val="center"/>
                </w:tcPr>
                <w:p w14:paraId="619BFD2A">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依托</w:t>
                  </w:r>
                </w:p>
              </w:tc>
            </w:tr>
            <w:tr w14:paraId="592E4B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dxa"/>
                  <w:vMerge w:val="restart"/>
                  <w:noWrap w:val="0"/>
                  <w:vAlign w:val="center"/>
                </w:tcPr>
                <w:p w14:paraId="46344C42">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公用工程</w:t>
                  </w:r>
                </w:p>
              </w:tc>
              <w:tc>
                <w:tcPr>
                  <w:tcW w:w="1215" w:type="dxa"/>
                  <w:noWrap w:val="0"/>
                  <w:vAlign w:val="center"/>
                </w:tcPr>
                <w:p w14:paraId="6C1D7040">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排水</w:t>
                  </w:r>
                </w:p>
              </w:tc>
              <w:tc>
                <w:tcPr>
                  <w:tcW w:w="4779" w:type="dxa"/>
                  <w:noWrap w:val="0"/>
                  <w:vAlign w:val="center"/>
                </w:tcPr>
                <w:p w14:paraId="082C22F7">
                  <w:pPr>
                    <w:pStyle w:val="73"/>
                    <w:keepNext w:val="0"/>
                    <w:keepLines w:val="0"/>
                    <w:pageBreakBefore w:val="0"/>
                    <w:widowControl w:val="0"/>
                    <w:kinsoku/>
                    <w:wordWrap/>
                    <w:overflowPunct/>
                    <w:topLinePunct w:val="0"/>
                    <w:bidi w:val="0"/>
                    <w:spacing w:beforeLines="0" w:afterLines="0" w:line="240" w:lineRule="auto"/>
                    <w:ind w:right="0" w:rightChars="0" w:firstLine="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养护冷凝水、</w:t>
                  </w:r>
                  <w:r>
                    <w:rPr>
                      <w:rFonts w:hint="default" w:ascii="Times New Roman" w:hAnsi="Times New Roman" w:eastAsia="宋体" w:cs="Times New Roman"/>
                      <w:color w:val="auto"/>
                      <w:kern w:val="2"/>
                      <w:sz w:val="24"/>
                      <w:szCs w:val="24"/>
                      <w:highlight w:val="none"/>
                      <w:lang w:val="en-US" w:eastAsia="zh-CN" w:bidi="ar-SA"/>
                    </w:rPr>
                    <w:t>搅拌设备冲洗水经沉淀池沉淀后回用于生产，用于混凝土搅拌</w:t>
                  </w:r>
                  <w:r>
                    <w:rPr>
                      <w:rFonts w:hint="eastAsia" w:ascii="Times New Roman" w:cs="Times New Roman"/>
                      <w:color w:val="auto"/>
                      <w:kern w:val="2"/>
                      <w:sz w:val="24"/>
                      <w:szCs w:val="24"/>
                      <w:highlight w:val="none"/>
                      <w:lang w:val="en-US" w:eastAsia="zh-CN" w:bidi="ar-SA"/>
                    </w:rPr>
                    <w:t>；搅拌设备</w:t>
                  </w:r>
                  <w:r>
                    <w:rPr>
                      <w:rFonts w:hint="default" w:ascii="Times New Roman" w:hAnsi="Times New Roman" w:eastAsia="宋体" w:cs="Times New Roman"/>
                      <w:color w:val="auto"/>
                      <w:kern w:val="2"/>
                      <w:sz w:val="24"/>
                      <w:szCs w:val="24"/>
                      <w:highlight w:val="none"/>
                      <w:lang w:val="en-US" w:eastAsia="zh-CN" w:bidi="ar-SA"/>
                    </w:rPr>
                    <w:t>冲洗废水经沉淀池沉淀后循环使用，不外排;蒸汽发生器排水和软水制备废水均为清洁下水，用于原料库喷淋抑尘</w:t>
                  </w:r>
                  <w:r>
                    <w:rPr>
                      <w:rFonts w:hint="eastAsia" w:ascii="Times New Roman" w:cs="Times New Roman"/>
                      <w:color w:val="auto"/>
                      <w:kern w:val="2"/>
                      <w:sz w:val="24"/>
                      <w:szCs w:val="24"/>
                      <w:highlight w:val="none"/>
                      <w:lang w:val="en-US" w:eastAsia="zh-CN" w:bidi="ar-SA"/>
                    </w:rPr>
                    <w:t>，生活废水排入厂区防渗旱厕，定期清掏外运堆肥。</w:t>
                  </w:r>
                </w:p>
              </w:tc>
              <w:tc>
                <w:tcPr>
                  <w:tcW w:w="1309" w:type="dxa"/>
                  <w:noWrap w:val="0"/>
                  <w:vAlign w:val="center"/>
                </w:tcPr>
                <w:p w14:paraId="3A16DFA4">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新建</w:t>
                  </w:r>
                </w:p>
              </w:tc>
            </w:tr>
            <w:tr w14:paraId="40A46F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dxa"/>
                  <w:vMerge w:val="continue"/>
                  <w:noWrap w:val="0"/>
                  <w:vAlign w:val="center"/>
                </w:tcPr>
                <w:p w14:paraId="311B5669">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p>
              </w:tc>
              <w:tc>
                <w:tcPr>
                  <w:tcW w:w="1215" w:type="dxa"/>
                  <w:noWrap w:val="0"/>
                  <w:vAlign w:val="center"/>
                </w:tcPr>
                <w:p w14:paraId="5309DFAE">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供暖</w:t>
                  </w:r>
                </w:p>
              </w:tc>
              <w:tc>
                <w:tcPr>
                  <w:tcW w:w="4779" w:type="dxa"/>
                  <w:noWrap w:val="0"/>
                  <w:vAlign w:val="center"/>
                </w:tcPr>
                <w:p w14:paraId="44B91B81">
                  <w:pPr>
                    <w:pStyle w:val="73"/>
                    <w:keepNext w:val="0"/>
                    <w:keepLines w:val="0"/>
                    <w:pageBreakBefore w:val="0"/>
                    <w:widowControl w:val="0"/>
                    <w:kinsoku/>
                    <w:wordWrap/>
                    <w:overflowPunct/>
                    <w:topLinePunct w:val="0"/>
                    <w:bidi w:val="0"/>
                    <w:spacing w:beforeLines="0" w:afterLines="0" w:line="240" w:lineRule="auto"/>
                    <w:ind w:right="0" w:rightChars="0" w:firstLine="0"/>
                    <w:jc w:val="left"/>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本项目冬季</w:t>
                  </w:r>
                  <w:r>
                    <w:rPr>
                      <w:rFonts w:hint="eastAsia" w:ascii="Times New Roman" w:cs="Times New Roman"/>
                      <w:color w:val="auto"/>
                      <w:kern w:val="2"/>
                      <w:sz w:val="24"/>
                      <w:szCs w:val="24"/>
                      <w:highlight w:val="none"/>
                      <w:lang w:val="en-US" w:eastAsia="zh-CN" w:bidi="ar-SA"/>
                    </w:rPr>
                    <w:t>不生产，不需</w:t>
                  </w:r>
                  <w:r>
                    <w:rPr>
                      <w:rFonts w:hint="eastAsia" w:ascii="Times New Roman" w:hAnsi="Times New Roman" w:eastAsia="宋体" w:cs="Times New Roman"/>
                      <w:color w:val="auto"/>
                      <w:kern w:val="2"/>
                      <w:sz w:val="24"/>
                      <w:szCs w:val="24"/>
                      <w:highlight w:val="none"/>
                      <w:lang w:val="en-US" w:eastAsia="zh-CN" w:bidi="ar-SA"/>
                    </w:rPr>
                    <w:t>供热</w:t>
                  </w:r>
                  <w:r>
                    <w:rPr>
                      <w:rFonts w:hint="eastAsia" w:ascii="Times New Roman" w:cs="Times New Roman"/>
                      <w:color w:val="auto"/>
                      <w:kern w:val="2"/>
                      <w:sz w:val="24"/>
                      <w:szCs w:val="24"/>
                      <w:highlight w:val="none"/>
                      <w:lang w:val="en-US" w:eastAsia="zh-CN" w:bidi="ar-SA"/>
                    </w:rPr>
                    <w:t>，厂区水泥预制件养护由产区自建蒸汽发生器提供。</w:t>
                  </w:r>
                </w:p>
              </w:tc>
              <w:tc>
                <w:tcPr>
                  <w:tcW w:w="1309" w:type="dxa"/>
                  <w:noWrap w:val="0"/>
                  <w:vAlign w:val="center"/>
                </w:tcPr>
                <w:p w14:paraId="1CCB812F">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新建</w:t>
                  </w:r>
                </w:p>
              </w:tc>
            </w:tr>
            <w:tr w14:paraId="3FFE55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642" w:type="dxa"/>
                  <w:vMerge w:val="restart"/>
                  <w:noWrap w:val="0"/>
                  <w:vAlign w:val="center"/>
                </w:tcPr>
                <w:p w14:paraId="77220264">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yellow"/>
                      <w:lang w:val="en-US" w:eastAsia="zh-CN" w:bidi="ar-SA"/>
                    </w:rPr>
                  </w:pPr>
                  <w:r>
                    <w:rPr>
                      <w:rFonts w:hint="eastAsia" w:ascii="Times New Roman" w:cs="Times New Roman"/>
                      <w:color w:val="auto"/>
                      <w:kern w:val="2"/>
                      <w:sz w:val="24"/>
                      <w:szCs w:val="24"/>
                      <w:highlight w:val="none"/>
                      <w:lang w:val="en-US" w:eastAsia="zh-CN" w:bidi="ar-SA"/>
                    </w:rPr>
                    <w:t>环保工程</w:t>
                  </w:r>
                </w:p>
              </w:tc>
              <w:tc>
                <w:tcPr>
                  <w:tcW w:w="1215" w:type="dxa"/>
                  <w:vMerge w:val="restart"/>
                  <w:noWrap w:val="0"/>
                  <w:vAlign w:val="center"/>
                </w:tcPr>
                <w:p w14:paraId="15610EF6">
                  <w:pPr>
                    <w:keepNext w:val="0"/>
                    <w:keepLines w:val="0"/>
                    <w:pageBreakBefore w:val="0"/>
                    <w:widowControl w:val="0"/>
                    <w:kinsoku/>
                    <w:wordWrap/>
                    <w:overflowPunct/>
                    <w:topLinePunct w:val="0"/>
                    <w:bidi w:val="0"/>
                    <w:spacing w:line="240" w:lineRule="auto"/>
                    <w:ind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废气治理</w:t>
                  </w:r>
                </w:p>
              </w:tc>
              <w:tc>
                <w:tcPr>
                  <w:tcW w:w="4779" w:type="dxa"/>
                  <w:noWrap w:val="0"/>
                  <w:vAlign w:val="center"/>
                </w:tcPr>
                <w:p w14:paraId="0A86ECB9">
                  <w:pPr>
                    <w:pStyle w:val="48"/>
                    <w:keepNext w:val="0"/>
                    <w:keepLines w:val="0"/>
                    <w:pageBreakBefore w:val="0"/>
                    <w:widowControl w:val="0"/>
                    <w:kinsoku/>
                    <w:wordWrap/>
                    <w:overflowPunct/>
                    <w:topLinePunct w:val="0"/>
                    <w:bidi w:val="0"/>
                    <w:spacing w:line="240" w:lineRule="auto"/>
                    <w:ind w:right="0" w:rightChars="0" w:firstLine="0" w:firstLineChars="0"/>
                    <w:jc w:val="both"/>
                    <w:rPr>
                      <w:rFonts w:hint="default"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①本项目运营后废气主要为</w:t>
                  </w:r>
                  <w:r>
                    <w:rPr>
                      <w:rFonts w:hint="eastAsia" w:ascii="Times New Roman" w:hAnsi="Times New Roman" w:cs="Times New Roman"/>
                      <w:color w:val="auto"/>
                      <w:kern w:val="2"/>
                      <w:sz w:val="24"/>
                      <w:szCs w:val="24"/>
                      <w:highlight w:val="none"/>
                      <w:lang w:val="en-US" w:eastAsia="zh-CN" w:bidi="ar-SA"/>
                    </w:rPr>
                    <w:t>燃生物质蒸汽发生器</w:t>
                  </w:r>
                  <w:r>
                    <w:rPr>
                      <w:rFonts w:hint="eastAsia" w:ascii="Times New Roman" w:hAnsi="Times New Roman" w:eastAsia="宋体" w:cs="Times New Roman"/>
                      <w:color w:val="auto"/>
                      <w:kern w:val="2"/>
                      <w:sz w:val="24"/>
                      <w:szCs w:val="24"/>
                      <w:highlight w:val="none"/>
                      <w:lang w:val="en-US" w:eastAsia="zh-CN" w:bidi="ar-SA"/>
                    </w:rPr>
                    <w:t>烟气，</w:t>
                  </w:r>
                  <w:r>
                    <w:rPr>
                      <w:rFonts w:hint="eastAsia" w:ascii="Times New Roman" w:hAnsi="Times New Roman" w:cs="Times New Roman"/>
                      <w:color w:val="auto"/>
                      <w:kern w:val="2"/>
                      <w:sz w:val="24"/>
                      <w:szCs w:val="24"/>
                      <w:highlight w:val="none"/>
                      <w:lang w:val="en-US" w:eastAsia="zh-CN" w:bidi="ar-SA"/>
                    </w:rPr>
                    <w:t>经旋风除尘+布袋除尘+低氮燃烧器</w:t>
                  </w:r>
                  <w:r>
                    <w:rPr>
                      <w:rFonts w:hint="default" w:ascii="Times New Roman" w:hAnsi="Times New Roman" w:eastAsia="宋体" w:cs="Times New Roman"/>
                      <w:color w:val="auto"/>
                      <w:kern w:val="2"/>
                      <w:sz w:val="24"/>
                      <w:szCs w:val="24"/>
                      <w:highlight w:val="none"/>
                      <w:lang w:val="en-US" w:eastAsia="zh-CN" w:bidi="ar-SA"/>
                    </w:rPr>
                    <w:t>处理后</w:t>
                  </w:r>
                  <w:r>
                    <w:rPr>
                      <w:rFonts w:hint="eastAsia"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经</w:t>
                  </w:r>
                  <w:r>
                    <w:rPr>
                      <w:rFonts w:hint="eastAsia" w:ascii="Times New Roman" w:hAnsi="Times New Roman" w:cs="Times New Roman"/>
                      <w:color w:val="auto"/>
                      <w:kern w:val="2"/>
                      <w:sz w:val="24"/>
                      <w:szCs w:val="24"/>
                      <w:highlight w:val="none"/>
                      <w:lang w:val="en-US" w:eastAsia="zh-CN" w:bidi="ar-SA"/>
                    </w:rPr>
                    <w:t>30</w:t>
                  </w:r>
                  <w:r>
                    <w:rPr>
                      <w:rFonts w:hint="default" w:ascii="Times New Roman" w:hAnsi="Times New Roman" w:eastAsia="宋体" w:cs="Times New Roman"/>
                      <w:color w:val="auto"/>
                      <w:kern w:val="2"/>
                      <w:sz w:val="24"/>
                      <w:szCs w:val="24"/>
                      <w:highlight w:val="none"/>
                      <w:lang w:val="en-US" w:eastAsia="zh-CN" w:bidi="ar-SA"/>
                    </w:rPr>
                    <w:t>m</w:t>
                  </w:r>
                  <w:r>
                    <w:rPr>
                      <w:rFonts w:hint="eastAsia" w:ascii="Times New Roman" w:hAnsi="Times New Roman" w:eastAsia="宋体" w:cs="Times New Roman"/>
                      <w:color w:val="auto"/>
                      <w:kern w:val="2"/>
                      <w:sz w:val="24"/>
                      <w:szCs w:val="24"/>
                      <w:highlight w:val="none"/>
                      <w:lang w:val="en-US" w:eastAsia="zh-CN" w:bidi="ar-SA"/>
                    </w:rPr>
                    <w:t>高</w:t>
                  </w:r>
                  <w:r>
                    <w:rPr>
                      <w:rFonts w:hint="default" w:ascii="Times New Roman" w:hAnsi="Times New Roman" w:eastAsia="宋体" w:cs="Times New Roman"/>
                      <w:color w:val="auto"/>
                      <w:kern w:val="2"/>
                      <w:sz w:val="24"/>
                      <w:szCs w:val="24"/>
                      <w:highlight w:val="none"/>
                      <w:lang w:val="en-US" w:eastAsia="zh-CN" w:bidi="ar-SA"/>
                    </w:rPr>
                    <w:t>烟囱</w:t>
                  </w:r>
                  <w:r>
                    <w:rPr>
                      <w:rFonts w:hint="eastAsia" w:ascii="Times New Roman" w:hAnsi="Times New Roman" w:eastAsia="宋体" w:cs="Times New Roman"/>
                      <w:color w:val="auto"/>
                      <w:kern w:val="2"/>
                      <w:sz w:val="24"/>
                      <w:szCs w:val="24"/>
                      <w:highlight w:val="none"/>
                      <w:lang w:val="en-US" w:eastAsia="zh-CN" w:bidi="ar-SA"/>
                    </w:rPr>
                    <w:t>DA00</w:t>
                  </w:r>
                  <w:r>
                    <w:rPr>
                      <w:rFonts w:hint="eastAsia" w:ascii="Times New Roman" w:hAnsi="Times New Roman" w:cs="Times New Roman"/>
                      <w:color w:val="auto"/>
                      <w:kern w:val="2"/>
                      <w:sz w:val="24"/>
                      <w:szCs w:val="24"/>
                      <w:highlight w:val="none"/>
                      <w:lang w:val="en-US" w:eastAsia="zh-CN" w:bidi="ar-SA"/>
                    </w:rPr>
                    <w:t>1</w:t>
                  </w:r>
                  <w:r>
                    <w:rPr>
                      <w:rFonts w:hint="eastAsia" w:ascii="Times New Roman" w:hAnsi="Times New Roman" w:eastAsia="宋体" w:cs="Times New Roman"/>
                      <w:color w:val="auto"/>
                      <w:kern w:val="2"/>
                      <w:sz w:val="24"/>
                      <w:szCs w:val="24"/>
                      <w:highlight w:val="none"/>
                      <w:lang w:val="en-US" w:eastAsia="zh-CN" w:bidi="ar-SA"/>
                    </w:rPr>
                    <w:t>排放</w:t>
                  </w:r>
                  <w:r>
                    <w:rPr>
                      <w:rFonts w:hint="eastAsia" w:ascii="Times New Roman" w:hAnsi="Times New Roman" w:cs="Times New Roman"/>
                      <w:color w:val="auto"/>
                      <w:kern w:val="2"/>
                      <w:sz w:val="24"/>
                      <w:szCs w:val="24"/>
                      <w:highlight w:val="none"/>
                      <w:lang w:val="en-US" w:eastAsia="zh-CN" w:bidi="ar-SA"/>
                    </w:rPr>
                    <w:t>。</w:t>
                  </w:r>
                </w:p>
              </w:tc>
              <w:tc>
                <w:tcPr>
                  <w:tcW w:w="1309" w:type="dxa"/>
                  <w:noWrap w:val="0"/>
                  <w:vAlign w:val="center"/>
                </w:tcPr>
                <w:p w14:paraId="0677C7F4">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none"/>
                      <w:lang w:val="en-US" w:eastAsia="zh-CN" w:bidi="ar-SA"/>
                    </w:rPr>
                    <w:t>新建</w:t>
                  </w:r>
                </w:p>
              </w:tc>
            </w:tr>
            <w:tr w14:paraId="23AF05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642" w:type="dxa"/>
                  <w:vMerge w:val="continue"/>
                  <w:noWrap w:val="0"/>
                  <w:vAlign w:val="center"/>
                </w:tcPr>
                <w:p w14:paraId="042428C7">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eastAsia" w:ascii="Times New Roman" w:cs="Times New Roman"/>
                      <w:color w:val="auto"/>
                      <w:kern w:val="2"/>
                      <w:sz w:val="24"/>
                      <w:szCs w:val="24"/>
                      <w:highlight w:val="none"/>
                      <w:lang w:val="en-US" w:eastAsia="zh-CN" w:bidi="ar-SA"/>
                    </w:rPr>
                  </w:pPr>
                </w:p>
              </w:tc>
              <w:tc>
                <w:tcPr>
                  <w:tcW w:w="1215" w:type="dxa"/>
                  <w:vMerge w:val="continue"/>
                  <w:noWrap w:val="0"/>
                  <w:vAlign w:val="center"/>
                </w:tcPr>
                <w:p w14:paraId="19C9B0F8">
                  <w:pPr>
                    <w:keepNext w:val="0"/>
                    <w:keepLines w:val="0"/>
                    <w:pageBreakBefore w:val="0"/>
                    <w:widowControl w:val="0"/>
                    <w:kinsoku/>
                    <w:wordWrap/>
                    <w:overflowPunct/>
                    <w:topLinePunct w:val="0"/>
                    <w:bidi w:val="0"/>
                    <w:spacing w:line="240" w:lineRule="auto"/>
                    <w:ind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p>
              </w:tc>
              <w:tc>
                <w:tcPr>
                  <w:tcW w:w="4779" w:type="dxa"/>
                  <w:noWrap w:val="0"/>
                  <w:vAlign w:val="center"/>
                </w:tcPr>
                <w:p w14:paraId="744C59A9">
                  <w:pPr>
                    <w:pStyle w:val="48"/>
                    <w:keepNext w:val="0"/>
                    <w:keepLines w:val="0"/>
                    <w:pageBreakBefore w:val="0"/>
                    <w:widowControl w:val="0"/>
                    <w:kinsoku/>
                    <w:wordWrap/>
                    <w:overflowPunct/>
                    <w:topLinePunct w:val="0"/>
                    <w:bidi w:val="0"/>
                    <w:spacing w:line="240" w:lineRule="auto"/>
                    <w:ind w:right="0" w:rightChars="0" w:firstLine="0" w:firstLineChars="0"/>
                    <w:jc w:val="both"/>
                    <w:rPr>
                      <w:rFonts w:hint="eastAsia"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yellow"/>
                      <w:lang w:val="en-US" w:eastAsia="zh-CN" w:bidi="ar-SA"/>
                    </w:rPr>
                    <w:t>②</w:t>
                  </w:r>
                  <w:r>
                    <w:rPr>
                      <w:rFonts w:hint="eastAsia" w:ascii="Times New Roman" w:hAnsi="Times New Roman" w:cs="Times New Roman"/>
                      <w:color w:val="auto"/>
                      <w:kern w:val="2"/>
                      <w:sz w:val="24"/>
                      <w:szCs w:val="24"/>
                      <w:highlight w:val="yellow"/>
                      <w:lang w:val="en-US" w:eastAsia="zh-CN" w:bidi="ar-SA"/>
                    </w:rPr>
                    <w:t>原料堆场</w:t>
                  </w:r>
                  <w:r>
                    <w:rPr>
                      <w:rFonts w:hint="eastAsia" w:cs="Times New Roman"/>
                      <w:color w:val="auto"/>
                      <w:kern w:val="2"/>
                      <w:sz w:val="24"/>
                      <w:szCs w:val="24"/>
                      <w:highlight w:val="none"/>
                      <w:lang w:val="en-US" w:eastAsia="zh-CN" w:bidi="ar-SA"/>
                    </w:rPr>
                    <w:t>采取水泥地面硬化，料堆防尘布苫盖，定时洒水抑尘，堆场四周设置防风抑尘网。</w:t>
                  </w:r>
                </w:p>
              </w:tc>
              <w:tc>
                <w:tcPr>
                  <w:tcW w:w="1309" w:type="dxa"/>
                  <w:noWrap w:val="0"/>
                  <w:vAlign w:val="center"/>
                </w:tcPr>
                <w:p w14:paraId="637B68FC">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新建</w:t>
                  </w:r>
                </w:p>
              </w:tc>
            </w:tr>
            <w:tr w14:paraId="67E46F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642" w:type="dxa"/>
                  <w:vMerge w:val="continue"/>
                  <w:noWrap w:val="0"/>
                  <w:vAlign w:val="center"/>
                </w:tcPr>
                <w:p w14:paraId="3836FB8E">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eastAsia" w:ascii="Times New Roman" w:cs="Times New Roman"/>
                      <w:color w:val="auto"/>
                      <w:kern w:val="2"/>
                      <w:sz w:val="24"/>
                      <w:szCs w:val="24"/>
                      <w:highlight w:val="none"/>
                      <w:lang w:val="en-US" w:eastAsia="zh-CN" w:bidi="ar-SA"/>
                    </w:rPr>
                  </w:pPr>
                </w:p>
              </w:tc>
              <w:tc>
                <w:tcPr>
                  <w:tcW w:w="1215" w:type="dxa"/>
                  <w:vMerge w:val="continue"/>
                  <w:noWrap w:val="0"/>
                  <w:vAlign w:val="center"/>
                </w:tcPr>
                <w:p w14:paraId="14FF0BB3">
                  <w:pPr>
                    <w:keepNext w:val="0"/>
                    <w:keepLines w:val="0"/>
                    <w:pageBreakBefore w:val="0"/>
                    <w:widowControl w:val="0"/>
                    <w:kinsoku/>
                    <w:wordWrap/>
                    <w:overflowPunct/>
                    <w:topLinePunct w:val="0"/>
                    <w:bidi w:val="0"/>
                    <w:spacing w:line="240" w:lineRule="auto"/>
                    <w:ind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p>
              </w:tc>
              <w:tc>
                <w:tcPr>
                  <w:tcW w:w="4779" w:type="dxa"/>
                  <w:noWrap w:val="0"/>
                  <w:vAlign w:val="center"/>
                </w:tcPr>
                <w:p w14:paraId="75AB4920">
                  <w:pPr>
                    <w:rPr>
                      <w:rFonts w:hint="eastAsia" w:ascii="Times New Roman" w:hAnsi="Times New Roman" w:eastAsia="宋体" w:cs="Times New Roman"/>
                      <w:color w:val="auto"/>
                      <w:kern w:val="2"/>
                      <w:sz w:val="24"/>
                      <w:szCs w:val="24"/>
                      <w:highlight w:val="yellow"/>
                      <w:lang w:val="en-US" w:eastAsia="zh-CN" w:bidi="ar-SA"/>
                    </w:rPr>
                  </w:pPr>
                  <w:r>
                    <w:rPr>
                      <w:rFonts w:hint="eastAsia" w:cs="Times New Roman"/>
                      <w:color w:val="auto"/>
                      <w:kern w:val="2"/>
                      <w:sz w:val="24"/>
                      <w:szCs w:val="24"/>
                      <w:highlight w:val="none"/>
                      <w:lang w:val="en-US" w:eastAsia="zh-CN" w:bidi="ar-SA"/>
                    </w:rPr>
                    <w:t>③水泥筒仓和粉煤灰筒仓顶部各安装1台仓顶收尘处理后排放。</w:t>
                  </w:r>
                </w:p>
              </w:tc>
              <w:tc>
                <w:tcPr>
                  <w:tcW w:w="1309" w:type="dxa"/>
                  <w:noWrap w:val="0"/>
                  <w:vAlign w:val="center"/>
                </w:tcPr>
                <w:p w14:paraId="6B9B52C4">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已建</w:t>
                  </w:r>
                </w:p>
              </w:tc>
            </w:tr>
            <w:tr w14:paraId="6205AB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642" w:type="dxa"/>
                  <w:vMerge w:val="continue"/>
                  <w:noWrap w:val="0"/>
                  <w:vAlign w:val="center"/>
                </w:tcPr>
                <w:p w14:paraId="646B94E8">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eastAsia" w:ascii="Times New Roman" w:cs="Times New Roman"/>
                      <w:color w:val="auto"/>
                      <w:kern w:val="2"/>
                      <w:sz w:val="24"/>
                      <w:szCs w:val="24"/>
                      <w:highlight w:val="none"/>
                      <w:lang w:val="en-US" w:eastAsia="zh-CN" w:bidi="ar-SA"/>
                    </w:rPr>
                  </w:pPr>
                </w:p>
              </w:tc>
              <w:tc>
                <w:tcPr>
                  <w:tcW w:w="1215" w:type="dxa"/>
                  <w:vMerge w:val="continue"/>
                  <w:noWrap w:val="0"/>
                  <w:vAlign w:val="center"/>
                </w:tcPr>
                <w:p w14:paraId="7CE7E6DC">
                  <w:pPr>
                    <w:keepNext w:val="0"/>
                    <w:keepLines w:val="0"/>
                    <w:pageBreakBefore w:val="0"/>
                    <w:widowControl w:val="0"/>
                    <w:kinsoku/>
                    <w:wordWrap/>
                    <w:overflowPunct/>
                    <w:topLinePunct w:val="0"/>
                    <w:bidi w:val="0"/>
                    <w:spacing w:line="240" w:lineRule="auto"/>
                    <w:ind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p>
              </w:tc>
              <w:tc>
                <w:tcPr>
                  <w:tcW w:w="4779" w:type="dxa"/>
                  <w:noWrap w:val="0"/>
                  <w:vAlign w:val="center"/>
                </w:tcPr>
                <w:p w14:paraId="54516AD6">
                  <w:pPr>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④搅拌设备搅拌设备位于全封闭车间内，内置布袋除尘器，无组织排放。</w:t>
                  </w:r>
                </w:p>
              </w:tc>
              <w:tc>
                <w:tcPr>
                  <w:tcW w:w="1309" w:type="dxa"/>
                  <w:noWrap w:val="0"/>
                  <w:vAlign w:val="center"/>
                </w:tcPr>
                <w:p w14:paraId="75ADEDB6">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新建</w:t>
                  </w:r>
                </w:p>
              </w:tc>
            </w:tr>
            <w:tr w14:paraId="303980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642" w:type="dxa"/>
                  <w:vMerge w:val="continue"/>
                  <w:noWrap w:val="0"/>
                  <w:vAlign w:val="center"/>
                </w:tcPr>
                <w:p w14:paraId="6E72E46F">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eastAsia" w:ascii="Times New Roman" w:cs="Times New Roman"/>
                      <w:color w:val="auto"/>
                      <w:kern w:val="2"/>
                      <w:sz w:val="24"/>
                      <w:szCs w:val="24"/>
                      <w:highlight w:val="none"/>
                      <w:lang w:val="en-US" w:eastAsia="zh-CN" w:bidi="ar-SA"/>
                    </w:rPr>
                  </w:pPr>
                </w:p>
              </w:tc>
              <w:tc>
                <w:tcPr>
                  <w:tcW w:w="1215" w:type="dxa"/>
                  <w:vMerge w:val="continue"/>
                  <w:noWrap w:val="0"/>
                  <w:vAlign w:val="center"/>
                </w:tcPr>
                <w:p w14:paraId="7C1B512E">
                  <w:pPr>
                    <w:keepNext w:val="0"/>
                    <w:keepLines w:val="0"/>
                    <w:pageBreakBefore w:val="0"/>
                    <w:widowControl w:val="0"/>
                    <w:kinsoku/>
                    <w:wordWrap/>
                    <w:overflowPunct/>
                    <w:topLinePunct w:val="0"/>
                    <w:bidi w:val="0"/>
                    <w:spacing w:line="240" w:lineRule="auto"/>
                    <w:ind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p>
              </w:tc>
              <w:tc>
                <w:tcPr>
                  <w:tcW w:w="4779" w:type="dxa"/>
                  <w:noWrap w:val="0"/>
                  <w:vAlign w:val="center"/>
                </w:tcPr>
                <w:p w14:paraId="56D0D739">
                  <w:pP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⑤</w:t>
                  </w:r>
                  <w:r>
                    <w:rPr>
                      <w:rFonts w:hint="eastAsia" w:ascii="Times New Roman" w:hAnsi="Times New Roman" w:eastAsia="宋体" w:cs="Times New Roman"/>
                      <w:color w:val="auto"/>
                      <w:kern w:val="2"/>
                      <w:sz w:val="24"/>
                      <w:szCs w:val="24"/>
                      <w:highlight w:val="none"/>
                      <w:lang w:val="en-US" w:eastAsia="zh-CN" w:bidi="ar-SA"/>
                    </w:rPr>
                    <w:t>钢筋加工在全封闭式生产车间内进行，颗粒物在车间内自行沉降，逸散到外面环境中的很少</w:t>
                  </w:r>
                  <w:r>
                    <w:rPr>
                      <w:rFonts w:hint="eastAsia" w:cs="Times New Roman"/>
                      <w:color w:val="auto"/>
                      <w:kern w:val="2"/>
                      <w:sz w:val="24"/>
                      <w:szCs w:val="24"/>
                      <w:highlight w:val="none"/>
                      <w:lang w:val="en-US" w:eastAsia="zh-CN" w:bidi="ar-SA"/>
                    </w:rPr>
                    <w:t>。</w:t>
                  </w:r>
                </w:p>
              </w:tc>
              <w:tc>
                <w:tcPr>
                  <w:tcW w:w="1309" w:type="dxa"/>
                  <w:noWrap w:val="0"/>
                  <w:vAlign w:val="center"/>
                </w:tcPr>
                <w:p w14:paraId="45AA9747">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新建</w:t>
                  </w:r>
                </w:p>
              </w:tc>
            </w:tr>
            <w:tr w14:paraId="750190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dxa"/>
                  <w:vMerge w:val="continue"/>
                  <w:noWrap w:val="0"/>
                  <w:vAlign w:val="center"/>
                </w:tcPr>
                <w:p w14:paraId="00235F3F">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eastAsia" w:ascii="Times New Roman" w:cs="Times New Roman"/>
                      <w:color w:val="auto"/>
                      <w:kern w:val="2"/>
                      <w:sz w:val="24"/>
                      <w:szCs w:val="24"/>
                      <w:highlight w:val="yellow"/>
                      <w:lang w:val="en-US" w:eastAsia="zh-CN" w:bidi="ar-SA"/>
                    </w:rPr>
                  </w:pPr>
                </w:p>
              </w:tc>
              <w:tc>
                <w:tcPr>
                  <w:tcW w:w="1215" w:type="dxa"/>
                  <w:noWrap w:val="0"/>
                  <w:vAlign w:val="center"/>
                </w:tcPr>
                <w:p w14:paraId="68B3E1F7">
                  <w:pPr>
                    <w:keepNext w:val="0"/>
                    <w:keepLines w:val="0"/>
                    <w:pageBreakBefore w:val="0"/>
                    <w:widowControl w:val="0"/>
                    <w:kinsoku/>
                    <w:wordWrap/>
                    <w:overflowPunct/>
                    <w:topLinePunct w:val="0"/>
                    <w:bidi w:val="0"/>
                    <w:spacing w:line="240" w:lineRule="auto"/>
                    <w:ind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沉淀池</w:t>
                  </w:r>
                </w:p>
              </w:tc>
              <w:tc>
                <w:tcPr>
                  <w:tcW w:w="4779" w:type="dxa"/>
                  <w:noWrap w:val="0"/>
                  <w:vAlign w:val="center"/>
                </w:tcPr>
                <w:p w14:paraId="0A97FDA6">
                  <w:pPr>
                    <w:pStyle w:val="48"/>
                    <w:keepNext w:val="0"/>
                    <w:keepLines w:val="0"/>
                    <w:pageBreakBefore w:val="0"/>
                    <w:widowControl w:val="0"/>
                    <w:kinsoku/>
                    <w:wordWrap/>
                    <w:overflowPunct/>
                    <w:topLinePunct w:val="0"/>
                    <w:bidi w:val="0"/>
                    <w:spacing w:line="240" w:lineRule="auto"/>
                    <w:ind w:right="0" w:rightChars="0" w:firstLine="0" w:firstLineChars="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容积为150m³，为一般防渗区</w:t>
                  </w:r>
                  <w:r>
                    <w:rPr>
                      <w:rFonts w:hint="eastAsia" w:ascii="Times New Roman" w:hAnsi="Times New Roman" w:eastAsia="宋体" w:cs="Times New Roman"/>
                      <w:color w:val="auto"/>
                      <w:kern w:val="2"/>
                      <w:sz w:val="24"/>
                      <w:szCs w:val="24"/>
                      <w:highlight w:val="none"/>
                      <w:lang w:val="en-US" w:eastAsia="zh-CN" w:bidi="ar-SA"/>
                    </w:rPr>
                    <w:t>(防渗要求等效黏土防渗层Mb≥1.5m，K≤1.0×10</w:t>
                  </w:r>
                  <w:r>
                    <w:rPr>
                      <w:rFonts w:hint="eastAsia" w:ascii="Times New Roman" w:hAnsi="Times New Roman" w:eastAsia="宋体" w:cs="Times New Roman"/>
                      <w:color w:val="auto"/>
                      <w:kern w:val="2"/>
                      <w:sz w:val="24"/>
                      <w:szCs w:val="24"/>
                      <w:highlight w:val="none"/>
                      <w:vertAlign w:val="superscript"/>
                      <w:lang w:val="en-US" w:eastAsia="zh-CN" w:bidi="ar-SA"/>
                    </w:rPr>
                    <w:t>-7</w:t>
                  </w:r>
                  <w:r>
                    <w:rPr>
                      <w:rFonts w:hint="eastAsia" w:ascii="Times New Roman" w:hAnsi="Times New Roman" w:eastAsia="宋体" w:cs="Times New Roman"/>
                      <w:color w:val="auto"/>
                      <w:kern w:val="2"/>
                      <w:sz w:val="24"/>
                      <w:szCs w:val="24"/>
                      <w:highlight w:val="none"/>
                      <w:lang w:val="en-US" w:eastAsia="zh-CN" w:bidi="ar-SA"/>
                    </w:rPr>
                    <w:t>cm/s</w:t>
                  </w:r>
                  <w:r>
                    <w:rPr>
                      <w:rFonts w:hint="eastAsia" w:ascii="Times New Roman" w:hAnsi="Times New Roman" w:cs="Times New Roman"/>
                      <w:color w:val="auto"/>
                      <w:kern w:val="2"/>
                      <w:sz w:val="24"/>
                      <w:szCs w:val="24"/>
                      <w:highlight w:val="none"/>
                      <w:lang w:val="en-US" w:eastAsia="zh-CN" w:bidi="ar-SA"/>
                    </w:rPr>
                    <w:t>）</w:t>
                  </w:r>
                  <w:bookmarkStart w:id="28" w:name="OLE_LINK6"/>
                  <w:bookmarkStart w:id="29" w:name="OLE_LINK5"/>
                  <w:r>
                    <w:rPr>
                      <w:rFonts w:hint="eastAsia"/>
                      <w:szCs w:val="21"/>
                      <w:highlight w:val="none"/>
                    </w:rPr>
                    <w:t>采用2mm厚的HDPE土工膜及无纺布（两布一膜）作为主防渗层。在主防渗层以上采用混凝土浇筑</w:t>
                  </w:r>
                  <w:bookmarkEnd w:id="28"/>
                  <w:bookmarkEnd w:id="29"/>
                  <w:r>
                    <w:rPr>
                      <w:rFonts w:hint="eastAsia"/>
                      <w:szCs w:val="21"/>
                      <w:highlight w:val="none"/>
                      <w:lang w:eastAsia="zh-CN"/>
                    </w:rPr>
                    <w:t>。</w:t>
                  </w:r>
                </w:p>
              </w:tc>
              <w:tc>
                <w:tcPr>
                  <w:tcW w:w="1309" w:type="dxa"/>
                  <w:noWrap w:val="0"/>
                  <w:vAlign w:val="center"/>
                </w:tcPr>
                <w:p w14:paraId="6253BA7C">
                  <w:pPr>
                    <w:pStyle w:val="73"/>
                    <w:keepNext w:val="0"/>
                    <w:keepLines w:val="0"/>
                    <w:pageBreakBefore w:val="0"/>
                    <w:widowControl w:val="0"/>
                    <w:kinsoku/>
                    <w:wordWrap/>
                    <w:overflowPunct/>
                    <w:topLinePunct w:val="0"/>
                    <w:bidi w:val="0"/>
                    <w:spacing w:beforeLines="0" w:afterLines="0" w:line="240" w:lineRule="auto"/>
                    <w:ind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新建</w:t>
                  </w:r>
                </w:p>
              </w:tc>
            </w:tr>
            <w:tr w14:paraId="5B9119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2" w:type="dxa"/>
                  <w:vMerge w:val="continue"/>
                  <w:noWrap w:val="0"/>
                  <w:vAlign w:val="center"/>
                </w:tcPr>
                <w:p w14:paraId="49B4691A">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yellow"/>
                      <w:lang w:val="en-US" w:eastAsia="zh-CN" w:bidi="ar-SA"/>
                    </w:rPr>
                  </w:pPr>
                </w:p>
              </w:tc>
              <w:tc>
                <w:tcPr>
                  <w:tcW w:w="1215" w:type="dxa"/>
                  <w:noWrap w:val="0"/>
                  <w:vAlign w:val="center"/>
                </w:tcPr>
                <w:p w14:paraId="486CEA33">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废水治理</w:t>
                  </w:r>
                </w:p>
              </w:tc>
              <w:tc>
                <w:tcPr>
                  <w:tcW w:w="4779" w:type="dxa"/>
                  <w:noWrap w:val="0"/>
                  <w:vAlign w:val="center"/>
                </w:tcPr>
                <w:p w14:paraId="650B4D97">
                  <w:pPr>
                    <w:pStyle w:val="73"/>
                    <w:keepNext w:val="0"/>
                    <w:keepLines w:val="0"/>
                    <w:pageBreakBefore w:val="0"/>
                    <w:widowControl w:val="0"/>
                    <w:kinsoku/>
                    <w:wordWrap w:val="0"/>
                    <w:overflowPunct/>
                    <w:topLinePunct w:val="0"/>
                    <w:autoSpaceDE/>
                    <w:autoSpaceDN/>
                    <w:bidi w:val="0"/>
                    <w:adjustRightInd w:val="0"/>
                    <w:snapToGrid w:val="0"/>
                    <w:spacing w:beforeLines="0" w:afterLines="0" w:line="240" w:lineRule="auto"/>
                    <w:ind w:right="0" w:rightChars="0" w:firstLine="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宋体" w:eastAsia="宋体" w:cs="Times New Roman"/>
                      <w:color w:val="auto"/>
                      <w:kern w:val="2"/>
                      <w:sz w:val="24"/>
                      <w:szCs w:val="24"/>
                      <w:highlight w:val="yellow"/>
                      <w:lang w:val="en-US" w:eastAsia="zh-CN" w:bidi="ar-SA"/>
                    </w:rPr>
                    <w:t>车间涉水（包括需清洗、喷淋作业区）区域全部硬化，均做一般防渗处理，</w:t>
                  </w:r>
                  <w:r>
                    <w:rPr>
                      <w:rFonts w:hint="eastAsia" w:ascii="Times New Roman" w:hAnsi="宋体" w:cs="Times New Roman"/>
                      <w:color w:val="auto"/>
                      <w:kern w:val="2"/>
                      <w:sz w:val="24"/>
                      <w:szCs w:val="24"/>
                      <w:highlight w:val="yellow"/>
                      <w:lang w:val="en-US" w:eastAsia="zh-CN" w:bidi="ar-SA"/>
                    </w:rPr>
                    <w:t>冷凝水、</w:t>
                  </w:r>
                  <w:r>
                    <w:rPr>
                      <w:rFonts w:hint="default" w:ascii="Times New Roman" w:hAnsi="宋体" w:eastAsia="宋体" w:cs="Times New Roman"/>
                      <w:color w:val="auto"/>
                      <w:kern w:val="2"/>
                      <w:sz w:val="24"/>
                      <w:szCs w:val="24"/>
                      <w:highlight w:val="none"/>
                      <w:lang w:val="en-US" w:eastAsia="zh-CN" w:bidi="ar-SA"/>
                    </w:rPr>
                    <w:t>搅</w:t>
                  </w:r>
                  <w:r>
                    <w:rPr>
                      <w:rFonts w:hint="default" w:ascii="Times New Roman" w:hAnsi="Times New Roman" w:eastAsia="宋体" w:cs="Times New Roman"/>
                      <w:color w:val="auto"/>
                      <w:kern w:val="2"/>
                      <w:sz w:val="24"/>
                      <w:szCs w:val="24"/>
                      <w:highlight w:val="none"/>
                      <w:lang w:val="en-US" w:eastAsia="zh-CN" w:bidi="ar-SA"/>
                    </w:rPr>
                    <w:t>拌设备冲洗水经沉淀池沉淀后回用于生产，用于混凝土搅拌</w:t>
                  </w:r>
                  <w:r>
                    <w:rPr>
                      <w:rFonts w:hint="eastAsia" w:ascii="Times New Roman" w:cs="Times New Roman"/>
                      <w:color w:val="auto"/>
                      <w:kern w:val="2"/>
                      <w:sz w:val="24"/>
                      <w:szCs w:val="24"/>
                      <w:highlight w:val="none"/>
                      <w:lang w:val="en-US" w:eastAsia="zh-CN" w:bidi="ar-SA"/>
                    </w:rPr>
                    <w:t>；初期雨水</w:t>
                  </w:r>
                  <w:r>
                    <w:rPr>
                      <w:rFonts w:hint="default" w:ascii="Times New Roman" w:hAnsi="Times New Roman" w:eastAsia="宋体" w:cs="Times New Roman"/>
                      <w:color w:val="auto"/>
                      <w:kern w:val="2"/>
                      <w:sz w:val="24"/>
                      <w:szCs w:val="24"/>
                      <w:highlight w:val="none"/>
                      <w:lang w:val="en-US" w:eastAsia="zh-CN" w:bidi="ar-SA"/>
                    </w:rPr>
                    <w:t>经沉淀池沉淀后循环使用，不外排</w:t>
                  </w:r>
                  <w:r>
                    <w:rPr>
                      <w:rFonts w:hint="eastAsia" w:asci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蒸</w:t>
                  </w:r>
                  <w:r>
                    <w:rPr>
                      <w:rFonts w:hint="default" w:ascii="Times New Roman" w:hAnsi="Times New Roman" w:eastAsia="宋体" w:cs="Times New Roman"/>
                      <w:color w:val="auto"/>
                      <w:kern w:val="2"/>
                      <w:sz w:val="24"/>
                      <w:szCs w:val="24"/>
                      <w:highlight w:val="yellow"/>
                      <w:lang w:val="en-US" w:eastAsia="zh-CN" w:bidi="ar-SA"/>
                    </w:rPr>
                    <w:t>汽发生器排水和软水制备废水均为清洁下水</w:t>
                  </w:r>
                  <w:r>
                    <w:rPr>
                      <w:rFonts w:hint="eastAsia" w:ascii="Times New Roman" w:cs="Times New Roman"/>
                      <w:color w:val="auto"/>
                      <w:kern w:val="2"/>
                      <w:sz w:val="24"/>
                      <w:szCs w:val="24"/>
                      <w:highlight w:val="yellow"/>
                      <w:lang w:val="en-US" w:eastAsia="zh-CN" w:bidi="ar-SA"/>
                    </w:rPr>
                    <w:t>（软水制备采用离子交换树脂制备软水）</w:t>
                  </w:r>
                  <w:r>
                    <w:rPr>
                      <w:rFonts w:hint="default" w:ascii="Times New Roman" w:hAnsi="Times New Roman" w:eastAsia="宋体" w:cs="Times New Roman"/>
                      <w:color w:val="auto"/>
                      <w:kern w:val="2"/>
                      <w:sz w:val="24"/>
                      <w:szCs w:val="24"/>
                      <w:highlight w:val="yellow"/>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用于</w:t>
                  </w:r>
                  <w:r>
                    <w:rPr>
                      <w:rFonts w:hint="eastAsia" w:ascii="Times New Roman" w:cs="Times New Roman"/>
                      <w:color w:val="auto"/>
                      <w:kern w:val="2"/>
                      <w:sz w:val="24"/>
                      <w:szCs w:val="24"/>
                      <w:highlight w:val="none"/>
                      <w:lang w:val="en-US" w:eastAsia="zh-CN" w:bidi="ar-SA"/>
                    </w:rPr>
                    <w:t>厂区洒水降尘，生活废水排入厂区防渗旱厕，定期清掏外运堆肥。</w:t>
                  </w:r>
                </w:p>
              </w:tc>
              <w:tc>
                <w:tcPr>
                  <w:tcW w:w="1309" w:type="dxa"/>
                  <w:noWrap w:val="0"/>
                  <w:vAlign w:val="center"/>
                </w:tcPr>
                <w:p w14:paraId="64ED4148">
                  <w:pPr>
                    <w:keepNext w:val="0"/>
                    <w:keepLines w:val="0"/>
                    <w:pageBreakBefore w:val="0"/>
                    <w:widowControl w:val="0"/>
                    <w:kinsoku/>
                    <w:wordWrap/>
                    <w:overflowPunct/>
                    <w:topLinePunct w:val="0"/>
                    <w:bidi w:val="0"/>
                    <w:spacing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新建</w:t>
                  </w:r>
                </w:p>
              </w:tc>
            </w:tr>
            <w:tr w14:paraId="687713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dxa"/>
                  <w:vMerge w:val="continue"/>
                  <w:noWrap w:val="0"/>
                  <w:vAlign w:val="center"/>
                </w:tcPr>
                <w:p w14:paraId="0F7E80E3">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yellow"/>
                      <w:lang w:val="en-US" w:eastAsia="zh-CN" w:bidi="ar-SA"/>
                    </w:rPr>
                  </w:pPr>
                </w:p>
              </w:tc>
              <w:tc>
                <w:tcPr>
                  <w:tcW w:w="1215" w:type="dxa"/>
                  <w:noWrap w:val="0"/>
                  <w:vAlign w:val="center"/>
                </w:tcPr>
                <w:p w14:paraId="6DAD528B">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噪声治理</w:t>
                  </w:r>
                </w:p>
              </w:tc>
              <w:tc>
                <w:tcPr>
                  <w:tcW w:w="4779" w:type="dxa"/>
                  <w:noWrap w:val="0"/>
                  <w:vAlign w:val="center"/>
                </w:tcPr>
                <w:p w14:paraId="79512E3C">
                  <w:pPr>
                    <w:pStyle w:val="73"/>
                    <w:keepNext w:val="0"/>
                    <w:keepLines w:val="0"/>
                    <w:pageBreakBefore w:val="0"/>
                    <w:widowControl w:val="0"/>
                    <w:kinsoku/>
                    <w:wordWrap/>
                    <w:overflowPunct/>
                    <w:topLinePunct w:val="0"/>
                    <w:bidi w:val="0"/>
                    <w:spacing w:beforeLines="0" w:afterLines="0" w:line="240" w:lineRule="auto"/>
                    <w:ind w:right="0" w:rightChars="0" w:firstLine="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首选低噪声设备，设备基础设置减振，所有设备均并置于封闭厂房内，建筑隔声等降噪措施。</w:t>
                  </w:r>
                </w:p>
              </w:tc>
              <w:tc>
                <w:tcPr>
                  <w:tcW w:w="1309" w:type="dxa"/>
                  <w:noWrap w:val="0"/>
                  <w:vAlign w:val="center"/>
                </w:tcPr>
                <w:p w14:paraId="3AA38E4E">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新建</w:t>
                  </w:r>
                </w:p>
              </w:tc>
            </w:tr>
            <w:tr w14:paraId="157D7D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dxa"/>
                  <w:vMerge w:val="continue"/>
                  <w:noWrap w:val="0"/>
                  <w:vAlign w:val="center"/>
                </w:tcPr>
                <w:p w14:paraId="12D13040">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yellow"/>
                      <w:lang w:val="en-US" w:eastAsia="zh-CN" w:bidi="ar-SA"/>
                    </w:rPr>
                  </w:pPr>
                </w:p>
              </w:tc>
              <w:tc>
                <w:tcPr>
                  <w:tcW w:w="1215" w:type="dxa"/>
                  <w:noWrap w:val="0"/>
                  <w:vAlign w:val="center"/>
                </w:tcPr>
                <w:p w14:paraId="05DBBCA6">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固废暂存区</w:t>
                  </w:r>
                </w:p>
              </w:tc>
              <w:tc>
                <w:tcPr>
                  <w:tcW w:w="4779" w:type="dxa"/>
                  <w:noWrap w:val="0"/>
                  <w:vAlign w:val="center"/>
                </w:tcPr>
                <w:p w14:paraId="3BE0B333">
                  <w:pPr>
                    <w:pStyle w:val="73"/>
                    <w:keepNext w:val="0"/>
                    <w:keepLines w:val="0"/>
                    <w:pageBreakBefore w:val="0"/>
                    <w:widowControl w:val="0"/>
                    <w:kinsoku/>
                    <w:wordWrap/>
                    <w:overflowPunct/>
                    <w:topLinePunct w:val="0"/>
                    <w:bidi w:val="0"/>
                    <w:spacing w:beforeLines="0" w:afterLines="0" w:line="240" w:lineRule="auto"/>
                    <w:ind w:right="0" w:rightChars="0" w:firstLine="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占地面积为20m</w:t>
                  </w:r>
                  <w:r>
                    <w:rPr>
                      <w:rFonts w:hint="eastAsia" w:ascii="Times New Roman" w:cs="Times New Roman"/>
                      <w:color w:val="auto"/>
                      <w:kern w:val="2"/>
                      <w:sz w:val="24"/>
                      <w:szCs w:val="24"/>
                      <w:highlight w:val="none"/>
                      <w:vertAlign w:val="superscript"/>
                      <w:lang w:val="en-US" w:eastAsia="zh-CN" w:bidi="ar-SA"/>
                    </w:rPr>
                    <w:t>2</w:t>
                  </w:r>
                  <w:r>
                    <w:rPr>
                      <w:rFonts w:hint="eastAsia" w:ascii="Times New Roman" w:cs="Times New Roman"/>
                      <w:color w:val="auto"/>
                      <w:kern w:val="2"/>
                      <w:sz w:val="24"/>
                      <w:szCs w:val="24"/>
                      <w:highlight w:val="none"/>
                      <w:vertAlign w:val="baseline"/>
                      <w:lang w:val="en-US" w:eastAsia="zh-CN" w:bidi="ar-SA"/>
                    </w:rPr>
                    <w:t>，位于生产车间内。</w:t>
                  </w:r>
                </w:p>
              </w:tc>
              <w:tc>
                <w:tcPr>
                  <w:tcW w:w="1309" w:type="dxa"/>
                  <w:noWrap w:val="0"/>
                  <w:vAlign w:val="center"/>
                </w:tcPr>
                <w:p w14:paraId="1D52A590">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新建</w:t>
                  </w:r>
                </w:p>
              </w:tc>
            </w:tr>
            <w:tr w14:paraId="396A3A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dxa"/>
                  <w:vMerge w:val="continue"/>
                  <w:noWrap w:val="0"/>
                  <w:vAlign w:val="center"/>
                </w:tcPr>
                <w:p w14:paraId="02C1F554">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yellow"/>
                      <w:lang w:val="en-US" w:eastAsia="zh-CN" w:bidi="ar-SA"/>
                    </w:rPr>
                  </w:pPr>
                </w:p>
              </w:tc>
              <w:tc>
                <w:tcPr>
                  <w:tcW w:w="1215" w:type="dxa"/>
                  <w:noWrap w:val="0"/>
                  <w:vAlign w:val="center"/>
                </w:tcPr>
                <w:p w14:paraId="50F66034">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危险废物贮存点</w:t>
                  </w:r>
                </w:p>
              </w:tc>
              <w:tc>
                <w:tcPr>
                  <w:tcW w:w="4779" w:type="dxa"/>
                  <w:noWrap w:val="0"/>
                  <w:vAlign w:val="center"/>
                </w:tcPr>
                <w:p w14:paraId="0C1E7068">
                  <w:pPr>
                    <w:pStyle w:val="73"/>
                    <w:keepNext w:val="0"/>
                    <w:keepLines w:val="0"/>
                    <w:pageBreakBefore w:val="0"/>
                    <w:widowControl w:val="0"/>
                    <w:kinsoku/>
                    <w:wordWrap/>
                    <w:overflowPunct/>
                    <w:topLinePunct w:val="0"/>
                    <w:bidi w:val="0"/>
                    <w:spacing w:beforeLines="0" w:afterLines="0" w:line="240" w:lineRule="auto"/>
                    <w:ind w:right="0" w:rightChars="0" w:firstLine="0"/>
                    <w:jc w:val="left"/>
                    <w:rPr>
                      <w:rFonts w:hint="default" w:ascii="Times New Roman"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占地面积为10m</w:t>
                  </w:r>
                  <w:r>
                    <w:rPr>
                      <w:rFonts w:hint="eastAsia" w:ascii="Times New Roman" w:hAnsi="Times New Roman" w:eastAsia="宋体" w:cs="Times New Roman"/>
                      <w:color w:val="auto"/>
                      <w:kern w:val="2"/>
                      <w:sz w:val="24"/>
                      <w:szCs w:val="24"/>
                      <w:highlight w:val="none"/>
                      <w:vertAlign w:val="super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，位于生产车间内。危险废物贮存点需地面硬化，采用2mm厚的高密度聚乙烯，渗透系数≤10</w:t>
                  </w:r>
                  <w:r>
                    <w:rPr>
                      <w:rFonts w:hint="eastAsia" w:ascii="Times New Roman" w:hAnsi="Times New Roman" w:eastAsia="宋体" w:cs="Times New Roman"/>
                      <w:color w:val="auto"/>
                      <w:kern w:val="2"/>
                      <w:sz w:val="24"/>
                      <w:szCs w:val="24"/>
                      <w:highlight w:val="none"/>
                      <w:vertAlign w:val="superscript"/>
                      <w:lang w:val="en-US" w:eastAsia="zh-CN" w:bidi="ar-SA"/>
                    </w:rPr>
                    <w:t>-10</w:t>
                  </w:r>
                  <w:r>
                    <w:rPr>
                      <w:rFonts w:hint="eastAsia" w:ascii="Times New Roman" w:hAnsi="Times New Roman" w:eastAsia="宋体" w:cs="Times New Roman"/>
                      <w:color w:val="auto"/>
                      <w:kern w:val="2"/>
                      <w:sz w:val="24"/>
                      <w:szCs w:val="24"/>
                      <w:highlight w:val="none"/>
                      <w:lang w:val="en-US" w:eastAsia="zh-CN" w:bidi="ar-SA"/>
                    </w:rPr>
                    <w:t>cm/s。</w:t>
                  </w:r>
                </w:p>
              </w:tc>
              <w:tc>
                <w:tcPr>
                  <w:tcW w:w="1309" w:type="dxa"/>
                  <w:noWrap w:val="0"/>
                  <w:vAlign w:val="center"/>
                </w:tcPr>
                <w:p w14:paraId="4D882A1C">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cs="Times New Roman"/>
                      <w:color w:val="auto"/>
                      <w:kern w:val="2"/>
                      <w:sz w:val="24"/>
                      <w:szCs w:val="24"/>
                      <w:highlight w:val="none"/>
                      <w:lang w:val="en-US" w:eastAsia="zh-CN" w:bidi="ar-SA"/>
                    </w:rPr>
                  </w:pPr>
                  <w:r>
                    <w:rPr>
                      <w:rFonts w:hint="eastAsia" w:ascii="Times New Roman" w:cs="Times New Roman"/>
                      <w:color w:val="auto"/>
                      <w:kern w:val="2"/>
                      <w:sz w:val="24"/>
                      <w:szCs w:val="24"/>
                      <w:highlight w:val="none"/>
                      <w:lang w:val="en-US" w:eastAsia="zh-CN" w:bidi="ar-SA"/>
                    </w:rPr>
                    <w:t>新建</w:t>
                  </w:r>
                </w:p>
              </w:tc>
            </w:tr>
            <w:tr w14:paraId="159914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dxa"/>
                  <w:vMerge w:val="continue"/>
                  <w:noWrap w:val="0"/>
                  <w:vAlign w:val="center"/>
                </w:tcPr>
                <w:p w14:paraId="70BAF793">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yellow"/>
                      <w:lang w:val="en-US" w:eastAsia="zh-CN" w:bidi="ar-SA"/>
                    </w:rPr>
                  </w:pPr>
                </w:p>
              </w:tc>
              <w:tc>
                <w:tcPr>
                  <w:tcW w:w="1215" w:type="dxa"/>
                  <w:noWrap w:val="0"/>
                  <w:vAlign w:val="center"/>
                </w:tcPr>
                <w:p w14:paraId="640ADB6C">
                  <w:pPr>
                    <w:pStyle w:val="43"/>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固废治理</w:t>
                  </w:r>
                </w:p>
              </w:tc>
              <w:tc>
                <w:tcPr>
                  <w:tcW w:w="4779" w:type="dxa"/>
                  <w:noWrap w:val="0"/>
                  <w:vAlign w:val="center"/>
                </w:tcPr>
                <w:p w14:paraId="1EB2A950">
                  <w:pPr>
                    <w:pStyle w:val="43"/>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①生活垃圾：职工生活垃圾分类收集，定期清理至生活垃圾处理厂填埋处置。</w:t>
                  </w:r>
                </w:p>
                <w:p w14:paraId="523979F3">
                  <w:pPr>
                    <w:pStyle w:val="43"/>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②废钢筋暂存生产车间固废暂存区，定期外售。</w:t>
                  </w:r>
                </w:p>
                <w:p w14:paraId="56914998">
                  <w:pPr>
                    <w:pStyle w:val="4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③废离子交换树脂：更换后由厂家回收。</w:t>
                  </w:r>
                </w:p>
                <w:p w14:paraId="46400617">
                  <w:pPr>
                    <w:pStyle w:val="4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④沉淀池泥沙定期清掏回用于生产。</w:t>
                  </w:r>
                </w:p>
                <w:p w14:paraId="147FA98C">
                  <w:pPr>
                    <w:pStyle w:val="43"/>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⑤设备检修废</w:t>
                  </w:r>
                  <w:r>
                    <w:rPr>
                      <w:rFonts w:hint="eastAsia" w:ascii="Times New Roman" w:cs="Times New Roman"/>
                      <w:color w:val="auto"/>
                      <w:kern w:val="2"/>
                      <w:sz w:val="24"/>
                      <w:szCs w:val="24"/>
                      <w:highlight w:val="none"/>
                      <w:lang w:val="en-US" w:eastAsia="zh-CN" w:bidi="ar-SA"/>
                    </w:rPr>
                    <w:t>润滑油</w:t>
                  </w:r>
                  <w:r>
                    <w:rPr>
                      <w:rFonts w:hint="eastAsia" w:ascii="Times New Roman" w:hAnsi="Times New Roman" w:eastAsia="宋体" w:cs="Times New Roman"/>
                      <w:color w:val="auto"/>
                      <w:kern w:val="2"/>
                      <w:sz w:val="24"/>
                      <w:szCs w:val="24"/>
                      <w:highlight w:val="none"/>
                      <w:lang w:val="en-US" w:eastAsia="zh-CN" w:bidi="ar-SA"/>
                    </w:rPr>
                    <w:t>存于桶内及含油抹布、废</w:t>
                  </w:r>
                  <w:r>
                    <w:rPr>
                      <w:rFonts w:hint="eastAsia" w:ascii="Times New Roman" w:cs="Times New Roman"/>
                      <w:color w:val="auto"/>
                      <w:kern w:val="2"/>
                      <w:sz w:val="24"/>
                      <w:szCs w:val="24"/>
                      <w:highlight w:val="none"/>
                      <w:lang w:val="en-US" w:eastAsia="zh-CN" w:bidi="ar-SA"/>
                    </w:rPr>
                    <w:t>润滑油</w:t>
                  </w:r>
                  <w:r>
                    <w:rPr>
                      <w:rFonts w:hint="eastAsia" w:ascii="Times New Roman" w:hAnsi="Times New Roman" w:eastAsia="宋体" w:cs="Times New Roman"/>
                      <w:color w:val="auto"/>
                      <w:kern w:val="2"/>
                      <w:sz w:val="24"/>
                      <w:szCs w:val="24"/>
                      <w:highlight w:val="none"/>
                      <w:lang w:val="en-US" w:eastAsia="zh-CN" w:bidi="ar-SA"/>
                    </w:rPr>
                    <w:t>桶分类放置于内，定期交由有资质单位统一处置。</w:t>
                  </w:r>
                </w:p>
              </w:tc>
              <w:tc>
                <w:tcPr>
                  <w:tcW w:w="1309" w:type="dxa"/>
                  <w:noWrap w:val="0"/>
                  <w:vAlign w:val="center"/>
                </w:tcPr>
                <w:p w14:paraId="7380CB15">
                  <w:pPr>
                    <w:pStyle w:val="73"/>
                    <w:keepNext w:val="0"/>
                    <w:keepLines w:val="0"/>
                    <w:pageBreakBefore w:val="0"/>
                    <w:widowControl w:val="0"/>
                    <w:kinsoku/>
                    <w:wordWrap/>
                    <w:overflowPunct/>
                    <w:topLinePunct w:val="0"/>
                    <w:bidi w:val="0"/>
                    <w:spacing w:beforeLines="0" w:afterLines="0" w:line="240" w:lineRule="auto"/>
                    <w:ind w:right="0" w:rightChars="0" w:firstLine="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新建</w:t>
                  </w:r>
                </w:p>
              </w:tc>
            </w:tr>
          </w:tbl>
          <w:p w14:paraId="2A0E1467">
            <w:pPr>
              <w:numPr>
                <w:ilvl w:val="0"/>
                <w:numId w:val="2"/>
              </w:num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主要设备</w:t>
            </w:r>
          </w:p>
          <w:p w14:paraId="35D9A82C">
            <w:p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本项目主要设备详见表2-2。</w:t>
            </w:r>
          </w:p>
          <w:p w14:paraId="520A749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kern w:val="2"/>
                <w:sz w:val="24"/>
                <w:szCs w:val="24"/>
                <w:highlight w:val="cyan"/>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表2-2  主要设备一览表</w:t>
            </w:r>
          </w:p>
          <w:tbl>
            <w:tblPr>
              <w:tblStyle w:val="32"/>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82"/>
              <w:gridCol w:w="1986"/>
              <w:gridCol w:w="1986"/>
              <w:gridCol w:w="1988"/>
            </w:tblGrid>
            <w:tr w14:paraId="3A8041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Pr>
                <w:p w14:paraId="409EEDB1">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设备名称</w:t>
                  </w:r>
                </w:p>
              </w:tc>
              <w:tc>
                <w:tcPr>
                  <w:tcW w:w="1250" w:type="pct"/>
                </w:tcPr>
                <w:p w14:paraId="7C77AF2A">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规格</w:t>
                  </w:r>
                </w:p>
              </w:tc>
              <w:tc>
                <w:tcPr>
                  <w:tcW w:w="1986" w:type="dxa"/>
                  <w:vAlign w:val="top"/>
                </w:tcPr>
                <w:p w14:paraId="797C6090">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数量</w:t>
                  </w:r>
                </w:p>
              </w:tc>
              <w:tc>
                <w:tcPr>
                  <w:tcW w:w="1987" w:type="dxa"/>
                  <w:vAlign w:val="top"/>
                </w:tcPr>
                <w:p w14:paraId="0F822B01">
                  <w:pPr>
                    <w:widowControl/>
                    <w:jc w:val="center"/>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单位</w:t>
                  </w:r>
                </w:p>
              </w:tc>
            </w:tr>
            <w:tr w14:paraId="621E29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Pr>
                <w:p w14:paraId="3B1EB5A3">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搅拌机</w:t>
                  </w:r>
                </w:p>
              </w:tc>
              <w:tc>
                <w:tcPr>
                  <w:tcW w:w="1250" w:type="pct"/>
                </w:tcPr>
                <w:p w14:paraId="0D1FE902">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w:t>
                  </w:r>
                </w:p>
              </w:tc>
              <w:tc>
                <w:tcPr>
                  <w:tcW w:w="1986" w:type="dxa"/>
                  <w:vAlign w:val="top"/>
                </w:tcPr>
                <w:p w14:paraId="36428967">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w:t>
                  </w:r>
                </w:p>
              </w:tc>
              <w:tc>
                <w:tcPr>
                  <w:tcW w:w="1987" w:type="dxa"/>
                  <w:vAlign w:val="top"/>
                </w:tcPr>
                <w:p w14:paraId="5354DFB1">
                  <w:pPr>
                    <w:widowControl/>
                    <w:jc w:val="center"/>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台</w:t>
                  </w:r>
                </w:p>
              </w:tc>
            </w:tr>
            <w:tr w14:paraId="3B149E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Pr>
                <w:p w14:paraId="506226DF">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螺旋喂料机</w:t>
                  </w:r>
                </w:p>
              </w:tc>
              <w:tc>
                <w:tcPr>
                  <w:tcW w:w="1250" w:type="pct"/>
                </w:tcPr>
                <w:p w14:paraId="7012F1ED">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w:t>
                  </w:r>
                </w:p>
              </w:tc>
              <w:tc>
                <w:tcPr>
                  <w:tcW w:w="1986" w:type="dxa"/>
                  <w:vAlign w:val="top"/>
                </w:tcPr>
                <w:p w14:paraId="34D440D0">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w:t>
                  </w:r>
                </w:p>
              </w:tc>
              <w:tc>
                <w:tcPr>
                  <w:tcW w:w="1987" w:type="dxa"/>
                  <w:vAlign w:val="top"/>
                </w:tcPr>
                <w:p w14:paraId="22A55806">
                  <w:pPr>
                    <w:widowControl/>
                    <w:jc w:val="center"/>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台</w:t>
                  </w:r>
                </w:p>
              </w:tc>
            </w:tr>
            <w:tr w14:paraId="0739E2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Pr>
                <w:p w14:paraId="0CC61EC1">
                  <w:pPr>
                    <w:widowControl/>
                    <w:jc w:val="center"/>
                    <w:rPr>
                      <w:rFonts w:hint="default"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水泥筒仓</w:t>
                  </w:r>
                </w:p>
              </w:tc>
              <w:tc>
                <w:tcPr>
                  <w:tcW w:w="1250" w:type="pct"/>
                </w:tcPr>
                <w:p w14:paraId="3E390452">
                  <w:pPr>
                    <w:widowControl/>
                    <w:jc w:val="center"/>
                    <w:rPr>
                      <w:rFonts w:hint="default"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60m³，高度8m</w:t>
                  </w:r>
                </w:p>
              </w:tc>
              <w:tc>
                <w:tcPr>
                  <w:tcW w:w="1986" w:type="dxa"/>
                  <w:vAlign w:val="top"/>
                </w:tcPr>
                <w:p w14:paraId="022D00F2">
                  <w:pPr>
                    <w:widowControl/>
                    <w:jc w:val="center"/>
                    <w:rPr>
                      <w:rFonts w:hint="default"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2</w:t>
                  </w:r>
                </w:p>
              </w:tc>
              <w:tc>
                <w:tcPr>
                  <w:tcW w:w="1987" w:type="dxa"/>
                  <w:vAlign w:val="top"/>
                </w:tcPr>
                <w:p w14:paraId="2598B54C">
                  <w:pPr>
                    <w:widowControl/>
                    <w:jc w:val="center"/>
                    <w:rPr>
                      <w:rFonts w:hint="eastAsia"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台</w:t>
                  </w:r>
                </w:p>
              </w:tc>
            </w:tr>
            <w:tr w14:paraId="7B0732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Pr>
                <w:p w14:paraId="3303DAD9">
                  <w:pPr>
                    <w:widowControl/>
                    <w:jc w:val="center"/>
                    <w:rPr>
                      <w:rFonts w:hint="default"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粉煤灰筒仓</w:t>
                  </w:r>
                </w:p>
              </w:tc>
              <w:tc>
                <w:tcPr>
                  <w:tcW w:w="1250" w:type="pct"/>
                </w:tcPr>
                <w:p w14:paraId="232783A2">
                  <w:pPr>
                    <w:widowControl/>
                    <w:jc w:val="center"/>
                    <w:rPr>
                      <w:rFonts w:hint="eastAsia"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60m³，高度10m</w:t>
                  </w:r>
                </w:p>
              </w:tc>
              <w:tc>
                <w:tcPr>
                  <w:tcW w:w="1986" w:type="dxa"/>
                  <w:vAlign w:val="top"/>
                </w:tcPr>
                <w:p w14:paraId="5BC3041F">
                  <w:pPr>
                    <w:widowControl/>
                    <w:jc w:val="center"/>
                    <w:rPr>
                      <w:rFonts w:hint="default"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1</w:t>
                  </w:r>
                </w:p>
              </w:tc>
              <w:tc>
                <w:tcPr>
                  <w:tcW w:w="1987" w:type="dxa"/>
                  <w:vAlign w:val="top"/>
                </w:tcPr>
                <w:p w14:paraId="19682832">
                  <w:pPr>
                    <w:widowControl/>
                    <w:jc w:val="center"/>
                    <w:rPr>
                      <w:rFonts w:hint="default"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台</w:t>
                  </w:r>
                </w:p>
              </w:tc>
            </w:tr>
            <w:tr w14:paraId="5EB74A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Pr>
                <w:p w14:paraId="2B6EE949">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皮带输送机</w:t>
                  </w:r>
                </w:p>
              </w:tc>
              <w:tc>
                <w:tcPr>
                  <w:tcW w:w="1250" w:type="pct"/>
                </w:tcPr>
                <w:p w14:paraId="093E51A4">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w:t>
                  </w:r>
                </w:p>
              </w:tc>
              <w:tc>
                <w:tcPr>
                  <w:tcW w:w="1986" w:type="dxa"/>
                  <w:vAlign w:val="top"/>
                </w:tcPr>
                <w:p w14:paraId="1B3AEE99">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w:t>
                  </w:r>
                </w:p>
              </w:tc>
              <w:tc>
                <w:tcPr>
                  <w:tcW w:w="1987" w:type="dxa"/>
                  <w:vAlign w:val="top"/>
                </w:tcPr>
                <w:p w14:paraId="73C4CAD1">
                  <w:pPr>
                    <w:widowControl/>
                    <w:jc w:val="center"/>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台</w:t>
                  </w:r>
                </w:p>
              </w:tc>
            </w:tr>
            <w:tr w14:paraId="3BB176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Pr>
                <w:p w14:paraId="0CA8D4D5">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离心机</w:t>
                  </w:r>
                </w:p>
              </w:tc>
              <w:tc>
                <w:tcPr>
                  <w:tcW w:w="1250" w:type="pct"/>
                </w:tcPr>
                <w:p w14:paraId="105A523A">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w:t>
                  </w:r>
                </w:p>
              </w:tc>
              <w:tc>
                <w:tcPr>
                  <w:tcW w:w="1986" w:type="dxa"/>
                  <w:shd w:val="clear" w:color="auto" w:fill="auto"/>
                  <w:vAlign w:val="top"/>
                </w:tcPr>
                <w:p w14:paraId="37C20308">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w:t>
                  </w:r>
                </w:p>
              </w:tc>
              <w:tc>
                <w:tcPr>
                  <w:tcW w:w="1987" w:type="dxa"/>
                  <w:shd w:val="clear" w:color="auto" w:fill="auto"/>
                  <w:vAlign w:val="top"/>
                </w:tcPr>
                <w:p w14:paraId="76198B35">
                  <w:pPr>
                    <w:widowControl/>
                    <w:jc w:val="center"/>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台</w:t>
                  </w:r>
                </w:p>
              </w:tc>
            </w:tr>
            <w:tr w14:paraId="706126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Pr>
                <w:p w14:paraId="25B0CDFD">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转载机</w:t>
                  </w:r>
                </w:p>
              </w:tc>
              <w:tc>
                <w:tcPr>
                  <w:tcW w:w="1250" w:type="pct"/>
                </w:tcPr>
                <w:p w14:paraId="7A5B2B6C">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w:t>
                  </w:r>
                </w:p>
              </w:tc>
              <w:tc>
                <w:tcPr>
                  <w:tcW w:w="1986" w:type="dxa"/>
                  <w:shd w:val="clear" w:color="auto" w:fill="auto"/>
                  <w:vAlign w:val="top"/>
                </w:tcPr>
                <w:p w14:paraId="5EA8FCDC">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w:t>
                  </w:r>
                </w:p>
              </w:tc>
              <w:tc>
                <w:tcPr>
                  <w:tcW w:w="1987" w:type="dxa"/>
                  <w:shd w:val="clear" w:color="auto" w:fill="auto"/>
                  <w:vAlign w:val="top"/>
                </w:tcPr>
                <w:p w14:paraId="033432C5">
                  <w:pPr>
                    <w:widowControl/>
                    <w:jc w:val="center"/>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台</w:t>
                  </w:r>
                </w:p>
              </w:tc>
            </w:tr>
            <w:tr w14:paraId="4AA32B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Pr>
                <w:p w14:paraId="7783ACC5">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蒸汽发生器</w:t>
                  </w:r>
                </w:p>
              </w:tc>
              <w:tc>
                <w:tcPr>
                  <w:tcW w:w="1250" w:type="pct"/>
                </w:tcPr>
                <w:p w14:paraId="47EEBD46">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w:t>
                  </w:r>
                </w:p>
              </w:tc>
              <w:tc>
                <w:tcPr>
                  <w:tcW w:w="1986" w:type="dxa"/>
                  <w:shd w:val="clear" w:color="auto" w:fill="auto"/>
                  <w:vAlign w:val="top"/>
                </w:tcPr>
                <w:p w14:paraId="5476C302">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w:t>
                  </w:r>
                </w:p>
              </w:tc>
              <w:tc>
                <w:tcPr>
                  <w:tcW w:w="1987" w:type="dxa"/>
                  <w:shd w:val="clear" w:color="auto" w:fill="auto"/>
                  <w:vAlign w:val="top"/>
                </w:tcPr>
                <w:p w14:paraId="2DBF94EA">
                  <w:pPr>
                    <w:widowControl/>
                    <w:jc w:val="center"/>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台</w:t>
                  </w:r>
                </w:p>
              </w:tc>
            </w:tr>
            <w:tr w14:paraId="5D34D9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Pr>
                <w:p w14:paraId="163806F9">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软水制备设备</w:t>
                  </w:r>
                </w:p>
              </w:tc>
              <w:tc>
                <w:tcPr>
                  <w:tcW w:w="1250" w:type="pct"/>
                </w:tcPr>
                <w:p w14:paraId="26BE8A8F">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w:t>
                  </w:r>
                </w:p>
              </w:tc>
              <w:tc>
                <w:tcPr>
                  <w:tcW w:w="1986" w:type="dxa"/>
                  <w:shd w:val="clear" w:color="auto" w:fill="auto"/>
                  <w:vAlign w:val="top"/>
                </w:tcPr>
                <w:p w14:paraId="429EC837">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w:t>
                  </w:r>
                </w:p>
              </w:tc>
              <w:tc>
                <w:tcPr>
                  <w:tcW w:w="1987" w:type="dxa"/>
                  <w:shd w:val="clear" w:color="auto" w:fill="auto"/>
                  <w:vAlign w:val="top"/>
                </w:tcPr>
                <w:p w14:paraId="7DA58A49">
                  <w:pPr>
                    <w:widowControl/>
                    <w:jc w:val="center"/>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台</w:t>
                  </w:r>
                </w:p>
              </w:tc>
            </w:tr>
            <w:tr w14:paraId="56F07C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Pr>
                <w:p w14:paraId="390DAE8C">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钢筋切断机</w:t>
                  </w:r>
                </w:p>
              </w:tc>
              <w:tc>
                <w:tcPr>
                  <w:tcW w:w="1250" w:type="pct"/>
                </w:tcPr>
                <w:p w14:paraId="18D53468">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w:t>
                  </w:r>
                </w:p>
              </w:tc>
              <w:tc>
                <w:tcPr>
                  <w:tcW w:w="1986" w:type="dxa"/>
                  <w:shd w:val="clear" w:color="auto" w:fill="auto"/>
                  <w:vAlign w:val="top"/>
                </w:tcPr>
                <w:p w14:paraId="1F62F36E">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w:t>
                  </w:r>
                </w:p>
              </w:tc>
              <w:tc>
                <w:tcPr>
                  <w:tcW w:w="1987" w:type="dxa"/>
                  <w:shd w:val="clear" w:color="auto" w:fill="auto"/>
                  <w:vAlign w:val="top"/>
                </w:tcPr>
                <w:p w14:paraId="55682D5D">
                  <w:pPr>
                    <w:widowControl/>
                    <w:jc w:val="center"/>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台</w:t>
                  </w:r>
                </w:p>
              </w:tc>
            </w:tr>
          </w:tbl>
          <w:p w14:paraId="0FB57ACB">
            <w:pPr>
              <w:numPr>
                <w:ilvl w:val="0"/>
                <w:numId w:val="3"/>
              </w:num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产品规模</w:t>
            </w:r>
          </w:p>
          <w:p w14:paraId="2B9FA562">
            <w:p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本项目产品规模详见表2-3。</w:t>
            </w:r>
          </w:p>
          <w:p w14:paraId="6DCCDF0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表2-3  产品规模一览表</w:t>
            </w:r>
          </w:p>
          <w:tbl>
            <w:tblPr>
              <w:tblStyle w:val="31"/>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30" w:type="dxa"/>
                <w:bottom w:w="0" w:type="dxa"/>
                <w:right w:w="30" w:type="dxa"/>
              </w:tblCellMar>
            </w:tblPr>
            <w:tblGrid>
              <w:gridCol w:w="1133"/>
              <w:gridCol w:w="2175"/>
              <w:gridCol w:w="2186"/>
              <w:gridCol w:w="2448"/>
            </w:tblGrid>
            <w:tr w14:paraId="11FFF7B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30" w:type="dxa"/>
                  <w:bottom w:w="0" w:type="dxa"/>
                  <w:right w:w="30" w:type="dxa"/>
                </w:tblCellMar>
              </w:tblPrEx>
              <w:trPr>
                <w:cantSplit/>
                <w:trHeight w:val="0" w:hRule="atLeast"/>
                <w:jc w:val="center"/>
              </w:trPr>
              <w:tc>
                <w:tcPr>
                  <w:tcW w:w="713" w:type="pct"/>
                  <w:noWrap w:val="0"/>
                  <w:vAlign w:val="center"/>
                </w:tcPr>
                <w:p w14:paraId="649EEC90">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序号</w:t>
                  </w:r>
                </w:p>
              </w:tc>
              <w:tc>
                <w:tcPr>
                  <w:tcW w:w="1369" w:type="pct"/>
                  <w:noWrap w:val="0"/>
                  <w:vAlign w:val="center"/>
                </w:tcPr>
                <w:p w14:paraId="0C892898">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名称</w:t>
                  </w:r>
                </w:p>
              </w:tc>
              <w:tc>
                <w:tcPr>
                  <w:tcW w:w="1376" w:type="pct"/>
                  <w:tcBorders>
                    <w:left w:val="single" w:color="auto" w:sz="4" w:space="0"/>
                    <w:right w:val="single" w:color="auto" w:sz="4" w:space="0"/>
                  </w:tcBorders>
                  <w:noWrap w:val="0"/>
                  <w:vAlign w:val="center"/>
                </w:tcPr>
                <w:p w14:paraId="62E3E363">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单位</w:t>
                  </w:r>
                </w:p>
              </w:tc>
              <w:tc>
                <w:tcPr>
                  <w:tcW w:w="1540" w:type="pct"/>
                  <w:tcBorders>
                    <w:left w:val="single" w:color="auto" w:sz="4" w:space="0"/>
                    <w:right w:val="single" w:color="auto" w:sz="4" w:space="0"/>
                  </w:tcBorders>
                  <w:noWrap w:val="0"/>
                  <w:vAlign w:val="center"/>
                </w:tcPr>
                <w:p w14:paraId="33C6C477">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数量</w:t>
                  </w:r>
                </w:p>
              </w:tc>
            </w:tr>
            <w:tr w14:paraId="7E0F30C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cantSplit/>
                <w:trHeight w:val="0" w:hRule="atLeast"/>
                <w:jc w:val="center"/>
              </w:trPr>
              <w:tc>
                <w:tcPr>
                  <w:tcW w:w="713" w:type="pct"/>
                  <w:noWrap w:val="0"/>
                  <w:vAlign w:val="center"/>
                </w:tcPr>
                <w:p w14:paraId="316362DF">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w:t>
                  </w:r>
                </w:p>
              </w:tc>
              <w:tc>
                <w:tcPr>
                  <w:tcW w:w="1369" w:type="pct"/>
                  <w:noWrap w:val="0"/>
                  <w:vAlign w:val="center"/>
                </w:tcPr>
                <w:p w14:paraId="6CA29E08">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水泥预制件（由供需双方协定具体规格）</w:t>
                  </w:r>
                </w:p>
              </w:tc>
              <w:tc>
                <w:tcPr>
                  <w:tcW w:w="1376" w:type="pct"/>
                  <w:tcBorders>
                    <w:left w:val="single" w:color="auto" w:sz="4" w:space="0"/>
                    <w:right w:val="single" w:color="auto" w:sz="4" w:space="0"/>
                  </w:tcBorders>
                  <w:noWrap w:val="0"/>
                  <w:vAlign w:val="center"/>
                </w:tcPr>
                <w:p w14:paraId="3F782087">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万</w:t>
                  </w:r>
                  <w:r>
                    <w:rPr>
                      <w:rFonts w:hint="eastAsia" w:cs="Times New Roman"/>
                      <w:color w:val="auto"/>
                      <w:kern w:val="2"/>
                      <w:sz w:val="24"/>
                      <w:szCs w:val="24"/>
                      <w:highlight w:val="none"/>
                      <w:lang w:val="en-US" w:eastAsia="zh-CN" w:bidi="ar-SA"/>
                    </w:rPr>
                    <w:t>吨</w:t>
                  </w:r>
                  <w:r>
                    <w:rPr>
                      <w:rFonts w:hint="default" w:ascii="Times New Roman" w:hAnsi="Times New Roman" w:eastAsia="宋体" w:cs="Times New Roman"/>
                      <w:color w:val="auto"/>
                      <w:kern w:val="2"/>
                      <w:sz w:val="24"/>
                      <w:szCs w:val="24"/>
                      <w:highlight w:val="none"/>
                      <w:lang w:val="en-US" w:eastAsia="zh-CN" w:bidi="ar-SA"/>
                    </w:rPr>
                    <w:t>/a</w:t>
                  </w:r>
                </w:p>
              </w:tc>
              <w:tc>
                <w:tcPr>
                  <w:tcW w:w="1540" w:type="pct"/>
                  <w:tcBorders>
                    <w:left w:val="single" w:color="auto" w:sz="4" w:space="0"/>
                    <w:right w:val="single" w:color="auto" w:sz="4" w:space="0"/>
                  </w:tcBorders>
                  <w:noWrap w:val="0"/>
                  <w:vAlign w:val="center"/>
                </w:tcPr>
                <w:p w14:paraId="238DF1A9">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7</w:t>
                  </w:r>
                </w:p>
              </w:tc>
            </w:tr>
          </w:tbl>
          <w:p w14:paraId="797E808F">
            <w:pPr>
              <w:numPr>
                <w:ilvl w:val="0"/>
                <w:numId w:val="4"/>
              </w:num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原辅材料</w:t>
            </w:r>
          </w:p>
          <w:p w14:paraId="7D809470">
            <w:p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本项目使用的主要原辅材料详见表2-4。</w:t>
            </w:r>
          </w:p>
          <w:p w14:paraId="62C7147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表2-4  原辅材料消耗一览表</w:t>
            </w:r>
          </w:p>
          <w:tbl>
            <w:tblPr>
              <w:tblStyle w:val="3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7"/>
              <w:gridCol w:w="2371"/>
              <w:gridCol w:w="1563"/>
              <w:gridCol w:w="1288"/>
              <w:gridCol w:w="1466"/>
            </w:tblGrid>
            <w:tr w14:paraId="6AF53A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1" w:type="pct"/>
                  <w:noWrap w:val="0"/>
                  <w:vAlign w:val="center"/>
                </w:tcPr>
                <w:p w14:paraId="32E0A129">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序号</w:t>
                  </w:r>
                </w:p>
              </w:tc>
              <w:tc>
                <w:tcPr>
                  <w:tcW w:w="1491" w:type="pct"/>
                  <w:noWrap w:val="0"/>
                  <w:vAlign w:val="center"/>
                </w:tcPr>
                <w:p w14:paraId="487742DB">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原材料名称</w:t>
                  </w:r>
                </w:p>
              </w:tc>
              <w:tc>
                <w:tcPr>
                  <w:tcW w:w="983" w:type="pct"/>
                  <w:noWrap w:val="0"/>
                  <w:vAlign w:val="center"/>
                </w:tcPr>
                <w:p w14:paraId="4DC59945">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年耗量</w:t>
                  </w:r>
                </w:p>
              </w:tc>
              <w:tc>
                <w:tcPr>
                  <w:tcW w:w="810" w:type="pct"/>
                  <w:noWrap w:val="0"/>
                  <w:vAlign w:val="center"/>
                </w:tcPr>
                <w:p w14:paraId="1FE1406A">
                  <w:pPr>
                    <w:widowControl/>
                    <w:jc w:val="center"/>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单位</w:t>
                  </w:r>
                </w:p>
              </w:tc>
              <w:tc>
                <w:tcPr>
                  <w:tcW w:w="922" w:type="pct"/>
                  <w:noWrap w:val="0"/>
                  <w:vAlign w:val="center"/>
                </w:tcPr>
                <w:p w14:paraId="4F303F3B">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来源</w:t>
                  </w:r>
                </w:p>
              </w:tc>
            </w:tr>
            <w:tr w14:paraId="5F1897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791" w:type="pct"/>
                  <w:noWrap w:val="0"/>
                  <w:vAlign w:val="center"/>
                </w:tcPr>
                <w:p w14:paraId="0806AB4B">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w:t>
                  </w:r>
                </w:p>
              </w:tc>
              <w:tc>
                <w:tcPr>
                  <w:tcW w:w="1491" w:type="pct"/>
                  <w:noWrap w:val="0"/>
                  <w:vAlign w:val="top"/>
                </w:tcPr>
                <w:p w14:paraId="0E08352E">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水泥</w:t>
                  </w:r>
                </w:p>
              </w:tc>
              <w:tc>
                <w:tcPr>
                  <w:tcW w:w="1563" w:type="dxa"/>
                  <w:noWrap w:val="0"/>
                  <w:vAlign w:val="top"/>
                </w:tcPr>
                <w:p w14:paraId="1C83AD38">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i w:val="0"/>
                      <w:iCs w:val="0"/>
                      <w:color w:val="000000"/>
                      <w:kern w:val="0"/>
                      <w:sz w:val="24"/>
                      <w:szCs w:val="24"/>
                      <w:u w:val="none"/>
                      <w:lang w:val="en-US" w:eastAsia="zh-CN" w:bidi="ar"/>
                    </w:rPr>
                    <w:t>19500</w:t>
                  </w:r>
                  <w:r>
                    <w:rPr>
                      <w:rFonts w:hint="eastAsia" w:ascii="Times New Roman" w:hAnsi="Times New Roman" w:eastAsia="宋体" w:cs="Times New Roman"/>
                      <w:i w:val="0"/>
                      <w:iCs w:val="0"/>
                      <w:color w:val="000000"/>
                      <w:kern w:val="0"/>
                      <w:sz w:val="24"/>
                      <w:szCs w:val="24"/>
                      <w:u w:val="none"/>
                      <w:lang w:val="en-US" w:eastAsia="zh-CN" w:bidi="ar"/>
                    </w:rPr>
                    <w:t>（以2.4t/m</w:t>
                  </w:r>
                  <w:r>
                    <w:rPr>
                      <w:rFonts w:hint="eastAsia" w:ascii="Times New Roman" w:hAnsi="Times New Roman" w:eastAsia="宋体" w:cs="Times New Roman"/>
                      <w:i w:val="0"/>
                      <w:iCs w:val="0"/>
                      <w:color w:val="000000"/>
                      <w:kern w:val="0"/>
                      <w:sz w:val="24"/>
                      <w:szCs w:val="24"/>
                      <w:u w:val="none"/>
                      <w:vertAlign w:val="superscript"/>
                      <w:lang w:val="en-US" w:eastAsia="zh-CN" w:bidi="ar"/>
                    </w:rPr>
                    <w:t>3</w:t>
                  </w:r>
                  <w:r>
                    <w:rPr>
                      <w:rFonts w:hint="eastAsia" w:ascii="Times New Roman" w:hAnsi="Times New Roman" w:eastAsia="宋体" w:cs="Times New Roman"/>
                      <w:i w:val="0"/>
                      <w:iCs w:val="0"/>
                      <w:color w:val="000000"/>
                      <w:kern w:val="0"/>
                      <w:sz w:val="24"/>
                      <w:szCs w:val="24"/>
                      <w:u w:val="none"/>
                      <w:lang w:val="en-US" w:eastAsia="zh-CN" w:bidi="ar"/>
                    </w:rPr>
                    <w:t>计）</w:t>
                  </w:r>
                </w:p>
              </w:tc>
              <w:tc>
                <w:tcPr>
                  <w:tcW w:w="810" w:type="pct"/>
                  <w:noWrap w:val="0"/>
                  <w:vAlign w:val="center"/>
                </w:tcPr>
                <w:p w14:paraId="20A7854E">
                  <w:pPr>
                    <w:widowControl/>
                    <w:jc w:val="center"/>
                    <w:rPr>
                      <w:rFonts w:hint="default" w:ascii="Times New Roman" w:hAnsi="Times New Roman" w:eastAsia="宋体"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m</w:t>
                  </w:r>
                  <w:r>
                    <w:rPr>
                      <w:rFonts w:hint="eastAsia" w:cs="Times New Roman"/>
                      <w:color w:val="auto"/>
                      <w:kern w:val="2"/>
                      <w:sz w:val="24"/>
                      <w:szCs w:val="24"/>
                      <w:highlight w:val="yellow"/>
                      <w:vertAlign w:val="superscript"/>
                      <w:lang w:val="en-US" w:eastAsia="zh-CN" w:bidi="ar-SA"/>
                    </w:rPr>
                    <w:t>3</w:t>
                  </w:r>
                </w:p>
              </w:tc>
              <w:tc>
                <w:tcPr>
                  <w:tcW w:w="922" w:type="pct"/>
                  <w:noWrap w:val="0"/>
                  <w:vAlign w:val="center"/>
                </w:tcPr>
                <w:p w14:paraId="1F836B95">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外购</w:t>
                  </w:r>
                </w:p>
              </w:tc>
            </w:tr>
            <w:tr w14:paraId="6C8F24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1" w:type="pct"/>
                  <w:noWrap w:val="0"/>
                  <w:vAlign w:val="center"/>
                </w:tcPr>
                <w:p w14:paraId="454E2F45">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w:t>
                  </w:r>
                </w:p>
              </w:tc>
              <w:tc>
                <w:tcPr>
                  <w:tcW w:w="1491" w:type="pct"/>
                  <w:noWrap w:val="0"/>
                  <w:vAlign w:val="top"/>
                </w:tcPr>
                <w:p w14:paraId="355B08A1">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砂</w:t>
                  </w:r>
                </w:p>
              </w:tc>
              <w:tc>
                <w:tcPr>
                  <w:tcW w:w="1563" w:type="dxa"/>
                  <w:noWrap w:val="0"/>
                  <w:vAlign w:val="top"/>
                </w:tcPr>
                <w:p w14:paraId="4B9685F2">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u w:val="none"/>
                      <w:lang w:val="en-US" w:eastAsia="zh-CN" w:bidi="ar"/>
                    </w:rPr>
                    <w:t>2000</w:t>
                  </w:r>
                </w:p>
              </w:tc>
              <w:tc>
                <w:tcPr>
                  <w:tcW w:w="810" w:type="pct"/>
                  <w:noWrap w:val="0"/>
                  <w:vAlign w:val="center"/>
                </w:tcPr>
                <w:p w14:paraId="0656249F">
                  <w:pPr>
                    <w:widowControl/>
                    <w:jc w:val="center"/>
                    <w:rPr>
                      <w:rFonts w:hint="default" w:ascii="Times New Roman" w:hAnsi="Times New Roman" w:eastAsia="宋体"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吨</w:t>
                  </w:r>
                </w:p>
              </w:tc>
              <w:tc>
                <w:tcPr>
                  <w:tcW w:w="922" w:type="pct"/>
                  <w:noWrap w:val="0"/>
                  <w:vAlign w:val="center"/>
                </w:tcPr>
                <w:p w14:paraId="649275CC">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外购</w:t>
                  </w:r>
                </w:p>
              </w:tc>
            </w:tr>
            <w:tr w14:paraId="402365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791" w:type="pct"/>
                  <w:noWrap w:val="0"/>
                  <w:vAlign w:val="center"/>
                </w:tcPr>
                <w:p w14:paraId="144748C9">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3</w:t>
                  </w:r>
                </w:p>
              </w:tc>
              <w:tc>
                <w:tcPr>
                  <w:tcW w:w="1491" w:type="pct"/>
                  <w:noWrap w:val="0"/>
                  <w:vAlign w:val="top"/>
                </w:tcPr>
                <w:p w14:paraId="220ABEB3">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石</w:t>
                  </w:r>
                </w:p>
              </w:tc>
              <w:tc>
                <w:tcPr>
                  <w:tcW w:w="1563" w:type="dxa"/>
                  <w:noWrap w:val="0"/>
                  <w:vAlign w:val="top"/>
                </w:tcPr>
                <w:p w14:paraId="39ED785D">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u w:val="none"/>
                      <w:lang w:val="en-US" w:eastAsia="zh-CN" w:bidi="ar"/>
                    </w:rPr>
                    <w:t>3000</w:t>
                  </w:r>
                </w:p>
              </w:tc>
              <w:tc>
                <w:tcPr>
                  <w:tcW w:w="810" w:type="pct"/>
                  <w:noWrap w:val="0"/>
                  <w:vAlign w:val="center"/>
                </w:tcPr>
                <w:p w14:paraId="1D6D78FE">
                  <w:pPr>
                    <w:widowControl/>
                    <w:jc w:val="center"/>
                    <w:rPr>
                      <w:rFonts w:hint="default" w:ascii="Times New Roman" w:hAnsi="Times New Roman" w:eastAsia="宋体"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吨</w:t>
                  </w:r>
                </w:p>
              </w:tc>
              <w:tc>
                <w:tcPr>
                  <w:tcW w:w="922" w:type="pct"/>
                  <w:noWrap w:val="0"/>
                  <w:vAlign w:val="center"/>
                </w:tcPr>
                <w:p w14:paraId="36B507CD">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外购</w:t>
                  </w:r>
                </w:p>
              </w:tc>
            </w:tr>
            <w:tr w14:paraId="403A0B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1" w:type="pct"/>
                  <w:noWrap w:val="0"/>
                  <w:vAlign w:val="center"/>
                </w:tcPr>
                <w:p w14:paraId="7B745A49">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4</w:t>
                  </w:r>
                </w:p>
              </w:tc>
              <w:tc>
                <w:tcPr>
                  <w:tcW w:w="1491" w:type="pct"/>
                  <w:noWrap w:val="0"/>
                  <w:vAlign w:val="top"/>
                </w:tcPr>
                <w:p w14:paraId="2E37C505">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粉煤灰</w:t>
                  </w:r>
                </w:p>
              </w:tc>
              <w:tc>
                <w:tcPr>
                  <w:tcW w:w="1563" w:type="dxa"/>
                  <w:noWrap w:val="0"/>
                  <w:vAlign w:val="top"/>
                </w:tcPr>
                <w:p w14:paraId="582A0BDD">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u w:val="none"/>
                      <w:lang w:val="en-US" w:eastAsia="zh-CN" w:bidi="ar"/>
                    </w:rPr>
                    <w:t>10034.0315</w:t>
                  </w:r>
                </w:p>
              </w:tc>
              <w:tc>
                <w:tcPr>
                  <w:tcW w:w="810" w:type="pct"/>
                  <w:noWrap w:val="0"/>
                  <w:vAlign w:val="center"/>
                </w:tcPr>
                <w:p w14:paraId="15C8C21B">
                  <w:pPr>
                    <w:widowControl/>
                    <w:jc w:val="center"/>
                    <w:rPr>
                      <w:rFonts w:hint="default" w:ascii="Times New Roman" w:hAnsi="Times New Roman" w:eastAsia="宋体"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吨</w:t>
                  </w:r>
                </w:p>
              </w:tc>
              <w:tc>
                <w:tcPr>
                  <w:tcW w:w="922" w:type="pct"/>
                  <w:noWrap w:val="0"/>
                  <w:vAlign w:val="center"/>
                </w:tcPr>
                <w:p w14:paraId="6E45F17A">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外购</w:t>
                  </w:r>
                </w:p>
              </w:tc>
            </w:tr>
            <w:tr w14:paraId="649155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1" w:type="pct"/>
                  <w:noWrap w:val="0"/>
                  <w:vAlign w:val="center"/>
                </w:tcPr>
                <w:p w14:paraId="76D673F3">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5</w:t>
                  </w:r>
                </w:p>
              </w:tc>
              <w:tc>
                <w:tcPr>
                  <w:tcW w:w="1491" w:type="pct"/>
                  <w:noWrap w:val="0"/>
                  <w:vAlign w:val="top"/>
                </w:tcPr>
                <w:p w14:paraId="29E9AAE0">
                  <w:pPr>
                    <w:widowControl/>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钢筋</w:t>
                  </w:r>
                </w:p>
              </w:tc>
              <w:tc>
                <w:tcPr>
                  <w:tcW w:w="1563" w:type="dxa"/>
                  <w:noWrap w:val="0"/>
                  <w:vAlign w:val="top"/>
                </w:tcPr>
                <w:p w14:paraId="46AB5872">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i w:val="0"/>
                      <w:iCs w:val="0"/>
                      <w:color w:val="000000"/>
                      <w:kern w:val="0"/>
                      <w:sz w:val="24"/>
                      <w:szCs w:val="24"/>
                      <w:u w:val="none"/>
                      <w:lang w:val="en-US" w:eastAsia="zh-CN" w:bidi="ar"/>
                    </w:rPr>
                    <w:t>4660</w:t>
                  </w:r>
                </w:p>
              </w:tc>
              <w:tc>
                <w:tcPr>
                  <w:tcW w:w="810" w:type="pct"/>
                  <w:noWrap w:val="0"/>
                  <w:vAlign w:val="center"/>
                </w:tcPr>
                <w:p w14:paraId="278800A9">
                  <w:pPr>
                    <w:widowControl/>
                    <w:jc w:val="center"/>
                    <w:rPr>
                      <w:rFonts w:hint="default" w:ascii="Times New Roman" w:hAnsi="Times New Roman" w:eastAsia="宋体"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吨</w:t>
                  </w:r>
                </w:p>
              </w:tc>
              <w:tc>
                <w:tcPr>
                  <w:tcW w:w="922" w:type="pct"/>
                  <w:noWrap w:val="0"/>
                  <w:vAlign w:val="center"/>
                </w:tcPr>
                <w:p w14:paraId="5E2C452B">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外购</w:t>
                  </w:r>
                </w:p>
              </w:tc>
            </w:tr>
            <w:tr w14:paraId="459DD3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1" w:type="pct"/>
                  <w:noWrap w:val="0"/>
                  <w:vAlign w:val="center"/>
                </w:tcPr>
                <w:p w14:paraId="6A0DCA2B">
                  <w:pPr>
                    <w:widowControl/>
                    <w:jc w:val="center"/>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6</w:t>
                  </w:r>
                </w:p>
              </w:tc>
              <w:tc>
                <w:tcPr>
                  <w:tcW w:w="1491" w:type="pct"/>
                  <w:noWrap w:val="0"/>
                  <w:vAlign w:val="top"/>
                </w:tcPr>
                <w:p w14:paraId="0471E6C8">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生物质颗粒</w:t>
                  </w:r>
                </w:p>
              </w:tc>
              <w:tc>
                <w:tcPr>
                  <w:tcW w:w="983" w:type="pct"/>
                  <w:noWrap w:val="0"/>
                  <w:vAlign w:val="top"/>
                </w:tcPr>
                <w:p w14:paraId="6EEC76C1">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1018.3131</w:t>
                  </w:r>
                </w:p>
              </w:tc>
              <w:tc>
                <w:tcPr>
                  <w:tcW w:w="810" w:type="pct"/>
                  <w:noWrap w:val="0"/>
                  <w:vAlign w:val="center"/>
                </w:tcPr>
                <w:p w14:paraId="54017279">
                  <w:pPr>
                    <w:widowControl/>
                    <w:jc w:val="center"/>
                    <w:rPr>
                      <w:rFonts w:hint="default" w:ascii="Times New Roman" w:hAnsi="Times New Roman" w:eastAsia="宋体"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吨</w:t>
                  </w:r>
                </w:p>
              </w:tc>
              <w:tc>
                <w:tcPr>
                  <w:tcW w:w="922" w:type="pct"/>
                  <w:noWrap w:val="0"/>
                  <w:vAlign w:val="center"/>
                </w:tcPr>
                <w:p w14:paraId="6801A07C">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外购</w:t>
                  </w:r>
                </w:p>
              </w:tc>
            </w:tr>
          </w:tbl>
          <w:p w14:paraId="1FB25423">
            <w:pPr>
              <w:adjustRightInd w:val="0"/>
              <w:snapToGrid w:val="0"/>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本项目设置</w:t>
            </w:r>
            <w:r>
              <w:rPr>
                <w:rFonts w:hint="eastAsia"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台</w:t>
            </w:r>
            <w:r>
              <w:rPr>
                <w:rFonts w:hint="eastAsia" w:cs="Times New Roman"/>
                <w:color w:val="auto"/>
                <w:kern w:val="2"/>
                <w:sz w:val="24"/>
                <w:szCs w:val="24"/>
                <w:highlight w:val="none"/>
                <w:lang w:val="en-US" w:eastAsia="zh-CN" w:bidi="ar-SA"/>
              </w:rPr>
              <w:t>2.5t/h燃生物质</w:t>
            </w:r>
            <w:r>
              <w:rPr>
                <w:rFonts w:hint="default" w:ascii="Times New Roman" w:hAnsi="Times New Roman" w:eastAsia="宋体" w:cs="Times New Roman"/>
                <w:color w:val="auto"/>
                <w:kern w:val="2"/>
                <w:sz w:val="24"/>
                <w:szCs w:val="24"/>
                <w:highlight w:val="none"/>
                <w:lang w:val="en-US" w:eastAsia="zh-CN" w:bidi="ar-SA"/>
              </w:rPr>
              <w:t>蒸汽</w:t>
            </w:r>
            <w:r>
              <w:rPr>
                <w:rFonts w:hint="eastAsia" w:cs="Times New Roman"/>
                <w:color w:val="auto"/>
                <w:kern w:val="2"/>
                <w:sz w:val="24"/>
                <w:szCs w:val="24"/>
                <w:highlight w:val="none"/>
                <w:lang w:val="en-US" w:eastAsia="zh-CN" w:bidi="ar-SA"/>
              </w:rPr>
              <w:t>发生器,一用一备</w:t>
            </w:r>
            <w:r>
              <w:rPr>
                <w:rFonts w:hint="eastAsia" w:ascii="Times New Roman" w:hAnsi="Times New Roman" w:eastAsia="宋体" w:cs="Times New Roman"/>
                <w:color w:val="auto"/>
                <w:kern w:val="2"/>
                <w:sz w:val="24"/>
                <w:szCs w:val="24"/>
                <w:highlight w:val="none"/>
                <w:lang w:val="en-US" w:eastAsia="zh-CN" w:bidi="ar-SA"/>
              </w:rPr>
              <w:t>。</w:t>
            </w:r>
          </w:p>
          <w:p w14:paraId="186FABB5">
            <w:pPr>
              <w:shd w:val="clear"/>
              <w:adjustRightInd w:val="0"/>
              <w:snapToGrid w:val="0"/>
              <w:spacing w:line="360" w:lineRule="auto"/>
              <w:ind w:firstLine="480" w:firstLineChars="200"/>
              <w:rPr>
                <w:rFonts w:hint="default" w:ascii="宋体" w:hAnsi="宋体" w:eastAsia="宋体" w:cs="宋体"/>
                <w:color w:val="000000"/>
                <w:kern w:val="0"/>
                <w:sz w:val="24"/>
                <w:szCs w:val="24"/>
                <w:highlight w:val="yellow"/>
                <w:lang w:val="en-US" w:eastAsia="zh-CN" w:bidi="ar"/>
              </w:rPr>
            </w:pPr>
            <w:r>
              <w:rPr>
                <w:rFonts w:hint="eastAsia" w:ascii="Times New Roman" w:hAnsi="Times New Roman" w:eastAsia="宋体" w:cs="Times New Roman"/>
                <w:color w:val="auto"/>
                <w:kern w:val="2"/>
                <w:sz w:val="24"/>
                <w:szCs w:val="24"/>
                <w:highlight w:val="none"/>
                <w:lang w:val="en-US" w:eastAsia="zh-CN" w:bidi="ar-SA"/>
              </w:rPr>
              <w:t>根据生物质颗粒检测报告可知生物质</w:t>
            </w:r>
            <w:r>
              <w:rPr>
                <w:rFonts w:hint="default" w:ascii="Times New Roman" w:hAnsi="Times New Roman" w:eastAsia="宋体" w:cs="Times New Roman"/>
                <w:color w:val="auto"/>
                <w:kern w:val="2"/>
                <w:sz w:val="24"/>
                <w:szCs w:val="24"/>
                <w:highlight w:val="none"/>
                <w:lang w:val="en-US" w:eastAsia="zh-CN" w:bidi="ar-SA"/>
              </w:rPr>
              <w:t>燃料热值约</w:t>
            </w:r>
            <w:r>
              <w:rPr>
                <w:rFonts w:hint="eastAsia" w:ascii="Times New Roman" w:hAnsi="Times New Roman" w:eastAsia="宋体" w:cs="Times New Roman"/>
                <w:color w:val="auto"/>
                <w:kern w:val="2"/>
                <w:sz w:val="24"/>
                <w:szCs w:val="24"/>
                <w:highlight w:val="none"/>
                <w:lang w:val="en-US" w:eastAsia="zh-CN" w:bidi="ar-SA"/>
              </w:rPr>
              <w:t>3480</w:t>
            </w:r>
            <w:r>
              <w:rPr>
                <w:rFonts w:hint="default" w:ascii="Times New Roman" w:hAnsi="Times New Roman" w:eastAsia="宋体" w:cs="Times New Roman"/>
                <w:color w:val="auto"/>
                <w:kern w:val="2"/>
                <w:sz w:val="24"/>
                <w:szCs w:val="24"/>
                <w:highlight w:val="none"/>
                <w:lang w:val="en-US" w:eastAsia="zh-CN" w:bidi="ar-SA"/>
              </w:rPr>
              <w:t>大卡/kg</w:t>
            </w:r>
            <w:r>
              <w:rPr>
                <w:rFonts w:hint="eastAsia" w:ascii="Times New Roman" w:hAnsi="Times New Roman" w:eastAsia="宋体" w:cs="Times New Roman"/>
                <w:color w:val="auto"/>
                <w:kern w:val="2"/>
                <w:sz w:val="24"/>
                <w:szCs w:val="24"/>
                <w:highlight w:val="none"/>
                <w:lang w:val="en-US" w:eastAsia="zh-CN" w:bidi="ar-SA"/>
              </w:rPr>
              <w:t>，按照生物质</w:t>
            </w:r>
            <w:r>
              <w:rPr>
                <w:rFonts w:hint="eastAsia" w:cs="Times New Roman"/>
                <w:color w:val="auto"/>
                <w:kern w:val="2"/>
                <w:sz w:val="24"/>
                <w:szCs w:val="24"/>
                <w:highlight w:val="none"/>
                <w:lang w:val="en-US" w:eastAsia="zh-CN" w:bidi="ar-SA"/>
              </w:rPr>
              <w:t>蒸汽发生器</w:t>
            </w:r>
            <w:r>
              <w:rPr>
                <w:rFonts w:hint="eastAsia" w:ascii="Times New Roman" w:hAnsi="Times New Roman" w:eastAsia="宋体" w:cs="Times New Roman"/>
                <w:color w:val="auto"/>
                <w:kern w:val="2"/>
                <w:sz w:val="24"/>
                <w:szCs w:val="24"/>
                <w:highlight w:val="none"/>
                <w:lang w:val="en-US" w:eastAsia="zh-CN" w:bidi="ar-SA"/>
              </w:rPr>
              <w:t>满负荷运行状态计算生物质燃料消耗量，</w:t>
            </w:r>
            <w:r>
              <w:rPr>
                <w:rFonts w:hint="default" w:ascii="Times New Roman" w:hAnsi="Times New Roman" w:eastAsia="宋体" w:cs="Times New Roman"/>
                <w:color w:val="auto"/>
                <w:kern w:val="2"/>
                <w:sz w:val="24"/>
                <w:szCs w:val="24"/>
                <w:highlight w:val="none"/>
                <w:lang w:val="en-US" w:eastAsia="zh-CN" w:bidi="ar-SA"/>
              </w:rPr>
              <w:t>生物</w:t>
            </w:r>
            <w:r>
              <w:rPr>
                <w:rFonts w:hint="eastAsia" w:cs="Times New Roman"/>
                <w:color w:val="auto"/>
                <w:kern w:val="2"/>
                <w:sz w:val="24"/>
                <w:szCs w:val="24"/>
                <w:highlight w:val="none"/>
                <w:lang w:val="en-US" w:eastAsia="zh-CN" w:bidi="ar-SA"/>
              </w:rPr>
              <w:t>质蒸汽发生器</w:t>
            </w:r>
            <w:r>
              <w:rPr>
                <w:rFonts w:hint="default" w:ascii="Times New Roman" w:hAnsi="Times New Roman" w:eastAsia="宋体" w:cs="Times New Roman"/>
                <w:color w:val="auto"/>
                <w:kern w:val="2"/>
                <w:sz w:val="24"/>
                <w:szCs w:val="24"/>
                <w:highlight w:val="none"/>
                <w:lang w:val="en-US" w:eastAsia="zh-CN" w:bidi="ar-SA"/>
              </w:rPr>
              <w:t>每小时燃料消耗量=60万大卡*吨位/燃料热值/</w:t>
            </w:r>
            <w:r>
              <w:rPr>
                <w:rFonts w:hint="eastAsia" w:cs="Times New Roman"/>
                <w:color w:val="auto"/>
                <w:kern w:val="2"/>
                <w:sz w:val="24"/>
                <w:szCs w:val="24"/>
                <w:highlight w:val="none"/>
                <w:lang w:val="en-US" w:eastAsia="zh-CN" w:bidi="ar-SA"/>
              </w:rPr>
              <w:t>蒸汽发生器</w:t>
            </w:r>
            <w:r>
              <w:rPr>
                <w:rFonts w:hint="default" w:ascii="Times New Roman" w:hAnsi="Times New Roman" w:eastAsia="宋体" w:cs="Times New Roman"/>
                <w:color w:val="auto"/>
                <w:kern w:val="2"/>
                <w:sz w:val="24"/>
                <w:szCs w:val="24"/>
                <w:highlight w:val="none"/>
                <w:lang w:val="en-US" w:eastAsia="zh-CN" w:bidi="ar-SA"/>
              </w:rPr>
              <w:t>燃烧效率，即600000*</w:t>
            </w:r>
            <w:r>
              <w:rPr>
                <w:rFonts w:hint="eastAsia" w:cs="Times New Roman"/>
                <w:color w:val="auto"/>
                <w:kern w:val="2"/>
                <w:sz w:val="24"/>
                <w:szCs w:val="24"/>
                <w:highlight w:val="none"/>
                <w:lang w:val="en-US" w:eastAsia="zh-CN" w:bidi="ar-SA"/>
              </w:rPr>
              <w:t>2.5</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3480</w:t>
            </w:r>
            <w:r>
              <w:rPr>
                <w:rFonts w:hint="default" w:ascii="Times New Roman" w:hAnsi="Times New Roman" w:eastAsia="宋体" w:cs="Times New Roman"/>
                <w:color w:val="auto"/>
                <w:kern w:val="2"/>
                <w:sz w:val="24"/>
                <w:szCs w:val="24"/>
                <w:highlight w:val="none"/>
                <w:lang w:val="en-US" w:eastAsia="zh-CN" w:bidi="ar-SA"/>
              </w:rPr>
              <w:t>/0.8=</w:t>
            </w:r>
            <w:r>
              <w:rPr>
                <w:rFonts w:hint="eastAsia" w:cs="Times New Roman"/>
                <w:color w:val="auto"/>
                <w:kern w:val="2"/>
                <w:sz w:val="24"/>
                <w:szCs w:val="24"/>
                <w:highlight w:val="none"/>
                <w:lang w:val="en-US" w:eastAsia="zh-CN" w:bidi="ar-SA"/>
              </w:rPr>
              <w:t>538.79</w:t>
            </w:r>
            <w:r>
              <w:rPr>
                <w:rFonts w:hint="eastAsia" w:ascii="Times New Roman" w:hAnsi="Times New Roman" w:eastAsia="宋体" w:cs="Times New Roman"/>
                <w:color w:val="auto"/>
                <w:kern w:val="2"/>
                <w:sz w:val="24"/>
                <w:szCs w:val="24"/>
                <w:highlight w:val="none"/>
                <w:lang w:val="en-US" w:eastAsia="zh-CN" w:bidi="ar-SA"/>
              </w:rPr>
              <w:t>kg/h</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因此生物质燃料用量为</w:t>
            </w:r>
            <w:r>
              <w:rPr>
                <w:rFonts w:hint="eastAsia" w:cs="Times New Roman"/>
                <w:color w:val="auto"/>
                <w:kern w:val="2"/>
                <w:sz w:val="24"/>
                <w:szCs w:val="24"/>
                <w:highlight w:val="none"/>
                <w:lang w:val="en-US" w:eastAsia="zh-CN" w:bidi="ar-SA"/>
              </w:rPr>
              <w:t>538.79</w:t>
            </w:r>
            <w:r>
              <w:rPr>
                <w:rFonts w:hint="default" w:ascii="Times New Roman" w:hAnsi="Times New Roman" w:eastAsia="宋体" w:cs="Times New Roman"/>
                <w:color w:val="auto"/>
                <w:kern w:val="2"/>
                <w:sz w:val="24"/>
                <w:szCs w:val="24"/>
                <w:highlight w:val="none"/>
                <w:lang w:val="en-US" w:eastAsia="zh-CN" w:bidi="ar-SA"/>
              </w:rPr>
              <w:t>kg/h</w:t>
            </w: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1018.3131</w:t>
            </w:r>
            <w:r>
              <w:rPr>
                <w:rFonts w:hint="eastAsia" w:ascii="Times New Roman" w:hAnsi="Times New Roman" w:eastAsia="宋体" w:cs="Times New Roman"/>
                <w:color w:val="auto"/>
                <w:kern w:val="2"/>
                <w:sz w:val="24"/>
                <w:szCs w:val="24"/>
                <w:highlight w:val="none"/>
                <w:lang w:val="en-US" w:eastAsia="zh-CN" w:bidi="ar-SA"/>
              </w:rPr>
              <w:t>t/a）因此本项目生物质燃料年用量为</w:t>
            </w:r>
            <w:r>
              <w:rPr>
                <w:rFonts w:hint="eastAsia" w:cs="Times New Roman"/>
                <w:color w:val="auto"/>
                <w:kern w:val="2"/>
                <w:sz w:val="24"/>
                <w:szCs w:val="24"/>
                <w:highlight w:val="none"/>
                <w:lang w:val="en-US" w:eastAsia="zh-CN" w:bidi="ar-SA"/>
              </w:rPr>
              <w:t>1018.3131</w:t>
            </w:r>
            <w:r>
              <w:rPr>
                <w:rFonts w:hint="eastAsia" w:ascii="Times New Roman" w:hAnsi="Times New Roman" w:eastAsia="宋体" w:cs="Times New Roman"/>
                <w:color w:val="auto"/>
                <w:kern w:val="2"/>
                <w:sz w:val="24"/>
                <w:szCs w:val="24"/>
                <w:highlight w:val="none"/>
                <w:lang w:val="en-US" w:eastAsia="zh-CN" w:bidi="ar-SA"/>
              </w:rPr>
              <w:t>t/a。废气经低氮燃烧器+旋风除尘+布袋除尘器</w:t>
            </w:r>
            <w:r>
              <w:rPr>
                <w:rFonts w:hint="default" w:ascii="Times New Roman" w:hAnsi="Times New Roman" w:eastAsia="宋体" w:cs="Times New Roman"/>
                <w:color w:val="auto"/>
                <w:kern w:val="2"/>
                <w:sz w:val="24"/>
                <w:szCs w:val="24"/>
                <w:highlight w:val="none"/>
                <w:lang w:val="en-US" w:eastAsia="zh-CN" w:bidi="ar-SA"/>
              </w:rPr>
              <w:t>处理后由</w:t>
            </w:r>
            <w:r>
              <w:rPr>
                <w:rFonts w:hint="eastAsia" w:ascii="Times New Roman" w:hAnsi="Times New Roman" w:eastAsia="宋体" w:cs="Times New Roman"/>
                <w:color w:val="auto"/>
                <w:kern w:val="2"/>
                <w:sz w:val="24"/>
                <w:szCs w:val="24"/>
                <w:highlight w:val="none"/>
                <w:lang w:val="en-US" w:eastAsia="zh-CN" w:bidi="ar-SA"/>
              </w:rPr>
              <w:t>30</w:t>
            </w:r>
            <w:r>
              <w:rPr>
                <w:rFonts w:hint="default" w:ascii="Times New Roman" w:hAnsi="Times New Roman" w:eastAsia="宋体" w:cs="Times New Roman"/>
                <w:color w:val="auto"/>
                <w:kern w:val="2"/>
                <w:sz w:val="24"/>
                <w:szCs w:val="24"/>
                <w:highlight w:val="none"/>
                <w:lang w:val="en-US" w:eastAsia="zh-CN" w:bidi="ar-SA"/>
              </w:rPr>
              <w:t>m高烟囱排放</w:t>
            </w:r>
            <w:r>
              <w:rPr>
                <w:rFonts w:hint="eastAsia" w:ascii="Times New Roman" w:hAnsi="Times New Roman" w:eastAsia="宋体" w:cs="Times New Roman"/>
                <w:color w:val="auto"/>
                <w:kern w:val="2"/>
                <w:sz w:val="24"/>
                <w:szCs w:val="24"/>
                <w:highlight w:val="none"/>
                <w:lang w:val="en-US" w:eastAsia="zh-CN" w:bidi="ar-SA"/>
              </w:rPr>
              <w:t>。</w:t>
            </w:r>
          </w:p>
          <w:p w14:paraId="49D06CA3">
            <w:pPr>
              <w:numPr>
                <w:ilvl w:val="0"/>
                <w:numId w:val="5"/>
              </w:numPr>
              <w:shd w:val="clear"/>
              <w:adjustRightInd w:val="0"/>
              <w:snapToGrid w:val="0"/>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工作制度及劳动定员</w:t>
            </w:r>
          </w:p>
          <w:p w14:paraId="32DD1EDE">
            <w:pPr>
              <w:shd w:val="clea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本项目劳动定员</w:t>
            </w:r>
            <w:r>
              <w:rPr>
                <w:rFonts w:hint="eastAsia" w:cs="Times New Roman"/>
                <w:color w:val="auto"/>
                <w:kern w:val="2"/>
                <w:sz w:val="24"/>
                <w:szCs w:val="24"/>
                <w:highlight w:val="yellow"/>
                <w:lang w:val="en-US" w:eastAsia="zh-CN" w:bidi="ar-SA"/>
              </w:rPr>
              <w:t>10</w:t>
            </w:r>
            <w:r>
              <w:rPr>
                <w:rFonts w:hint="default" w:ascii="Times New Roman" w:hAnsi="Times New Roman" w:eastAsia="宋体" w:cs="Times New Roman"/>
                <w:color w:val="auto"/>
                <w:kern w:val="2"/>
                <w:sz w:val="24"/>
                <w:szCs w:val="24"/>
                <w:highlight w:val="yellow"/>
                <w:lang w:val="en-US" w:eastAsia="zh-CN" w:bidi="ar-SA"/>
              </w:rPr>
              <w:t>人，年工作</w:t>
            </w:r>
            <w:r>
              <w:rPr>
                <w:rFonts w:hint="eastAsia" w:cs="Times New Roman"/>
                <w:color w:val="auto"/>
                <w:kern w:val="2"/>
                <w:sz w:val="24"/>
                <w:szCs w:val="24"/>
                <w:highlight w:val="yellow"/>
                <w:lang w:val="en-US" w:eastAsia="zh-CN" w:bidi="ar-SA"/>
              </w:rPr>
              <w:t>210</w:t>
            </w:r>
            <w:r>
              <w:rPr>
                <w:rFonts w:hint="default" w:ascii="Times New Roman" w:hAnsi="Times New Roman" w:eastAsia="宋体" w:cs="Times New Roman"/>
                <w:color w:val="auto"/>
                <w:kern w:val="2"/>
                <w:sz w:val="24"/>
                <w:szCs w:val="24"/>
                <w:highlight w:val="yellow"/>
                <w:lang w:val="en-US" w:eastAsia="zh-CN" w:bidi="ar-SA"/>
              </w:rPr>
              <w:t>天</w:t>
            </w:r>
            <w:r>
              <w:rPr>
                <w:rFonts w:hint="eastAsia" w:cs="Times New Roman"/>
                <w:color w:val="auto"/>
                <w:kern w:val="2"/>
                <w:sz w:val="24"/>
                <w:szCs w:val="24"/>
                <w:highlight w:val="yellow"/>
                <w:lang w:val="en-US" w:eastAsia="zh-CN" w:bidi="ar-SA"/>
              </w:rPr>
              <w:t>（</w:t>
            </w:r>
            <w:r>
              <w:rPr>
                <w:rFonts w:hint="eastAsia" w:ascii="Times New Roman" w:hAnsi="Times New Roman" w:eastAsia="宋体" w:cs="Times New Roman"/>
                <w:color w:val="auto"/>
                <w:kern w:val="2"/>
                <w:sz w:val="24"/>
                <w:szCs w:val="24"/>
                <w:highlight w:val="yellow"/>
                <w:lang w:val="en-US" w:eastAsia="zh-CN" w:bidi="ar-SA"/>
              </w:rPr>
              <w:t>每</w:t>
            </w:r>
            <w:r>
              <w:rPr>
                <w:rFonts w:hint="eastAsia" w:cs="Times New Roman"/>
                <w:color w:val="auto"/>
                <w:kern w:val="2"/>
                <w:sz w:val="24"/>
                <w:szCs w:val="24"/>
                <w:highlight w:val="yellow"/>
                <w:lang w:val="en-US" w:eastAsia="zh-CN" w:bidi="ar-SA"/>
              </w:rPr>
              <w:t>天工作9</w:t>
            </w:r>
            <w:r>
              <w:rPr>
                <w:rFonts w:hint="eastAsia" w:ascii="Times New Roman" w:hAnsi="Times New Roman" w:eastAsia="宋体" w:cs="Times New Roman"/>
                <w:color w:val="auto"/>
                <w:kern w:val="2"/>
                <w:sz w:val="24"/>
                <w:szCs w:val="24"/>
                <w:highlight w:val="yellow"/>
                <w:lang w:val="en-US" w:eastAsia="zh-CN" w:bidi="ar-SA"/>
              </w:rPr>
              <w:t>h</w:t>
            </w:r>
            <w:r>
              <w:rPr>
                <w:rFonts w:hint="eastAsia" w:cs="Times New Roman"/>
                <w:color w:val="auto"/>
                <w:kern w:val="2"/>
                <w:sz w:val="24"/>
                <w:szCs w:val="24"/>
                <w:highlight w:val="yellow"/>
                <w:lang w:val="en-US" w:eastAsia="zh-CN" w:bidi="ar-SA"/>
              </w:rPr>
              <w:t>）</w:t>
            </w:r>
            <w:r>
              <w:rPr>
                <w:rFonts w:hint="eastAsia" w:ascii="Times New Roman" w:hAnsi="Times New Roman" w:eastAsia="宋体" w:cs="Times New Roman"/>
                <w:color w:val="auto"/>
                <w:kern w:val="2"/>
                <w:sz w:val="24"/>
                <w:szCs w:val="24"/>
                <w:highlight w:val="yellow"/>
                <w:lang w:val="en-US" w:eastAsia="zh-CN" w:bidi="ar-SA"/>
              </w:rPr>
              <w:t>不设置</w:t>
            </w:r>
            <w:r>
              <w:rPr>
                <w:rFonts w:hint="default" w:ascii="Times New Roman" w:hAnsi="Times New Roman" w:eastAsia="宋体" w:cs="Times New Roman"/>
                <w:color w:val="auto"/>
                <w:kern w:val="2"/>
                <w:sz w:val="24"/>
                <w:szCs w:val="24"/>
                <w:highlight w:val="yellow"/>
                <w:lang w:val="en-US" w:eastAsia="zh-CN" w:bidi="ar-SA"/>
              </w:rPr>
              <w:t>食堂和宿舍</w:t>
            </w:r>
            <w:r>
              <w:rPr>
                <w:rFonts w:hint="eastAsia" w:ascii="Times New Roman" w:hAnsi="Times New Roman" w:eastAsia="宋体" w:cs="Times New Roman"/>
                <w:color w:val="auto"/>
                <w:kern w:val="2"/>
                <w:sz w:val="24"/>
                <w:szCs w:val="24"/>
                <w:highlight w:val="yellow"/>
                <w:lang w:val="en-US" w:eastAsia="zh-CN" w:bidi="ar-SA"/>
              </w:rPr>
              <w:t>。</w:t>
            </w:r>
          </w:p>
          <w:p w14:paraId="11B88F8A">
            <w:pPr>
              <w:numPr>
                <w:ilvl w:val="0"/>
                <w:numId w:val="5"/>
              </w:numPr>
              <w:shd w:val="clea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公用工程</w:t>
            </w:r>
          </w:p>
          <w:p w14:paraId="155956BE">
            <w:pPr>
              <w:shd w:val="clea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（1）给水</w:t>
            </w:r>
          </w:p>
          <w:p w14:paraId="5FDCF4A2">
            <w:pPr>
              <w:shd w:val="clea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本项目用水为生活用水</w:t>
            </w:r>
            <w:r>
              <w:rPr>
                <w:rFonts w:hint="eastAsia" w:ascii="Times New Roman" w:hAnsi="Times New Roman" w:eastAsia="宋体" w:cs="Times New Roman"/>
                <w:color w:val="auto"/>
                <w:kern w:val="2"/>
                <w:sz w:val="24"/>
                <w:szCs w:val="24"/>
                <w:highlight w:val="none"/>
                <w:lang w:val="en-US" w:eastAsia="zh-CN" w:bidi="ar-SA"/>
              </w:rPr>
              <w:t>、生产用水和</w:t>
            </w:r>
            <w:r>
              <w:rPr>
                <w:rFonts w:hint="eastAsia" w:cs="Times New Roman"/>
                <w:color w:val="auto"/>
                <w:kern w:val="2"/>
                <w:sz w:val="24"/>
                <w:szCs w:val="24"/>
                <w:highlight w:val="none"/>
                <w:lang w:val="en-US" w:eastAsia="zh-CN" w:bidi="ar-SA"/>
              </w:rPr>
              <w:t>蒸汽发生器</w:t>
            </w:r>
            <w:r>
              <w:rPr>
                <w:rFonts w:hint="eastAsia" w:ascii="Times New Roman" w:hAnsi="Times New Roman" w:eastAsia="宋体" w:cs="Times New Roman"/>
                <w:color w:val="auto"/>
                <w:kern w:val="2"/>
                <w:sz w:val="24"/>
                <w:szCs w:val="24"/>
                <w:highlight w:val="none"/>
                <w:lang w:val="en-US" w:eastAsia="zh-CN" w:bidi="ar-SA"/>
              </w:rPr>
              <w:t>用水，均</w:t>
            </w:r>
            <w:r>
              <w:rPr>
                <w:rFonts w:hint="default" w:ascii="Times New Roman" w:hAnsi="Times New Roman" w:eastAsia="宋体" w:cs="Times New Roman"/>
                <w:color w:val="auto"/>
                <w:kern w:val="2"/>
                <w:sz w:val="24"/>
                <w:szCs w:val="24"/>
                <w:highlight w:val="none"/>
                <w:lang w:val="en-US" w:eastAsia="zh-CN" w:bidi="ar-SA"/>
              </w:rPr>
              <w:t>由</w:t>
            </w:r>
            <w:r>
              <w:rPr>
                <w:rFonts w:hint="eastAsia" w:cs="Times New Roman"/>
                <w:color w:val="auto"/>
                <w:kern w:val="2"/>
                <w:sz w:val="24"/>
                <w:szCs w:val="24"/>
                <w:highlight w:val="none"/>
                <w:lang w:val="en-US" w:eastAsia="zh-CN" w:bidi="ar-SA"/>
              </w:rPr>
              <w:t>厂区外购</w:t>
            </w: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本项目用水外购于双鸭山市火电厂，距离大约为1km，厂区设置四台新鲜水储罐位于生产车间内，容积为18m</w:t>
            </w:r>
            <w:r>
              <w:rPr>
                <w:rFonts w:hint="eastAsia" w:cs="Times New Roman"/>
                <w:color w:val="auto"/>
                <w:kern w:val="2"/>
                <w:sz w:val="24"/>
                <w:szCs w:val="24"/>
                <w:highlight w:val="none"/>
                <w:vertAlign w:val="superscript"/>
                <w:lang w:val="en-US" w:eastAsia="zh-CN" w:bidi="ar-SA"/>
              </w:rPr>
              <w:t>3</w:t>
            </w:r>
            <w:r>
              <w:rPr>
                <w:rFonts w:hint="eastAsia" w:cs="Times New Roman"/>
                <w:color w:val="auto"/>
                <w:kern w:val="2"/>
                <w:sz w:val="24"/>
                <w:szCs w:val="24"/>
                <w:highlight w:val="none"/>
                <w:vertAlign w:val="baseline"/>
                <w:lang w:val="en-US" w:eastAsia="zh-CN" w:bidi="ar-SA"/>
              </w:rPr>
              <w:t>。</w:t>
            </w:r>
          </w:p>
          <w:p w14:paraId="39A3D22B">
            <w:pPr>
              <w:numPr>
                <w:ilvl w:val="0"/>
                <w:numId w:val="6"/>
              </w:numPr>
              <w:shd w:val="clea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生活用水</w:t>
            </w:r>
          </w:p>
          <w:p w14:paraId="443977A5">
            <w:pPr>
              <w:shd w:val="clea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w:t>
            </w:r>
            <w:r>
              <w:rPr>
                <w:rFonts w:hint="default" w:ascii="Times New Roman" w:hAnsi="Times New Roman" w:eastAsia="宋体" w:cs="Times New Roman"/>
                <w:color w:val="auto"/>
                <w:kern w:val="2"/>
                <w:sz w:val="24"/>
                <w:szCs w:val="24"/>
                <w:highlight w:val="none"/>
                <w:lang w:val="en-US" w:eastAsia="zh-CN" w:bidi="ar-SA"/>
              </w:rPr>
              <w:t>黑龙江省地方标准《用水定额》（DB23/T727-2021），本项目按80L/人·d计。本项目工作人员人数为</w:t>
            </w:r>
            <w:r>
              <w:rPr>
                <w:rFonts w:hint="eastAsia" w:cs="Times New Roman"/>
                <w:color w:val="auto"/>
                <w:kern w:val="2"/>
                <w:sz w:val="24"/>
                <w:szCs w:val="24"/>
                <w:highlight w:val="none"/>
                <w:lang w:val="en-US" w:eastAsia="zh-CN" w:bidi="ar-SA"/>
              </w:rPr>
              <w:t>10</w:t>
            </w:r>
            <w:r>
              <w:rPr>
                <w:rFonts w:hint="default" w:ascii="Times New Roman" w:hAnsi="Times New Roman" w:eastAsia="宋体" w:cs="Times New Roman"/>
                <w:color w:val="auto"/>
                <w:kern w:val="2"/>
                <w:sz w:val="24"/>
                <w:szCs w:val="24"/>
                <w:highlight w:val="none"/>
                <w:lang w:val="en-US" w:eastAsia="zh-CN" w:bidi="ar-SA"/>
              </w:rPr>
              <w:t>人，则生活用水量为</w:t>
            </w:r>
            <w:r>
              <w:rPr>
                <w:rFonts w:hint="eastAsia" w:cs="Times New Roman"/>
                <w:color w:val="auto"/>
                <w:kern w:val="2"/>
                <w:sz w:val="24"/>
                <w:szCs w:val="24"/>
                <w:highlight w:val="none"/>
                <w:lang w:val="en-US" w:eastAsia="zh-CN" w:bidi="ar-SA"/>
              </w:rPr>
              <w:t>0.8</w:t>
            </w:r>
            <w:r>
              <w:rPr>
                <w:rFonts w:hint="default" w:ascii="Times New Roman" w:hAnsi="Times New Roman" w:eastAsia="宋体" w:cs="Times New Roman"/>
                <w:color w:val="auto"/>
                <w:kern w:val="2"/>
                <w:sz w:val="24"/>
                <w:szCs w:val="24"/>
                <w:highlight w:val="none"/>
                <w:lang w:val="en-US" w:eastAsia="zh-CN" w:bidi="ar-SA"/>
              </w:rPr>
              <w:t>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/d、</w:t>
            </w:r>
            <w:r>
              <w:rPr>
                <w:rFonts w:hint="eastAsia" w:cs="Times New Roman"/>
                <w:color w:val="auto"/>
                <w:kern w:val="2"/>
                <w:sz w:val="24"/>
                <w:szCs w:val="24"/>
                <w:highlight w:val="none"/>
                <w:lang w:val="en-US" w:eastAsia="zh-CN" w:bidi="ar-SA"/>
              </w:rPr>
              <w:t>168</w:t>
            </w:r>
            <w:r>
              <w:rPr>
                <w:rFonts w:hint="default" w:ascii="Times New Roman" w:hAnsi="Times New Roman" w:eastAsia="宋体" w:cs="Times New Roman"/>
                <w:color w:val="auto"/>
                <w:kern w:val="2"/>
                <w:sz w:val="24"/>
                <w:szCs w:val="24"/>
                <w:highlight w:val="none"/>
                <w:lang w:val="en-US" w:eastAsia="zh-CN" w:bidi="ar-SA"/>
              </w:rPr>
              <w:t>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/a。</w:t>
            </w:r>
          </w:p>
          <w:p w14:paraId="5930F0DB">
            <w:pPr>
              <w:numPr>
                <w:ilvl w:val="0"/>
                <w:numId w:val="6"/>
              </w:numPr>
              <w:shd w:val="clea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生产用水</w:t>
            </w:r>
          </w:p>
          <w:p w14:paraId="5882941F">
            <w:pPr>
              <w:numPr>
                <w:ilvl w:val="0"/>
                <w:numId w:val="0"/>
              </w:numPr>
              <w:shd w:val="clea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w:t>
            </w:r>
            <w:r>
              <w:rPr>
                <w:rFonts w:hint="default" w:ascii="Times New Roman" w:hAnsi="Times New Roman" w:eastAsia="宋体" w:cs="Times New Roman"/>
                <w:color w:val="auto"/>
                <w:kern w:val="2"/>
                <w:sz w:val="24"/>
                <w:szCs w:val="24"/>
                <w:highlight w:val="none"/>
                <w:lang w:val="en-US" w:eastAsia="zh-CN" w:bidi="ar-SA"/>
              </w:rPr>
              <w:t>生产用水主要是</w:t>
            </w:r>
            <w:r>
              <w:rPr>
                <w:rFonts w:hint="eastAsia" w:cs="Times New Roman"/>
                <w:color w:val="auto"/>
                <w:kern w:val="2"/>
                <w:sz w:val="24"/>
                <w:szCs w:val="24"/>
                <w:highlight w:val="none"/>
                <w:lang w:val="en-US" w:eastAsia="zh-CN" w:bidi="ar-SA"/>
              </w:rPr>
              <w:t>水泥预制件原料拌合用水</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搅拌设备冲洗用水、喷淋设备喷淋抑尘用水、</w:t>
            </w:r>
            <w:r>
              <w:rPr>
                <w:rFonts w:hint="eastAsia" w:ascii="Times New Roman" w:hAnsi="Times New Roman" w:eastAsia="宋体" w:cs="Times New Roman"/>
                <w:color w:val="auto"/>
                <w:kern w:val="2"/>
                <w:sz w:val="24"/>
                <w:szCs w:val="24"/>
                <w:highlight w:val="none"/>
                <w:lang w:val="en-US" w:eastAsia="zh-CN" w:bidi="ar-SA"/>
              </w:rPr>
              <w:t>蒸汽发生器用水</w:t>
            </w:r>
            <w:r>
              <w:rPr>
                <w:rFonts w:hint="eastAsia" w:cs="Times New Roman"/>
                <w:color w:val="auto"/>
                <w:kern w:val="2"/>
                <w:sz w:val="24"/>
                <w:szCs w:val="24"/>
                <w:highlight w:val="none"/>
                <w:lang w:val="en-US" w:eastAsia="zh-CN" w:bidi="ar-SA"/>
              </w:rPr>
              <w:t>。</w:t>
            </w:r>
          </w:p>
          <w:p w14:paraId="133E8BB7">
            <w:pPr>
              <w:numPr>
                <w:ilvl w:val="0"/>
                <w:numId w:val="0"/>
              </w:numPr>
              <w:shd w:val="clea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①</w:t>
            </w:r>
            <w:r>
              <w:rPr>
                <w:rFonts w:hint="eastAsia" w:cs="Times New Roman"/>
                <w:color w:val="auto"/>
                <w:kern w:val="2"/>
                <w:sz w:val="24"/>
                <w:szCs w:val="24"/>
                <w:highlight w:val="none"/>
                <w:lang w:val="en-US" w:eastAsia="zh-CN" w:bidi="ar-SA"/>
              </w:rPr>
              <w:t>水泥预制件原料拌合用水</w:t>
            </w:r>
          </w:p>
          <w:p w14:paraId="75C7AFAD">
            <w:pPr>
              <w:pStyle w:val="115"/>
              <w:spacing w:line="360" w:lineRule="auto"/>
              <w:ind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根据建设单位提供资料，本项目生产预制件的混凝土中水的配比为0.18m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·混凝土，本项目年产</w:t>
            </w:r>
            <w:r>
              <w:rPr>
                <w:rFonts w:hint="eastAsia" w:cs="Times New Roman"/>
                <w:color w:val="auto"/>
                <w:kern w:val="2"/>
                <w:sz w:val="24"/>
                <w:szCs w:val="24"/>
                <w:highlight w:val="none"/>
                <w:lang w:val="en-US" w:eastAsia="zh-CN" w:bidi="ar-SA"/>
              </w:rPr>
              <w:t>7万吨水泥预制件</w:t>
            </w:r>
            <w:r>
              <w:rPr>
                <w:rFonts w:hint="eastAsia" w:ascii="Times New Roman" w:hAnsi="Times New Roman" w:eastAsia="宋体" w:cs="Times New Roman"/>
                <w:color w:val="auto"/>
                <w:kern w:val="2"/>
                <w:sz w:val="24"/>
                <w:szCs w:val="24"/>
                <w:highlight w:val="none"/>
                <w:lang w:val="en-US" w:eastAsia="zh-CN" w:bidi="ar-SA"/>
              </w:rPr>
              <w:t>，年需混凝土</w:t>
            </w:r>
            <w:r>
              <w:rPr>
                <w:rFonts w:hint="eastAsia" w:cs="Times New Roman"/>
                <w:color w:val="auto"/>
                <w:kern w:val="2"/>
                <w:sz w:val="24"/>
                <w:szCs w:val="24"/>
                <w:highlight w:val="none"/>
                <w:lang w:val="en-US" w:eastAsia="zh-CN" w:bidi="ar-SA"/>
              </w:rPr>
              <w:t>19500</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，年运行时间210d，因此，生产用水量为</w:t>
            </w:r>
            <w:r>
              <w:rPr>
                <w:rFonts w:hint="eastAsia" w:cs="Times New Roman"/>
                <w:color w:val="auto"/>
                <w:kern w:val="2"/>
                <w:sz w:val="24"/>
                <w:szCs w:val="24"/>
                <w:highlight w:val="none"/>
                <w:lang w:val="en-US" w:eastAsia="zh-CN" w:bidi="ar-SA"/>
              </w:rPr>
              <w:t>12.857</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w:t>
            </w:r>
            <w:r>
              <w:rPr>
                <w:rFonts w:hint="eastAsia" w:cs="Times New Roman"/>
                <w:color w:val="auto"/>
                <w:kern w:val="2"/>
                <w:sz w:val="24"/>
                <w:szCs w:val="24"/>
                <w:highlight w:val="none"/>
                <w:lang w:val="en-US" w:eastAsia="zh-CN" w:bidi="ar-SA"/>
              </w:rPr>
              <w:t>2700</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/a)</w:t>
            </w:r>
            <w:r>
              <w:rPr>
                <w:rFonts w:hint="eastAsia" w:cs="Times New Roman"/>
                <w:color w:val="auto"/>
                <w:kern w:val="2"/>
                <w:sz w:val="24"/>
                <w:szCs w:val="24"/>
                <w:highlight w:val="none"/>
                <w:lang w:val="en-US" w:eastAsia="zh-CN" w:bidi="ar-SA"/>
              </w:rPr>
              <w:t>（其中回用水为407.55</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/a</w:t>
            </w:r>
            <w:r>
              <w:rPr>
                <w:rFonts w:hint="eastAsia" w:cs="Times New Roman"/>
                <w:color w:val="auto"/>
                <w:kern w:val="2"/>
                <w:sz w:val="24"/>
                <w:szCs w:val="24"/>
                <w:highlight w:val="none"/>
                <w:lang w:val="en-US" w:eastAsia="zh-CN" w:bidi="ar-SA"/>
              </w:rPr>
              <w:t>，新鲜水为2292.45</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/a</w:t>
            </w:r>
            <w:r>
              <w:rPr>
                <w:rFonts w:hint="eastAsia" w:cs="Times New Roman"/>
                <w:color w:val="auto"/>
                <w:kern w:val="2"/>
                <w:sz w:val="24"/>
                <w:szCs w:val="24"/>
                <w:highlight w:val="none"/>
                <w:lang w:val="en-US" w:eastAsia="zh-CN" w:bidi="ar-SA"/>
              </w:rPr>
              <w:t>）。</w:t>
            </w:r>
          </w:p>
          <w:p w14:paraId="60A9F119">
            <w:pPr>
              <w:numPr>
                <w:ilvl w:val="0"/>
                <w:numId w:val="0"/>
              </w:num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②</w:t>
            </w:r>
            <w:r>
              <w:rPr>
                <w:rFonts w:hint="eastAsia" w:cs="Times New Roman"/>
                <w:color w:val="auto"/>
                <w:kern w:val="2"/>
                <w:sz w:val="24"/>
                <w:szCs w:val="24"/>
                <w:highlight w:val="none"/>
                <w:lang w:val="en-US" w:eastAsia="zh-CN" w:bidi="ar-SA"/>
              </w:rPr>
              <w:t>搅拌设备冲洗水</w:t>
            </w:r>
          </w:p>
          <w:p w14:paraId="3C3522BB">
            <w:pPr>
              <w:numPr>
                <w:ilvl w:val="0"/>
                <w:numId w:val="0"/>
              </w:numPr>
              <w:adjustRightInd w:val="0"/>
              <w:snapToGrid w:val="0"/>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为防止残余混凝土附着在搅拌机及运输罐车内部，影响机器正常运转，故须将搅拌机及运输罐车冲洗干净。</w:t>
            </w:r>
          </w:p>
          <w:p w14:paraId="370C9EB2">
            <w:pPr>
              <w:numPr>
                <w:ilvl w:val="0"/>
                <w:numId w:val="0"/>
              </w:numPr>
              <w:adjustRightInd w:val="0"/>
              <w:snapToGrid w:val="0"/>
              <w:spacing w:line="360" w:lineRule="auto"/>
              <w:ind w:firstLine="480" w:firstLineChars="200"/>
              <w:rPr>
                <w:rFonts w:hint="eastAsia"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本项目搅拌机清洗水每天按</w:t>
            </w:r>
            <w:r>
              <w:rPr>
                <w:rFonts w:hint="eastAsia" w:cs="Times New Roman"/>
                <w:color w:val="auto"/>
                <w:kern w:val="2"/>
                <w:sz w:val="24"/>
                <w:szCs w:val="24"/>
                <w:highlight w:val="none"/>
                <w:lang w:val="en-US" w:eastAsia="zh-CN" w:bidi="ar-SA"/>
              </w:rPr>
              <w:t>9</w:t>
            </w:r>
            <w:r>
              <w:rPr>
                <w:rFonts w:hint="eastAsia" w:ascii="Times New Roman" w:hAnsi="Times New Roman" w:eastAsia="宋体" w:cs="Times New Roman"/>
                <w:color w:val="auto"/>
                <w:kern w:val="2"/>
                <w:sz w:val="24"/>
                <w:szCs w:val="24"/>
                <w:highlight w:val="none"/>
                <w:lang w:val="en-US" w:eastAsia="zh-CN" w:bidi="ar-SA"/>
              </w:rPr>
              <w:t>h小时冲洗1次，每次2.0m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/台计算，本项目生产制度为单班制，每天</w:t>
            </w:r>
            <w:r>
              <w:rPr>
                <w:rFonts w:hint="eastAsia" w:cs="Times New Roman"/>
                <w:color w:val="auto"/>
                <w:kern w:val="2"/>
                <w:sz w:val="24"/>
                <w:szCs w:val="24"/>
                <w:highlight w:val="none"/>
                <w:lang w:val="en-US" w:eastAsia="zh-CN" w:bidi="ar-SA"/>
              </w:rPr>
              <w:t>9</w:t>
            </w:r>
            <w:r>
              <w:rPr>
                <w:rFonts w:hint="eastAsia" w:ascii="Times New Roman" w:hAnsi="Times New Roman" w:eastAsia="宋体" w:cs="Times New Roman"/>
                <w:color w:val="auto"/>
                <w:kern w:val="2"/>
                <w:sz w:val="24"/>
                <w:szCs w:val="24"/>
                <w:highlight w:val="none"/>
                <w:lang w:val="en-US" w:eastAsia="zh-CN" w:bidi="ar-SA"/>
              </w:rPr>
              <w:t>h，设置</w:t>
            </w:r>
            <w:r>
              <w:rPr>
                <w:rFonts w:hint="eastAsia" w:cs="Times New Roman"/>
                <w:color w:val="auto"/>
                <w:kern w:val="2"/>
                <w:sz w:val="24"/>
                <w:szCs w:val="24"/>
                <w:highlight w:val="none"/>
                <w:lang w:val="en-US" w:eastAsia="zh-CN" w:bidi="ar-SA"/>
              </w:rPr>
              <w:t>1</w:t>
            </w:r>
            <w:r>
              <w:rPr>
                <w:rFonts w:hint="eastAsia" w:ascii="Times New Roman" w:hAnsi="Times New Roman" w:eastAsia="宋体" w:cs="Times New Roman"/>
                <w:color w:val="auto"/>
                <w:kern w:val="2"/>
                <w:sz w:val="24"/>
                <w:szCs w:val="24"/>
                <w:highlight w:val="none"/>
                <w:lang w:val="en-US" w:eastAsia="zh-CN" w:bidi="ar-SA"/>
              </w:rPr>
              <w:t>台搅拌机，清洗用水量为</w:t>
            </w:r>
            <w:r>
              <w:rPr>
                <w:rFonts w:hint="eastAsia"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w:t>
            </w:r>
            <w:r>
              <w:rPr>
                <w:rFonts w:hint="eastAsia" w:cs="Times New Roman"/>
                <w:color w:val="auto"/>
                <w:kern w:val="2"/>
                <w:sz w:val="24"/>
                <w:szCs w:val="24"/>
                <w:highlight w:val="none"/>
                <w:lang w:val="en-US" w:eastAsia="zh-CN" w:bidi="ar-SA"/>
              </w:rPr>
              <w:t>420</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/a)</w:t>
            </w:r>
            <w:r>
              <w:rPr>
                <w:rFonts w:hint="eastAsia" w:cs="Times New Roman"/>
                <w:color w:val="auto"/>
                <w:kern w:val="2"/>
                <w:sz w:val="24"/>
                <w:szCs w:val="24"/>
                <w:highlight w:val="none"/>
                <w:lang w:val="en-US" w:eastAsia="zh-CN" w:bidi="ar-SA"/>
              </w:rPr>
              <w:t>。</w:t>
            </w:r>
          </w:p>
          <w:p w14:paraId="6FE55D04">
            <w:pPr>
              <w:keepNext w:val="0"/>
              <w:keepLines w:val="0"/>
              <w:pageBreakBefore w:val="0"/>
              <w:widowControl w:val="0"/>
              <w:kinsoku/>
              <w:wordWrap/>
              <w:overflowPunct/>
              <w:topLinePunct w:val="0"/>
              <w:bidi w:val="0"/>
              <w:adjustRightInd w:val="0"/>
              <w:snapToGrid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）蒸汽发生器用水</w:t>
            </w:r>
          </w:p>
          <w:p w14:paraId="245FFB19">
            <w:pPr>
              <w:keepNext w:val="0"/>
              <w:keepLines w:val="0"/>
              <w:pageBreakBefore w:val="0"/>
              <w:widowControl w:val="0"/>
              <w:kinsoku/>
              <w:wordWrap/>
              <w:overflowPunct/>
              <w:topLinePunct w:val="0"/>
              <w:bidi w:val="0"/>
              <w:adjustRightInd w:val="0"/>
              <w:snapToGrid w:val="0"/>
              <w:spacing w:line="360" w:lineRule="auto"/>
              <w:ind w:firstLine="480" w:firstLineChars="200"/>
              <w:jc w:val="both"/>
              <w:rPr>
                <w:rFonts w:hint="eastAsia"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w:t>
            </w:r>
            <w:r>
              <w:rPr>
                <w:rFonts w:hint="eastAsia" w:cs="Times New Roman"/>
                <w:color w:val="auto"/>
                <w:kern w:val="2"/>
                <w:sz w:val="24"/>
                <w:szCs w:val="24"/>
                <w:highlight w:val="none"/>
                <w:lang w:val="en-US" w:eastAsia="zh-CN" w:bidi="ar-SA"/>
              </w:rPr>
              <w:t>蒸汽发生器</w:t>
            </w:r>
            <w:r>
              <w:rPr>
                <w:rFonts w:hint="eastAsia" w:ascii="Times New Roman" w:hAnsi="Times New Roman" w:eastAsia="宋体" w:cs="Times New Roman"/>
                <w:color w:val="auto"/>
                <w:kern w:val="2"/>
                <w:sz w:val="24"/>
                <w:szCs w:val="24"/>
                <w:highlight w:val="none"/>
                <w:lang w:val="en-US" w:eastAsia="zh-CN" w:bidi="ar-SA"/>
              </w:rPr>
              <w:t>采用锅外水处理。根据《排放源统计调查产排污核算方法和系数手册》的公告（生态环境部2021年6月9日），燃生物质蒸汽发生器（锅炉排污水＋软化处理废水项目工业废水产污系数为（锅外水处理）</w:t>
            </w:r>
            <w:r>
              <w:rPr>
                <w:rFonts w:hint="default" w:ascii="Times New Roman" w:hAnsi="Times New Roman" w:eastAsia="宋体" w:cs="Times New Roman"/>
                <w:color w:val="auto"/>
                <w:kern w:val="2"/>
                <w:sz w:val="24"/>
                <w:szCs w:val="24"/>
                <w:highlight w:val="none"/>
                <w:lang w:val="en-US" w:eastAsia="zh-CN" w:bidi="ar-SA"/>
              </w:rPr>
              <w:t>为0.</w:t>
            </w:r>
            <w:r>
              <w:rPr>
                <w:rFonts w:hint="eastAsia" w:ascii="Times New Roman" w:hAnsi="Times New Roman" w:eastAsia="宋体" w:cs="Times New Roman"/>
                <w:color w:val="auto"/>
                <w:kern w:val="2"/>
                <w:sz w:val="24"/>
                <w:szCs w:val="24"/>
                <w:highlight w:val="none"/>
                <w:lang w:val="en-US" w:eastAsia="zh-CN" w:bidi="ar-SA"/>
              </w:rPr>
              <w:t>356</w:t>
            </w:r>
            <w:r>
              <w:rPr>
                <w:rFonts w:hint="default" w:ascii="Times New Roman" w:hAnsi="Times New Roman" w:eastAsia="宋体" w:cs="Times New Roman"/>
                <w:color w:val="auto"/>
                <w:kern w:val="2"/>
                <w:sz w:val="24"/>
                <w:szCs w:val="24"/>
                <w:highlight w:val="none"/>
                <w:lang w:val="en-US" w:eastAsia="zh-CN" w:bidi="ar-SA"/>
              </w:rPr>
              <w:t>吨/吨-原料</w:t>
            </w:r>
            <w:r>
              <w:rPr>
                <w:rFonts w:hint="eastAsia" w:ascii="Times New Roman" w:hAnsi="Times New Roman" w:eastAsia="宋体" w:cs="Times New Roman"/>
                <w:color w:val="auto"/>
                <w:kern w:val="2"/>
                <w:sz w:val="24"/>
                <w:szCs w:val="24"/>
                <w:highlight w:val="none"/>
                <w:lang w:val="en-US" w:eastAsia="zh-CN" w:bidi="ar-SA"/>
              </w:rPr>
              <w:t>，本项目年燃烧生物质燃料</w:t>
            </w:r>
            <w:r>
              <w:rPr>
                <w:rFonts w:hint="eastAsia" w:cs="Times New Roman"/>
                <w:color w:val="auto"/>
                <w:kern w:val="2"/>
                <w:sz w:val="24"/>
                <w:szCs w:val="24"/>
                <w:highlight w:val="none"/>
                <w:lang w:val="en-US" w:eastAsia="zh-CN" w:bidi="ar-SA"/>
              </w:rPr>
              <w:t>1018.3131</w:t>
            </w:r>
            <w:r>
              <w:rPr>
                <w:rFonts w:hint="eastAsia" w:ascii="Times New Roman" w:hAnsi="Times New Roman" w:eastAsia="宋体" w:cs="Times New Roman"/>
                <w:color w:val="auto"/>
                <w:kern w:val="2"/>
                <w:sz w:val="24"/>
                <w:szCs w:val="24"/>
                <w:highlight w:val="none"/>
                <w:lang w:val="en-US" w:eastAsia="zh-CN" w:bidi="ar-SA"/>
              </w:rPr>
              <w:t>t/a，故</w:t>
            </w:r>
            <w:r>
              <w:rPr>
                <w:rFonts w:hint="eastAsia" w:cs="Times New Roman"/>
                <w:color w:val="auto"/>
                <w:kern w:val="2"/>
                <w:sz w:val="24"/>
                <w:szCs w:val="24"/>
                <w:highlight w:val="none"/>
                <w:lang w:val="en-US" w:eastAsia="zh-CN" w:bidi="ar-SA"/>
              </w:rPr>
              <w:t>蒸汽发生器</w:t>
            </w:r>
            <w:r>
              <w:rPr>
                <w:rFonts w:hint="eastAsia" w:ascii="Times New Roman" w:hAnsi="Times New Roman" w:eastAsia="宋体" w:cs="Times New Roman"/>
                <w:color w:val="auto"/>
                <w:kern w:val="2"/>
                <w:sz w:val="24"/>
                <w:szCs w:val="24"/>
                <w:highlight w:val="none"/>
                <w:lang w:val="en-US" w:eastAsia="zh-CN" w:bidi="ar-SA"/>
              </w:rPr>
              <w:t>排水量为</w:t>
            </w:r>
            <w:r>
              <w:rPr>
                <w:rFonts w:hint="eastAsia" w:cs="Times New Roman"/>
                <w:color w:val="auto"/>
                <w:kern w:val="2"/>
                <w:sz w:val="24"/>
                <w:szCs w:val="24"/>
                <w:highlight w:val="none"/>
                <w:lang w:val="en-US" w:eastAsia="zh-CN" w:bidi="ar-SA"/>
              </w:rPr>
              <w:t>362.52</w:t>
            </w:r>
            <w:r>
              <w:rPr>
                <w:rFonts w:hint="eastAsia" w:ascii="Times New Roman" w:hAnsi="Times New Roman" w:eastAsia="宋体" w:cs="Times New Roman"/>
                <w:color w:val="auto"/>
                <w:kern w:val="2"/>
                <w:sz w:val="24"/>
                <w:szCs w:val="24"/>
                <w:highlight w:val="none"/>
                <w:lang w:val="en-US" w:eastAsia="zh-CN" w:bidi="ar-SA"/>
              </w:rPr>
              <w:t>t/a。按10%消耗计算，总用水量为</w:t>
            </w:r>
            <w:r>
              <w:rPr>
                <w:rFonts w:hint="eastAsia" w:cs="Times New Roman"/>
                <w:color w:val="auto"/>
                <w:kern w:val="2"/>
                <w:sz w:val="24"/>
                <w:szCs w:val="24"/>
                <w:highlight w:val="none"/>
                <w:lang w:val="en-US" w:eastAsia="zh-CN" w:bidi="ar-SA"/>
              </w:rPr>
              <w:t>402.8</w:t>
            </w:r>
            <w:r>
              <w:rPr>
                <w:rFonts w:hint="eastAsia" w:ascii="Times New Roman" w:hAnsi="Times New Roman" w:eastAsia="宋体" w:cs="Times New Roman"/>
                <w:color w:val="auto"/>
                <w:kern w:val="2"/>
                <w:sz w:val="24"/>
                <w:szCs w:val="24"/>
                <w:highlight w:val="none"/>
                <w:lang w:val="en-US" w:eastAsia="zh-CN" w:bidi="ar-SA"/>
              </w:rPr>
              <w:t>t/a，蒸汽发生器用水来自软化水制备系统，包括蒸汽发生器和软水制备用水。</w:t>
            </w:r>
          </w:p>
          <w:p w14:paraId="6CC4B6DB">
            <w:pPr>
              <w:keepNext w:val="0"/>
              <w:keepLines w:val="0"/>
              <w:pageBreakBefore w:val="0"/>
              <w:widowControl w:val="0"/>
              <w:kinsoku/>
              <w:wordWrap/>
              <w:overflowPunct/>
              <w:topLinePunct w:val="0"/>
              <w:bidi w:val="0"/>
              <w:adjustRightInd w:val="0"/>
              <w:snapToGri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（2）排水</w:t>
            </w:r>
          </w:p>
          <w:p w14:paraId="174D9231">
            <w:pPr>
              <w:keepNext w:val="0"/>
              <w:keepLines w:val="0"/>
              <w:pageBreakBefore w:val="0"/>
              <w:widowControl w:val="0"/>
              <w:kinsoku/>
              <w:wordWrap/>
              <w:overflowPunct/>
              <w:topLinePunct w:val="0"/>
              <w:bidi w:val="0"/>
              <w:adjustRightInd w:val="0"/>
              <w:snapToGri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本项目污水主要为职工的生活污水、生产废水</w:t>
            </w: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蒸汽发生器</w:t>
            </w:r>
            <w:r>
              <w:rPr>
                <w:rFonts w:hint="default" w:ascii="Times New Roman" w:hAnsi="Times New Roman" w:eastAsia="宋体" w:cs="Times New Roman"/>
                <w:color w:val="auto"/>
                <w:kern w:val="2"/>
                <w:sz w:val="24"/>
                <w:szCs w:val="24"/>
                <w:highlight w:val="none"/>
                <w:lang w:val="en-US" w:eastAsia="zh-CN" w:bidi="ar-SA"/>
              </w:rPr>
              <w:t>排污水</w:t>
            </w:r>
            <w:r>
              <w:rPr>
                <w:rFonts w:hint="eastAsia" w:cs="Times New Roman"/>
                <w:color w:val="auto"/>
                <w:kern w:val="2"/>
                <w:sz w:val="24"/>
                <w:szCs w:val="24"/>
                <w:highlight w:val="none"/>
                <w:lang w:val="en-US" w:eastAsia="zh-CN" w:bidi="ar-SA"/>
              </w:rPr>
              <w:t>及软化处理废水、养护废水、初期雨水</w:t>
            </w:r>
          </w:p>
          <w:p w14:paraId="2F7925FE">
            <w:pPr>
              <w:keepNext w:val="0"/>
              <w:keepLines w:val="0"/>
              <w:pageBreakBefore w:val="0"/>
              <w:widowControl w:val="0"/>
              <w:kinsoku/>
              <w:wordWrap/>
              <w:overflowPunct/>
              <w:topLinePunct w:val="0"/>
              <w:bidi w:val="0"/>
              <w:adjustRightInd w:val="0"/>
              <w:snapToGri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1）生活污水</w:t>
            </w:r>
          </w:p>
          <w:p w14:paraId="19C39296">
            <w:pPr>
              <w:keepNext w:val="0"/>
              <w:keepLines w:val="0"/>
              <w:pageBreakBefore w:val="0"/>
              <w:widowControl w:val="0"/>
              <w:kinsoku/>
              <w:wordWrap/>
              <w:overflowPunct/>
              <w:topLinePunct w:val="0"/>
              <w:bidi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本项目废水产生量按照用水量的80%计算，运营期污水排放量为</w:t>
            </w:r>
            <w:r>
              <w:rPr>
                <w:rFonts w:hint="eastAsia" w:cs="Times New Roman"/>
                <w:color w:val="auto"/>
                <w:kern w:val="2"/>
                <w:sz w:val="24"/>
                <w:szCs w:val="24"/>
                <w:highlight w:val="none"/>
                <w:lang w:val="en-US" w:eastAsia="zh-CN" w:bidi="ar-SA"/>
              </w:rPr>
              <w:t>0.64</w:t>
            </w:r>
            <w:r>
              <w:rPr>
                <w:rFonts w:hint="default" w:ascii="Times New Roman" w:hAnsi="Times New Roman" w:eastAsia="宋体" w:cs="Times New Roman"/>
                <w:color w:val="auto"/>
                <w:kern w:val="2"/>
                <w:sz w:val="24"/>
                <w:szCs w:val="24"/>
                <w:highlight w:val="none"/>
                <w:lang w:val="en-US" w:eastAsia="zh-CN" w:bidi="ar-SA"/>
              </w:rPr>
              <w:t>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/d、</w:t>
            </w:r>
            <w:r>
              <w:rPr>
                <w:rFonts w:hint="eastAsia" w:cs="Times New Roman"/>
                <w:color w:val="auto"/>
                <w:kern w:val="2"/>
                <w:sz w:val="24"/>
                <w:szCs w:val="24"/>
                <w:highlight w:val="none"/>
                <w:lang w:val="en-US" w:eastAsia="zh-CN" w:bidi="ar-SA"/>
              </w:rPr>
              <w:t>102.4</w:t>
            </w:r>
            <w:r>
              <w:rPr>
                <w:rFonts w:hint="default" w:ascii="Times New Roman" w:hAnsi="Times New Roman" w:eastAsia="宋体" w:cs="Times New Roman"/>
                <w:color w:val="auto"/>
                <w:kern w:val="2"/>
                <w:sz w:val="24"/>
                <w:szCs w:val="24"/>
                <w:highlight w:val="none"/>
                <w:lang w:val="en-US" w:eastAsia="zh-CN" w:bidi="ar-SA"/>
              </w:rPr>
              <w:t>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/a。</w:t>
            </w:r>
            <w:r>
              <w:rPr>
                <w:rFonts w:hint="eastAsia" w:cs="Times New Roman"/>
                <w:color w:val="auto"/>
                <w:kern w:val="2"/>
                <w:sz w:val="24"/>
                <w:szCs w:val="24"/>
                <w:highlight w:val="none"/>
                <w:lang w:val="en-US" w:eastAsia="zh-CN" w:bidi="ar-SA"/>
              </w:rPr>
              <w:t>排放厂区防渗旱厕，定期清掏外运堆肥。</w:t>
            </w:r>
          </w:p>
          <w:p w14:paraId="193ABDA7">
            <w:pPr>
              <w:numPr>
                <w:ilvl w:val="0"/>
                <w:numId w:val="0"/>
              </w:numPr>
              <w:adjustRightInd w:val="0"/>
              <w:snapToGrid w:val="0"/>
              <w:spacing w:line="360" w:lineRule="auto"/>
              <w:ind w:firstLine="480" w:firstLineChars="200"/>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2）搅拌设备清洗废水</w:t>
            </w:r>
          </w:p>
          <w:p w14:paraId="2F537682">
            <w:pPr>
              <w:widowControl/>
              <w:spacing w:after="0" w:line="360" w:lineRule="auto"/>
              <w:ind w:left="-6" w:leftChars="-3"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本项目搅拌设备清洗废水</w:t>
            </w:r>
            <w:r>
              <w:rPr>
                <w:rFonts w:hint="default" w:ascii="Times New Roman" w:hAnsi="Times New Roman" w:eastAsia="宋体" w:cs="Times New Roman"/>
                <w:color w:val="auto"/>
                <w:kern w:val="2"/>
                <w:sz w:val="24"/>
                <w:szCs w:val="24"/>
                <w:highlight w:val="none"/>
                <w:lang w:val="en-US" w:eastAsia="zh-CN" w:bidi="ar-SA"/>
              </w:rPr>
              <w:t>按照用水量的80%计算</w:t>
            </w:r>
            <w:r>
              <w:rPr>
                <w:rFonts w:hint="eastAsia" w:ascii="Times New Roman" w:hAnsi="Times New Roman" w:eastAsia="宋体" w:cs="Times New Roman"/>
                <w:color w:val="auto"/>
                <w:kern w:val="2"/>
                <w:sz w:val="24"/>
                <w:szCs w:val="24"/>
                <w:highlight w:val="none"/>
                <w:lang w:val="en-US" w:eastAsia="zh-CN" w:bidi="ar-SA"/>
              </w:rPr>
              <w:t>,产生清洗废水</w:t>
            </w:r>
            <w:r>
              <w:rPr>
                <w:rFonts w:hint="eastAsia" w:cs="Times New Roman"/>
                <w:color w:val="auto"/>
                <w:kern w:val="2"/>
                <w:sz w:val="24"/>
                <w:szCs w:val="24"/>
                <w:highlight w:val="none"/>
                <w:lang w:val="en-US" w:eastAsia="zh-CN" w:bidi="ar-SA"/>
              </w:rPr>
              <w:t>1.6</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w:t>
            </w:r>
            <w:r>
              <w:rPr>
                <w:rFonts w:hint="eastAsia" w:cs="Times New Roman"/>
                <w:color w:val="auto"/>
                <w:kern w:val="2"/>
                <w:sz w:val="24"/>
                <w:szCs w:val="24"/>
                <w:highlight w:val="none"/>
                <w:lang w:val="en-US" w:eastAsia="zh-CN" w:bidi="ar-SA"/>
              </w:rPr>
              <w:t>336</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 xml:space="preserve">/a),损耗水量 </w:t>
            </w:r>
            <w:r>
              <w:rPr>
                <w:rFonts w:hint="eastAsia" w:cs="Times New Roman"/>
                <w:color w:val="auto"/>
                <w:kern w:val="2"/>
                <w:sz w:val="24"/>
                <w:szCs w:val="24"/>
                <w:highlight w:val="none"/>
                <w:lang w:val="en-US" w:eastAsia="zh-CN" w:bidi="ar-SA"/>
              </w:rPr>
              <w:t>0.4</w:t>
            </w:r>
            <w:r>
              <w:rPr>
                <w:rFonts w:hint="eastAsia" w:ascii="Times New Roman" w:hAnsi="Times New Roman" w:eastAsia="宋体" w:cs="Times New Roman"/>
                <w:color w:val="auto"/>
                <w:kern w:val="2"/>
                <w:sz w:val="24"/>
                <w:szCs w:val="24"/>
                <w:highlight w:val="none"/>
                <w:lang w:val="en-US" w:eastAsia="zh-CN" w:bidi="ar-SA"/>
              </w:rPr>
              <w:t xml:space="preserve"> 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w:t>
            </w:r>
            <w:r>
              <w:rPr>
                <w:rFonts w:hint="eastAsia" w:cs="Times New Roman"/>
                <w:color w:val="auto"/>
                <w:kern w:val="2"/>
                <w:sz w:val="24"/>
                <w:szCs w:val="24"/>
                <w:highlight w:val="none"/>
                <w:lang w:val="en-US" w:eastAsia="zh-CN" w:bidi="ar-SA"/>
              </w:rPr>
              <w:t>84</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/a)</w:t>
            </w:r>
            <w:r>
              <w:rPr>
                <w:rFonts w:hint="eastAsia" w:cs="Times New Roman"/>
                <w:color w:val="auto"/>
                <w:kern w:val="2"/>
                <w:sz w:val="24"/>
                <w:szCs w:val="24"/>
                <w:highlight w:val="none"/>
                <w:lang w:val="en-US" w:eastAsia="zh-CN" w:bidi="ar-SA"/>
              </w:rPr>
              <w:t>，厂区原有</w:t>
            </w:r>
            <w:r>
              <w:rPr>
                <w:rFonts w:hint="eastAsia" w:ascii="Times New Roman" w:hAnsi="Times New Roman" w:eastAsia="宋体" w:cs="Times New Roman"/>
                <w:color w:val="auto"/>
                <w:kern w:val="2"/>
                <w:sz w:val="24"/>
                <w:szCs w:val="24"/>
                <w:highlight w:val="none"/>
                <w:lang w:val="en-US" w:eastAsia="zh-CN" w:bidi="ar-SA"/>
              </w:rPr>
              <w:t>1座</w:t>
            </w:r>
            <w:r>
              <w:rPr>
                <w:rFonts w:hint="eastAsia" w:cs="Times New Roman"/>
                <w:color w:val="auto"/>
                <w:kern w:val="2"/>
                <w:sz w:val="24"/>
                <w:szCs w:val="24"/>
                <w:highlight w:val="none"/>
                <w:lang w:val="en-US" w:eastAsia="zh-CN" w:bidi="ar-SA"/>
              </w:rPr>
              <w:t>100</w:t>
            </w:r>
            <w:r>
              <w:rPr>
                <w:rFonts w:hint="eastAsia"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沉淀池，搅拌设备清洗水经沉淀池沉淀后</w:t>
            </w:r>
            <w:r>
              <w:rPr>
                <w:rFonts w:hint="eastAsia" w:cs="Times New Roman"/>
                <w:color w:val="auto"/>
                <w:kern w:val="2"/>
                <w:sz w:val="24"/>
                <w:szCs w:val="24"/>
                <w:highlight w:val="none"/>
                <w:lang w:val="en-US" w:eastAsia="zh-CN" w:bidi="ar-SA"/>
              </w:rPr>
              <w:t>回</w:t>
            </w:r>
            <w:r>
              <w:rPr>
                <w:rFonts w:hint="eastAsia" w:ascii="Times New Roman" w:hAnsi="Times New Roman" w:eastAsia="宋体" w:cs="Times New Roman"/>
                <w:color w:val="auto"/>
                <w:kern w:val="2"/>
                <w:sz w:val="24"/>
                <w:szCs w:val="24"/>
                <w:highlight w:val="none"/>
                <w:lang w:val="en-US" w:eastAsia="zh-CN" w:bidi="ar-SA"/>
              </w:rPr>
              <w:t>用于生产用于搅拌混凝土，不外排。</w:t>
            </w:r>
          </w:p>
          <w:p w14:paraId="054482F6">
            <w:pPr>
              <w:widowControl/>
              <w:spacing w:after="0" w:line="360" w:lineRule="auto"/>
              <w:ind w:left="-6" w:leftChars="-3" w:firstLine="480" w:firstLineChars="200"/>
              <w:jc w:val="both"/>
              <w:rPr>
                <w:rFonts w:hint="eastAsia"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3）养护废水</w:t>
            </w:r>
          </w:p>
          <w:p w14:paraId="69088797">
            <w:pPr>
              <w:widowControl/>
              <w:spacing w:after="0" w:line="360" w:lineRule="auto"/>
              <w:ind w:left="-6" w:leftChars="-3" w:firstLine="480" w:firstLineChars="200"/>
              <w:jc w:val="both"/>
              <w:rPr>
                <w:rFonts w:hint="default"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本项目养护废水为冷凝水，冷凝水回收效率约为60%，损耗量约为40%，产生蒸养废水13.5</w:t>
            </w:r>
            <w:r>
              <w:rPr>
                <w:rFonts w:hint="eastAsia" w:ascii="Times New Roman" w:hAnsi="Times New Roman" w:eastAsia="宋体" w:cs="Times New Roman"/>
                <w:color w:val="auto"/>
                <w:kern w:val="2"/>
                <w:sz w:val="24"/>
                <w:szCs w:val="24"/>
                <w:highlight w:val="yellow"/>
                <w:lang w:val="en-US" w:eastAsia="zh-CN" w:bidi="ar-SA"/>
              </w:rPr>
              <w:t>m</w:t>
            </w:r>
            <w:r>
              <w:rPr>
                <w:rFonts w:hint="eastAsia" w:cs="Times New Roman"/>
                <w:color w:val="auto"/>
                <w:kern w:val="2"/>
                <w:sz w:val="24"/>
                <w:szCs w:val="24"/>
                <w:highlight w:val="yellow"/>
                <w:vertAlign w:val="superscript"/>
                <w:lang w:val="en-US" w:eastAsia="zh-CN" w:bidi="ar-SA"/>
              </w:rPr>
              <w:t>3</w:t>
            </w:r>
            <w:r>
              <w:rPr>
                <w:rFonts w:hint="eastAsia" w:ascii="Times New Roman" w:hAnsi="Times New Roman" w:eastAsia="宋体" w:cs="Times New Roman"/>
                <w:color w:val="auto"/>
                <w:kern w:val="2"/>
                <w:sz w:val="24"/>
                <w:szCs w:val="24"/>
                <w:highlight w:val="yellow"/>
                <w:lang w:val="en-US" w:eastAsia="zh-CN" w:bidi="ar-SA"/>
              </w:rPr>
              <w:t>/d(</w:t>
            </w:r>
            <w:r>
              <w:rPr>
                <w:rFonts w:hint="eastAsia" w:cs="Times New Roman"/>
                <w:color w:val="auto"/>
                <w:kern w:val="2"/>
                <w:sz w:val="24"/>
                <w:szCs w:val="24"/>
                <w:highlight w:val="yellow"/>
                <w:lang w:val="en-US" w:eastAsia="zh-CN" w:bidi="ar-SA"/>
              </w:rPr>
              <w:t>2835</w:t>
            </w:r>
            <w:r>
              <w:rPr>
                <w:rFonts w:hint="eastAsia" w:ascii="Times New Roman" w:hAnsi="Times New Roman" w:eastAsia="宋体" w:cs="Times New Roman"/>
                <w:color w:val="auto"/>
                <w:kern w:val="2"/>
                <w:sz w:val="24"/>
                <w:szCs w:val="24"/>
                <w:highlight w:val="yellow"/>
                <w:lang w:val="en-US" w:eastAsia="zh-CN" w:bidi="ar-SA"/>
              </w:rPr>
              <w:t>m</w:t>
            </w:r>
            <w:r>
              <w:rPr>
                <w:rFonts w:hint="eastAsia" w:cs="Times New Roman"/>
                <w:color w:val="auto"/>
                <w:kern w:val="2"/>
                <w:sz w:val="24"/>
                <w:szCs w:val="24"/>
                <w:highlight w:val="yellow"/>
                <w:vertAlign w:val="superscript"/>
                <w:lang w:val="en-US" w:eastAsia="zh-CN" w:bidi="ar-SA"/>
              </w:rPr>
              <w:t>3</w:t>
            </w:r>
            <w:r>
              <w:rPr>
                <w:rFonts w:hint="eastAsia" w:ascii="Times New Roman" w:hAnsi="Times New Roman" w:eastAsia="宋体" w:cs="Times New Roman"/>
                <w:color w:val="auto"/>
                <w:kern w:val="2"/>
                <w:sz w:val="24"/>
                <w:szCs w:val="24"/>
                <w:highlight w:val="yellow"/>
                <w:lang w:val="en-US" w:eastAsia="zh-CN" w:bidi="ar-SA"/>
              </w:rPr>
              <w:t>/a),损耗水量</w:t>
            </w:r>
            <w:r>
              <w:rPr>
                <w:rFonts w:hint="eastAsia" w:cs="Times New Roman"/>
                <w:color w:val="auto"/>
                <w:kern w:val="2"/>
                <w:sz w:val="24"/>
                <w:szCs w:val="24"/>
                <w:highlight w:val="yellow"/>
                <w:lang w:val="en-US" w:eastAsia="zh-CN" w:bidi="ar-SA"/>
              </w:rPr>
              <w:t>9</w:t>
            </w:r>
            <w:r>
              <w:rPr>
                <w:rFonts w:hint="eastAsia" w:ascii="Times New Roman" w:hAnsi="Times New Roman" w:eastAsia="宋体" w:cs="Times New Roman"/>
                <w:color w:val="auto"/>
                <w:kern w:val="2"/>
                <w:sz w:val="24"/>
                <w:szCs w:val="24"/>
                <w:highlight w:val="yellow"/>
                <w:lang w:val="en-US" w:eastAsia="zh-CN" w:bidi="ar-SA"/>
              </w:rPr>
              <w:t>m</w:t>
            </w:r>
            <w:r>
              <w:rPr>
                <w:rFonts w:hint="eastAsia" w:cs="Times New Roman"/>
                <w:color w:val="auto"/>
                <w:kern w:val="2"/>
                <w:sz w:val="24"/>
                <w:szCs w:val="24"/>
                <w:highlight w:val="yellow"/>
                <w:vertAlign w:val="superscript"/>
                <w:lang w:val="en-US" w:eastAsia="zh-CN" w:bidi="ar-SA"/>
              </w:rPr>
              <w:t>3</w:t>
            </w:r>
            <w:r>
              <w:rPr>
                <w:rFonts w:hint="eastAsia" w:ascii="Times New Roman" w:hAnsi="Times New Roman" w:eastAsia="宋体" w:cs="Times New Roman"/>
                <w:color w:val="auto"/>
                <w:kern w:val="2"/>
                <w:sz w:val="24"/>
                <w:szCs w:val="24"/>
                <w:highlight w:val="yellow"/>
                <w:lang w:val="en-US" w:eastAsia="zh-CN" w:bidi="ar-SA"/>
              </w:rPr>
              <w:t>/d(</w:t>
            </w:r>
            <w:r>
              <w:rPr>
                <w:rFonts w:hint="eastAsia" w:cs="Times New Roman"/>
                <w:color w:val="auto"/>
                <w:kern w:val="2"/>
                <w:sz w:val="24"/>
                <w:szCs w:val="24"/>
                <w:highlight w:val="yellow"/>
                <w:lang w:val="en-US" w:eastAsia="zh-CN" w:bidi="ar-SA"/>
              </w:rPr>
              <w:t>1890</w:t>
            </w:r>
            <w:r>
              <w:rPr>
                <w:rFonts w:hint="eastAsia" w:ascii="Times New Roman" w:hAnsi="Times New Roman" w:eastAsia="宋体" w:cs="Times New Roman"/>
                <w:color w:val="auto"/>
                <w:kern w:val="2"/>
                <w:sz w:val="24"/>
                <w:szCs w:val="24"/>
                <w:highlight w:val="yellow"/>
                <w:lang w:val="en-US" w:eastAsia="zh-CN" w:bidi="ar-SA"/>
              </w:rPr>
              <w:t>m</w:t>
            </w:r>
            <w:r>
              <w:rPr>
                <w:rFonts w:hint="eastAsia" w:cs="Times New Roman"/>
                <w:color w:val="auto"/>
                <w:kern w:val="2"/>
                <w:sz w:val="24"/>
                <w:szCs w:val="24"/>
                <w:highlight w:val="yellow"/>
                <w:vertAlign w:val="superscript"/>
                <w:lang w:val="en-US" w:eastAsia="zh-CN" w:bidi="ar-SA"/>
              </w:rPr>
              <w:t>3</w:t>
            </w:r>
            <w:r>
              <w:rPr>
                <w:rFonts w:hint="eastAsia" w:ascii="Times New Roman" w:hAnsi="Times New Roman" w:eastAsia="宋体" w:cs="Times New Roman"/>
                <w:color w:val="auto"/>
                <w:kern w:val="2"/>
                <w:sz w:val="24"/>
                <w:szCs w:val="24"/>
                <w:highlight w:val="yellow"/>
                <w:lang w:val="en-US" w:eastAsia="zh-CN" w:bidi="ar-SA"/>
              </w:rPr>
              <w:t>/a)</w:t>
            </w:r>
            <w:r>
              <w:rPr>
                <w:rFonts w:hint="eastAsia" w:cs="Times New Roman"/>
                <w:color w:val="auto"/>
                <w:kern w:val="2"/>
                <w:sz w:val="24"/>
                <w:szCs w:val="24"/>
                <w:highlight w:val="yellow"/>
                <w:lang w:val="en-US" w:eastAsia="zh-CN" w:bidi="ar-SA"/>
              </w:rPr>
              <w:t>。</w:t>
            </w:r>
          </w:p>
          <w:p w14:paraId="06568F20">
            <w:pPr>
              <w:keepNext w:val="0"/>
              <w:keepLines w:val="0"/>
              <w:pageBreakBefore w:val="0"/>
              <w:widowControl w:val="0"/>
              <w:kinsoku/>
              <w:wordWrap/>
              <w:overflowPunct/>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蒸汽发生器排污水和软化处理废水</w:t>
            </w:r>
          </w:p>
          <w:p w14:paraId="3FE64DD8">
            <w:pPr>
              <w:pStyle w:val="48"/>
              <w:keepNext w:val="0"/>
              <w:keepLines w:val="0"/>
              <w:pageBreakBefore w:val="0"/>
              <w:widowControl w:val="0"/>
              <w:kinsoku/>
              <w:wordWrap/>
              <w:overflowPunct/>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本项目设置</w:t>
            </w:r>
            <w:r>
              <w:rPr>
                <w:rFonts w:hint="eastAsia" w:ascii="Times New Roman" w:hAnsi="Times New Roman"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台</w:t>
            </w:r>
            <w:r>
              <w:rPr>
                <w:rFonts w:hint="eastAsia" w:cs="Times New Roman"/>
                <w:color w:val="auto"/>
                <w:kern w:val="2"/>
                <w:sz w:val="24"/>
                <w:szCs w:val="24"/>
                <w:highlight w:val="none"/>
                <w:lang w:val="en-US" w:eastAsia="zh-CN" w:bidi="ar-SA"/>
              </w:rPr>
              <w:t>燃生物质</w:t>
            </w:r>
            <w:r>
              <w:rPr>
                <w:rFonts w:hint="eastAsia" w:ascii="Times New Roman" w:hAnsi="Times New Roman" w:eastAsia="宋体" w:cs="Times New Roman"/>
                <w:color w:val="auto"/>
                <w:kern w:val="2"/>
                <w:sz w:val="24"/>
                <w:szCs w:val="24"/>
                <w:highlight w:val="none"/>
                <w:lang w:val="en-US" w:eastAsia="zh-CN" w:bidi="ar-SA"/>
              </w:rPr>
              <w:t>蒸汽</w:t>
            </w:r>
            <w:r>
              <w:rPr>
                <w:rFonts w:hint="eastAsia" w:ascii="Times New Roman" w:hAnsi="Times New Roman" w:cs="Times New Roman"/>
                <w:color w:val="auto"/>
                <w:kern w:val="2"/>
                <w:sz w:val="24"/>
                <w:szCs w:val="24"/>
                <w:highlight w:val="none"/>
                <w:lang w:val="en-US" w:eastAsia="zh-CN" w:bidi="ar-SA"/>
              </w:rPr>
              <w:t>发生器（1用1备）</w:t>
            </w:r>
            <w:r>
              <w:rPr>
                <w:rFonts w:hint="eastAsia" w:ascii="Times New Roman" w:hAnsi="Times New Roman" w:eastAsia="宋体" w:cs="Times New Roman"/>
                <w:color w:val="auto"/>
                <w:kern w:val="2"/>
                <w:sz w:val="24"/>
                <w:szCs w:val="24"/>
                <w:highlight w:val="none"/>
                <w:lang w:val="en-US" w:eastAsia="zh-CN" w:bidi="ar-SA"/>
              </w:rPr>
              <w:t>，本项目设置软化水系统。根据《排放源统计调查产排污核算方法和系数手册》的公告（生态环境部2021年6月9日），燃生物质蒸汽发生器（</w:t>
            </w:r>
            <w:r>
              <w:rPr>
                <w:rFonts w:hint="eastAsia" w:ascii="Times New Roman" w:hAnsi="Times New Roman" w:cs="Times New Roman"/>
                <w:color w:val="auto"/>
                <w:kern w:val="2"/>
                <w:sz w:val="24"/>
                <w:szCs w:val="24"/>
                <w:highlight w:val="none"/>
                <w:lang w:val="en-US" w:eastAsia="zh-CN" w:bidi="ar-SA"/>
              </w:rPr>
              <w:t>蒸汽发生器</w:t>
            </w:r>
            <w:r>
              <w:rPr>
                <w:rFonts w:hint="eastAsia" w:ascii="Times New Roman" w:hAnsi="Times New Roman" w:eastAsia="宋体" w:cs="Times New Roman"/>
                <w:color w:val="auto"/>
                <w:kern w:val="2"/>
                <w:sz w:val="24"/>
                <w:szCs w:val="24"/>
                <w:highlight w:val="none"/>
                <w:lang w:val="en-US" w:eastAsia="zh-CN" w:bidi="ar-SA"/>
              </w:rPr>
              <w:t>排污水＋软化处理废水项目工业废水产污系数为（锅外水处理）</w:t>
            </w:r>
            <w:r>
              <w:rPr>
                <w:rFonts w:hint="default" w:ascii="Times New Roman" w:hAnsi="Times New Roman" w:eastAsia="宋体" w:cs="Times New Roman"/>
                <w:color w:val="auto"/>
                <w:kern w:val="2"/>
                <w:sz w:val="24"/>
                <w:szCs w:val="24"/>
                <w:highlight w:val="none"/>
                <w:lang w:val="en-US" w:eastAsia="zh-CN" w:bidi="ar-SA"/>
              </w:rPr>
              <w:t>为0.</w:t>
            </w:r>
            <w:r>
              <w:rPr>
                <w:rFonts w:hint="eastAsia" w:ascii="Times New Roman" w:hAnsi="Times New Roman" w:eastAsia="宋体" w:cs="Times New Roman"/>
                <w:color w:val="auto"/>
                <w:kern w:val="2"/>
                <w:sz w:val="24"/>
                <w:szCs w:val="24"/>
                <w:highlight w:val="none"/>
                <w:lang w:val="en-US" w:eastAsia="zh-CN" w:bidi="ar-SA"/>
              </w:rPr>
              <w:t>356</w:t>
            </w:r>
            <w:r>
              <w:rPr>
                <w:rFonts w:hint="default" w:ascii="Times New Roman" w:hAnsi="Times New Roman" w:eastAsia="宋体" w:cs="Times New Roman"/>
                <w:color w:val="auto"/>
                <w:kern w:val="2"/>
                <w:sz w:val="24"/>
                <w:szCs w:val="24"/>
                <w:highlight w:val="none"/>
                <w:lang w:val="en-US" w:eastAsia="zh-CN" w:bidi="ar-SA"/>
              </w:rPr>
              <w:t>吨/吨-原料</w:t>
            </w:r>
            <w:r>
              <w:rPr>
                <w:rFonts w:hint="eastAsia" w:ascii="Times New Roman" w:hAnsi="Times New Roman" w:eastAsia="宋体" w:cs="Times New Roman"/>
                <w:color w:val="auto"/>
                <w:kern w:val="2"/>
                <w:sz w:val="24"/>
                <w:szCs w:val="24"/>
                <w:highlight w:val="none"/>
                <w:lang w:val="en-US" w:eastAsia="zh-CN" w:bidi="ar-SA"/>
              </w:rPr>
              <w:t>，本项目年燃烧生物质燃料</w:t>
            </w:r>
            <w:r>
              <w:rPr>
                <w:rFonts w:hint="eastAsia" w:ascii="Times New Roman" w:hAnsi="Times New Roman" w:cs="Times New Roman"/>
                <w:color w:val="auto"/>
                <w:kern w:val="2"/>
                <w:sz w:val="24"/>
                <w:szCs w:val="24"/>
                <w:highlight w:val="none"/>
                <w:lang w:val="en-US" w:eastAsia="zh-CN" w:bidi="ar-SA"/>
              </w:rPr>
              <w:t>1018.3131</w:t>
            </w:r>
            <w:r>
              <w:rPr>
                <w:rFonts w:hint="eastAsia" w:ascii="Times New Roman" w:hAnsi="Times New Roman" w:eastAsia="宋体" w:cs="Times New Roman"/>
                <w:color w:val="auto"/>
                <w:kern w:val="2"/>
                <w:sz w:val="24"/>
                <w:szCs w:val="24"/>
                <w:highlight w:val="none"/>
                <w:lang w:val="en-US" w:eastAsia="zh-CN" w:bidi="ar-SA"/>
              </w:rPr>
              <w:t>t/a，故</w:t>
            </w:r>
            <w:r>
              <w:rPr>
                <w:rFonts w:hint="eastAsia" w:ascii="Times New Roman" w:hAnsi="Times New Roman" w:cs="Times New Roman"/>
                <w:color w:val="auto"/>
                <w:kern w:val="2"/>
                <w:sz w:val="24"/>
                <w:szCs w:val="24"/>
                <w:highlight w:val="none"/>
                <w:lang w:val="en-US" w:eastAsia="zh-CN" w:bidi="ar-SA"/>
              </w:rPr>
              <w:t>蒸汽发生器</w:t>
            </w:r>
            <w:r>
              <w:rPr>
                <w:rFonts w:hint="eastAsia" w:ascii="Times New Roman" w:hAnsi="Times New Roman" w:eastAsia="宋体" w:cs="Times New Roman"/>
                <w:color w:val="auto"/>
                <w:kern w:val="2"/>
                <w:sz w:val="24"/>
                <w:szCs w:val="24"/>
                <w:highlight w:val="none"/>
                <w:lang w:val="en-US" w:eastAsia="zh-CN" w:bidi="ar-SA"/>
              </w:rPr>
              <w:t>排水量为</w:t>
            </w:r>
            <w:r>
              <w:rPr>
                <w:rFonts w:hint="eastAsia" w:ascii="Times New Roman" w:hAnsi="Times New Roman" w:cs="Times New Roman"/>
                <w:color w:val="auto"/>
                <w:kern w:val="2"/>
                <w:sz w:val="24"/>
                <w:szCs w:val="24"/>
                <w:highlight w:val="none"/>
                <w:lang w:val="en-US" w:eastAsia="zh-CN" w:bidi="ar-SA"/>
              </w:rPr>
              <w:t>362.52</w:t>
            </w:r>
            <w:r>
              <w:rPr>
                <w:rFonts w:hint="eastAsia" w:ascii="Times New Roman" w:hAnsi="Times New Roman" w:eastAsia="宋体" w:cs="Times New Roman"/>
                <w:color w:val="auto"/>
                <w:kern w:val="2"/>
                <w:sz w:val="24"/>
                <w:szCs w:val="24"/>
                <w:highlight w:val="none"/>
                <w:lang w:val="en-US" w:eastAsia="zh-CN" w:bidi="ar-SA"/>
              </w:rPr>
              <w:t>t/a</w:t>
            </w:r>
            <w:r>
              <w:rPr>
                <w:rFonts w:hint="eastAsia" w:cs="Times New Roman"/>
                <w:color w:val="000000"/>
                <w:kern w:val="0"/>
                <w:sz w:val="24"/>
                <w:szCs w:val="24"/>
                <w:highlight w:val="none"/>
                <w:lang w:val="en-US" w:eastAsia="zh-CN" w:bidi="ar"/>
              </w:rPr>
              <w:t>。</w:t>
            </w:r>
            <w:r>
              <w:rPr>
                <w:rFonts w:hint="eastAsia" w:cs="Times New Roman"/>
                <w:color w:val="auto"/>
                <w:kern w:val="2"/>
                <w:sz w:val="24"/>
                <w:szCs w:val="24"/>
                <w:highlight w:val="none"/>
                <w:lang w:val="en-US" w:eastAsia="zh-CN" w:bidi="ar-SA"/>
              </w:rPr>
              <w:t>蒸汽发生器排污水和软化处理废水为清洁下水，经沉淀池沉淀后回用于生产，不外排。</w:t>
            </w:r>
          </w:p>
          <w:p w14:paraId="312F760B">
            <w:pPr>
              <w:keepNext w:val="0"/>
              <w:keepLines w:val="0"/>
              <w:pageBreakBefore w:val="0"/>
              <w:widowControl w:val="0"/>
              <w:kinsoku/>
              <w:wordWrap/>
              <w:overflowPunct/>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5</w:t>
            </w:r>
            <w:r>
              <w:rPr>
                <w:rFonts w:hint="eastAsia" w:ascii="Times New Roman" w:hAnsi="Times New Roman" w:eastAsia="宋体" w:cs="Times New Roman"/>
                <w:color w:val="auto"/>
                <w:kern w:val="2"/>
                <w:sz w:val="24"/>
                <w:szCs w:val="24"/>
                <w:highlight w:val="yellow"/>
                <w:lang w:val="en-US" w:eastAsia="zh-CN" w:bidi="ar-SA"/>
              </w:rPr>
              <w:t>）</w:t>
            </w:r>
            <w:r>
              <w:rPr>
                <w:rFonts w:hint="eastAsia" w:cs="Times New Roman"/>
                <w:color w:val="auto"/>
                <w:kern w:val="2"/>
                <w:sz w:val="24"/>
                <w:szCs w:val="24"/>
                <w:highlight w:val="yellow"/>
                <w:lang w:val="en-US" w:eastAsia="zh-CN" w:bidi="ar-SA"/>
              </w:rPr>
              <w:t>初期雨水</w:t>
            </w:r>
          </w:p>
          <w:p w14:paraId="6BAC7D52">
            <w:pPr>
              <w:adjustRightInd w:val="0"/>
              <w:snapToGrid w:val="0"/>
              <w:spacing w:line="360" w:lineRule="auto"/>
              <w:ind w:firstLine="480" w:firstLineChars="200"/>
              <w:rPr>
                <w:rFonts w:hint="eastAsia"/>
                <w:sz w:val="24"/>
                <w:highlight w:val="yellow"/>
                <w:lang w:val="en-US" w:eastAsia="zh-CN"/>
              </w:rPr>
            </w:pPr>
            <w:r>
              <w:rPr>
                <w:rFonts w:hint="eastAsia"/>
                <w:sz w:val="24"/>
                <w:highlight w:val="yellow"/>
              </w:rPr>
              <w:t>本项目</w:t>
            </w:r>
            <w:r>
              <w:rPr>
                <w:rFonts w:hint="eastAsia"/>
                <w:sz w:val="24"/>
                <w:highlight w:val="yellow"/>
                <w:lang w:val="en-US" w:eastAsia="zh-CN"/>
              </w:rPr>
              <w:t>初期雨水:厂区设雨水收集系统，收集15分钟初期雨水排入厂区沉淀池经沉淀后回用于生产。</w:t>
            </w:r>
          </w:p>
          <w:p w14:paraId="6C394278">
            <w:pPr>
              <w:adjustRightInd w:val="0"/>
              <w:snapToGrid w:val="0"/>
              <w:spacing w:line="360" w:lineRule="auto"/>
              <w:ind w:firstLine="480" w:firstLineChars="200"/>
              <w:rPr>
                <w:rFonts w:hint="eastAsia"/>
                <w:sz w:val="24"/>
                <w:highlight w:val="yellow"/>
                <w:lang w:val="en-US" w:eastAsia="zh-CN"/>
              </w:rPr>
            </w:pPr>
            <w:r>
              <w:rPr>
                <w:rFonts w:hint="eastAsia" w:ascii="Times New Roman" w:hAnsi="Times New Roman" w:eastAsia="宋体" w:cs="Times New Roman"/>
                <w:sz w:val="24"/>
                <w:highlight w:val="yellow"/>
              </w:rPr>
              <w:t>根据《给水排水设计手册》各地区暴雨强度统计值进行分析，采用</w:t>
            </w:r>
            <w:r>
              <w:rPr>
                <w:rFonts w:hint="eastAsia" w:ascii="Times New Roman" w:hAnsi="Times New Roman" w:eastAsia="宋体" w:cs="Times New Roman"/>
                <w:sz w:val="24"/>
                <w:highlight w:val="yellow"/>
                <w:lang w:val="en-US" w:eastAsia="zh-CN"/>
              </w:rPr>
              <w:t>双鸭山</w:t>
            </w:r>
            <w:r>
              <w:rPr>
                <w:rFonts w:hint="eastAsia" w:ascii="Times New Roman" w:hAnsi="Times New Roman" w:eastAsia="宋体" w:cs="Times New Roman"/>
                <w:sz w:val="24"/>
                <w:highlight w:val="yellow"/>
                <w:lang w:eastAsia="zh-CN"/>
              </w:rPr>
              <w:t>市</w:t>
            </w:r>
            <w:r>
              <w:rPr>
                <w:rFonts w:hint="eastAsia" w:ascii="Times New Roman" w:hAnsi="Times New Roman" w:eastAsia="宋体" w:cs="Times New Roman"/>
                <w:sz w:val="24"/>
                <w:highlight w:val="yellow"/>
              </w:rPr>
              <w:t>暴雨强度，公式如下：</w:t>
            </w:r>
            <w:r>
              <w:rPr>
                <w:rFonts w:hint="eastAsia" w:ascii="Times New Roman" w:hAnsi="Times New Roman" w:eastAsia="宋体" w:cs="Times New Roman"/>
                <w:position w:val="-30"/>
                <w:sz w:val="24"/>
                <w:highlight w:val="yellow"/>
              </w:rPr>
              <w:object>
                <v:shape id="_x0000_i1025" o:spt="75" type="#_x0000_t75" style="height:34pt;width:114.95pt;" o:ole="t" filled="f" o:preferrelative="t" stroked="f" coordsize="21600,21600">
                  <v:path/>
                  <v:fill on="f" focussize="0,0"/>
                  <v:stroke on="f"/>
                  <v:imagedata r:id="rId12" o:title=""/>
                  <o:lock v:ext="edit" aspectratio="t"/>
                  <w10:wrap type="none"/>
                  <w10:anchorlock/>
                </v:shape>
                <o:OLEObject Type="Embed" ProgID="Equation.KSEE3" ShapeID="_x0000_i1025" DrawAspect="Content" ObjectID="_1468075725" r:id="rId11">
                  <o:LockedField>false</o:LockedField>
                </o:OLEObject>
              </w:object>
            </w:r>
            <w:r>
              <w:rPr>
                <w:rFonts w:hint="eastAsia" w:ascii="Times New Roman" w:hAnsi="Times New Roman" w:eastAsia="宋体" w:cs="Times New Roman"/>
                <w:sz w:val="24"/>
                <w:highlight w:val="yellow"/>
                <w:lang w:val="en-US" w:eastAsia="zh-CN"/>
              </w:rPr>
              <w:t>:</w:t>
            </w:r>
          </w:p>
          <w:p w14:paraId="599136B9">
            <w:pPr>
              <w:adjustRightInd w:val="0"/>
              <w:snapToGrid w:val="0"/>
              <w:spacing w:line="360" w:lineRule="auto"/>
              <w:ind w:firstLine="480" w:firstLineChars="200"/>
              <w:rPr>
                <w:rFonts w:hint="eastAsia"/>
                <w:sz w:val="24"/>
                <w:highlight w:val="yellow"/>
                <w:lang w:val="en-US" w:eastAsia="zh-CN"/>
              </w:rPr>
            </w:pPr>
            <w:r>
              <w:rPr>
                <w:rFonts w:hint="eastAsia"/>
                <w:sz w:val="24"/>
                <w:highlight w:val="yellow"/>
                <w:lang w:val="en-US" w:eastAsia="zh-CN"/>
              </w:rPr>
              <w:t>式中:</w:t>
            </w:r>
          </w:p>
          <w:p w14:paraId="528E5E43">
            <w:pPr>
              <w:numPr>
                <w:ilvl w:val="0"/>
                <w:numId w:val="7"/>
              </w:numPr>
              <w:adjustRightInd w:val="0"/>
              <w:snapToGrid w:val="0"/>
              <w:spacing w:line="360" w:lineRule="auto"/>
              <w:ind w:firstLine="480" w:firstLineChars="200"/>
              <w:rPr>
                <w:rFonts w:hint="eastAsia"/>
                <w:sz w:val="24"/>
                <w:highlight w:val="yellow"/>
                <w:lang w:val="en-US" w:eastAsia="zh-CN"/>
              </w:rPr>
            </w:pPr>
            <w:r>
              <w:rPr>
                <w:rFonts w:hint="eastAsia"/>
                <w:sz w:val="24"/>
                <w:highlight w:val="yellow"/>
                <w:lang w:val="en-US" w:eastAsia="zh-CN"/>
              </w:rPr>
              <w:t>设计重现期(a)，采用2年;</w:t>
            </w:r>
          </w:p>
          <w:p w14:paraId="5BC08C31">
            <w:pPr>
              <w:numPr>
                <w:ilvl w:val="0"/>
                <w:numId w:val="0"/>
              </w:numPr>
              <w:adjustRightInd w:val="0"/>
              <w:snapToGrid w:val="0"/>
              <w:spacing w:line="360" w:lineRule="auto"/>
              <w:ind w:firstLine="480" w:firstLineChars="200"/>
              <w:rPr>
                <w:rFonts w:hint="eastAsia"/>
                <w:sz w:val="24"/>
                <w:highlight w:val="yellow"/>
                <w:lang w:val="en-US" w:eastAsia="zh-CN"/>
              </w:rPr>
            </w:pPr>
            <w:r>
              <w:rPr>
                <w:rFonts w:hint="eastAsia"/>
                <w:sz w:val="24"/>
                <w:highlight w:val="yellow"/>
                <w:lang w:val="en-US" w:eastAsia="zh-CN"/>
              </w:rPr>
              <w:t>t-降雨历时(min)，采用15min。</w:t>
            </w:r>
          </w:p>
          <w:p w14:paraId="7C10C995">
            <w:pPr>
              <w:adjustRightInd w:val="0"/>
              <w:snapToGrid w:val="0"/>
              <w:spacing w:line="360" w:lineRule="auto"/>
              <w:ind w:firstLine="480" w:firstLineChars="200"/>
              <w:rPr>
                <w:rFonts w:hint="eastAsia"/>
                <w:sz w:val="24"/>
                <w:highlight w:val="yellow"/>
                <w:lang w:val="en-US" w:eastAsia="zh-CN"/>
              </w:rPr>
            </w:pPr>
            <w:r>
              <w:rPr>
                <w:rFonts w:hint="eastAsia"/>
                <w:sz w:val="24"/>
                <w:highlight w:val="yellow"/>
                <w:lang w:val="en-US" w:eastAsia="zh-CN"/>
              </w:rPr>
              <w:t>按降雨重现期2年计算降雨初期前15分钟雨水量作为初期雨水量,很据《给排水设计手册》，初期雨水径流采用如下公式:</w:t>
            </w:r>
          </w:p>
          <w:p w14:paraId="74501DA6">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sz w:val="24"/>
                <w:highlight w:val="yellow"/>
                <w:lang w:val="en-US" w:eastAsia="zh-CN"/>
              </w:rPr>
            </w:pPr>
            <w:r>
              <w:rPr>
                <w:rFonts w:hint="eastAsia"/>
                <w:sz w:val="24"/>
                <w:highlight w:val="yellow"/>
                <w:lang w:val="en-US" w:eastAsia="zh-CN"/>
              </w:rPr>
              <w:t>Q=q×</w:t>
            </w:r>
            <w:r>
              <w:rPr>
                <w:rFonts w:hint="eastAsia" w:ascii="宋体" w:hAnsi="宋体" w:eastAsia="宋体" w:cs="宋体"/>
                <w:sz w:val="24"/>
                <w:highlight w:val="yellow"/>
                <w:lang w:val="en-US" w:eastAsia="zh-CN"/>
              </w:rPr>
              <w:t>Ψ</w:t>
            </w:r>
            <w:r>
              <w:rPr>
                <w:rFonts w:hint="eastAsia"/>
                <w:sz w:val="24"/>
                <w:highlight w:val="yellow"/>
                <w:lang w:val="en-US" w:eastAsia="zh-CN"/>
              </w:rPr>
              <w:t>×F</w:t>
            </w:r>
          </w:p>
          <w:p w14:paraId="459BEA7E">
            <w:pPr>
              <w:adjustRightInd w:val="0"/>
              <w:snapToGrid w:val="0"/>
              <w:spacing w:line="360" w:lineRule="auto"/>
              <w:ind w:firstLine="480" w:firstLineChars="200"/>
              <w:rPr>
                <w:rFonts w:hint="eastAsia"/>
                <w:sz w:val="24"/>
                <w:highlight w:val="yellow"/>
                <w:lang w:val="en-US" w:eastAsia="zh-CN"/>
              </w:rPr>
            </w:pPr>
            <w:r>
              <w:rPr>
                <w:rFonts w:hint="eastAsia"/>
                <w:sz w:val="24"/>
                <w:highlight w:val="yellow"/>
                <w:lang w:val="en-US" w:eastAsia="zh-CN"/>
              </w:rPr>
              <w:t>式中:</w:t>
            </w:r>
          </w:p>
          <w:p w14:paraId="292FBEDB">
            <w:pPr>
              <w:adjustRightInd w:val="0"/>
              <w:snapToGrid w:val="0"/>
              <w:spacing w:line="360" w:lineRule="auto"/>
              <w:ind w:firstLine="480" w:firstLineChars="200"/>
              <w:rPr>
                <w:rFonts w:hint="eastAsia"/>
                <w:sz w:val="24"/>
                <w:highlight w:val="yellow"/>
                <w:lang w:val="en-US" w:eastAsia="zh-CN"/>
              </w:rPr>
            </w:pPr>
            <w:r>
              <w:rPr>
                <w:rFonts w:hint="eastAsia"/>
                <w:sz w:val="24"/>
                <w:highlight w:val="yellow"/>
                <w:lang w:val="en-US" w:eastAsia="zh-CN"/>
              </w:rPr>
              <w:t>Q-雨水设计流量(L/s);</w:t>
            </w:r>
          </w:p>
          <w:p w14:paraId="619BB517">
            <w:pPr>
              <w:adjustRightInd w:val="0"/>
              <w:snapToGrid w:val="0"/>
              <w:spacing w:line="360" w:lineRule="auto"/>
              <w:ind w:firstLine="480" w:firstLineChars="200"/>
              <w:rPr>
                <w:rFonts w:hint="eastAsia"/>
                <w:sz w:val="24"/>
                <w:highlight w:val="yellow"/>
                <w:lang w:val="en-US" w:eastAsia="zh-CN"/>
              </w:rPr>
            </w:pPr>
            <w:r>
              <w:rPr>
                <w:rFonts w:hint="eastAsia"/>
                <w:sz w:val="24"/>
                <w:highlight w:val="yellow"/>
                <w:lang w:val="en-US" w:eastAsia="zh-CN"/>
              </w:rPr>
              <w:t>q-设计暴雨强度(L/s·ha);</w:t>
            </w:r>
          </w:p>
          <w:p w14:paraId="661EC49A">
            <w:pPr>
              <w:adjustRightInd w:val="0"/>
              <w:snapToGrid w:val="0"/>
              <w:spacing w:line="360" w:lineRule="auto"/>
              <w:ind w:firstLine="480" w:firstLineChars="200"/>
              <w:rPr>
                <w:rFonts w:hint="eastAsia"/>
                <w:sz w:val="24"/>
                <w:highlight w:val="yellow"/>
                <w:lang w:val="en-US" w:eastAsia="zh-CN"/>
              </w:rPr>
            </w:pPr>
            <w:r>
              <w:rPr>
                <w:rFonts w:hint="eastAsia" w:ascii="宋体" w:hAnsi="宋体" w:eastAsia="宋体" w:cs="宋体"/>
                <w:sz w:val="24"/>
                <w:highlight w:val="yellow"/>
                <w:lang w:val="en-US" w:eastAsia="zh-CN"/>
              </w:rPr>
              <w:t>Ψ</w:t>
            </w:r>
            <w:r>
              <w:rPr>
                <w:rFonts w:hint="eastAsia"/>
                <w:sz w:val="24"/>
                <w:highlight w:val="yellow"/>
                <w:lang w:val="en-US" w:eastAsia="zh-CN"/>
              </w:rPr>
              <w:t>-径流系数，本式取0.6;</w:t>
            </w:r>
          </w:p>
          <w:p w14:paraId="32145315">
            <w:pPr>
              <w:adjustRightInd w:val="0"/>
              <w:snapToGrid w:val="0"/>
              <w:spacing w:line="360" w:lineRule="auto"/>
              <w:ind w:firstLine="480" w:firstLineChars="200"/>
              <w:rPr>
                <w:rFonts w:hint="eastAsia" w:ascii="Times New Roman" w:hAnsi="Times New Roman" w:cs="Times New Roman"/>
                <w:sz w:val="24"/>
                <w:highlight w:val="yellow"/>
                <w:lang w:val="en-US" w:eastAsia="zh-CN"/>
              </w:rPr>
            </w:pPr>
            <w:r>
              <w:rPr>
                <w:rFonts w:hint="eastAsia"/>
                <w:sz w:val="24"/>
                <w:highlight w:val="yellow"/>
                <w:lang w:val="en-US" w:eastAsia="zh-CN"/>
              </w:rPr>
              <w:t>F-汇水面积(ha)，厂区汇水面积面积为0.842ha</w:t>
            </w:r>
            <w:r>
              <w:rPr>
                <w:rFonts w:hint="eastAsia" w:ascii="Times New Roman" w:hAnsi="Times New Roman" w:cs="Times New Roman"/>
                <w:sz w:val="24"/>
                <w:highlight w:val="yellow"/>
                <w:lang w:val="en-US" w:eastAsia="zh-CN"/>
              </w:rPr>
              <w:t>（场内物料运输道路两旁设围堰，汇水面积取</w:t>
            </w:r>
            <w:r>
              <w:rPr>
                <w:rFonts w:hint="eastAsia" w:cs="Times New Roman"/>
                <w:sz w:val="24"/>
                <w:highlight w:val="yellow"/>
                <w:lang w:val="en-US" w:eastAsia="zh-CN"/>
              </w:rPr>
              <w:t>建筑面积和厂区硬化面积</w:t>
            </w:r>
            <w:r>
              <w:rPr>
                <w:rFonts w:hint="eastAsia" w:ascii="Times New Roman" w:hAnsi="Times New Roman" w:cs="Times New Roman"/>
                <w:sz w:val="24"/>
                <w:highlight w:val="yellow"/>
                <w:lang w:val="en-US" w:eastAsia="zh-CN"/>
              </w:rPr>
              <w:t>）;</w:t>
            </w:r>
          </w:p>
          <w:p w14:paraId="36DB9129">
            <w:pPr>
              <w:adjustRightInd w:val="0"/>
              <w:snapToGrid w:val="0"/>
              <w:spacing w:line="360" w:lineRule="auto"/>
              <w:ind w:firstLine="480" w:firstLineChars="200"/>
              <w:rPr>
                <w:rFonts w:hint="eastAsia"/>
                <w:sz w:val="24"/>
                <w:highlight w:val="none"/>
                <w:lang w:val="en-US" w:eastAsia="zh-CN"/>
              </w:rPr>
            </w:pPr>
            <w:r>
              <w:rPr>
                <w:rFonts w:hint="eastAsia"/>
                <w:sz w:val="24"/>
                <w:highlight w:val="yellow"/>
                <w:lang w:val="en-US" w:eastAsia="zh-CN"/>
              </w:rPr>
              <w:t>初期雨水113.29m</w:t>
            </w:r>
            <w:r>
              <w:rPr>
                <w:rFonts w:hint="eastAsia"/>
                <w:sz w:val="24"/>
                <w:highlight w:val="yellow"/>
                <w:vertAlign w:val="superscript"/>
                <w:lang w:val="en-US" w:eastAsia="zh-CN"/>
              </w:rPr>
              <w:t>3</w:t>
            </w:r>
            <w:r>
              <w:rPr>
                <w:rFonts w:hint="eastAsia"/>
                <w:sz w:val="24"/>
                <w:highlight w:val="yellow"/>
                <w:lang w:val="en-US" w:eastAsia="zh-CN"/>
              </w:rPr>
              <w:t>/次，本项自原有1座150m</w:t>
            </w:r>
            <w:r>
              <w:rPr>
                <w:rFonts w:hint="eastAsia"/>
                <w:sz w:val="24"/>
                <w:highlight w:val="yellow"/>
                <w:vertAlign w:val="superscript"/>
                <w:lang w:val="en-US" w:eastAsia="zh-CN"/>
              </w:rPr>
              <w:t>3</w:t>
            </w:r>
            <w:r>
              <w:rPr>
                <w:rFonts w:hint="eastAsia"/>
                <w:sz w:val="24"/>
                <w:highlight w:val="yellow"/>
                <w:lang w:val="en-US" w:eastAsia="zh-CN"/>
              </w:rPr>
              <w:t>沉淀池能够满足本厂区初期雨水的收集需要。按照每年15次计算，则初期雨水为1699.35t/a。</w:t>
            </w:r>
          </w:p>
          <w:p w14:paraId="61D65170">
            <w:pPr>
              <w:keepNext w:val="0"/>
              <w:keepLines w:val="0"/>
              <w:pageBreakBefore w:val="0"/>
              <w:widowControl w:val="0"/>
              <w:kinsoku/>
              <w:wordWrap/>
              <w:overflowPunct/>
              <w:topLinePunct w:val="0"/>
              <w:bidi w:val="0"/>
              <w:adjustRightInd w:val="0"/>
              <w:snapToGrid w:val="0"/>
              <w:spacing w:line="360" w:lineRule="auto"/>
              <w:ind w:firstLine="480" w:firstLineChars="200"/>
              <w:jc w:val="both"/>
              <w:rPr>
                <w:rFonts w:hint="eastAsia"/>
                <w:sz w:val="24"/>
                <w:highlight w:val="none"/>
                <w:lang w:val="en-US" w:eastAsia="zh-CN"/>
              </w:rPr>
            </w:pPr>
            <w:r>
              <w:rPr>
                <w:rFonts w:hint="eastAsia"/>
                <w:sz w:val="24"/>
                <w:highlight w:val="none"/>
                <w:lang w:eastAsia="zh-CN"/>
              </w:rPr>
              <w:t>本项目</w:t>
            </w:r>
            <w:r>
              <w:rPr>
                <w:rFonts w:hint="eastAsia"/>
                <w:sz w:val="24"/>
                <w:highlight w:val="none"/>
              </w:rPr>
              <w:t>厂区降尘用水</w:t>
            </w:r>
            <w:r>
              <w:rPr>
                <w:rFonts w:hint="eastAsia"/>
                <w:sz w:val="24"/>
                <w:highlight w:val="none"/>
                <w:lang w:eastAsia="zh-CN"/>
              </w:rPr>
              <w:t>，</w:t>
            </w:r>
            <w:r>
              <w:rPr>
                <w:rFonts w:hint="eastAsia"/>
                <w:sz w:val="24"/>
                <w:highlight w:val="none"/>
              </w:rPr>
              <w:t>项目降尘1天</w:t>
            </w:r>
            <w:r>
              <w:rPr>
                <w:rFonts w:hint="eastAsia"/>
                <w:sz w:val="24"/>
                <w:highlight w:val="none"/>
                <w:lang w:val="en-US" w:eastAsia="zh-CN"/>
              </w:rPr>
              <w:t>1</w:t>
            </w:r>
            <w:r>
              <w:rPr>
                <w:rFonts w:hint="eastAsia"/>
                <w:sz w:val="24"/>
                <w:highlight w:val="none"/>
              </w:rPr>
              <w:t>次，喷洒范围主要为</w:t>
            </w:r>
            <w:r>
              <w:rPr>
                <w:rFonts w:hint="eastAsia"/>
                <w:sz w:val="24"/>
                <w:highlight w:val="none"/>
                <w:lang w:val="en-US" w:eastAsia="zh-CN"/>
              </w:rPr>
              <w:t>生产车间（密闭）内及厂区运输道路</w:t>
            </w:r>
            <w:r>
              <w:rPr>
                <w:rFonts w:hint="eastAsia"/>
                <w:sz w:val="24"/>
                <w:highlight w:val="none"/>
              </w:rPr>
              <w:t>，用水量按照1L</w:t>
            </w:r>
            <w:r>
              <w:rPr>
                <w:rFonts w:hint="eastAsia"/>
                <w:sz w:val="24"/>
                <w:highlight w:val="none"/>
                <w:lang w:val="en-US" w:eastAsia="zh-CN"/>
              </w:rPr>
              <w:t>/m</w:t>
            </w:r>
            <w:r>
              <w:rPr>
                <w:rFonts w:hint="eastAsia"/>
                <w:sz w:val="24"/>
                <w:highlight w:val="none"/>
                <w:vertAlign w:val="superscript"/>
                <w:lang w:val="en-US" w:eastAsia="zh-CN"/>
              </w:rPr>
              <w:t>2</w:t>
            </w:r>
            <w:r>
              <w:rPr>
                <w:rFonts w:hint="eastAsia"/>
                <w:sz w:val="24"/>
                <w:highlight w:val="none"/>
              </w:rPr>
              <w:t>计算，根据估算需要降尘的面积约</w:t>
            </w:r>
            <w:r>
              <w:rPr>
                <w:rFonts w:hint="eastAsia"/>
                <w:sz w:val="24"/>
                <w:highlight w:val="none"/>
                <w:lang w:val="en-US" w:eastAsia="zh-CN"/>
              </w:rPr>
              <w:t>8420</w:t>
            </w:r>
            <w:r>
              <w:rPr>
                <w:rFonts w:hint="eastAsia"/>
                <w:sz w:val="24"/>
                <w:highlight w:val="none"/>
              </w:rPr>
              <w:t>m</w:t>
            </w:r>
            <w:r>
              <w:rPr>
                <w:rFonts w:hint="eastAsia"/>
                <w:sz w:val="24"/>
                <w:highlight w:val="none"/>
                <w:vertAlign w:val="superscript"/>
                <w:lang w:val="en-US" w:eastAsia="zh-CN"/>
              </w:rPr>
              <w:t>2</w:t>
            </w:r>
            <w:r>
              <w:rPr>
                <w:rFonts w:hint="eastAsia"/>
                <w:sz w:val="24"/>
                <w:highlight w:val="none"/>
              </w:rPr>
              <w:t>，本项目</w:t>
            </w:r>
            <w:r>
              <w:rPr>
                <w:rFonts w:hint="eastAsia"/>
                <w:sz w:val="24"/>
                <w:highlight w:val="none"/>
                <w:lang w:val="en-US" w:eastAsia="zh-CN"/>
              </w:rPr>
              <w:t>厂区</w:t>
            </w:r>
            <w:r>
              <w:rPr>
                <w:rFonts w:hint="eastAsia"/>
                <w:sz w:val="24"/>
                <w:highlight w:val="none"/>
              </w:rPr>
              <w:t>降尘用水量为</w:t>
            </w:r>
            <w:r>
              <w:rPr>
                <w:rFonts w:hint="eastAsia"/>
                <w:sz w:val="24"/>
                <w:highlight w:val="none"/>
                <w:lang w:val="en-US" w:eastAsia="zh-CN"/>
              </w:rPr>
              <w:t>8.42</w:t>
            </w:r>
            <w:r>
              <w:rPr>
                <w:rFonts w:hint="eastAsia"/>
                <w:sz w:val="24"/>
                <w:highlight w:val="none"/>
              </w:rPr>
              <w:t>m</w:t>
            </w:r>
            <w:r>
              <w:rPr>
                <w:rFonts w:hint="eastAsia"/>
                <w:sz w:val="24"/>
                <w:highlight w:val="none"/>
                <w:vertAlign w:val="superscript"/>
                <w:lang w:val="en-US" w:eastAsia="zh-CN"/>
              </w:rPr>
              <w:t>3</w:t>
            </w:r>
            <w:r>
              <w:rPr>
                <w:rFonts w:hint="eastAsia"/>
                <w:sz w:val="24"/>
                <w:highlight w:val="none"/>
              </w:rPr>
              <w:t>/d</w:t>
            </w:r>
            <w:r>
              <w:rPr>
                <w:rFonts w:hint="eastAsia"/>
                <w:sz w:val="24"/>
                <w:highlight w:val="none"/>
                <w:lang w:eastAsia="zh-CN"/>
              </w:rPr>
              <w:t>、</w:t>
            </w:r>
            <w:r>
              <w:rPr>
                <w:rFonts w:hint="eastAsia"/>
                <w:sz w:val="24"/>
                <w:highlight w:val="none"/>
                <w:lang w:val="en-US" w:eastAsia="zh-CN"/>
              </w:rPr>
              <w:t>1768.2</w:t>
            </w:r>
            <w:r>
              <w:rPr>
                <w:rFonts w:hint="eastAsia"/>
                <w:sz w:val="24"/>
                <w:highlight w:val="none"/>
                <w:lang w:eastAsia="zh-CN"/>
              </w:rPr>
              <w:t>t/a</w:t>
            </w:r>
            <w:r>
              <w:rPr>
                <w:rFonts w:hint="eastAsia"/>
                <w:sz w:val="24"/>
                <w:highlight w:val="none"/>
              </w:rPr>
              <w:t>。</w:t>
            </w:r>
            <w:r>
              <w:rPr>
                <w:rFonts w:hint="eastAsia"/>
                <w:sz w:val="24"/>
                <w:highlight w:val="none"/>
                <w:lang w:val="en-US" w:eastAsia="zh-CN"/>
              </w:rPr>
              <w:t>厂区</w:t>
            </w:r>
            <w:r>
              <w:rPr>
                <w:rFonts w:hint="eastAsia"/>
                <w:sz w:val="24"/>
                <w:highlight w:val="none"/>
                <w:lang w:eastAsia="zh-CN"/>
              </w:rPr>
              <w:t>降尘用水</w:t>
            </w:r>
            <w:r>
              <w:rPr>
                <w:rFonts w:hint="eastAsia"/>
                <w:sz w:val="24"/>
                <w:highlight w:val="none"/>
                <w:lang w:val="en-US" w:eastAsia="zh-CN"/>
              </w:rPr>
              <w:t>全部蒸发。</w:t>
            </w:r>
          </w:p>
          <w:p w14:paraId="22E5BD21">
            <w:pPr>
              <w:pStyle w:val="30"/>
              <w:rPr>
                <w:rFonts w:hint="eastAsia"/>
                <w:sz w:val="24"/>
                <w:highlight w:val="none"/>
                <w:lang w:val="en-US" w:eastAsia="zh-CN"/>
              </w:rPr>
            </w:pPr>
          </w:p>
          <w:p w14:paraId="7C8FAE3B">
            <w:pPr>
              <w:bidi w:val="0"/>
              <w:jc w:val="center"/>
              <w:rPr>
                <w:rFonts w:hint="default"/>
                <w:highlight w:val="none"/>
                <w:lang w:val="en-US" w:eastAsia="zh-CN"/>
              </w:rPr>
            </w:pPr>
            <w:r>
              <w:rPr>
                <w:rFonts w:hint="default"/>
                <w:highlight w:val="none"/>
                <w:lang w:val="en-US" w:eastAsia="zh-CN"/>
              </w:rPr>
              <w:drawing>
                <wp:inline distT="0" distB="0" distL="114300" distR="114300">
                  <wp:extent cx="3456940" cy="3536950"/>
                  <wp:effectExtent l="0" t="0" r="0" b="0"/>
                  <wp:docPr id="16" name="ECB019B1-382A-4266-B25C-5B523AA43C14-1" descr="C:/Users/Administrator/AppData/Local/Temp/wps.MrOmhF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CB019B1-382A-4266-B25C-5B523AA43C14-1" descr="C:/Users/Administrator/AppData/Local/Temp/wps.MrOmhFwps"/>
                          <pic:cNvPicPr>
                            <a:picLocks noChangeAspect="1"/>
                          </pic:cNvPicPr>
                        </pic:nvPicPr>
                        <pic:blipFill>
                          <a:blip r:embed="rId13"/>
                          <a:stretch>
                            <a:fillRect/>
                          </a:stretch>
                        </pic:blipFill>
                        <pic:spPr>
                          <a:xfrm>
                            <a:off x="0" y="0"/>
                            <a:ext cx="3456940" cy="3536950"/>
                          </a:xfrm>
                          <a:prstGeom prst="rect">
                            <a:avLst/>
                          </a:prstGeom>
                        </pic:spPr>
                      </pic:pic>
                    </a:graphicData>
                  </a:graphic>
                </wp:inline>
              </w:drawing>
            </w:r>
          </w:p>
          <w:p w14:paraId="13007BB5">
            <w:pPr>
              <w:bidi w:val="0"/>
              <w:rPr>
                <w:rFonts w:hint="default"/>
                <w:highlight w:val="none"/>
                <w:lang w:val="en-US" w:eastAsia="zh-CN"/>
              </w:rPr>
            </w:pPr>
          </w:p>
          <w:p w14:paraId="5E156464">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图2-1  本项目水量平衡图（m</w:t>
            </w:r>
            <w:r>
              <w:rPr>
                <w:rFonts w:hint="default" w:ascii="Times New Roman" w:hAnsi="Times New Roman" w:eastAsia="宋体" w:cs="Times New Roman"/>
                <w:b/>
                <w:bCs/>
                <w:color w:val="auto"/>
                <w:kern w:val="2"/>
                <w:sz w:val="24"/>
                <w:szCs w:val="24"/>
                <w:highlight w:val="none"/>
                <w:vertAlign w:val="superscript"/>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w:t>
            </w:r>
            <w:r>
              <w:rPr>
                <w:rFonts w:hint="eastAsia" w:cs="Times New Roman"/>
                <w:b/>
                <w:bCs/>
                <w:color w:val="auto"/>
                <w:kern w:val="2"/>
                <w:sz w:val="24"/>
                <w:szCs w:val="24"/>
                <w:highlight w:val="none"/>
                <w:lang w:val="en-US" w:eastAsia="zh-CN" w:bidi="ar-SA"/>
              </w:rPr>
              <w:t>a</w:t>
            </w:r>
            <w:r>
              <w:rPr>
                <w:rFonts w:hint="default" w:ascii="Times New Roman" w:hAnsi="Times New Roman" w:eastAsia="宋体" w:cs="Times New Roman"/>
                <w:b/>
                <w:bCs/>
                <w:color w:val="auto"/>
                <w:kern w:val="2"/>
                <w:sz w:val="24"/>
                <w:szCs w:val="24"/>
                <w:highlight w:val="none"/>
                <w:lang w:val="en-US" w:eastAsia="zh-CN" w:bidi="ar-SA"/>
              </w:rPr>
              <w:t>）</w:t>
            </w:r>
          </w:p>
          <w:p w14:paraId="323BEAEE">
            <w:pPr>
              <w:pStyle w:val="30"/>
              <w:ind w:left="0" w:leftChars="0" w:firstLine="0" w:firstLineChars="0"/>
              <w:jc w:val="center"/>
              <w:rPr>
                <w:rFonts w:hint="default"/>
                <w:lang w:val="en-US" w:eastAsia="zh-CN"/>
              </w:rPr>
            </w:pPr>
            <w:r>
              <w:rPr>
                <w:rFonts w:hint="eastAsia" w:cs="Times New Roman"/>
                <w:b/>
                <w:bCs/>
                <w:color w:val="auto"/>
                <w:kern w:val="2"/>
                <w:sz w:val="24"/>
                <w:szCs w:val="24"/>
                <w:highlight w:val="none"/>
                <w:lang w:val="en-US" w:eastAsia="zh-CN" w:bidi="ar-SA"/>
              </w:rPr>
              <w:t>表2-5 物料平衡表（t/a）</w:t>
            </w:r>
          </w:p>
          <w:tbl>
            <w:tblPr>
              <w:tblStyle w:val="32"/>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83"/>
              <w:gridCol w:w="1984"/>
              <w:gridCol w:w="2248"/>
              <w:gridCol w:w="1720"/>
            </w:tblGrid>
            <w:tr w14:paraId="584559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67" w:type="dxa"/>
                  <w:gridSpan w:val="2"/>
                </w:tcPr>
                <w:p w14:paraId="0ECA8583">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投入</w:t>
                  </w:r>
                </w:p>
              </w:tc>
              <w:tc>
                <w:tcPr>
                  <w:tcW w:w="3968" w:type="dxa"/>
                  <w:gridSpan w:val="2"/>
                </w:tcPr>
                <w:p w14:paraId="0B7E64A0">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产出</w:t>
                  </w:r>
                </w:p>
              </w:tc>
            </w:tr>
            <w:tr w14:paraId="6CFCF1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3" w:type="dxa"/>
                </w:tcPr>
                <w:p w14:paraId="1E6C554C">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名称</w:t>
                  </w:r>
                </w:p>
              </w:tc>
              <w:tc>
                <w:tcPr>
                  <w:tcW w:w="1984" w:type="dxa"/>
                </w:tcPr>
                <w:p w14:paraId="050CAF80">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数量（t/a）</w:t>
                  </w:r>
                </w:p>
              </w:tc>
              <w:tc>
                <w:tcPr>
                  <w:tcW w:w="2248" w:type="dxa"/>
                </w:tcPr>
                <w:p w14:paraId="2C819313">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名称</w:t>
                  </w:r>
                </w:p>
              </w:tc>
              <w:tc>
                <w:tcPr>
                  <w:tcW w:w="1720" w:type="dxa"/>
                </w:tcPr>
                <w:p w14:paraId="633BCA60">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数量（t/a）</w:t>
                  </w:r>
                </w:p>
              </w:tc>
            </w:tr>
            <w:tr w14:paraId="5B7A0B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3" w:type="dxa"/>
                </w:tcPr>
                <w:p w14:paraId="4AC34CD3">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水泥</w:t>
                  </w:r>
                </w:p>
              </w:tc>
              <w:tc>
                <w:tcPr>
                  <w:tcW w:w="1984" w:type="dxa"/>
                  <w:vAlign w:val="top"/>
                </w:tcPr>
                <w:p w14:paraId="2FE536F1">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highlight w:val="yellow"/>
                      <w:u w:val="none"/>
                      <w:lang w:val="en-US" w:eastAsia="zh-CN" w:bidi="ar"/>
                    </w:rPr>
                    <w:t>46800</w:t>
                  </w:r>
                </w:p>
              </w:tc>
              <w:tc>
                <w:tcPr>
                  <w:tcW w:w="2248" w:type="dxa"/>
                </w:tcPr>
                <w:p w14:paraId="20674687">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成品</w:t>
                  </w:r>
                </w:p>
              </w:tc>
              <w:tc>
                <w:tcPr>
                  <w:tcW w:w="1720" w:type="dxa"/>
                  <w:vAlign w:val="top"/>
                </w:tcPr>
                <w:p w14:paraId="7310BB6E">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i w:val="0"/>
                      <w:iCs w:val="0"/>
                      <w:color w:val="000000"/>
                      <w:kern w:val="0"/>
                      <w:sz w:val="24"/>
                      <w:szCs w:val="24"/>
                      <w:u w:val="none"/>
                      <w:lang w:val="en-US" w:eastAsia="zh-CN" w:bidi="ar"/>
                    </w:rPr>
                    <w:t>70000</w:t>
                  </w:r>
                </w:p>
              </w:tc>
            </w:tr>
            <w:tr w14:paraId="3A32F5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3" w:type="dxa"/>
                </w:tcPr>
                <w:p w14:paraId="5F5A6A91">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砂</w:t>
                  </w:r>
                </w:p>
              </w:tc>
              <w:tc>
                <w:tcPr>
                  <w:tcW w:w="1984" w:type="dxa"/>
                  <w:vAlign w:val="top"/>
                </w:tcPr>
                <w:p w14:paraId="65B6C633">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u w:val="none"/>
                      <w:lang w:val="en-US" w:eastAsia="zh-CN" w:bidi="ar"/>
                    </w:rPr>
                    <w:t>2000</w:t>
                  </w:r>
                </w:p>
              </w:tc>
              <w:tc>
                <w:tcPr>
                  <w:tcW w:w="2248" w:type="dxa"/>
                </w:tcPr>
                <w:p w14:paraId="29F5037F">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上料工序粉尘</w:t>
                  </w:r>
                </w:p>
              </w:tc>
              <w:tc>
                <w:tcPr>
                  <w:tcW w:w="1720" w:type="dxa"/>
                  <w:vAlign w:val="top"/>
                </w:tcPr>
                <w:p w14:paraId="5A8665D2">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u w:val="none"/>
                      <w:lang w:val="en-US" w:eastAsia="zh-CN" w:bidi="ar"/>
                    </w:rPr>
                    <w:t>1.995</w:t>
                  </w:r>
                </w:p>
              </w:tc>
            </w:tr>
            <w:tr w14:paraId="1F09F4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3" w:type="dxa"/>
                </w:tcPr>
                <w:p w14:paraId="74A4F226">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石</w:t>
                  </w:r>
                </w:p>
              </w:tc>
              <w:tc>
                <w:tcPr>
                  <w:tcW w:w="1984" w:type="dxa"/>
                  <w:vAlign w:val="top"/>
                </w:tcPr>
                <w:p w14:paraId="139D5DCA">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u w:val="none"/>
                      <w:lang w:val="en-US" w:eastAsia="zh-CN" w:bidi="ar"/>
                    </w:rPr>
                    <w:t>3000</w:t>
                  </w:r>
                </w:p>
              </w:tc>
              <w:tc>
                <w:tcPr>
                  <w:tcW w:w="2248" w:type="dxa"/>
                </w:tcPr>
                <w:p w14:paraId="59AD52C7">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砂石原料卸料</w:t>
                  </w:r>
                  <w:r>
                    <w:rPr>
                      <w:rFonts w:hint="eastAsia" w:cs="Times New Roman"/>
                      <w:color w:val="auto"/>
                      <w:kern w:val="2"/>
                      <w:sz w:val="24"/>
                      <w:szCs w:val="24"/>
                      <w:highlight w:val="none"/>
                      <w:lang w:val="en-US" w:eastAsia="zh-CN" w:bidi="ar-SA"/>
                    </w:rPr>
                    <w:t>运输</w:t>
                  </w:r>
                  <w:r>
                    <w:rPr>
                      <w:rFonts w:hint="eastAsia" w:ascii="Times New Roman" w:hAnsi="Times New Roman" w:eastAsia="宋体" w:cs="Times New Roman"/>
                      <w:color w:val="auto"/>
                      <w:kern w:val="2"/>
                      <w:sz w:val="24"/>
                      <w:szCs w:val="24"/>
                      <w:highlight w:val="none"/>
                      <w:lang w:val="en-US" w:eastAsia="zh-CN" w:bidi="ar-SA"/>
                    </w:rPr>
                    <w:t>粉尘</w:t>
                  </w:r>
                </w:p>
              </w:tc>
              <w:tc>
                <w:tcPr>
                  <w:tcW w:w="1720" w:type="dxa"/>
                  <w:vAlign w:val="top"/>
                </w:tcPr>
                <w:p w14:paraId="5E4557F6">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u w:val="none"/>
                      <w:lang w:val="en-US" w:eastAsia="zh-CN" w:bidi="ar"/>
                    </w:rPr>
                    <w:t>0.114</w:t>
                  </w:r>
                </w:p>
              </w:tc>
            </w:tr>
            <w:tr w14:paraId="4AC487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3" w:type="dxa"/>
                </w:tcPr>
                <w:p w14:paraId="6E82C277">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粉煤灰</w:t>
                  </w:r>
                </w:p>
              </w:tc>
              <w:tc>
                <w:tcPr>
                  <w:tcW w:w="1984" w:type="dxa"/>
                  <w:vAlign w:val="top"/>
                </w:tcPr>
                <w:p w14:paraId="24D9B0C6">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u w:val="none"/>
                      <w:lang w:val="en-US" w:eastAsia="zh-CN" w:bidi="ar"/>
                    </w:rPr>
                    <w:t>10034.0315</w:t>
                  </w:r>
                </w:p>
              </w:tc>
              <w:tc>
                <w:tcPr>
                  <w:tcW w:w="2248" w:type="dxa"/>
                </w:tcPr>
                <w:p w14:paraId="31D8BF37">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钢筋加工废气</w:t>
                  </w:r>
                </w:p>
              </w:tc>
              <w:tc>
                <w:tcPr>
                  <w:tcW w:w="1720" w:type="dxa"/>
                  <w:vAlign w:val="top"/>
                </w:tcPr>
                <w:p w14:paraId="5973F04D">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i w:val="0"/>
                      <w:iCs w:val="0"/>
                      <w:color w:val="000000"/>
                      <w:kern w:val="0"/>
                      <w:sz w:val="24"/>
                      <w:szCs w:val="24"/>
                      <w:u w:val="none"/>
                      <w:lang w:val="en-US" w:eastAsia="zh-CN" w:bidi="ar"/>
                    </w:rPr>
                    <w:t>0.0466</w:t>
                  </w:r>
                </w:p>
              </w:tc>
            </w:tr>
            <w:tr w14:paraId="0BE5EF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3" w:type="dxa"/>
                </w:tcPr>
                <w:p w14:paraId="11B7C951">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钢筋</w:t>
                  </w:r>
                </w:p>
              </w:tc>
              <w:tc>
                <w:tcPr>
                  <w:tcW w:w="1984" w:type="dxa"/>
                  <w:vAlign w:val="top"/>
                </w:tcPr>
                <w:p w14:paraId="2DB0643B">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i w:val="0"/>
                      <w:iCs w:val="0"/>
                      <w:color w:val="000000"/>
                      <w:kern w:val="0"/>
                      <w:sz w:val="24"/>
                      <w:szCs w:val="24"/>
                      <w:highlight w:val="yellow"/>
                      <w:u w:val="none"/>
                      <w:lang w:val="en-US" w:eastAsia="zh-CN" w:bidi="ar"/>
                    </w:rPr>
                    <w:t>4660</w:t>
                  </w:r>
                </w:p>
              </w:tc>
              <w:tc>
                <w:tcPr>
                  <w:tcW w:w="2248" w:type="dxa"/>
                </w:tcPr>
                <w:p w14:paraId="22D3ECC6">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废钢筋头</w:t>
                  </w:r>
                </w:p>
              </w:tc>
              <w:tc>
                <w:tcPr>
                  <w:tcW w:w="1720" w:type="dxa"/>
                  <w:vAlign w:val="top"/>
                </w:tcPr>
                <w:p w14:paraId="6BCFF5DD">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i w:val="0"/>
                      <w:iCs w:val="0"/>
                      <w:color w:val="000000"/>
                      <w:kern w:val="0"/>
                      <w:sz w:val="24"/>
                      <w:szCs w:val="24"/>
                      <w:u w:val="none"/>
                      <w:lang w:val="en-US" w:eastAsia="zh-CN" w:bidi="ar"/>
                    </w:rPr>
                    <w:t>0.466</w:t>
                  </w:r>
                </w:p>
              </w:tc>
            </w:tr>
            <w:tr w14:paraId="7F29B1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3" w:type="dxa"/>
                </w:tcPr>
                <w:p w14:paraId="2F56C557">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水</w:t>
                  </w:r>
                </w:p>
              </w:tc>
              <w:tc>
                <w:tcPr>
                  <w:tcW w:w="1984" w:type="dxa"/>
                  <w:vAlign w:val="top"/>
                </w:tcPr>
                <w:p w14:paraId="16BC8647">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highlight w:val="yellow"/>
                      <w:u w:val="none"/>
                      <w:lang w:val="en-US" w:eastAsia="zh-CN" w:bidi="ar"/>
                    </w:rPr>
                    <w:t>3510</w:t>
                  </w:r>
                </w:p>
              </w:tc>
              <w:tc>
                <w:tcPr>
                  <w:tcW w:w="2248" w:type="dxa"/>
                </w:tcPr>
                <w:p w14:paraId="3876A09C">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筒仓</w:t>
                  </w:r>
                  <w:r>
                    <w:rPr>
                      <w:rFonts w:hint="eastAsia" w:cs="Times New Roman"/>
                      <w:color w:val="auto"/>
                      <w:kern w:val="2"/>
                      <w:sz w:val="24"/>
                      <w:szCs w:val="24"/>
                      <w:highlight w:val="none"/>
                      <w:lang w:val="en-US" w:eastAsia="zh-CN" w:bidi="ar-SA"/>
                    </w:rPr>
                    <w:t>排放</w:t>
                  </w:r>
                  <w:r>
                    <w:rPr>
                      <w:rFonts w:hint="eastAsia" w:ascii="Times New Roman" w:hAnsi="Times New Roman" w:eastAsia="宋体" w:cs="Times New Roman"/>
                      <w:color w:val="auto"/>
                      <w:kern w:val="2"/>
                      <w:sz w:val="24"/>
                      <w:szCs w:val="24"/>
                      <w:highlight w:val="none"/>
                      <w:lang w:val="en-US" w:eastAsia="zh-CN" w:bidi="ar-SA"/>
                    </w:rPr>
                    <w:t>粉尘</w:t>
                  </w:r>
                </w:p>
              </w:tc>
              <w:tc>
                <w:tcPr>
                  <w:tcW w:w="1720" w:type="dxa"/>
                  <w:vAlign w:val="top"/>
                </w:tcPr>
                <w:p w14:paraId="724303FE">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u w:val="none"/>
                      <w:lang w:val="en-US" w:eastAsia="zh-CN" w:bidi="ar"/>
                    </w:rPr>
                    <w:t>0.0399</w:t>
                  </w:r>
                </w:p>
              </w:tc>
            </w:tr>
            <w:tr w14:paraId="355232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3" w:type="dxa"/>
                </w:tcPr>
                <w:p w14:paraId="261B8FF1">
                  <w:pPr>
                    <w:widowControl/>
                    <w:jc w:val="center"/>
                    <w:rPr>
                      <w:rFonts w:hint="eastAsia" w:ascii="Times New Roman" w:hAnsi="Times New Roman" w:eastAsia="宋体" w:cs="Times New Roman"/>
                      <w:color w:val="auto"/>
                      <w:kern w:val="2"/>
                      <w:sz w:val="24"/>
                      <w:szCs w:val="24"/>
                      <w:highlight w:val="none"/>
                      <w:lang w:val="en-US" w:eastAsia="zh-CN" w:bidi="ar-SA"/>
                    </w:rPr>
                  </w:pPr>
                </w:p>
              </w:tc>
              <w:tc>
                <w:tcPr>
                  <w:tcW w:w="1984" w:type="dxa"/>
                  <w:vAlign w:val="top"/>
                </w:tcPr>
                <w:p w14:paraId="06A0D61E">
                  <w:pPr>
                    <w:keepNext w:val="0"/>
                    <w:keepLines w:val="0"/>
                    <w:widowControl/>
                    <w:suppressLineNumbers w:val="0"/>
                    <w:jc w:val="center"/>
                    <w:textAlignment w:val="top"/>
                    <w:rPr>
                      <w:rFonts w:hint="eastAsia" w:cs="Times New Roman"/>
                      <w:i w:val="0"/>
                      <w:iCs w:val="0"/>
                      <w:color w:val="000000"/>
                      <w:kern w:val="0"/>
                      <w:sz w:val="24"/>
                      <w:szCs w:val="24"/>
                      <w:highlight w:val="yellow"/>
                      <w:u w:val="none"/>
                      <w:lang w:val="en-US" w:eastAsia="zh-CN" w:bidi="ar"/>
                    </w:rPr>
                  </w:pPr>
                </w:p>
              </w:tc>
              <w:tc>
                <w:tcPr>
                  <w:tcW w:w="2248" w:type="dxa"/>
                </w:tcPr>
                <w:p w14:paraId="4B60A596">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搅拌工序废气</w:t>
                  </w:r>
                </w:p>
              </w:tc>
              <w:tc>
                <w:tcPr>
                  <w:tcW w:w="1720" w:type="dxa"/>
                  <w:vAlign w:val="top"/>
                </w:tcPr>
                <w:p w14:paraId="06F0977A">
                  <w:pPr>
                    <w:keepNext w:val="0"/>
                    <w:keepLines w:val="0"/>
                    <w:widowControl/>
                    <w:suppressLineNumbers w:val="0"/>
                    <w:jc w:val="center"/>
                    <w:textAlignment w:val="top"/>
                    <w:rPr>
                      <w:rFonts w:hint="default" w:cs="Times New Roman"/>
                      <w:i w:val="0"/>
                      <w:iCs w:val="0"/>
                      <w:color w:val="000000"/>
                      <w:kern w:val="0"/>
                      <w:sz w:val="24"/>
                      <w:szCs w:val="24"/>
                      <w:u w:val="none"/>
                      <w:lang w:val="en-US" w:eastAsia="zh-CN" w:bidi="ar"/>
                    </w:rPr>
                  </w:pPr>
                  <w:r>
                    <w:rPr>
                      <w:rFonts w:hint="eastAsia" w:cs="Times New Roman"/>
                      <w:i w:val="0"/>
                      <w:iCs w:val="0"/>
                      <w:color w:val="000000"/>
                      <w:kern w:val="0"/>
                      <w:sz w:val="24"/>
                      <w:szCs w:val="24"/>
                      <w:u w:val="none"/>
                      <w:lang w:val="en-US" w:eastAsia="zh-CN" w:bidi="ar"/>
                    </w:rPr>
                    <w:t>0.11</w:t>
                  </w:r>
                </w:p>
              </w:tc>
            </w:tr>
            <w:tr w14:paraId="0D5094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3" w:type="dxa"/>
                </w:tcPr>
                <w:p w14:paraId="70F6EEDF">
                  <w:pPr>
                    <w:widowControl/>
                    <w:jc w:val="center"/>
                    <w:rPr>
                      <w:rFonts w:hint="eastAsia" w:ascii="Times New Roman" w:hAnsi="Times New Roman" w:eastAsia="宋体" w:cs="Times New Roman"/>
                      <w:color w:val="auto"/>
                      <w:kern w:val="2"/>
                      <w:sz w:val="24"/>
                      <w:szCs w:val="24"/>
                      <w:highlight w:val="none"/>
                      <w:lang w:val="en-US" w:eastAsia="zh-CN" w:bidi="ar-SA"/>
                    </w:rPr>
                  </w:pPr>
                </w:p>
              </w:tc>
              <w:tc>
                <w:tcPr>
                  <w:tcW w:w="1984" w:type="dxa"/>
                  <w:vAlign w:val="top"/>
                </w:tcPr>
                <w:p w14:paraId="4E95479B">
                  <w:pPr>
                    <w:jc w:val="center"/>
                    <w:rPr>
                      <w:rFonts w:hint="eastAsia" w:ascii="Times New Roman" w:hAnsi="Times New Roman" w:eastAsia="宋体" w:cs="Times New Roman"/>
                      <w:color w:val="auto"/>
                      <w:kern w:val="2"/>
                      <w:sz w:val="24"/>
                      <w:szCs w:val="24"/>
                      <w:highlight w:val="none"/>
                      <w:lang w:val="en-US" w:eastAsia="zh-CN" w:bidi="ar-SA"/>
                    </w:rPr>
                  </w:pPr>
                </w:p>
              </w:tc>
              <w:tc>
                <w:tcPr>
                  <w:tcW w:w="2248" w:type="dxa"/>
                </w:tcPr>
                <w:p w14:paraId="52C5BCDA">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沉淀池泥沙</w:t>
                  </w:r>
                </w:p>
              </w:tc>
              <w:tc>
                <w:tcPr>
                  <w:tcW w:w="1720" w:type="dxa"/>
                  <w:vAlign w:val="top"/>
                </w:tcPr>
                <w:p w14:paraId="198BD0C3">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i w:val="0"/>
                      <w:iCs w:val="0"/>
                      <w:color w:val="000000"/>
                      <w:kern w:val="0"/>
                      <w:sz w:val="24"/>
                      <w:szCs w:val="24"/>
                      <w:u w:val="none"/>
                      <w:lang w:val="en-US" w:eastAsia="zh-CN" w:bidi="ar"/>
                    </w:rPr>
                    <w:t>1.26</w:t>
                  </w:r>
                </w:p>
              </w:tc>
            </w:tr>
            <w:tr w14:paraId="2A15F5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83" w:type="dxa"/>
                </w:tcPr>
                <w:p w14:paraId="4705B002">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合计</w:t>
                  </w:r>
                </w:p>
              </w:tc>
              <w:tc>
                <w:tcPr>
                  <w:tcW w:w="1984" w:type="dxa"/>
                  <w:vAlign w:val="top"/>
                </w:tcPr>
                <w:p w14:paraId="19FDCD7C">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i w:val="0"/>
                      <w:iCs w:val="0"/>
                      <w:color w:val="000000"/>
                      <w:kern w:val="0"/>
                      <w:sz w:val="24"/>
                      <w:szCs w:val="24"/>
                      <w:u w:val="none"/>
                      <w:lang w:val="en-US" w:eastAsia="zh-CN" w:bidi="ar"/>
                    </w:rPr>
                    <w:t>700</w:t>
                  </w:r>
                  <w:r>
                    <w:rPr>
                      <w:rFonts w:hint="eastAsia" w:cs="Times New Roman"/>
                      <w:i w:val="0"/>
                      <w:iCs w:val="0"/>
                      <w:color w:val="000000"/>
                      <w:kern w:val="0"/>
                      <w:sz w:val="24"/>
                      <w:szCs w:val="24"/>
                      <w:u w:val="none"/>
                      <w:lang w:val="en-US" w:eastAsia="zh-CN" w:bidi="ar"/>
                    </w:rPr>
                    <w:t>04.0315</w:t>
                  </w:r>
                </w:p>
              </w:tc>
              <w:tc>
                <w:tcPr>
                  <w:tcW w:w="2248" w:type="dxa"/>
                </w:tcPr>
                <w:p w14:paraId="145F9B5D">
                  <w:pPr>
                    <w:widowControl/>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合计</w:t>
                  </w:r>
                </w:p>
              </w:tc>
              <w:tc>
                <w:tcPr>
                  <w:tcW w:w="1720" w:type="dxa"/>
                  <w:vAlign w:val="top"/>
                </w:tcPr>
                <w:p w14:paraId="6FDBB39F">
                  <w:pPr>
                    <w:keepNext w:val="0"/>
                    <w:keepLines w:val="0"/>
                    <w:widowControl/>
                    <w:suppressLineNumbers w:val="0"/>
                    <w:jc w:val="center"/>
                    <w:textAlignment w:val="top"/>
                    <w:rPr>
                      <w:rFonts w:hint="default" w:ascii="Times New Roman" w:hAnsi="Times New Roman" w:eastAsia="宋体" w:cs="Times New Roman"/>
                      <w:color w:val="auto"/>
                      <w:kern w:val="2"/>
                      <w:sz w:val="24"/>
                      <w:szCs w:val="24"/>
                      <w:highlight w:val="none"/>
                      <w:lang w:val="en-US" w:eastAsia="zh-CN" w:bidi="ar-SA"/>
                    </w:rPr>
                  </w:pPr>
                  <w:r>
                    <w:rPr>
                      <w:rFonts w:hint="eastAsia" w:cs="Times New Roman"/>
                      <w:i w:val="0"/>
                      <w:iCs w:val="0"/>
                      <w:color w:val="000000"/>
                      <w:kern w:val="0"/>
                      <w:sz w:val="24"/>
                      <w:szCs w:val="24"/>
                      <w:u w:val="none"/>
                      <w:lang w:val="en-US" w:eastAsia="zh-CN" w:bidi="ar"/>
                    </w:rPr>
                    <w:t>70004.0315</w:t>
                  </w:r>
                </w:p>
              </w:tc>
            </w:tr>
          </w:tbl>
          <w:p w14:paraId="4AD9A732">
            <w:p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（3）供热</w:t>
            </w:r>
          </w:p>
          <w:p w14:paraId="466958AE">
            <w:pPr>
              <w:adjustRightInd w:val="0"/>
              <w:snapToGrid w:val="0"/>
              <w:spacing w:line="360" w:lineRule="auto"/>
              <w:ind w:firstLine="480" w:firstLineChars="200"/>
              <w:rPr>
                <w:rFonts w:hint="default"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本项目冬季不生产，因此无需供热。</w:t>
            </w:r>
          </w:p>
          <w:p w14:paraId="35BC357C">
            <w:p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（4）供电</w:t>
            </w:r>
          </w:p>
          <w:p w14:paraId="3A6D21AE">
            <w:p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本项目的电力由市政供电管网提供，项目不设备用发电机。</w:t>
            </w:r>
          </w:p>
          <w:p w14:paraId="3BD6AA00">
            <w:pPr>
              <w:numPr>
                <w:ilvl w:val="0"/>
                <w:numId w:val="8"/>
              </w:num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总平面布置</w:t>
            </w:r>
          </w:p>
          <w:p w14:paraId="19CBDAD7">
            <w:pPr>
              <w:spacing w:line="360" w:lineRule="auto"/>
              <w:ind w:firstLine="480" w:firstLineChars="200"/>
              <w:jc w:val="left"/>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本项目厂区</w:t>
            </w:r>
            <w:r>
              <w:rPr>
                <w:rFonts w:hint="eastAsia" w:cs="Times New Roman"/>
                <w:color w:val="auto"/>
                <w:kern w:val="2"/>
                <w:sz w:val="24"/>
                <w:szCs w:val="24"/>
                <w:highlight w:val="none"/>
                <w:lang w:val="en-US" w:eastAsia="zh-CN" w:bidi="ar-SA"/>
              </w:rPr>
              <w:t>东</w:t>
            </w:r>
            <w:r>
              <w:rPr>
                <w:rFonts w:hint="default" w:ascii="Times New Roman" w:hAnsi="Times New Roman" w:eastAsia="宋体" w:cs="Times New Roman"/>
                <w:color w:val="auto"/>
                <w:kern w:val="2"/>
                <w:sz w:val="24"/>
                <w:szCs w:val="24"/>
                <w:highlight w:val="none"/>
                <w:lang w:val="en-US" w:eastAsia="zh-CN" w:bidi="ar-SA"/>
              </w:rPr>
              <w:t>侧布置</w:t>
            </w:r>
            <w:r>
              <w:rPr>
                <w:rFonts w:hint="eastAsia" w:cs="Times New Roman"/>
                <w:color w:val="auto"/>
                <w:kern w:val="2"/>
                <w:sz w:val="24"/>
                <w:szCs w:val="24"/>
                <w:highlight w:val="none"/>
                <w:lang w:val="en-US" w:eastAsia="zh-CN" w:bidi="ar-SA"/>
              </w:rPr>
              <w:t>生产车间、蒸汽发生器室、养生室、原料贮存库及成品堆场</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北侧</w:t>
            </w:r>
            <w:r>
              <w:rPr>
                <w:rFonts w:hint="eastAsia" w:ascii="Times New Roman" w:hAnsi="Times New Roman" w:eastAsia="宋体" w:cs="Times New Roman"/>
                <w:color w:val="auto"/>
                <w:kern w:val="2"/>
                <w:sz w:val="24"/>
                <w:szCs w:val="24"/>
                <w:highlight w:val="none"/>
                <w:lang w:val="en-US" w:eastAsia="zh-CN" w:bidi="ar-SA"/>
              </w:rPr>
              <w:t>为</w:t>
            </w:r>
            <w:r>
              <w:rPr>
                <w:rFonts w:hint="eastAsia" w:cs="Times New Roman"/>
                <w:color w:val="auto"/>
                <w:kern w:val="2"/>
                <w:sz w:val="24"/>
                <w:szCs w:val="24"/>
                <w:highlight w:val="none"/>
                <w:lang w:val="en-US" w:eastAsia="zh-CN" w:bidi="ar-SA"/>
              </w:rPr>
              <w:t>办公室。本项目东西南三侧均为农田，北侧为G501国道。</w:t>
            </w:r>
            <w:r>
              <w:rPr>
                <w:rFonts w:hint="default" w:ascii="Times New Roman" w:hAnsi="Times New Roman" w:eastAsia="宋体" w:cs="Times New Roman"/>
                <w:color w:val="auto"/>
                <w:kern w:val="2"/>
                <w:sz w:val="24"/>
                <w:szCs w:val="24"/>
                <w:highlight w:val="none"/>
                <w:lang w:val="en-US" w:eastAsia="zh-CN" w:bidi="ar-SA"/>
              </w:rPr>
              <w:t>本项目综合考虑厂区供电等基础设施的建设，建筑物布置满足消防安全等要求。</w:t>
            </w:r>
          </w:p>
          <w:p w14:paraId="21B4087D">
            <w:pPr>
              <w:spacing w:line="360" w:lineRule="auto"/>
              <w:ind w:firstLine="480" w:firstLineChars="200"/>
              <w:jc w:val="left"/>
              <w:rPr>
                <w:rFonts w:hint="default" w:ascii="Times New Roman" w:hAnsi="Times New Roman" w:eastAsia="宋体" w:cs="Times New Roman"/>
                <w:color w:val="auto"/>
                <w:kern w:val="2"/>
                <w:sz w:val="21"/>
                <w:szCs w:val="24"/>
                <w:highlight w:val="yellow"/>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项目平面布置功能区明确，交通便利，建构筑物布置规范，因此，本项目平面布置合理。</w:t>
            </w:r>
          </w:p>
        </w:tc>
      </w:tr>
      <w:tr w14:paraId="216DC8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14:paraId="0A6FB8D2">
            <w:pPr>
              <w:pStyle w:val="26"/>
              <w:adjustRightInd w:val="0"/>
              <w:snapToGrid w:val="0"/>
              <w:spacing w:before="0" w:beforeAutospacing="0" w:after="0" w:afterAutospacing="0"/>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highlight w:val="none"/>
              </w:rPr>
              <w:t>工艺流程和产排污环节</w:t>
            </w:r>
          </w:p>
        </w:tc>
        <w:tc>
          <w:tcPr>
            <w:tcW w:w="8161" w:type="dxa"/>
            <w:noWrap w:val="0"/>
            <w:vAlign w:val="top"/>
          </w:tcPr>
          <w:p w14:paraId="1BC3F19F">
            <w:pPr>
              <w:adjustRightInd w:val="0"/>
              <w:snapToGrid w:val="0"/>
              <w:spacing w:line="360" w:lineRule="auto"/>
              <w:ind w:firstLine="480" w:firstLineChars="200"/>
              <w:rPr>
                <w:bCs/>
                <w:sz w:val="24"/>
                <w:highlight w:val="none"/>
              </w:rPr>
            </w:pPr>
            <w:r>
              <w:rPr>
                <w:bCs/>
                <w:sz w:val="24"/>
                <w:highlight w:val="none"/>
              </w:rPr>
              <w:t>施工期主要污染物为施工扬尘、施工噪声、施工废水、建筑垃圾等固体废物。</w:t>
            </w:r>
          </w:p>
          <w:p w14:paraId="6D44AA50">
            <w:pPr>
              <w:adjustRightInd w:val="0"/>
              <w:snapToGrid w:val="0"/>
              <w:spacing w:line="360" w:lineRule="auto"/>
              <w:ind w:firstLine="480" w:firstLineChars="200"/>
              <w:rPr>
                <w:bCs/>
                <w:sz w:val="24"/>
                <w:highlight w:val="none"/>
              </w:rPr>
            </w:pPr>
            <w:r>
              <w:rPr>
                <w:bCs/>
                <w:sz w:val="24"/>
                <w:highlight w:val="none"/>
              </w:rPr>
              <w:t>1、施工扬尘污染控制措施</w:t>
            </w:r>
          </w:p>
          <w:p w14:paraId="798FD944">
            <w:pPr>
              <w:adjustRightInd w:val="0"/>
              <w:snapToGrid w:val="0"/>
              <w:spacing w:line="360" w:lineRule="auto"/>
              <w:ind w:firstLine="480" w:firstLineChars="200"/>
              <w:rPr>
                <w:bCs/>
                <w:sz w:val="24"/>
                <w:highlight w:val="none"/>
              </w:rPr>
            </w:pPr>
            <w:r>
              <w:rPr>
                <w:bCs/>
                <w:sz w:val="24"/>
                <w:highlight w:val="none"/>
              </w:rPr>
              <w:t>本项目在施工建设期运输渣土、沙石等车辆采取密闭措施；建设工程施工现场设置全封闭围挡，严禁敞开式作业；建筑施工场地出口道路必须硬化并设置车辆清洗平台，对出场车辆逐台进行清洗；长期堆放的废弃物，应采取防尘布苫盖，控制扬尘污染。</w:t>
            </w:r>
          </w:p>
          <w:p w14:paraId="645FCFB4">
            <w:pPr>
              <w:adjustRightInd w:val="0"/>
              <w:snapToGrid w:val="0"/>
              <w:spacing w:line="360" w:lineRule="auto"/>
              <w:ind w:firstLine="480" w:firstLineChars="200"/>
              <w:rPr>
                <w:bCs/>
                <w:sz w:val="24"/>
                <w:highlight w:val="none"/>
              </w:rPr>
            </w:pPr>
            <w:r>
              <w:rPr>
                <w:bCs/>
                <w:sz w:val="24"/>
                <w:highlight w:val="none"/>
              </w:rPr>
              <w:t>2、施工期噪声污染防治措施</w:t>
            </w:r>
          </w:p>
          <w:p w14:paraId="76827496">
            <w:pPr>
              <w:adjustRightInd w:val="0"/>
              <w:snapToGrid w:val="0"/>
              <w:spacing w:line="360" w:lineRule="auto"/>
              <w:ind w:firstLine="480" w:firstLineChars="200"/>
              <w:rPr>
                <w:bCs/>
                <w:sz w:val="24"/>
                <w:highlight w:val="none"/>
              </w:rPr>
            </w:pPr>
            <w:r>
              <w:rPr>
                <w:bCs/>
                <w:sz w:val="24"/>
                <w:highlight w:val="none"/>
              </w:rPr>
              <w:t>（1）选用低噪声环保设备，加强设备的维护与管理。</w:t>
            </w:r>
          </w:p>
          <w:p w14:paraId="093F5A2F">
            <w:pPr>
              <w:adjustRightInd w:val="0"/>
              <w:snapToGrid w:val="0"/>
              <w:spacing w:line="360" w:lineRule="auto"/>
              <w:ind w:firstLine="480" w:firstLineChars="200"/>
              <w:rPr>
                <w:bCs/>
                <w:sz w:val="24"/>
                <w:highlight w:val="none"/>
              </w:rPr>
            </w:pPr>
            <w:r>
              <w:rPr>
                <w:bCs/>
                <w:sz w:val="24"/>
                <w:highlight w:val="none"/>
              </w:rPr>
              <w:t>（2）在保证施工进度的前提下，合理安排作业时间，禁止夜间施工。</w:t>
            </w:r>
          </w:p>
          <w:p w14:paraId="156015A1">
            <w:pPr>
              <w:adjustRightInd w:val="0"/>
              <w:snapToGrid w:val="0"/>
              <w:spacing w:line="360" w:lineRule="auto"/>
              <w:ind w:firstLine="480" w:firstLineChars="200"/>
              <w:rPr>
                <w:bCs/>
                <w:sz w:val="24"/>
                <w:highlight w:val="none"/>
              </w:rPr>
            </w:pPr>
            <w:r>
              <w:rPr>
                <w:bCs/>
                <w:sz w:val="24"/>
                <w:highlight w:val="none"/>
              </w:rPr>
              <w:t>（3）施工现场合理布局，以避免局部声级过高，尽可能将施工阶段的噪声减至最小。</w:t>
            </w:r>
          </w:p>
          <w:p w14:paraId="025F1560">
            <w:pPr>
              <w:adjustRightInd w:val="0"/>
              <w:snapToGrid w:val="0"/>
              <w:spacing w:line="360" w:lineRule="auto"/>
              <w:ind w:firstLine="480" w:firstLineChars="200"/>
              <w:rPr>
                <w:bCs/>
                <w:sz w:val="24"/>
                <w:highlight w:val="none"/>
              </w:rPr>
            </w:pPr>
            <w:r>
              <w:rPr>
                <w:bCs/>
                <w:sz w:val="24"/>
                <w:highlight w:val="none"/>
              </w:rPr>
              <w:t>3、施工期废水污染防治措施</w:t>
            </w:r>
          </w:p>
          <w:p w14:paraId="1963C0A3">
            <w:pPr>
              <w:adjustRightInd w:val="0"/>
              <w:snapToGrid w:val="0"/>
              <w:spacing w:line="360" w:lineRule="auto"/>
              <w:ind w:firstLine="480" w:firstLineChars="200"/>
              <w:rPr>
                <w:bCs/>
                <w:sz w:val="24"/>
                <w:highlight w:val="none"/>
              </w:rPr>
            </w:pPr>
            <w:r>
              <w:rPr>
                <w:bCs/>
                <w:sz w:val="24"/>
                <w:highlight w:val="none"/>
              </w:rPr>
              <w:t>生活污水</w:t>
            </w:r>
            <w:r>
              <w:rPr>
                <w:rFonts w:hint="eastAsia"/>
                <w:bCs/>
                <w:sz w:val="24"/>
                <w:highlight w:val="none"/>
              </w:rPr>
              <w:t>排入防渗旱厕，定期清掏堆肥</w:t>
            </w:r>
            <w:r>
              <w:rPr>
                <w:bCs/>
                <w:sz w:val="24"/>
                <w:highlight w:val="none"/>
              </w:rPr>
              <w:t>；施工机械冲洗废水排放量小，施工产生的废水用于洒水抑尘，对周围环境影响较小。</w:t>
            </w:r>
          </w:p>
          <w:p w14:paraId="70EE475D">
            <w:pPr>
              <w:adjustRightInd w:val="0"/>
              <w:snapToGrid w:val="0"/>
              <w:spacing w:line="360" w:lineRule="auto"/>
              <w:ind w:firstLine="480" w:firstLineChars="200"/>
              <w:rPr>
                <w:bCs/>
                <w:sz w:val="24"/>
                <w:highlight w:val="none"/>
              </w:rPr>
            </w:pPr>
            <w:r>
              <w:rPr>
                <w:bCs/>
                <w:sz w:val="24"/>
                <w:highlight w:val="none"/>
              </w:rPr>
              <w:t>4、施工期固体废物污染防治措施</w:t>
            </w:r>
          </w:p>
          <w:p w14:paraId="22B899BA">
            <w:pPr>
              <w:adjustRightInd w:val="0"/>
              <w:snapToGrid w:val="0"/>
              <w:spacing w:line="360" w:lineRule="auto"/>
              <w:ind w:firstLine="480" w:firstLineChars="200"/>
              <w:rPr>
                <w:rFonts w:hint="default"/>
                <w:bCs/>
                <w:sz w:val="24"/>
                <w:highlight w:val="none"/>
                <w:lang w:val="en-US" w:eastAsia="zh-CN"/>
              </w:rPr>
            </w:pPr>
            <w:r>
              <w:rPr>
                <w:rFonts w:hint="default"/>
                <w:bCs/>
                <w:sz w:val="24"/>
                <w:highlight w:val="none"/>
                <w:lang w:val="en-US" w:eastAsia="zh-CN"/>
              </w:rPr>
              <w:t>本项目施工期产生的固体废物主要是施工期建筑垃圾、施工人员生活垃圾。</w:t>
            </w:r>
          </w:p>
          <w:p w14:paraId="044E520A">
            <w:pPr>
              <w:adjustRightInd w:val="0"/>
              <w:snapToGrid w:val="0"/>
              <w:spacing w:line="360" w:lineRule="auto"/>
              <w:ind w:firstLine="480" w:firstLineChars="200"/>
              <w:rPr>
                <w:rFonts w:hint="default"/>
                <w:bCs/>
                <w:sz w:val="24"/>
                <w:highlight w:val="none"/>
                <w:lang w:val="en-US" w:eastAsia="zh-CN"/>
              </w:rPr>
            </w:pPr>
            <w:r>
              <w:rPr>
                <w:rFonts w:hint="default"/>
                <w:bCs/>
                <w:sz w:val="24"/>
                <w:highlight w:val="none"/>
                <w:lang w:val="en-US" w:eastAsia="zh-CN"/>
              </w:rPr>
              <w:t>（1）施工建筑垃圾</w:t>
            </w:r>
          </w:p>
          <w:p w14:paraId="5D44A112">
            <w:pPr>
              <w:adjustRightInd w:val="0"/>
              <w:snapToGrid w:val="0"/>
              <w:spacing w:line="360" w:lineRule="auto"/>
              <w:ind w:firstLine="480" w:firstLineChars="200"/>
              <w:rPr>
                <w:rFonts w:hint="default"/>
                <w:bCs/>
                <w:sz w:val="24"/>
                <w:highlight w:val="none"/>
                <w:lang w:val="en-US" w:eastAsia="zh-CN"/>
              </w:rPr>
            </w:pPr>
            <w:r>
              <w:rPr>
                <w:rFonts w:hint="default"/>
                <w:bCs/>
                <w:sz w:val="24"/>
                <w:highlight w:val="none"/>
                <w:lang w:val="en-US" w:eastAsia="zh-CN"/>
              </w:rPr>
              <w:t>本项目此施工期固废主要为建筑垃圾，还有本工程施工剩余的建筑材料，包括石料、木料等。本项目产生的建筑垃圾应及时清运至指定地点处置，防止建筑垃圾对外环境的影响。</w:t>
            </w:r>
          </w:p>
          <w:p w14:paraId="7575005A">
            <w:pPr>
              <w:adjustRightInd w:val="0"/>
              <w:snapToGrid w:val="0"/>
              <w:spacing w:line="360" w:lineRule="auto"/>
              <w:ind w:firstLine="480" w:firstLineChars="200"/>
              <w:rPr>
                <w:rFonts w:hint="default"/>
                <w:bCs/>
                <w:sz w:val="24"/>
                <w:highlight w:val="none"/>
                <w:lang w:val="en-US" w:eastAsia="zh-CN"/>
              </w:rPr>
            </w:pPr>
            <w:r>
              <w:rPr>
                <w:rFonts w:hint="default"/>
                <w:bCs/>
                <w:sz w:val="24"/>
                <w:highlight w:val="none"/>
                <w:lang w:val="en-US" w:eastAsia="zh-CN"/>
              </w:rPr>
              <w:t>（2）生活垃圾</w:t>
            </w:r>
          </w:p>
          <w:p w14:paraId="74E1FE32">
            <w:pPr>
              <w:adjustRightInd w:val="0"/>
              <w:snapToGrid w:val="0"/>
              <w:spacing w:line="360" w:lineRule="auto"/>
              <w:ind w:firstLine="480" w:firstLineChars="200"/>
              <w:rPr>
                <w:rFonts w:hint="default"/>
                <w:bCs/>
                <w:sz w:val="24"/>
                <w:highlight w:val="none"/>
                <w:lang w:val="en-US" w:eastAsia="zh-CN"/>
              </w:rPr>
            </w:pPr>
            <w:r>
              <w:rPr>
                <w:rFonts w:hint="default"/>
                <w:bCs/>
                <w:sz w:val="24"/>
                <w:highlight w:val="none"/>
                <w:lang w:val="en-US" w:eastAsia="zh-CN"/>
              </w:rPr>
              <w:t>施工人员产生的生活垃圾若随意堆放，不仅影响施工区环境景观，而且影响施工区环境卫生，夏秋季易造成蚊、蝇孽生或鼠类繁殖，导致疾病流行，进而威胁施工人员身体健康。生活垃圾做到日产日清，生活垃圾集中收集，由送生活垃圾填埋场填埋。</w:t>
            </w:r>
          </w:p>
          <w:p w14:paraId="11104DBF">
            <w:pPr>
              <w:adjustRightInd w:val="0"/>
              <w:snapToGrid w:val="0"/>
              <w:spacing w:line="360" w:lineRule="auto"/>
              <w:ind w:firstLine="480" w:firstLineChars="200"/>
              <w:rPr>
                <w:rFonts w:hint="default"/>
                <w:bCs/>
                <w:sz w:val="24"/>
                <w:highlight w:val="none"/>
                <w:lang w:val="en-US" w:eastAsia="zh-CN"/>
              </w:rPr>
            </w:pPr>
            <w:r>
              <w:rPr>
                <w:rFonts w:hint="default"/>
                <w:bCs/>
                <w:sz w:val="24"/>
                <w:highlight w:val="none"/>
                <w:lang w:val="en-US" w:eastAsia="zh-CN"/>
              </w:rPr>
              <w:t>综上所述，本项目施工期产生的固体废物均能无害化处置。</w:t>
            </w:r>
          </w:p>
          <w:p w14:paraId="7D098BDF">
            <w:pPr>
              <w:adjustRightInd w:val="0"/>
              <w:snapToGrid w:val="0"/>
              <w:spacing w:line="360" w:lineRule="auto"/>
              <w:ind w:firstLine="480" w:firstLineChars="200"/>
              <w:rPr>
                <w:rFonts w:hint="eastAsia" w:eastAsia="宋体"/>
                <w:bCs/>
                <w:sz w:val="24"/>
                <w:highlight w:val="none"/>
                <w:lang w:val="en-US" w:eastAsia="zh-CN"/>
              </w:rPr>
            </w:pPr>
            <w:r>
              <w:rPr>
                <w:bCs/>
                <w:sz w:val="24"/>
                <w:highlight w:val="none"/>
              </w:rPr>
              <w:t>施工期在实施以上建议措施后，其对施工场地周边环境影响较小。随着施工的结束，该部分影响也将随之消失</w:t>
            </w:r>
            <w:r>
              <w:rPr>
                <w:rFonts w:hint="eastAsia"/>
                <w:bCs/>
                <w:sz w:val="24"/>
                <w:highlight w:val="none"/>
                <w:lang w:eastAsia="zh-CN"/>
              </w:rPr>
              <w:t>。</w:t>
            </w:r>
          </w:p>
          <w:p w14:paraId="741CF14A">
            <w:pPr>
              <w:adjustRightInd w:val="0"/>
              <w:snapToGrid w:val="0"/>
              <w:spacing w:line="360" w:lineRule="auto"/>
              <w:ind w:firstLine="482" w:firstLineChars="200"/>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二、运营期流程说明</w:t>
            </w:r>
          </w:p>
          <w:p w14:paraId="570DAA9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工艺流程简述</w:t>
            </w:r>
          </w:p>
          <w:p w14:paraId="3A40AE6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本项目为水泥预制件生产项目，主要以水泥、砂、石、粉煤灰以及钢筋等为原料，水泥预制件具体产品形态根据供需双方商议确定。</w:t>
            </w:r>
          </w:p>
          <w:p w14:paraId="612B2EA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p>
          <w:p w14:paraId="52D4A68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p>
          <w:p w14:paraId="58E4099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p>
          <w:p w14:paraId="4234C01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p>
          <w:p w14:paraId="70FFA76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p>
          <w:p w14:paraId="37FC775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p>
          <w:p w14:paraId="1DCCE92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p>
          <w:p w14:paraId="1066D93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p>
          <w:p w14:paraId="6D071DD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p>
          <w:p w14:paraId="618F910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p>
          <w:p w14:paraId="15A5CC2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auto"/>
                <w:sz w:val="24"/>
                <w:szCs w:val="24"/>
                <w:highlight w:val="none"/>
                <w:lang w:val="en-US" w:eastAsia="zh-CN"/>
              </w:rPr>
            </w:pPr>
          </w:p>
          <w:p w14:paraId="4FF1E6C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drawing>
                <wp:inline distT="0" distB="0" distL="114300" distR="114300">
                  <wp:extent cx="4082415" cy="3031490"/>
                  <wp:effectExtent l="0" t="0" r="0" b="0"/>
                  <wp:docPr id="17" name="ECB019B1-382A-4266-B25C-5B523AA43C14-2" descr="C:/Users/Administrator/AppData/Local/Temp/wps.PWotrf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CB019B1-382A-4266-B25C-5B523AA43C14-2" descr="C:/Users/Administrator/AppData/Local/Temp/wps.PWotrfwps"/>
                          <pic:cNvPicPr>
                            <a:picLocks noChangeAspect="1"/>
                          </pic:cNvPicPr>
                        </pic:nvPicPr>
                        <pic:blipFill>
                          <a:blip r:embed="rId14"/>
                          <a:stretch>
                            <a:fillRect/>
                          </a:stretch>
                        </pic:blipFill>
                        <pic:spPr>
                          <a:xfrm>
                            <a:off x="0" y="0"/>
                            <a:ext cx="4082415" cy="3031490"/>
                          </a:xfrm>
                          <a:prstGeom prst="rect">
                            <a:avLst/>
                          </a:prstGeom>
                        </pic:spPr>
                      </pic:pic>
                    </a:graphicData>
                  </a:graphic>
                </wp:inline>
              </w:drawing>
            </w:r>
          </w:p>
          <w:p w14:paraId="66F5AB5A">
            <w:pPr>
              <w:bidi w:val="0"/>
              <w:rPr>
                <w:rFonts w:hint="eastAsia" w:eastAsia="宋体"/>
                <w:highlight w:val="yellow"/>
                <w:lang w:eastAsia="zh-CN"/>
              </w:rPr>
            </w:pPr>
          </w:p>
          <w:p w14:paraId="1EA41400">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center"/>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b/>
                <w:bCs/>
                <w:color w:val="auto"/>
                <w:sz w:val="24"/>
                <w:szCs w:val="24"/>
                <w:highlight w:val="none"/>
              </w:rPr>
              <w:t>图2-</w:t>
            </w:r>
            <w:r>
              <w:rPr>
                <w:rFonts w:hint="eastAsia"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 xml:space="preserve">  项目运营期工艺流程及排污节点图</w:t>
            </w:r>
          </w:p>
          <w:p w14:paraId="374AACF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（1）投料搅拌</w:t>
            </w:r>
          </w:p>
          <w:p w14:paraId="645C726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砂石料经计量后输送至搅拌装置，水泥</w:t>
            </w:r>
            <w:r>
              <w:rPr>
                <w:rFonts w:hint="eastAsia" w:cs="Times New Roman"/>
                <w:color w:val="auto"/>
                <w:sz w:val="24"/>
                <w:szCs w:val="24"/>
                <w:highlight w:val="none"/>
                <w:lang w:val="en-US" w:eastAsia="zh-CN"/>
              </w:rPr>
              <w:t>和</w:t>
            </w:r>
            <w:r>
              <w:rPr>
                <w:rFonts w:hint="eastAsia" w:ascii="Times New Roman" w:hAnsi="Times New Roman" w:eastAsia="宋体" w:cs="Times New Roman"/>
                <w:color w:val="auto"/>
                <w:sz w:val="24"/>
                <w:szCs w:val="24"/>
                <w:highlight w:val="none"/>
                <w:lang w:val="en-US" w:eastAsia="zh-CN"/>
              </w:rPr>
              <w:t>粉煤灰分别通过水泥仓、粉煤灰仓打入搅拌装置，水经计量后输送至搅拌装置，将配好的各种原料在搅拌装置内搅拌均匀</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搅拌装置全封闭</w:t>
            </w:r>
            <w:r>
              <w:rPr>
                <w:rFonts w:hint="eastAsia" w:cs="Times New Roman"/>
                <w:color w:val="auto"/>
                <w:sz w:val="24"/>
                <w:szCs w:val="24"/>
                <w:highlight w:val="none"/>
                <w:lang w:val="en-US" w:eastAsia="zh-CN"/>
              </w:rPr>
              <w:t>，且搅拌工艺为加水湿法搅拌，搅拌过程中不产生粉尘，仅投料过程中产生少量粉尘。</w:t>
            </w:r>
          </w:p>
          <w:p w14:paraId="7E40AED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注入模具</w:t>
            </w:r>
          </w:p>
          <w:p w14:paraId="3CE9FE5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钢筋在使用前需要对钢筋进行简单加工，本项需要对钢筋进行切断加工，加工完成的钢筋入模待混凝土浇灌。</w:t>
            </w:r>
          </w:p>
          <w:p w14:paraId="6D52F41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w:t>
            </w:r>
            <w:r>
              <w:rPr>
                <w:rFonts w:hint="eastAsia" w:cs="Times New Roman"/>
                <w:color w:val="auto"/>
                <w:sz w:val="24"/>
                <w:szCs w:val="24"/>
                <w:highlight w:val="none"/>
                <w:lang w:val="en-US" w:eastAsia="zh-CN"/>
              </w:rPr>
              <w:t>振捣</w:t>
            </w:r>
          </w:p>
          <w:p w14:paraId="1A814A4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pPr>
            <w:r>
              <w:rPr>
                <w:rFonts w:hint="eastAsia" w:ascii="Times New Roman" w:hAnsi="Times New Roman" w:eastAsia="宋体" w:cs="Times New Roman"/>
                <w:color w:val="auto"/>
                <w:sz w:val="24"/>
                <w:szCs w:val="24"/>
                <w:highlight w:val="none"/>
                <w:lang w:val="en-US" w:eastAsia="zh-CN"/>
              </w:rPr>
              <w:t xml:space="preserve">利用振捣棒增加产品密实度，将振捣棒插入模具中间开始振捣，持续 </w:t>
            </w:r>
            <w:r>
              <w:rPr>
                <w:rFonts w:hint="default" w:ascii="Times New Roman" w:hAnsi="Times New Roman" w:eastAsia="宋体" w:cs="Times New Roman"/>
                <w:color w:val="auto"/>
                <w:sz w:val="24"/>
                <w:szCs w:val="24"/>
                <w:highlight w:val="none"/>
                <w:lang w:val="en-US" w:eastAsia="zh-CN"/>
              </w:rPr>
              <w:t xml:space="preserve">30-50 </w:t>
            </w:r>
            <w:r>
              <w:rPr>
                <w:rFonts w:hint="eastAsia" w:ascii="Times New Roman" w:hAnsi="Times New Roman" w:eastAsia="宋体" w:cs="Times New Roman"/>
                <w:color w:val="auto"/>
                <w:sz w:val="24"/>
                <w:szCs w:val="24"/>
                <w:highlight w:val="none"/>
                <w:lang w:val="en-US" w:eastAsia="zh-CN"/>
              </w:rPr>
              <w:t>秒。</w:t>
            </w:r>
          </w:p>
          <w:p w14:paraId="16D2F41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定型</w:t>
            </w:r>
          </w:p>
          <w:p w14:paraId="7EBACBF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default" w:ascii="Times New Roman" w:hAnsi="Times New Roman" w:eastAsia="宋体" w:cs="Times New Roman"/>
                <w:color w:val="auto"/>
                <w:sz w:val="24"/>
                <w:szCs w:val="24"/>
                <w:highlight w:val="yellow"/>
                <w:lang w:val="en-US" w:eastAsia="zh-CN"/>
              </w:rPr>
            </w:pPr>
            <w:r>
              <w:rPr>
                <w:rFonts w:hint="eastAsia" w:ascii="Times New Roman" w:hAnsi="Times New Roman" w:eastAsia="宋体" w:cs="Times New Roman"/>
                <w:color w:val="auto"/>
                <w:sz w:val="24"/>
                <w:szCs w:val="24"/>
                <w:highlight w:val="none"/>
                <w:lang w:val="en-US" w:eastAsia="zh-CN"/>
              </w:rPr>
              <w:t>水泥制品成型需要采用离心机对其进行离心定型。</w:t>
            </w:r>
          </w:p>
          <w:p w14:paraId="5492B5D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蒸汽养护</w:t>
            </w:r>
          </w:p>
          <w:p w14:paraId="30B7C25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经离心定型之后放入养护池，通入蒸汽进行养护，养护温度</w:t>
            </w:r>
            <w:r>
              <w:rPr>
                <w:rFonts w:hint="default" w:ascii="Times New Roman" w:hAnsi="Times New Roman" w:eastAsia="宋体" w:cs="Times New Roman"/>
                <w:color w:val="auto"/>
                <w:sz w:val="24"/>
                <w:szCs w:val="24"/>
                <w:highlight w:val="none"/>
                <w:lang w:val="en-US" w:eastAsia="zh-CN"/>
              </w:rPr>
              <w:t>100</w:t>
            </w:r>
            <w:r>
              <w:rPr>
                <w:rFonts w:hint="eastAsia" w:ascii="Times New Roman" w:hAnsi="Times New Roman" w:eastAsia="宋体" w:cs="Times New Roman"/>
                <w:color w:val="auto"/>
                <w:sz w:val="24"/>
                <w:szCs w:val="24"/>
                <w:highlight w:val="none"/>
                <w:lang w:val="en-US" w:eastAsia="zh-CN"/>
              </w:rPr>
              <w:t>℃，养护时间每批次约</w:t>
            </w:r>
            <w:r>
              <w:rPr>
                <w:rFonts w:hint="default" w:ascii="Times New Roman" w:hAnsi="Times New Roman" w:eastAsia="宋体" w:cs="Times New Roman"/>
                <w:color w:val="auto"/>
                <w:sz w:val="24"/>
                <w:szCs w:val="24"/>
                <w:highlight w:val="none"/>
                <w:lang w:val="en-US" w:eastAsia="zh-CN"/>
              </w:rPr>
              <w:t>2h</w:t>
            </w:r>
            <w:r>
              <w:rPr>
                <w:rFonts w:hint="eastAsia" w:ascii="Times New Roman" w:hAnsi="Times New Roman" w:eastAsia="宋体" w:cs="Times New Roman"/>
                <w:color w:val="auto"/>
                <w:sz w:val="24"/>
                <w:szCs w:val="24"/>
                <w:highlight w:val="none"/>
                <w:lang w:val="en-US" w:eastAsia="zh-CN"/>
              </w:rPr>
              <w:t>，蒸汽由</w:t>
            </w:r>
            <w:r>
              <w:rPr>
                <w:rFonts w:hint="eastAsia"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lang w:val="en-US" w:eastAsia="zh-CN"/>
              </w:rPr>
              <w:t>t/h</w:t>
            </w:r>
            <w:r>
              <w:rPr>
                <w:rFonts w:hint="eastAsia" w:ascii="Times New Roman" w:hAnsi="Times New Roman" w:eastAsia="宋体" w:cs="Times New Roman"/>
                <w:color w:val="auto"/>
                <w:sz w:val="24"/>
                <w:szCs w:val="24"/>
                <w:highlight w:val="none"/>
                <w:lang w:val="en-US" w:eastAsia="zh-CN"/>
              </w:rPr>
              <w:t>的蒸汽发生器提供</w:t>
            </w:r>
            <w:r>
              <w:rPr>
                <w:rFonts w:hint="eastAsia" w:cs="Times New Roman"/>
                <w:color w:val="auto"/>
                <w:sz w:val="24"/>
                <w:szCs w:val="24"/>
                <w:highlight w:val="none"/>
                <w:lang w:val="en-US" w:eastAsia="zh-CN"/>
              </w:rPr>
              <w:t>。</w:t>
            </w:r>
          </w:p>
          <w:p w14:paraId="78966A0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脱模</w:t>
            </w:r>
          </w:p>
          <w:p w14:paraId="6142DE5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eastAsia" w:ascii="宋体" w:hAnsi="宋体" w:eastAsia="宋体" w:cs="宋体"/>
                <w:color w:val="000000"/>
                <w:kern w:val="0"/>
                <w:sz w:val="24"/>
                <w:szCs w:val="24"/>
                <w:lang w:val="en-US" w:eastAsia="zh-CN" w:bidi="ar"/>
              </w:rPr>
            </w:pPr>
            <w:r>
              <w:rPr>
                <w:rFonts w:hint="eastAsia" w:ascii="Times New Roman" w:hAnsi="Times New Roman" w:eastAsia="宋体" w:cs="Times New Roman"/>
                <w:color w:val="auto"/>
                <w:sz w:val="24"/>
                <w:szCs w:val="24"/>
                <w:highlight w:val="none"/>
                <w:lang w:val="en-US" w:eastAsia="zh-CN"/>
              </w:rPr>
              <w:t>养护完成后，用吊车脱模，</w:t>
            </w:r>
            <w:r>
              <w:rPr>
                <w:rFonts w:hint="eastAsia" w:ascii="宋体" w:hAnsi="宋体" w:eastAsia="宋体" w:cs="宋体"/>
                <w:color w:val="000000"/>
                <w:kern w:val="0"/>
                <w:sz w:val="24"/>
                <w:szCs w:val="24"/>
                <w:lang w:val="en-US" w:eastAsia="zh-CN" w:bidi="ar"/>
              </w:rPr>
              <w:t>拆模形成成品。</w:t>
            </w:r>
            <w:r>
              <w:rPr>
                <w:rFonts w:hint="eastAsia" w:ascii="Times New Roman" w:hAnsi="Times New Roman" w:eastAsia="宋体" w:cs="Times New Roman"/>
                <w:color w:val="auto"/>
                <w:sz w:val="24"/>
                <w:szCs w:val="24"/>
                <w:highlight w:val="none"/>
                <w:lang w:val="en-US" w:eastAsia="zh-CN"/>
              </w:rPr>
              <w:t xml:space="preserve">本工序产生噪声 </w:t>
            </w:r>
            <w:r>
              <w:rPr>
                <w:rFonts w:hint="default" w:ascii="Times New Roman" w:hAnsi="Times New Roman" w:eastAsia="宋体" w:cs="Times New Roman"/>
                <w:color w:val="auto"/>
                <w:sz w:val="24"/>
                <w:szCs w:val="24"/>
                <w:highlight w:val="none"/>
                <w:lang w:val="en-US" w:eastAsia="zh-CN"/>
              </w:rPr>
              <w:t>N4</w:t>
            </w:r>
            <w:r>
              <w:rPr>
                <w:rFonts w:hint="eastAsia" w:ascii="Times New Roman" w:hAnsi="Times New Roman" w:eastAsia="宋体" w:cs="Times New Roman"/>
                <w:color w:val="auto"/>
                <w:sz w:val="24"/>
                <w:szCs w:val="24"/>
                <w:highlight w:val="none"/>
                <w:lang w:val="en-US" w:eastAsia="zh-CN"/>
              </w:rPr>
              <w:t>。</w:t>
            </w:r>
            <w:r>
              <w:rPr>
                <w:rFonts w:hint="eastAsia" w:eastAsia="宋体" w:cs="Times New Roman"/>
                <w:color w:val="auto"/>
                <w:sz w:val="24"/>
                <w:szCs w:val="24"/>
                <w:highlight w:val="none"/>
                <w:lang w:val="en-US" w:eastAsia="zh-CN"/>
              </w:rPr>
              <w:t>（本项目不涉及脱模剂）。</w:t>
            </w:r>
          </w:p>
          <w:p w14:paraId="7239C93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7</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自然晾晒成型</w:t>
            </w:r>
          </w:p>
          <w:p w14:paraId="32AEE811">
            <w:pPr>
              <w:spacing w:line="360" w:lineRule="auto"/>
              <w:ind w:firstLine="480" w:firstLineChars="200"/>
              <w:contextualSpacing/>
              <w:rPr>
                <w:rFonts w:hint="default" w:hAnsiTheme="minorEastAsia" w:eastAsiaTheme="minorEastAsia"/>
                <w:sz w:val="24"/>
                <w:highlight w:val="none"/>
                <w:lang w:val="en-US"/>
              </w:rPr>
            </w:pPr>
            <w:r>
              <w:rPr>
                <w:rFonts w:hint="eastAsia" w:hAnsiTheme="minorEastAsia" w:eastAsiaTheme="minorEastAsia"/>
                <w:sz w:val="24"/>
                <w:highlight w:val="none"/>
                <w:lang w:val="en-US" w:eastAsia="zh-CN"/>
              </w:rPr>
              <w:t>拆模后成品在成品堆场自然晾晒成型。</w:t>
            </w:r>
          </w:p>
          <w:p w14:paraId="25EDE7D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成品出售</w:t>
            </w:r>
          </w:p>
          <w:p w14:paraId="38CBA65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成品出售。</w:t>
            </w:r>
          </w:p>
          <w:p w14:paraId="5A5104CB">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center"/>
              <w:rPr>
                <w:rFonts w:hint="default" w:ascii="Times New Roman" w:hAnsi="Times New Roman" w:eastAsia="宋体" w:cs="Times New Roman"/>
                <w:b/>
                <w:bCs/>
                <w:color w:val="auto"/>
                <w:sz w:val="24"/>
                <w:szCs w:val="24"/>
                <w:highlight w:val="yellow"/>
                <w:lang w:val="en-US" w:eastAsia="zh-CN"/>
              </w:rPr>
            </w:pPr>
            <w:r>
              <w:rPr>
                <w:rFonts w:hint="eastAsia" w:ascii="Times New Roman" w:hAnsi="Times New Roman" w:eastAsia="宋体" w:cs="Times New Roman"/>
                <w:b/>
                <w:bCs/>
                <w:color w:val="auto"/>
                <w:sz w:val="24"/>
                <w:szCs w:val="24"/>
                <w:highlight w:val="yellow"/>
                <w:lang w:val="en-US" w:eastAsia="zh-CN"/>
              </w:rPr>
              <w:t>表2-6本项目运营期产排污一览表</w:t>
            </w:r>
          </w:p>
          <w:tbl>
            <w:tblPr>
              <w:tblStyle w:val="32"/>
              <w:tblW w:w="4998" w:type="pct"/>
              <w:tblInd w:w="0" w:type="dxa"/>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6"/>
              <w:gridCol w:w="1953"/>
              <w:gridCol w:w="2663"/>
              <w:gridCol w:w="1600"/>
            </w:tblGrid>
            <w:tr w14:paraId="3788A8F9">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tcBorders>
                    <w:tl2br w:val="nil"/>
                    <w:tr2bl w:val="nil"/>
                  </w:tcBorders>
                  <w:vAlign w:val="center"/>
                </w:tcPr>
                <w:p w14:paraId="0EFBA44E">
                  <w:pPr>
                    <w:pStyle w:val="29"/>
                    <w:ind w:left="0" w:leftChars="0" w:firstLine="0" w:firstLineChars="0"/>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污染源类别</w:t>
                  </w:r>
                </w:p>
              </w:tc>
              <w:tc>
                <w:tcPr>
                  <w:tcW w:w="1229" w:type="pct"/>
                  <w:tcBorders>
                    <w:tl2br w:val="nil"/>
                    <w:tr2bl w:val="nil"/>
                  </w:tcBorders>
                  <w:vAlign w:val="center"/>
                </w:tcPr>
                <w:p w14:paraId="5F4478EC">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产污环节</w:t>
                  </w:r>
                </w:p>
              </w:tc>
              <w:tc>
                <w:tcPr>
                  <w:tcW w:w="1676" w:type="pct"/>
                  <w:tcBorders>
                    <w:tl2br w:val="nil"/>
                    <w:tr2bl w:val="nil"/>
                  </w:tcBorders>
                  <w:vAlign w:val="center"/>
                </w:tcPr>
                <w:p w14:paraId="1AAFFC82">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主要污染物</w:t>
                  </w:r>
                </w:p>
              </w:tc>
              <w:tc>
                <w:tcPr>
                  <w:tcW w:w="1007" w:type="pct"/>
                  <w:tcBorders>
                    <w:tl2br w:val="nil"/>
                    <w:tr2bl w:val="nil"/>
                  </w:tcBorders>
                  <w:vAlign w:val="center"/>
                </w:tcPr>
                <w:p w14:paraId="2DB7A7EE">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序号</w:t>
                  </w:r>
                </w:p>
              </w:tc>
            </w:tr>
            <w:tr w14:paraId="39123F24">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1086" w:type="pct"/>
                  <w:vMerge w:val="restart"/>
                  <w:tcBorders>
                    <w:tl2br w:val="nil"/>
                    <w:tr2bl w:val="nil"/>
                  </w:tcBorders>
                  <w:vAlign w:val="center"/>
                </w:tcPr>
                <w:p w14:paraId="66359D43">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废水</w:t>
                  </w:r>
                </w:p>
              </w:tc>
              <w:tc>
                <w:tcPr>
                  <w:tcW w:w="1229" w:type="pct"/>
                  <w:tcBorders>
                    <w:tl2br w:val="nil"/>
                    <w:tr2bl w:val="nil"/>
                  </w:tcBorders>
                  <w:vAlign w:val="center"/>
                </w:tcPr>
                <w:p w14:paraId="0A68B612">
                  <w:pPr>
                    <w:pStyle w:val="29"/>
                    <w:ind w:left="0" w:leftChars="0" w:firstLine="0" w:firstLineChars="0"/>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蒸汽发生器</w:t>
                  </w:r>
                </w:p>
              </w:tc>
              <w:tc>
                <w:tcPr>
                  <w:tcW w:w="1676" w:type="pct"/>
                  <w:vMerge w:val="restart"/>
                  <w:tcBorders>
                    <w:tl2br w:val="nil"/>
                    <w:tr2bl w:val="nil"/>
                  </w:tcBorders>
                  <w:vAlign w:val="center"/>
                </w:tcPr>
                <w:p w14:paraId="14242A42">
                  <w:pPr>
                    <w:pStyle w:val="29"/>
                    <w:ind w:left="0" w:leftChars="0" w:firstLine="0" w:firstLineChars="0"/>
                    <w:jc w:val="center"/>
                    <w:rPr>
                      <w:rFonts w:hint="eastAsia"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COD、BOD5、氨氮、SS</w:t>
                  </w:r>
                </w:p>
              </w:tc>
              <w:tc>
                <w:tcPr>
                  <w:tcW w:w="1007" w:type="pct"/>
                  <w:tcBorders>
                    <w:tl2br w:val="nil"/>
                    <w:tr2bl w:val="nil"/>
                  </w:tcBorders>
                  <w:vAlign w:val="center"/>
                </w:tcPr>
                <w:p w14:paraId="12D89FC6">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W1</w:t>
                  </w:r>
                </w:p>
              </w:tc>
            </w:tr>
            <w:tr w14:paraId="2EE4962E">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86" w:type="pct"/>
                  <w:vMerge w:val="continue"/>
                  <w:tcBorders>
                    <w:tl2br w:val="nil"/>
                    <w:tr2bl w:val="nil"/>
                  </w:tcBorders>
                  <w:vAlign w:val="center"/>
                </w:tcPr>
                <w:p w14:paraId="04D0EF62">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6DEBB874">
                  <w:pPr>
                    <w:pStyle w:val="29"/>
                    <w:ind w:left="0" w:leftChars="0" w:firstLine="0" w:firstLineChars="0"/>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养护冷凝水</w:t>
                  </w:r>
                </w:p>
              </w:tc>
              <w:tc>
                <w:tcPr>
                  <w:tcW w:w="1676" w:type="pct"/>
                  <w:vMerge w:val="continue"/>
                  <w:tcBorders>
                    <w:tl2br w:val="nil"/>
                    <w:tr2bl w:val="nil"/>
                  </w:tcBorders>
                  <w:vAlign w:val="center"/>
                </w:tcPr>
                <w:p w14:paraId="7501471F">
                  <w:pPr>
                    <w:pStyle w:val="29"/>
                    <w:ind w:left="0" w:leftChars="0" w:firstLine="0" w:firstLineChars="0"/>
                    <w:jc w:val="center"/>
                    <w:rPr>
                      <w:rFonts w:hint="eastAsia" w:cs="Times New Roman"/>
                      <w:color w:val="auto"/>
                      <w:sz w:val="24"/>
                      <w:szCs w:val="24"/>
                      <w:highlight w:val="yellow"/>
                      <w:vertAlign w:val="baseline"/>
                      <w:lang w:val="en-US" w:eastAsia="zh-CN"/>
                    </w:rPr>
                  </w:pPr>
                </w:p>
              </w:tc>
              <w:tc>
                <w:tcPr>
                  <w:tcW w:w="1007" w:type="pct"/>
                  <w:tcBorders>
                    <w:tl2br w:val="nil"/>
                    <w:tr2bl w:val="nil"/>
                  </w:tcBorders>
                  <w:vAlign w:val="center"/>
                </w:tcPr>
                <w:p w14:paraId="04748925">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W2</w:t>
                  </w:r>
                </w:p>
              </w:tc>
            </w:tr>
            <w:tr w14:paraId="26B73D1B">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086" w:type="pct"/>
                  <w:vMerge w:val="continue"/>
                  <w:tcBorders>
                    <w:tl2br w:val="nil"/>
                    <w:tr2bl w:val="nil"/>
                  </w:tcBorders>
                  <w:vAlign w:val="center"/>
                </w:tcPr>
                <w:p w14:paraId="7E205BFF">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3CB485E5">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生活污水</w:t>
                  </w:r>
                </w:p>
              </w:tc>
              <w:tc>
                <w:tcPr>
                  <w:tcW w:w="1676" w:type="pct"/>
                  <w:vMerge w:val="continue"/>
                  <w:tcBorders>
                    <w:tl2br w:val="nil"/>
                    <w:tr2bl w:val="nil"/>
                  </w:tcBorders>
                  <w:vAlign w:val="center"/>
                </w:tcPr>
                <w:p w14:paraId="0BA6D426">
                  <w:pPr>
                    <w:pStyle w:val="29"/>
                    <w:jc w:val="center"/>
                    <w:rPr>
                      <w:rFonts w:hint="eastAsia" w:cs="Times New Roman"/>
                      <w:color w:val="auto"/>
                      <w:sz w:val="24"/>
                      <w:szCs w:val="24"/>
                      <w:highlight w:val="yellow"/>
                      <w:vertAlign w:val="baseline"/>
                      <w:lang w:val="en-US" w:eastAsia="zh-CN"/>
                    </w:rPr>
                  </w:pPr>
                </w:p>
              </w:tc>
              <w:tc>
                <w:tcPr>
                  <w:tcW w:w="1007" w:type="pct"/>
                  <w:tcBorders>
                    <w:tl2br w:val="nil"/>
                    <w:tr2bl w:val="nil"/>
                  </w:tcBorders>
                  <w:vAlign w:val="center"/>
                </w:tcPr>
                <w:p w14:paraId="0298D122">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w:t>
                  </w:r>
                </w:p>
              </w:tc>
            </w:tr>
            <w:tr w14:paraId="28EC7BC6">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restart"/>
                  <w:tcBorders>
                    <w:tl2br w:val="nil"/>
                    <w:tr2bl w:val="nil"/>
                  </w:tcBorders>
                  <w:vAlign w:val="center"/>
                </w:tcPr>
                <w:p w14:paraId="6BFDFFE9">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废气</w:t>
                  </w:r>
                </w:p>
              </w:tc>
              <w:tc>
                <w:tcPr>
                  <w:tcW w:w="1229" w:type="pct"/>
                  <w:tcBorders>
                    <w:tl2br w:val="nil"/>
                    <w:tr2bl w:val="nil"/>
                  </w:tcBorders>
                  <w:vAlign w:val="center"/>
                </w:tcPr>
                <w:p w14:paraId="4309C03E">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投料、搅拌</w:t>
                  </w:r>
                </w:p>
              </w:tc>
              <w:tc>
                <w:tcPr>
                  <w:tcW w:w="1676" w:type="pct"/>
                  <w:tcBorders>
                    <w:tl2br w:val="nil"/>
                    <w:tr2bl w:val="nil"/>
                  </w:tcBorders>
                  <w:vAlign w:val="center"/>
                </w:tcPr>
                <w:p w14:paraId="43FF657E">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颗粒物</w:t>
                  </w:r>
                </w:p>
              </w:tc>
              <w:tc>
                <w:tcPr>
                  <w:tcW w:w="1007" w:type="pct"/>
                  <w:tcBorders>
                    <w:tl2br w:val="nil"/>
                    <w:tr2bl w:val="nil"/>
                  </w:tcBorders>
                  <w:vAlign w:val="center"/>
                </w:tcPr>
                <w:p w14:paraId="046B1DAA">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G1</w:t>
                  </w:r>
                </w:p>
              </w:tc>
            </w:tr>
            <w:tr w14:paraId="1D122C61">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continue"/>
                  <w:tcBorders>
                    <w:tl2br w:val="nil"/>
                    <w:tr2bl w:val="nil"/>
                  </w:tcBorders>
                  <w:vAlign w:val="center"/>
                </w:tcPr>
                <w:p w14:paraId="57DF0917">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31516585">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钢筋切割</w:t>
                  </w:r>
                </w:p>
              </w:tc>
              <w:tc>
                <w:tcPr>
                  <w:tcW w:w="1676" w:type="pct"/>
                  <w:tcBorders>
                    <w:tl2br w:val="nil"/>
                    <w:tr2bl w:val="nil"/>
                  </w:tcBorders>
                  <w:vAlign w:val="center"/>
                </w:tcPr>
                <w:p w14:paraId="144EFEC1">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颗粒物</w:t>
                  </w:r>
                </w:p>
              </w:tc>
              <w:tc>
                <w:tcPr>
                  <w:tcW w:w="1007" w:type="pct"/>
                  <w:tcBorders>
                    <w:tl2br w:val="nil"/>
                    <w:tr2bl w:val="nil"/>
                  </w:tcBorders>
                  <w:vAlign w:val="center"/>
                </w:tcPr>
                <w:p w14:paraId="6C11BF7B">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G3</w:t>
                  </w:r>
                </w:p>
              </w:tc>
            </w:tr>
            <w:tr w14:paraId="4A8B9EE9">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continue"/>
                  <w:tcBorders>
                    <w:tl2br w:val="nil"/>
                    <w:tr2bl w:val="nil"/>
                  </w:tcBorders>
                  <w:vAlign w:val="center"/>
                </w:tcPr>
                <w:p w14:paraId="1C211CDB">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375BB4E7">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蒸汽发生器</w:t>
                  </w:r>
                </w:p>
              </w:tc>
              <w:tc>
                <w:tcPr>
                  <w:tcW w:w="1676" w:type="pct"/>
                  <w:tcBorders>
                    <w:tl2br w:val="nil"/>
                    <w:tr2bl w:val="nil"/>
                  </w:tcBorders>
                  <w:vAlign w:val="center"/>
                </w:tcPr>
                <w:p w14:paraId="4707F93D">
                  <w:pPr>
                    <w:pStyle w:val="29"/>
                    <w:ind w:left="0" w:leftChars="0" w:firstLine="0" w:firstLineChars="0"/>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颗粒物、氮氧化物、二氧化硫、汞及其化合物</w:t>
                  </w:r>
                </w:p>
              </w:tc>
              <w:tc>
                <w:tcPr>
                  <w:tcW w:w="1007" w:type="pct"/>
                  <w:tcBorders>
                    <w:tl2br w:val="nil"/>
                    <w:tr2bl w:val="nil"/>
                  </w:tcBorders>
                  <w:vAlign w:val="center"/>
                </w:tcPr>
                <w:p w14:paraId="7C6CB7BE">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G2</w:t>
                  </w:r>
                </w:p>
              </w:tc>
            </w:tr>
            <w:tr w14:paraId="1BAF5489">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restart"/>
                  <w:tcBorders>
                    <w:tl2br w:val="nil"/>
                    <w:tr2bl w:val="nil"/>
                  </w:tcBorders>
                  <w:vAlign w:val="center"/>
                </w:tcPr>
                <w:p w14:paraId="059209F0">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噪声</w:t>
                  </w:r>
                </w:p>
              </w:tc>
              <w:tc>
                <w:tcPr>
                  <w:tcW w:w="1229" w:type="pct"/>
                  <w:tcBorders>
                    <w:tl2br w:val="nil"/>
                    <w:tr2bl w:val="nil"/>
                  </w:tcBorders>
                  <w:vAlign w:val="center"/>
                </w:tcPr>
                <w:p w14:paraId="24C12AC1">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投料搅拌</w:t>
                  </w:r>
                </w:p>
              </w:tc>
              <w:tc>
                <w:tcPr>
                  <w:tcW w:w="1676" w:type="pct"/>
                  <w:vMerge w:val="restart"/>
                  <w:tcBorders>
                    <w:tl2br w:val="nil"/>
                    <w:tr2bl w:val="nil"/>
                  </w:tcBorders>
                  <w:vAlign w:val="center"/>
                </w:tcPr>
                <w:p w14:paraId="2C9CCA2A">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噪声</w:t>
                  </w:r>
                </w:p>
              </w:tc>
              <w:tc>
                <w:tcPr>
                  <w:tcW w:w="1007" w:type="pct"/>
                  <w:tcBorders>
                    <w:tl2br w:val="nil"/>
                    <w:tr2bl w:val="nil"/>
                  </w:tcBorders>
                  <w:vAlign w:val="center"/>
                </w:tcPr>
                <w:p w14:paraId="184DDA23">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N1</w:t>
                  </w:r>
                </w:p>
              </w:tc>
            </w:tr>
            <w:tr w14:paraId="3AB649BA">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continue"/>
                  <w:tcBorders>
                    <w:tl2br w:val="nil"/>
                    <w:tr2bl w:val="nil"/>
                  </w:tcBorders>
                  <w:vAlign w:val="center"/>
                </w:tcPr>
                <w:p w14:paraId="40765CC9">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7BE99F74">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注入模具</w:t>
                  </w:r>
                </w:p>
              </w:tc>
              <w:tc>
                <w:tcPr>
                  <w:tcW w:w="1676" w:type="pct"/>
                  <w:vMerge w:val="continue"/>
                  <w:tcBorders>
                    <w:tl2br w:val="nil"/>
                    <w:tr2bl w:val="nil"/>
                  </w:tcBorders>
                  <w:vAlign w:val="center"/>
                </w:tcPr>
                <w:p w14:paraId="465170B6">
                  <w:pPr>
                    <w:pStyle w:val="29"/>
                    <w:jc w:val="center"/>
                    <w:rPr>
                      <w:rFonts w:hint="eastAsia" w:cs="Times New Roman"/>
                      <w:color w:val="auto"/>
                      <w:sz w:val="24"/>
                      <w:szCs w:val="24"/>
                      <w:highlight w:val="yellow"/>
                      <w:vertAlign w:val="baseline"/>
                      <w:lang w:val="en-US" w:eastAsia="zh-CN"/>
                    </w:rPr>
                  </w:pPr>
                </w:p>
              </w:tc>
              <w:tc>
                <w:tcPr>
                  <w:tcW w:w="1007" w:type="pct"/>
                  <w:tcBorders>
                    <w:tl2br w:val="nil"/>
                    <w:tr2bl w:val="nil"/>
                  </w:tcBorders>
                  <w:vAlign w:val="center"/>
                </w:tcPr>
                <w:p w14:paraId="35D49080">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N2</w:t>
                  </w:r>
                </w:p>
              </w:tc>
            </w:tr>
            <w:tr w14:paraId="5BD63561">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continue"/>
                  <w:tcBorders>
                    <w:tl2br w:val="nil"/>
                    <w:tr2bl w:val="nil"/>
                  </w:tcBorders>
                  <w:vAlign w:val="center"/>
                </w:tcPr>
                <w:p w14:paraId="220F5E18">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51B497FE">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振捣</w:t>
                  </w:r>
                </w:p>
              </w:tc>
              <w:tc>
                <w:tcPr>
                  <w:tcW w:w="1676" w:type="pct"/>
                  <w:vMerge w:val="continue"/>
                  <w:tcBorders>
                    <w:tl2br w:val="nil"/>
                    <w:tr2bl w:val="nil"/>
                  </w:tcBorders>
                  <w:vAlign w:val="center"/>
                </w:tcPr>
                <w:p w14:paraId="02AE9353">
                  <w:pPr>
                    <w:pStyle w:val="29"/>
                    <w:jc w:val="center"/>
                    <w:rPr>
                      <w:rFonts w:hint="eastAsia" w:cs="Times New Roman"/>
                      <w:color w:val="auto"/>
                      <w:sz w:val="24"/>
                      <w:szCs w:val="24"/>
                      <w:highlight w:val="yellow"/>
                      <w:vertAlign w:val="baseline"/>
                      <w:lang w:val="en-US" w:eastAsia="zh-CN"/>
                    </w:rPr>
                  </w:pPr>
                </w:p>
              </w:tc>
              <w:tc>
                <w:tcPr>
                  <w:tcW w:w="1007" w:type="pct"/>
                  <w:tcBorders>
                    <w:tl2br w:val="nil"/>
                    <w:tr2bl w:val="nil"/>
                  </w:tcBorders>
                  <w:vAlign w:val="center"/>
                </w:tcPr>
                <w:p w14:paraId="2C9BC2CF">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N3</w:t>
                  </w:r>
                </w:p>
              </w:tc>
            </w:tr>
            <w:tr w14:paraId="1785F5A1">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continue"/>
                  <w:tcBorders>
                    <w:tl2br w:val="nil"/>
                    <w:tr2bl w:val="nil"/>
                  </w:tcBorders>
                  <w:vAlign w:val="center"/>
                </w:tcPr>
                <w:p w14:paraId="4C5C11DD">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4DBC9E07">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蒸汽发生器</w:t>
                  </w:r>
                </w:p>
              </w:tc>
              <w:tc>
                <w:tcPr>
                  <w:tcW w:w="1676" w:type="pct"/>
                  <w:vMerge w:val="continue"/>
                  <w:tcBorders>
                    <w:tl2br w:val="nil"/>
                    <w:tr2bl w:val="nil"/>
                  </w:tcBorders>
                  <w:vAlign w:val="center"/>
                </w:tcPr>
                <w:p w14:paraId="63F80F47">
                  <w:pPr>
                    <w:pStyle w:val="29"/>
                    <w:jc w:val="center"/>
                    <w:rPr>
                      <w:rFonts w:hint="eastAsia" w:cs="Times New Roman"/>
                      <w:color w:val="auto"/>
                      <w:sz w:val="24"/>
                      <w:szCs w:val="24"/>
                      <w:highlight w:val="yellow"/>
                      <w:vertAlign w:val="baseline"/>
                      <w:lang w:val="en-US" w:eastAsia="zh-CN"/>
                    </w:rPr>
                  </w:pPr>
                </w:p>
              </w:tc>
              <w:tc>
                <w:tcPr>
                  <w:tcW w:w="1007" w:type="pct"/>
                  <w:tcBorders>
                    <w:tl2br w:val="nil"/>
                    <w:tr2bl w:val="nil"/>
                  </w:tcBorders>
                  <w:vAlign w:val="center"/>
                </w:tcPr>
                <w:p w14:paraId="6AA3ED5F">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N4</w:t>
                  </w:r>
                </w:p>
              </w:tc>
            </w:tr>
            <w:tr w14:paraId="5B40506B">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continue"/>
                  <w:tcBorders>
                    <w:tl2br w:val="nil"/>
                    <w:tr2bl w:val="nil"/>
                  </w:tcBorders>
                  <w:vAlign w:val="center"/>
                </w:tcPr>
                <w:p w14:paraId="3D924EB4">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0CB6E404">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脱模</w:t>
                  </w:r>
                </w:p>
              </w:tc>
              <w:tc>
                <w:tcPr>
                  <w:tcW w:w="1676" w:type="pct"/>
                  <w:vMerge w:val="continue"/>
                  <w:tcBorders>
                    <w:tl2br w:val="nil"/>
                    <w:tr2bl w:val="nil"/>
                  </w:tcBorders>
                  <w:vAlign w:val="center"/>
                </w:tcPr>
                <w:p w14:paraId="233A8E56">
                  <w:pPr>
                    <w:pStyle w:val="29"/>
                    <w:jc w:val="center"/>
                    <w:rPr>
                      <w:rFonts w:hint="eastAsia" w:cs="Times New Roman"/>
                      <w:color w:val="auto"/>
                      <w:sz w:val="24"/>
                      <w:szCs w:val="24"/>
                      <w:highlight w:val="yellow"/>
                      <w:vertAlign w:val="baseline"/>
                      <w:lang w:val="en-US" w:eastAsia="zh-CN"/>
                    </w:rPr>
                  </w:pPr>
                </w:p>
              </w:tc>
              <w:tc>
                <w:tcPr>
                  <w:tcW w:w="1007" w:type="pct"/>
                  <w:tcBorders>
                    <w:tl2br w:val="nil"/>
                    <w:tr2bl w:val="nil"/>
                  </w:tcBorders>
                  <w:vAlign w:val="center"/>
                </w:tcPr>
                <w:p w14:paraId="33269E10">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N5</w:t>
                  </w:r>
                </w:p>
              </w:tc>
            </w:tr>
            <w:tr w14:paraId="1A117EED">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086" w:type="pct"/>
                  <w:vMerge w:val="continue"/>
                  <w:tcBorders>
                    <w:tl2br w:val="nil"/>
                    <w:tr2bl w:val="nil"/>
                  </w:tcBorders>
                  <w:vAlign w:val="center"/>
                </w:tcPr>
                <w:p w14:paraId="026A5734">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737DA1F5">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钢筋切割</w:t>
                  </w:r>
                </w:p>
              </w:tc>
              <w:tc>
                <w:tcPr>
                  <w:tcW w:w="1676" w:type="pct"/>
                  <w:vMerge w:val="continue"/>
                  <w:tcBorders>
                    <w:tl2br w:val="nil"/>
                    <w:tr2bl w:val="nil"/>
                  </w:tcBorders>
                  <w:vAlign w:val="center"/>
                </w:tcPr>
                <w:p w14:paraId="29F7BF12">
                  <w:pPr>
                    <w:pStyle w:val="29"/>
                    <w:jc w:val="center"/>
                    <w:rPr>
                      <w:rFonts w:hint="eastAsia" w:cs="Times New Roman"/>
                      <w:color w:val="auto"/>
                      <w:sz w:val="24"/>
                      <w:szCs w:val="24"/>
                      <w:highlight w:val="yellow"/>
                      <w:vertAlign w:val="baseline"/>
                      <w:lang w:val="en-US" w:eastAsia="zh-CN"/>
                    </w:rPr>
                  </w:pPr>
                </w:p>
              </w:tc>
              <w:tc>
                <w:tcPr>
                  <w:tcW w:w="1007" w:type="pct"/>
                  <w:tcBorders>
                    <w:tl2br w:val="nil"/>
                    <w:tr2bl w:val="nil"/>
                  </w:tcBorders>
                  <w:vAlign w:val="center"/>
                </w:tcPr>
                <w:p w14:paraId="1DEC8AD3">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N6</w:t>
                  </w:r>
                </w:p>
              </w:tc>
            </w:tr>
            <w:tr w14:paraId="155CA270">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restart"/>
                  <w:tcBorders>
                    <w:tl2br w:val="nil"/>
                    <w:tr2bl w:val="nil"/>
                  </w:tcBorders>
                  <w:vAlign w:val="center"/>
                </w:tcPr>
                <w:p w14:paraId="17E2F759">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固废</w:t>
                  </w:r>
                </w:p>
              </w:tc>
              <w:tc>
                <w:tcPr>
                  <w:tcW w:w="1229" w:type="pct"/>
                  <w:tcBorders>
                    <w:tl2br w:val="nil"/>
                    <w:tr2bl w:val="nil"/>
                  </w:tcBorders>
                  <w:vAlign w:val="center"/>
                </w:tcPr>
                <w:p w14:paraId="3E711B58">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原料贮存投料、搅拌</w:t>
                  </w:r>
                </w:p>
              </w:tc>
              <w:tc>
                <w:tcPr>
                  <w:tcW w:w="1676" w:type="pct"/>
                  <w:tcBorders>
                    <w:tl2br w:val="nil"/>
                    <w:tr2bl w:val="nil"/>
                  </w:tcBorders>
                  <w:vAlign w:val="center"/>
                </w:tcPr>
                <w:p w14:paraId="70544B1D">
                  <w:pPr>
                    <w:pStyle w:val="29"/>
                    <w:jc w:val="center"/>
                    <w:rPr>
                      <w:rFonts w:hint="default" w:ascii="宋体" w:hAnsi="宋体" w:eastAsia="宋体" w:cs="Times New Roman"/>
                      <w:color w:val="auto"/>
                      <w:sz w:val="24"/>
                      <w:szCs w:val="24"/>
                      <w:highlight w:val="yellow"/>
                      <w:vertAlign w:val="baseline"/>
                      <w:lang w:val="en-US" w:eastAsia="zh-CN"/>
                    </w:rPr>
                  </w:pPr>
                  <w:r>
                    <w:rPr>
                      <w:rFonts w:hint="eastAsia" w:ascii="宋体" w:hAnsi="宋体" w:eastAsia="宋体" w:cs="Times New Roman"/>
                      <w:color w:val="auto"/>
                      <w:sz w:val="24"/>
                      <w:szCs w:val="24"/>
                      <w:highlight w:val="yellow"/>
                      <w:vertAlign w:val="baseline"/>
                      <w:lang w:val="en-US" w:eastAsia="zh-CN"/>
                    </w:rPr>
                    <w:t>布袋除尘器收尘、废布袋</w:t>
                  </w:r>
                </w:p>
              </w:tc>
              <w:tc>
                <w:tcPr>
                  <w:tcW w:w="1007" w:type="pct"/>
                  <w:tcBorders>
                    <w:tl2br w:val="nil"/>
                    <w:tr2bl w:val="nil"/>
                  </w:tcBorders>
                  <w:vAlign w:val="center"/>
                </w:tcPr>
                <w:p w14:paraId="67A444C4">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S1</w:t>
                  </w:r>
                </w:p>
              </w:tc>
            </w:tr>
            <w:tr w14:paraId="1BFA101F">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continue"/>
                  <w:tcBorders>
                    <w:tl2br w:val="nil"/>
                    <w:tr2bl w:val="nil"/>
                  </w:tcBorders>
                  <w:vAlign w:val="center"/>
                </w:tcPr>
                <w:p w14:paraId="596E08EA">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5B4758BE">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蒸汽发生器</w:t>
                  </w:r>
                </w:p>
              </w:tc>
              <w:tc>
                <w:tcPr>
                  <w:tcW w:w="1676" w:type="pct"/>
                  <w:tcBorders>
                    <w:tl2br w:val="nil"/>
                    <w:tr2bl w:val="nil"/>
                  </w:tcBorders>
                  <w:vAlign w:val="center"/>
                </w:tcPr>
                <w:p w14:paraId="3EDC8F86">
                  <w:pPr>
                    <w:pStyle w:val="29"/>
                    <w:jc w:val="center"/>
                    <w:rPr>
                      <w:rFonts w:hint="eastAsia" w:ascii="宋体" w:hAnsi="宋体" w:eastAsia="宋体" w:cs="Times New Roman"/>
                      <w:color w:val="auto"/>
                      <w:sz w:val="24"/>
                      <w:szCs w:val="24"/>
                      <w:highlight w:val="yellow"/>
                      <w:vertAlign w:val="baseline"/>
                      <w:lang w:val="en-US" w:eastAsia="zh-CN"/>
                    </w:rPr>
                  </w:pPr>
                  <w:r>
                    <w:rPr>
                      <w:rFonts w:hint="eastAsia" w:ascii="宋体" w:hAnsi="宋体" w:eastAsia="宋体" w:cs="Times New Roman"/>
                      <w:color w:val="auto"/>
                      <w:sz w:val="24"/>
                      <w:szCs w:val="24"/>
                      <w:highlight w:val="yellow"/>
                      <w:vertAlign w:val="baseline"/>
                      <w:lang w:val="en-US" w:eastAsia="zh-CN"/>
                    </w:rPr>
                    <w:t>废布袋</w:t>
                  </w:r>
                </w:p>
              </w:tc>
              <w:tc>
                <w:tcPr>
                  <w:tcW w:w="1007" w:type="pct"/>
                  <w:vMerge w:val="restart"/>
                  <w:tcBorders>
                    <w:tl2br w:val="nil"/>
                    <w:tr2bl w:val="nil"/>
                  </w:tcBorders>
                  <w:vAlign w:val="center"/>
                </w:tcPr>
                <w:p w14:paraId="390152AD">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S2</w:t>
                  </w:r>
                </w:p>
              </w:tc>
            </w:tr>
            <w:tr w14:paraId="323686F7">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continue"/>
                  <w:tcBorders>
                    <w:tl2br w:val="nil"/>
                    <w:tr2bl w:val="nil"/>
                  </w:tcBorders>
                  <w:vAlign w:val="center"/>
                </w:tcPr>
                <w:p w14:paraId="26F7640B">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3305944A">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软水处理设备</w:t>
                  </w:r>
                </w:p>
              </w:tc>
              <w:tc>
                <w:tcPr>
                  <w:tcW w:w="1676" w:type="pct"/>
                  <w:tcBorders>
                    <w:tl2br w:val="nil"/>
                    <w:tr2bl w:val="nil"/>
                  </w:tcBorders>
                  <w:vAlign w:val="center"/>
                </w:tcPr>
                <w:p w14:paraId="6B08FC9D">
                  <w:pPr>
                    <w:pStyle w:val="29"/>
                    <w:jc w:val="center"/>
                    <w:rPr>
                      <w:rFonts w:hint="eastAsia" w:ascii="宋体" w:hAnsi="宋体" w:eastAsia="宋体" w:cs="Times New Roman"/>
                      <w:color w:val="auto"/>
                      <w:sz w:val="24"/>
                      <w:szCs w:val="24"/>
                      <w:highlight w:val="yellow"/>
                      <w:vertAlign w:val="baseline"/>
                      <w:lang w:val="en-US" w:eastAsia="zh-CN"/>
                    </w:rPr>
                  </w:pPr>
                  <w:r>
                    <w:rPr>
                      <w:rFonts w:hint="eastAsia" w:ascii="宋体" w:hAnsi="宋体" w:eastAsia="宋体" w:cs="Times New Roman"/>
                      <w:color w:val="auto"/>
                      <w:sz w:val="24"/>
                      <w:szCs w:val="24"/>
                      <w:highlight w:val="yellow"/>
                      <w:vertAlign w:val="baseline"/>
                      <w:lang w:val="en-US" w:eastAsia="zh-CN"/>
                    </w:rPr>
                    <w:t>废离子交换树脂</w:t>
                  </w:r>
                </w:p>
              </w:tc>
              <w:tc>
                <w:tcPr>
                  <w:tcW w:w="1007" w:type="pct"/>
                  <w:vMerge w:val="continue"/>
                  <w:tcBorders>
                    <w:tl2br w:val="nil"/>
                    <w:tr2bl w:val="nil"/>
                  </w:tcBorders>
                  <w:vAlign w:val="center"/>
                </w:tcPr>
                <w:p w14:paraId="02E522A2">
                  <w:pPr>
                    <w:pStyle w:val="29"/>
                    <w:jc w:val="center"/>
                    <w:rPr>
                      <w:rFonts w:hint="default" w:cs="Times New Roman"/>
                      <w:color w:val="auto"/>
                      <w:sz w:val="24"/>
                      <w:szCs w:val="24"/>
                      <w:highlight w:val="yellow"/>
                      <w:vertAlign w:val="baseline"/>
                      <w:lang w:val="en-US" w:eastAsia="zh-CN"/>
                    </w:rPr>
                  </w:pPr>
                </w:p>
              </w:tc>
            </w:tr>
            <w:tr w14:paraId="64D69D0C">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continue"/>
                  <w:tcBorders>
                    <w:tl2br w:val="nil"/>
                    <w:tr2bl w:val="nil"/>
                  </w:tcBorders>
                  <w:vAlign w:val="center"/>
                </w:tcPr>
                <w:p w14:paraId="70A1F36F">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1B65D6E6">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钢筋加工</w:t>
                  </w:r>
                </w:p>
              </w:tc>
              <w:tc>
                <w:tcPr>
                  <w:tcW w:w="1676" w:type="pct"/>
                  <w:tcBorders>
                    <w:tl2br w:val="nil"/>
                    <w:tr2bl w:val="nil"/>
                  </w:tcBorders>
                  <w:vAlign w:val="center"/>
                </w:tcPr>
                <w:p w14:paraId="525AF6BF">
                  <w:pPr>
                    <w:pStyle w:val="29"/>
                    <w:jc w:val="center"/>
                    <w:rPr>
                      <w:rFonts w:hint="eastAsia" w:ascii="宋体" w:hAnsi="宋体" w:eastAsia="宋体" w:cs="Times New Roman"/>
                      <w:color w:val="auto"/>
                      <w:sz w:val="24"/>
                      <w:szCs w:val="24"/>
                      <w:highlight w:val="yellow"/>
                      <w:vertAlign w:val="baseline"/>
                      <w:lang w:val="en-US" w:eastAsia="zh-CN"/>
                    </w:rPr>
                  </w:pPr>
                  <w:r>
                    <w:rPr>
                      <w:rFonts w:hint="eastAsia" w:ascii="宋体" w:hAnsi="宋体" w:eastAsia="宋体" w:cs="Times New Roman"/>
                      <w:color w:val="auto"/>
                      <w:sz w:val="24"/>
                      <w:szCs w:val="24"/>
                      <w:highlight w:val="yellow"/>
                      <w:vertAlign w:val="baseline"/>
                      <w:lang w:val="en-US" w:eastAsia="zh-CN"/>
                    </w:rPr>
                    <w:t>废钢筋头</w:t>
                  </w:r>
                </w:p>
              </w:tc>
              <w:tc>
                <w:tcPr>
                  <w:tcW w:w="1007" w:type="pct"/>
                  <w:tcBorders>
                    <w:tl2br w:val="nil"/>
                    <w:tr2bl w:val="nil"/>
                  </w:tcBorders>
                  <w:vAlign w:val="center"/>
                </w:tcPr>
                <w:p w14:paraId="26063BB8">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S3</w:t>
                  </w:r>
                </w:p>
              </w:tc>
            </w:tr>
            <w:tr w14:paraId="0AE823BE">
              <w:tblPrEx>
                <w:tblBorders>
                  <w:top w:val="single" w:color="000000" w:sz="4" w:space="0"/>
                  <w:left w:val="none" w:color="auto" w:sz="0" w:space="0"/>
                  <w:bottom w:val="single" w:color="000000"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86" w:type="pct"/>
                  <w:vMerge w:val="continue"/>
                  <w:tcBorders>
                    <w:tl2br w:val="nil"/>
                    <w:tr2bl w:val="nil"/>
                  </w:tcBorders>
                  <w:vAlign w:val="center"/>
                </w:tcPr>
                <w:p w14:paraId="13E6A843">
                  <w:pPr>
                    <w:pStyle w:val="29"/>
                    <w:jc w:val="center"/>
                    <w:rPr>
                      <w:rFonts w:hint="eastAsia" w:cs="Times New Roman"/>
                      <w:color w:val="auto"/>
                      <w:sz w:val="24"/>
                      <w:szCs w:val="24"/>
                      <w:highlight w:val="yellow"/>
                      <w:vertAlign w:val="baseline"/>
                      <w:lang w:val="en-US" w:eastAsia="zh-CN"/>
                    </w:rPr>
                  </w:pPr>
                </w:p>
              </w:tc>
              <w:tc>
                <w:tcPr>
                  <w:tcW w:w="1229" w:type="pct"/>
                  <w:tcBorders>
                    <w:tl2br w:val="nil"/>
                    <w:tr2bl w:val="nil"/>
                  </w:tcBorders>
                  <w:vAlign w:val="center"/>
                </w:tcPr>
                <w:p w14:paraId="30DB7E6B">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沉淀池</w:t>
                  </w:r>
                </w:p>
              </w:tc>
              <w:tc>
                <w:tcPr>
                  <w:tcW w:w="1676" w:type="pct"/>
                  <w:tcBorders>
                    <w:tl2br w:val="nil"/>
                    <w:tr2bl w:val="nil"/>
                  </w:tcBorders>
                  <w:vAlign w:val="center"/>
                </w:tcPr>
                <w:p w14:paraId="34E53116">
                  <w:pPr>
                    <w:pStyle w:val="29"/>
                    <w:jc w:val="center"/>
                    <w:rPr>
                      <w:rFonts w:hint="eastAsia" w:ascii="宋体" w:hAnsi="宋体" w:eastAsia="宋体" w:cs="Times New Roman"/>
                      <w:color w:val="auto"/>
                      <w:sz w:val="24"/>
                      <w:szCs w:val="24"/>
                      <w:highlight w:val="yellow"/>
                      <w:vertAlign w:val="baseline"/>
                      <w:lang w:val="en-US" w:eastAsia="zh-CN"/>
                    </w:rPr>
                  </w:pPr>
                  <w:r>
                    <w:rPr>
                      <w:rFonts w:hint="eastAsia" w:ascii="宋体" w:hAnsi="宋体" w:eastAsia="宋体" w:cs="Times New Roman"/>
                      <w:color w:val="auto"/>
                      <w:sz w:val="24"/>
                      <w:szCs w:val="24"/>
                      <w:highlight w:val="yellow"/>
                      <w:vertAlign w:val="baseline"/>
                      <w:lang w:val="en-US" w:eastAsia="zh-CN"/>
                    </w:rPr>
                    <w:t>沉淀池泥沙</w:t>
                  </w:r>
                </w:p>
              </w:tc>
              <w:tc>
                <w:tcPr>
                  <w:tcW w:w="1007" w:type="pct"/>
                  <w:tcBorders>
                    <w:tl2br w:val="nil"/>
                    <w:tr2bl w:val="nil"/>
                  </w:tcBorders>
                  <w:vAlign w:val="center"/>
                </w:tcPr>
                <w:p w14:paraId="373C63D6">
                  <w:pPr>
                    <w:pStyle w:val="29"/>
                    <w:jc w:val="center"/>
                    <w:rPr>
                      <w:rFonts w:hint="default" w:cs="Times New Roman"/>
                      <w:color w:val="auto"/>
                      <w:sz w:val="24"/>
                      <w:szCs w:val="24"/>
                      <w:highlight w:val="yellow"/>
                      <w:vertAlign w:val="baseline"/>
                      <w:lang w:val="en-US" w:eastAsia="zh-CN"/>
                    </w:rPr>
                  </w:pPr>
                  <w:r>
                    <w:rPr>
                      <w:rFonts w:hint="eastAsia" w:cs="Times New Roman"/>
                      <w:color w:val="auto"/>
                      <w:sz w:val="24"/>
                      <w:szCs w:val="24"/>
                      <w:highlight w:val="yellow"/>
                      <w:vertAlign w:val="baseline"/>
                      <w:lang w:val="en-US" w:eastAsia="zh-CN"/>
                    </w:rPr>
                    <w:t>/</w:t>
                  </w:r>
                </w:p>
              </w:tc>
            </w:tr>
          </w:tbl>
          <w:p w14:paraId="19F2DF2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center"/>
              <w:rPr>
                <w:rFonts w:hint="eastAsia" w:cs="Times New Roman"/>
                <w:color w:val="auto"/>
                <w:sz w:val="24"/>
                <w:szCs w:val="24"/>
                <w:highlight w:val="none"/>
                <w:lang w:val="en-US" w:eastAsia="zh-CN"/>
              </w:rPr>
            </w:pPr>
          </w:p>
          <w:p w14:paraId="7A85CA27">
            <w:pPr>
              <w:keepNext w:val="0"/>
              <w:keepLines w:val="0"/>
              <w:pageBreakBefore w:val="0"/>
              <w:widowControl w:val="0"/>
              <w:kinsoku/>
              <w:wordWrap/>
              <w:overflowPunct/>
              <w:topLinePunct w:val="0"/>
              <w:autoSpaceDE/>
              <w:autoSpaceDN/>
              <w:bidi w:val="0"/>
              <w:adjustRightInd/>
              <w:snapToGrid/>
              <w:spacing w:line="360" w:lineRule="auto"/>
              <w:jc w:val="both"/>
              <w:textAlignment w:val="center"/>
              <w:rPr>
                <w:rFonts w:hint="eastAsia" w:cs="Times New Roman"/>
                <w:color w:val="auto"/>
                <w:sz w:val="24"/>
                <w:szCs w:val="24"/>
                <w:highlight w:val="none"/>
                <w:lang w:val="en-US" w:eastAsia="zh-CN"/>
              </w:rPr>
            </w:pPr>
          </w:p>
          <w:p w14:paraId="7E3736FA">
            <w:pPr>
              <w:keepNext w:val="0"/>
              <w:keepLines w:val="0"/>
              <w:pageBreakBefore w:val="0"/>
              <w:widowControl w:val="0"/>
              <w:kinsoku/>
              <w:wordWrap/>
              <w:overflowPunct/>
              <w:topLinePunct w:val="0"/>
              <w:autoSpaceDE/>
              <w:autoSpaceDN/>
              <w:bidi w:val="0"/>
              <w:adjustRightInd/>
              <w:snapToGrid/>
              <w:spacing w:line="360" w:lineRule="auto"/>
              <w:jc w:val="both"/>
              <w:textAlignment w:val="center"/>
              <w:rPr>
                <w:rFonts w:hint="eastAsia" w:cs="Times New Roman"/>
                <w:color w:val="auto"/>
                <w:sz w:val="24"/>
                <w:szCs w:val="24"/>
                <w:highlight w:val="none"/>
                <w:lang w:val="en-US" w:eastAsia="zh-CN"/>
              </w:rPr>
            </w:pPr>
          </w:p>
          <w:p w14:paraId="49552D9E">
            <w:pPr>
              <w:keepNext w:val="0"/>
              <w:keepLines w:val="0"/>
              <w:pageBreakBefore w:val="0"/>
              <w:widowControl w:val="0"/>
              <w:kinsoku/>
              <w:wordWrap/>
              <w:overflowPunct/>
              <w:topLinePunct w:val="0"/>
              <w:autoSpaceDE/>
              <w:autoSpaceDN/>
              <w:bidi w:val="0"/>
              <w:adjustRightInd/>
              <w:snapToGrid/>
              <w:spacing w:line="360" w:lineRule="auto"/>
              <w:jc w:val="both"/>
              <w:textAlignment w:val="center"/>
              <w:rPr>
                <w:rFonts w:hint="eastAsia" w:cs="Times New Roman"/>
                <w:color w:val="auto"/>
                <w:sz w:val="24"/>
                <w:szCs w:val="24"/>
                <w:highlight w:val="none"/>
                <w:lang w:val="en-US" w:eastAsia="zh-CN"/>
              </w:rPr>
            </w:pPr>
          </w:p>
          <w:p w14:paraId="27F82A86">
            <w:pPr>
              <w:keepNext w:val="0"/>
              <w:keepLines w:val="0"/>
              <w:pageBreakBefore w:val="0"/>
              <w:widowControl w:val="0"/>
              <w:kinsoku/>
              <w:wordWrap/>
              <w:overflowPunct/>
              <w:topLinePunct w:val="0"/>
              <w:autoSpaceDE/>
              <w:autoSpaceDN/>
              <w:bidi w:val="0"/>
              <w:adjustRightInd/>
              <w:snapToGrid/>
              <w:spacing w:line="360" w:lineRule="auto"/>
              <w:jc w:val="both"/>
              <w:textAlignment w:val="center"/>
              <w:rPr>
                <w:rFonts w:hint="eastAsia" w:cs="Times New Roman"/>
                <w:color w:val="auto"/>
                <w:sz w:val="24"/>
                <w:szCs w:val="24"/>
                <w:highlight w:val="none"/>
                <w:lang w:val="en-US" w:eastAsia="zh-CN"/>
              </w:rPr>
            </w:pPr>
          </w:p>
          <w:p w14:paraId="77E3F54D">
            <w:pPr>
              <w:keepNext w:val="0"/>
              <w:keepLines w:val="0"/>
              <w:pageBreakBefore w:val="0"/>
              <w:widowControl w:val="0"/>
              <w:kinsoku/>
              <w:wordWrap/>
              <w:overflowPunct/>
              <w:topLinePunct w:val="0"/>
              <w:autoSpaceDE/>
              <w:autoSpaceDN/>
              <w:bidi w:val="0"/>
              <w:adjustRightInd/>
              <w:snapToGrid/>
              <w:spacing w:line="360" w:lineRule="auto"/>
              <w:jc w:val="both"/>
              <w:textAlignment w:val="center"/>
              <w:rPr>
                <w:rFonts w:hint="eastAsia" w:cs="Times New Roman"/>
                <w:color w:val="auto"/>
                <w:sz w:val="24"/>
                <w:szCs w:val="24"/>
                <w:highlight w:val="none"/>
                <w:lang w:val="en-US" w:eastAsia="zh-CN"/>
              </w:rPr>
            </w:pPr>
          </w:p>
          <w:p w14:paraId="32723C69">
            <w:pPr>
              <w:rPr>
                <w:rFonts w:hint="default"/>
                <w:lang w:val="en-US" w:eastAsia="zh-CN"/>
              </w:rPr>
            </w:pPr>
          </w:p>
        </w:tc>
      </w:tr>
      <w:tr w14:paraId="1CBDA0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86" w:hRule="atLeast"/>
          <w:jc w:val="center"/>
        </w:trPr>
        <w:tc>
          <w:tcPr>
            <w:tcW w:w="823" w:type="dxa"/>
            <w:noWrap w:val="0"/>
            <w:vAlign w:val="center"/>
          </w:tcPr>
          <w:p w14:paraId="18D9B454">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与</w:t>
            </w:r>
            <w:r>
              <w:rPr>
                <w:rFonts w:hint="default" w:ascii="Times New Roman" w:hAnsi="Times New Roman" w:cs="Times New Roman"/>
                <w:color w:val="auto"/>
                <w:kern w:val="0"/>
                <w:szCs w:val="21"/>
                <w:highlight w:val="none"/>
              </w:rPr>
              <w:t>项目有关的原有环境污染问题</w:t>
            </w:r>
          </w:p>
        </w:tc>
        <w:tc>
          <w:tcPr>
            <w:tcW w:w="8161" w:type="dxa"/>
            <w:noWrap w:val="0"/>
            <w:vAlign w:val="center"/>
          </w:tcPr>
          <w:p w14:paraId="3BBDBF72">
            <w:pPr>
              <w:numPr>
                <w:ilvl w:val="0"/>
                <w:numId w:val="0"/>
              </w:numPr>
              <w:adjustRightInd w:val="0"/>
              <w:snapToGrid w:val="0"/>
              <w:spacing w:line="360" w:lineRule="auto"/>
              <w:ind w:firstLine="480" w:firstLineChars="200"/>
              <w:jc w:val="both"/>
              <w:rPr>
                <w:rFonts w:hint="default"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本项目目前已建设2座水泥筒仓和1座粉煤灰筒仓、养护室、两台2.5t/h燃生物质锅炉（环保设施及排气筒暂没安装）、软化水设备，本项目目前已停止建设，未进行其他设施建设与安装。已进行未批先建处罚。</w:t>
            </w:r>
          </w:p>
          <w:p w14:paraId="7427F028">
            <w:pPr>
              <w:numPr>
                <w:ilvl w:val="0"/>
                <w:numId w:val="0"/>
              </w:numPr>
              <w:adjustRightInd w:val="0"/>
              <w:snapToGrid w:val="0"/>
              <w:spacing w:line="360" w:lineRule="auto"/>
              <w:ind w:firstLine="480" w:firstLineChars="200"/>
              <w:jc w:val="both"/>
              <w:rPr>
                <w:rFonts w:hint="eastAsia" w:cs="Times New Roman"/>
                <w:color w:val="auto"/>
                <w:kern w:val="2"/>
                <w:sz w:val="24"/>
                <w:szCs w:val="24"/>
                <w:highlight w:val="none"/>
                <w:lang w:val="en-US" w:eastAsia="zh-CN" w:bidi="ar-SA"/>
              </w:rPr>
            </w:pPr>
          </w:p>
          <w:p w14:paraId="6BDD571F">
            <w:pPr>
              <w:numPr>
                <w:ilvl w:val="0"/>
                <w:numId w:val="0"/>
              </w:numPr>
              <w:adjustRightInd w:val="0"/>
              <w:snapToGrid w:val="0"/>
              <w:spacing w:line="360" w:lineRule="auto"/>
              <w:ind w:firstLine="480" w:firstLineChars="200"/>
              <w:jc w:val="both"/>
              <w:rPr>
                <w:rFonts w:hint="eastAsia" w:cs="Times New Roman"/>
                <w:color w:val="auto"/>
                <w:kern w:val="2"/>
                <w:sz w:val="24"/>
                <w:szCs w:val="24"/>
                <w:highlight w:val="none"/>
                <w:lang w:val="en-US" w:eastAsia="zh-CN" w:bidi="ar-SA"/>
              </w:rPr>
            </w:pPr>
          </w:p>
          <w:p w14:paraId="4A38F637">
            <w:pPr>
              <w:numPr>
                <w:ilvl w:val="0"/>
                <w:numId w:val="0"/>
              </w:numPr>
              <w:adjustRightInd w:val="0"/>
              <w:snapToGrid w:val="0"/>
              <w:spacing w:line="360" w:lineRule="auto"/>
              <w:ind w:firstLine="480" w:firstLineChars="200"/>
              <w:jc w:val="both"/>
              <w:rPr>
                <w:rFonts w:hint="eastAsia" w:cs="Times New Roman"/>
                <w:color w:val="auto"/>
                <w:kern w:val="2"/>
                <w:sz w:val="24"/>
                <w:szCs w:val="24"/>
                <w:highlight w:val="none"/>
                <w:lang w:val="en-US" w:eastAsia="zh-CN" w:bidi="ar-SA"/>
              </w:rPr>
            </w:pPr>
          </w:p>
          <w:p w14:paraId="3A0F9442">
            <w:pPr>
              <w:numPr>
                <w:ilvl w:val="0"/>
                <w:numId w:val="0"/>
              </w:numPr>
              <w:adjustRightInd w:val="0"/>
              <w:snapToGrid w:val="0"/>
              <w:spacing w:line="360" w:lineRule="auto"/>
              <w:ind w:firstLine="480" w:firstLineChars="200"/>
              <w:jc w:val="both"/>
              <w:rPr>
                <w:rFonts w:hint="eastAsia" w:cs="Times New Roman"/>
                <w:color w:val="auto"/>
                <w:kern w:val="2"/>
                <w:sz w:val="24"/>
                <w:szCs w:val="24"/>
                <w:highlight w:val="none"/>
                <w:lang w:val="en-US" w:eastAsia="zh-CN" w:bidi="ar-SA"/>
              </w:rPr>
            </w:pPr>
          </w:p>
          <w:p w14:paraId="7252C892">
            <w:pPr>
              <w:numPr>
                <w:ilvl w:val="0"/>
                <w:numId w:val="0"/>
              </w:numPr>
              <w:adjustRightInd w:val="0"/>
              <w:snapToGrid w:val="0"/>
              <w:spacing w:line="360" w:lineRule="auto"/>
              <w:ind w:firstLine="480" w:firstLineChars="200"/>
              <w:jc w:val="both"/>
              <w:rPr>
                <w:rFonts w:hint="eastAsia" w:cs="Times New Roman"/>
                <w:color w:val="auto"/>
                <w:kern w:val="2"/>
                <w:sz w:val="24"/>
                <w:szCs w:val="24"/>
                <w:highlight w:val="none"/>
                <w:lang w:val="en-US" w:eastAsia="zh-CN" w:bidi="ar-SA"/>
              </w:rPr>
            </w:pPr>
          </w:p>
          <w:p w14:paraId="54E03F2A">
            <w:pPr>
              <w:numPr>
                <w:ilvl w:val="0"/>
                <w:numId w:val="0"/>
              </w:numPr>
              <w:adjustRightInd w:val="0"/>
              <w:snapToGrid w:val="0"/>
              <w:spacing w:line="360" w:lineRule="auto"/>
              <w:ind w:firstLine="480" w:firstLineChars="200"/>
              <w:jc w:val="both"/>
              <w:rPr>
                <w:rFonts w:hint="eastAsia" w:cs="Times New Roman"/>
                <w:color w:val="auto"/>
                <w:kern w:val="2"/>
                <w:sz w:val="24"/>
                <w:szCs w:val="24"/>
                <w:highlight w:val="none"/>
                <w:lang w:val="en-US" w:eastAsia="zh-CN" w:bidi="ar-SA"/>
              </w:rPr>
            </w:pPr>
          </w:p>
          <w:p w14:paraId="67132508">
            <w:pPr>
              <w:numPr>
                <w:ilvl w:val="0"/>
                <w:numId w:val="0"/>
              </w:numPr>
              <w:adjustRightInd w:val="0"/>
              <w:snapToGrid w:val="0"/>
              <w:spacing w:line="360" w:lineRule="auto"/>
              <w:ind w:firstLine="480" w:firstLineChars="200"/>
              <w:jc w:val="both"/>
              <w:rPr>
                <w:rFonts w:hint="eastAsia" w:cs="Times New Roman"/>
                <w:color w:val="auto"/>
                <w:kern w:val="2"/>
                <w:sz w:val="24"/>
                <w:szCs w:val="24"/>
                <w:highlight w:val="none"/>
                <w:lang w:val="en-US" w:eastAsia="zh-CN" w:bidi="ar-SA"/>
              </w:rPr>
            </w:pPr>
          </w:p>
          <w:p w14:paraId="44C73610">
            <w:pPr>
              <w:numPr>
                <w:ilvl w:val="0"/>
                <w:numId w:val="0"/>
              </w:numPr>
              <w:adjustRightInd w:val="0"/>
              <w:snapToGrid w:val="0"/>
              <w:spacing w:line="360" w:lineRule="auto"/>
              <w:ind w:firstLine="480" w:firstLineChars="200"/>
              <w:jc w:val="both"/>
              <w:rPr>
                <w:rFonts w:hint="eastAsia" w:cs="Times New Roman"/>
                <w:color w:val="auto"/>
                <w:kern w:val="2"/>
                <w:sz w:val="24"/>
                <w:szCs w:val="24"/>
                <w:highlight w:val="none"/>
                <w:lang w:val="en-US" w:eastAsia="zh-CN" w:bidi="ar-SA"/>
              </w:rPr>
            </w:pPr>
          </w:p>
          <w:p w14:paraId="269DB6E1">
            <w:pPr>
              <w:numPr>
                <w:ilvl w:val="0"/>
                <w:numId w:val="0"/>
              </w:numPr>
              <w:adjustRightInd w:val="0"/>
              <w:snapToGrid w:val="0"/>
              <w:spacing w:line="360" w:lineRule="auto"/>
              <w:jc w:val="both"/>
              <w:rPr>
                <w:rFonts w:hint="default" w:cs="Times New Roman"/>
                <w:color w:val="auto"/>
                <w:kern w:val="2"/>
                <w:sz w:val="24"/>
                <w:szCs w:val="24"/>
                <w:highlight w:val="none"/>
                <w:lang w:val="en-US" w:eastAsia="zh-CN" w:bidi="ar-SA"/>
              </w:rPr>
            </w:pPr>
          </w:p>
          <w:p w14:paraId="52F9B69E">
            <w:pPr>
              <w:pStyle w:val="30"/>
              <w:rPr>
                <w:rFonts w:hint="default" w:cs="Times New Roman"/>
                <w:color w:val="auto"/>
                <w:kern w:val="2"/>
                <w:sz w:val="24"/>
                <w:szCs w:val="24"/>
                <w:highlight w:val="none"/>
                <w:lang w:val="en-US" w:eastAsia="zh-CN" w:bidi="ar-SA"/>
              </w:rPr>
            </w:pPr>
          </w:p>
          <w:p w14:paraId="6E97407E">
            <w:pPr>
              <w:pStyle w:val="29"/>
              <w:rPr>
                <w:rFonts w:hint="default" w:cs="Times New Roman"/>
                <w:color w:val="auto"/>
                <w:kern w:val="2"/>
                <w:sz w:val="24"/>
                <w:szCs w:val="24"/>
                <w:highlight w:val="none"/>
                <w:lang w:val="en-US" w:eastAsia="zh-CN" w:bidi="ar-SA"/>
              </w:rPr>
            </w:pPr>
          </w:p>
          <w:p w14:paraId="62154985">
            <w:pPr>
              <w:rPr>
                <w:rFonts w:hint="default" w:cs="Times New Roman"/>
                <w:color w:val="auto"/>
                <w:kern w:val="2"/>
                <w:sz w:val="24"/>
                <w:szCs w:val="24"/>
                <w:highlight w:val="none"/>
                <w:lang w:val="en-US" w:eastAsia="zh-CN" w:bidi="ar-SA"/>
              </w:rPr>
            </w:pPr>
          </w:p>
          <w:p w14:paraId="2B9C0F7B">
            <w:pPr>
              <w:rPr>
                <w:rFonts w:hint="default" w:cs="Times New Roman"/>
                <w:color w:val="auto"/>
                <w:kern w:val="2"/>
                <w:sz w:val="24"/>
                <w:szCs w:val="24"/>
                <w:highlight w:val="none"/>
                <w:lang w:val="en-US" w:eastAsia="zh-CN" w:bidi="ar-SA"/>
              </w:rPr>
            </w:pPr>
          </w:p>
          <w:p w14:paraId="485B7AA1">
            <w:pPr>
              <w:rPr>
                <w:rFonts w:hint="default" w:cs="Times New Roman"/>
                <w:color w:val="auto"/>
                <w:kern w:val="2"/>
                <w:sz w:val="24"/>
                <w:szCs w:val="24"/>
                <w:highlight w:val="none"/>
                <w:lang w:val="en-US" w:eastAsia="zh-CN" w:bidi="ar-SA"/>
              </w:rPr>
            </w:pPr>
          </w:p>
          <w:p w14:paraId="61EB1587">
            <w:pPr>
              <w:rPr>
                <w:rFonts w:hint="default" w:cs="Times New Roman"/>
                <w:color w:val="auto"/>
                <w:kern w:val="2"/>
                <w:sz w:val="24"/>
                <w:szCs w:val="24"/>
                <w:highlight w:val="none"/>
                <w:lang w:val="en-US" w:eastAsia="zh-CN" w:bidi="ar-SA"/>
              </w:rPr>
            </w:pPr>
          </w:p>
          <w:p w14:paraId="5FEA3A39">
            <w:pPr>
              <w:rPr>
                <w:rFonts w:hint="default" w:cs="Times New Roman"/>
                <w:color w:val="auto"/>
                <w:kern w:val="2"/>
                <w:sz w:val="24"/>
                <w:szCs w:val="24"/>
                <w:highlight w:val="none"/>
                <w:lang w:val="en-US" w:eastAsia="zh-CN" w:bidi="ar-SA"/>
              </w:rPr>
            </w:pPr>
          </w:p>
          <w:p w14:paraId="4EE379C8">
            <w:pPr>
              <w:rPr>
                <w:rFonts w:hint="default" w:cs="Times New Roman"/>
                <w:color w:val="auto"/>
                <w:kern w:val="2"/>
                <w:sz w:val="24"/>
                <w:szCs w:val="24"/>
                <w:highlight w:val="none"/>
                <w:lang w:val="en-US" w:eastAsia="zh-CN" w:bidi="ar-SA"/>
              </w:rPr>
            </w:pPr>
          </w:p>
          <w:p w14:paraId="11346DD3">
            <w:pPr>
              <w:rPr>
                <w:rFonts w:hint="default" w:cs="Times New Roman"/>
                <w:color w:val="auto"/>
                <w:kern w:val="2"/>
                <w:sz w:val="24"/>
                <w:szCs w:val="24"/>
                <w:highlight w:val="none"/>
                <w:lang w:val="en-US" w:eastAsia="zh-CN" w:bidi="ar-SA"/>
              </w:rPr>
            </w:pPr>
          </w:p>
          <w:p w14:paraId="6A75D65A">
            <w:pPr>
              <w:rPr>
                <w:rFonts w:hint="default" w:cs="Times New Roman"/>
                <w:color w:val="auto"/>
                <w:kern w:val="2"/>
                <w:sz w:val="24"/>
                <w:szCs w:val="24"/>
                <w:highlight w:val="none"/>
                <w:lang w:val="en-US" w:eastAsia="zh-CN" w:bidi="ar-SA"/>
              </w:rPr>
            </w:pPr>
          </w:p>
          <w:p w14:paraId="086705E6">
            <w:pPr>
              <w:rPr>
                <w:rFonts w:hint="default" w:cs="Times New Roman"/>
                <w:color w:val="auto"/>
                <w:kern w:val="2"/>
                <w:sz w:val="24"/>
                <w:szCs w:val="24"/>
                <w:highlight w:val="none"/>
                <w:lang w:val="en-US" w:eastAsia="zh-CN" w:bidi="ar-SA"/>
              </w:rPr>
            </w:pPr>
          </w:p>
          <w:p w14:paraId="02ACDD96">
            <w:pPr>
              <w:rPr>
                <w:rFonts w:hint="default" w:cs="Times New Roman"/>
                <w:color w:val="auto"/>
                <w:kern w:val="2"/>
                <w:sz w:val="24"/>
                <w:szCs w:val="24"/>
                <w:highlight w:val="none"/>
                <w:lang w:val="en-US" w:eastAsia="zh-CN" w:bidi="ar-SA"/>
              </w:rPr>
            </w:pPr>
          </w:p>
          <w:p w14:paraId="0F86F906">
            <w:pPr>
              <w:rPr>
                <w:rFonts w:hint="default" w:cs="Times New Roman"/>
                <w:color w:val="auto"/>
                <w:kern w:val="2"/>
                <w:sz w:val="24"/>
                <w:szCs w:val="24"/>
                <w:highlight w:val="none"/>
                <w:lang w:val="en-US" w:eastAsia="zh-CN" w:bidi="ar-SA"/>
              </w:rPr>
            </w:pPr>
          </w:p>
          <w:p w14:paraId="322A4DDB">
            <w:pPr>
              <w:rPr>
                <w:rFonts w:hint="default" w:cs="Times New Roman"/>
                <w:color w:val="auto"/>
                <w:kern w:val="2"/>
                <w:sz w:val="24"/>
                <w:szCs w:val="24"/>
                <w:highlight w:val="none"/>
                <w:lang w:val="en-US" w:eastAsia="zh-CN" w:bidi="ar-SA"/>
              </w:rPr>
            </w:pPr>
          </w:p>
          <w:p w14:paraId="790C7FDF">
            <w:pPr>
              <w:rPr>
                <w:rFonts w:hint="default" w:cs="Times New Roman"/>
                <w:color w:val="auto"/>
                <w:kern w:val="2"/>
                <w:sz w:val="24"/>
                <w:szCs w:val="24"/>
                <w:highlight w:val="none"/>
                <w:lang w:val="en-US" w:eastAsia="zh-CN" w:bidi="ar-SA"/>
              </w:rPr>
            </w:pPr>
          </w:p>
          <w:p w14:paraId="6F532F37">
            <w:pPr>
              <w:rPr>
                <w:rFonts w:hint="default" w:cs="Times New Roman"/>
                <w:color w:val="auto"/>
                <w:kern w:val="2"/>
                <w:sz w:val="24"/>
                <w:szCs w:val="24"/>
                <w:highlight w:val="none"/>
                <w:lang w:val="en-US" w:eastAsia="zh-CN" w:bidi="ar-SA"/>
              </w:rPr>
            </w:pPr>
          </w:p>
          <w:p w14:paraId="1371F22E">
            <w:pPr>
              <w:rPr>
                <w:rFonts w:hint="default" w:cs="Times New Roman"/>
                <w:color w:val="auto"/>
                <w:kern w:val="2"/>
                <w:sz w:val="24"/>
                <w:szCs w:val="24"/>
                <w:highlight w:val="none"/>
                <w:lang w:val="en-US" w:eastAsia="zh-CN" w:bidi="ar-SA"/>
              </w:rPr>
            </w:pPr>
          </w:p>
          <w:p w14:paraId="00D9FBB4">
            <w:pPr>
              <w:rPr>
                <w:rFonts w:hint="default" w:cs="Times New Roman"/>
                <w:color w:val="auto"/>
                <w:kern w:val="2"/>
                <w:sz w:val="24"/>
                <w:szCs w:val="24"/>
                <w:highlight w:val="none"/>
                <w:lang w:val="en-US" w:eastAsia="zh-CN" w:bidi="ar-SA"/>
              </w:rPr>
            </w:pPr>
          </w:p>
          <w:p w14:paraId="47129226">
            <w:pPr>
              <w:rPr>
                <w:rFonts w:hint="default" w:cs="Times New Roman"/>
                <w:color w:val="auto"/>
                <w:kern w:val="2"/>
                <w:sz w:val="24"/>
                <w:szCs w:val="24"/>
                <w:highlight w:val="none"/>
                <w:lang w:val="en-US" w:eastAsia="zh-CN" w:bidi="ar-SA"/>
              </w:rPr>
            </w:pPr>
          </w:p>
          <w:p w14:paraId="1035E49C">
            <w:pPr>
              <w:rPr>
                <w:rFonts w:hint="default" w:cs="Times New Roman"/>
                <w:color w:val="auto"/>
                <w:kern w:val="2"/>
                <w:sz w:val="24"/>
                <w:szCs w:val="24"/>
                <w:highlight w:val="none"/>
                <w:lang w:val="en-US" w:eastAsia="zh-CN" w:bidi="ar-SA"/>
              </w:rPr>
            </w:pPr>
          </w:p>
          <w:p w14:paraId="0B5DB5DD">
            <w:pPr>
              <w:rPr>
                <w:rFonts w:hint="default" w:cs="Times New Roman"/>
                <w:color w:val="auto"/>
                <w:kern w:val="2"/>
                <w:sz w:val="24"/>
                <w:szCs w:val="24"/>
                <w:highlight w:val="none"/>
                <w:lang w:val="en-US" w:eastAsia="zh-CN" w:bidi="ar-SA"/>
              </w:rPr>
            </w:pPr>
          </w:p>
          <w:p w14:paraId="119A1392">
            <w:pPr>
              <w:rPr>
                <w:rFonts w:hint="default" w:cs="Times New Roman"/>
                <w:color w:val="auto"/>
                <w:kern w:val="2"/>
                <w:sz w:val="24"/>
                <w:szCs w:val="24"/>
                <w:highlight w:val="none"/>
                <w:lang w:val="en-US" w:eastAsia="zh-CN" w:bidi="ar-SA"/>
              </w:rPr>
            </w:pPr>
          </w:p>
          <w:p w14:paraId="31A680A8">
            <w:pPr>
              <w:rPr>
                <w:rFonts w:hint="default" w:cs="Times New Roman"/>
                <w:color w:val="auto"/>
                <w:kern w:val="2"/>
                <w:sz w:val="24"/>
                <w:szCs w:val="24"/>
                <w:highlight w:val="none"/>
                <w:lang w:val="en-US" w:eastAsia="zh-CN" w:bidi="ar-SA"/>
              </w:rPr>
            </w:pPr>
          </w:p>
          <w:p w14:paraId="085D228D">
            <w:pPr>
              <w:rPr>
                <w:rFonts w:hint="default" w:cs="Times New Roman"/>
                <w:color w:val="auto"/>
                <w:kern w:val="2"/>
                <w:sz w:val="24"/>
                <w:szCs w:val="24"/>
                <w:highlight w:val="none"/>
                <w:lang w:val="en-US" w:eastAsia="zh-CN" w:bidi="ar-SA"/>
              </w:rPr>
            </w:pPr>
          </w:p>
          <w:p w14:paraId="0C267C5C">
            <w:pPr>
              <w:rPr>
                <w:rFonts w:hint="default" w:cs="Times New Roman"/>
                <w:color w:val="auto"/>
                <w:kern w:val="2"/>
                <w:sz w:val="24"/>
                <w:szCs w:val="24"/>
                <w:highlight w:val="none"/>
                <w:lang w:val="en-US" w:eastAsia="zh-CN" w:bidi="ar-SA"/>
              </w:rPr>
            </w:pPr>
          </w:p>
          <w:p w14:paraId="707D8B3A">
            <w:pPr>
              <w:rPr>
                <w:rFonts w:hint="default" w:cs="Times New Roman"/>
                <w:color w:val="auto"/>
                <w:kern w:val="2"/>
                <w:sz w:val="24"/>
                <w:szCs w:val="24"/>
                <w:highlight w:val="none"/>
                <w:lang w:val="en-US" w:eastAsia="zh-CN" w:bidi="ar-SA"/>
              </w:rPr>
            </w:pPr>
          </w:p>
          <w:p w14:paraId="4977CF59">
            <w:pPr>
              <w:rPr>
                <w:rFonts w:hint="default" w:cs="Times New Roman"/>
                <w:color w:val="auto"/>
                <w:kern w:val="2"/>
                <w:sz w:val="24"/>
                <w:szCs w:val="24"/>
                <w:highlight w:val="none"/>
                <w:lang w:val="en-US" w:eastAsia="zh-CN" w:bidi="ar-SA"/>
              </w:rPr>
            </w:pPr>
          </w:p>
          <w:p w14:paraId="2D9E18FB">
            <w:pPr>
              <w:pStyle w:val="29"/>
              <w:ind w:left="0" w:leftChars="0" w:firstLine="0" w:firstLineChars="0"/>
              <w:rPr>
                <w:rFonts w:hint="default"/>
                <w:lang w:val="en-US" w:eastAsia="zh-CN"/>
              </w:rPr>
            </w:pPr>
          </w:p>
        </w:tc>
      </w:tr>
    </w:tbl>
    <w:p w14:paraId="44A69F26">
      <w:pPr>
        <w:pStyle w:val="26"/>
        <w:jc w:val="center"/>
        <w:rPr>
          <w:rFonts w:hint="default" w:ascii="Times New Roman" w:hAnsi="Times New Roman" w:eastAsia="黑体" w:cs="Times New Roman"/>
          <w:snapToGrid w:val="0"/>
          <w:color w:val="auto"/>
          <w:sz w:val="36"/>
          <w:szCs w:val="36"/>
          <w:highlight w:val="yellow"/>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859F2BD">
      <w:pPr>
        <w:pStyle w:val="26"/>
        <w:jc w:val="center"/>
        <w:outlineLvl w:val="0"/>
        <w:rPr>
          <w:rFonts w:hint="default" w:ascii="Times New Roman" w:hAnsi="Times New Roman" w:eastAsia="黑体" w:cs="Times New Roman"/>
          <w:snapToGrid w:val="0"/>
          <w:color w:val="auto"/>
          <w:sz w:val="30"/>
          <w:szCs w:val="30"/>
          <w:highlight w:val="none"/>
        </w:rPr>
      </w:pPr>
      <w:bookmarkStart w:id="30" w:name="_Toc29653"/>
      <w:bookmarkStart w:id="53" w:name="_GoBack"/>
      <w:bookmarkEnd w:id="53"/>
      <w:r>
        <w:rPr>
          <w:rFonts w:hint="default" w:ascii="Times New Roman" w:hAnsi="Times New Roman" w:eastAsia="黑体" w:cs="Times New Roman"/>
          <w:snapToGrid w:val="0"/>
          <w:color w:val="auto"/>
          <w:sz w:val="30"/>
          <w:szCs w:val="30"/>
          <w:highlight w:val="none"/>
        </w:rPr>
        <w:t>三、区域环境质量现状、环境保护目标及评价标准</w:t>
      </w:r>
      <w:bookmarkEnd w:id="30"/>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8637"/>
      </w:tblGrid>
      <w:tr w14:paraId="2BD40A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01" w:hRule="atLeast"/>
          <w:jc w:val="center"/>
        </w:trPr>
        <w:tc>
          <w:tcPr>
            <w:tcW w:w="800" w:type="dxa"/>
            <w:noWrap w:val="0"/>
            <w:vAlign w:val="center"/>
          </w:tcPr>
          <w:p w14:paraId="0C93C1CD">
            <w:pPr>
              <w:adjustRightInd w:val="0"/>
              <w:snapToGrid w:val="0"/>
              <w:jc w:val="center"/>
              <w:rPr>
                <w:rFonts w:hint="default" w:ascii="Times New Roman" w:hAnsi="Times New Roman" w:cs="Times New Roman"/>
                <w:color w:val="auto"/>
                <w:kern w:val="0"/>
                <w:szCs w:val="21"/>
                <w:highlight w:val="yellow"/>
              </w:rPr>
            </w:pPr>
            <w:r>
              <w:rPr>
                <w:rFonts w:hint="default" w:ascii="Times New Roman" w:hAnsi="Times New Roman" w:cs="Times New Roman"/>
                <w:color w:val="auto"/>
                <w:kern w:val="0"/>
                <w:szCs w:val="21"/>
                <w:highlight w:val="none"/>
              </w:rPr>
              <w:t>区域环境质量现状</w:t>
            </w:r>
          </w:p>
        </w:tc>
        <w:tc>
          <w:tcPr>
            <w:tcW w:w="8190" w:type="dxa"/>
            <w:noWrap w:val="0"/>
            <w:vAlign w:val="center"/>
          </w:tcPr>
          <w:p w14:paraId="213F04A1">
            <w:pPr>
              <w:pStyle w:val="136"/>
              <w:adjustRightInd/>
              <w:snapToGrid/>
              <w:spacing w:line="360" w:lineRule="auto"/>
              <w:ind w:firstLine="482"/>
              <w:rPr>
                <w:rFonts w:cs="Times New Roman"/>
                <w:b/>
                <w:bCs w:val="0"/>
                <w:color w:val="FF0000"/>
                <w:sz w:val="24"/>
                <w:szCs w:val="24"/>
                <w:highlight w:val="none"/>
              </w:rPr>
            </w:pPr>
            <w:r>
              <w:rPr>
                <w:rFonts w:cs="Times New Roman"/>
                <w:b/>
                <w:bCs w:val="0"/>
                <w:sz w:val="24"/>
                <w:szCs w:val="24"/>
                <w:highlight w:val="none"/>
              </w:rPr>
              <w:t>1、大气环境</w:t>
            </w:r>
          </w:p>
          <w:p w14:paraId="79560804">
            <w:pPr>
              <w:adjustRightInd w:val="0"/>
              <w:snapToGrid w:val="0"/>
              <w:spacing w:line="360" w:lineRule="auto"/>
              <w:ind w:firstLine="480" w:firstLineChars="200"/>
              <w:rPr>
                <w:kern w:val="0"/>
                <w:sz w:val="24"/>
                <w:highlight w:val="none"/>
              </w:rPr>
            </w:pPr>
            <w:r>
              <w:rPr>
                <w:kern w:val="0"/>
                <w:sz w:val="24"/>
                <w:highlight w:val="none"/>
              </w:rPr>
              <w:t>（1）基本污染物</w:t>
            </w:r>
          </w:p>
          <w:p w14:paraId="3E82A126">
            <w:pPr>
              <w:adjustRightInd w:val="0"/>
              <w:snapToGrid w:val="0"/>
              <w:spacing w:line="360" w:lineRule="auto"/>
              <w:ind w:firstLine="480" w:firstLineChars="200"/>
              <w:rPr>
                <w:kern w:val="0"/>
                <w:sz w:val="24"/>
                <w:highlight w:val="none"/>
              </w:rPr>
            </w:pPr>
            <w:r>
              <w:rPr>
                <w:kern w:val="0"/>
                <w:sz w:val="24"/>
                <w:highlight w:val="none"/>
                <w:lang w:val="en-US" w:eastAsia="zh-CN"/>
              </w:rPr>
              <w:t>根据《</w:t>
            </w:r>
            <w:r>
              <w:rPr>
                <w:rFonts w:hint="default"/>
                <w:kern w:val="0"/>
                <w:sz w:val="24"/>
                <w:highlight w:val="none"/>
                <w:lang w:val="en-US" w:eastAsia="zh-CN"/>
              </w:rPr>
              <w:t>202</w:t>
            </w:r>
            <w:r>
              <w:rPr>
                <w:rFonts w:hint="eastAsia"/>
                <w:kern w:val="0"/>
                <w:sz w:val="24"/>
                <w:highlight w:val="none"/>
                <w:lang w:val="en-US" w:eastAsia="zh-CN"/>
              </w:rPr>
              <w:t>4年黑龙江省生态环境质量状况》，双鸭山市环境空气中</w:t>
            </w:r>
            <w:r>
              <w:rPr>
                <w:rFonts w:hint="default"/>
                <w:kern w:val="0"/>
                <w:sz w:val="24"/>
                <w:highlight w:val="none"/>
                <w:lang w:val="en-US" w:eastAsia="zh-CN"/>
              </w:rPr>
              <w:t>PM</w:t>
            </w:r>
            <w:r>
              <w:rPr>
                <w:rFonts w:hint="default"/>
                <w:kern w:val="0"/>
                <w:sz w:val="24"/>
                <w:highlight w:val="none"/>
                <w:vertAlign w:val="subscript"/>
                <w:lang w:val="en-US" w:eastAsia="zh-CN"/>
              </w:rPr>
              <w:t>10</w:t>
            </w:r>
            <w:r>
              <w:rPr>
                <w:rFonts w:hint="eastAsia"/>
                <w:kern w:val="0"/>
                <w:sz w:val="24"/>
                <w:highlight w:val="none"/>
                <w:lang w:val="en-US" w:eastAsia="zh-CN"/>
              </w:rPr>
              <w:t>年均浓度为</w:t>
            </w:r>
            <w:r>
              <w:rPr>
                <w:rFonts w:hint="default"/>
                <w:kern w:val="0"/>
                <w:sz w:val="24"/>
                <w:highlight w:val="none"/>
                <w:lang w:val="en-US" w:eastAsia="zh-CN"/>
              </w:rPr>
              <w:t>4</w:t>
            </w:r>
            <w:r>
              <w:rPr>
                <w:rFonts w:hint="eastAsia"/>
                <w:kern w:val="0"/>
                <w:sz w:val="24"/>
                <w:highlight w:val="none"/>
                <w:lang w:val="en-US" w:eastAsia="zh-CN"/>
              </w:rPr>
              <w:t>3</w:t>
            </w:r>
            <w:r>
              <w:rPr>
                <w:rFonts w:hint="default"/>
                <w:kern w:val="0"/>
                <w:sz w:val="24"/>
                <w:highlight w:val="none"/>
                <w:lang w:val="en-US" w:eastAsia="zh-CN"/>
              </w:rPr>
              <w:t>μg/m</w:t>
            </w:r>
            <w:r>
              <w:rPr>
                <w:rFonts w:hint="default"/>
                <w:kern w:val="0"/>
                <w:sz w:val="24"/>
                <w:highlight w:val="none"/>
                <w:vertAlign w:val="superscript"/>
                <w:lang w:val="en-US" w:eastAsia="zh-CN"/>
              </w:rPr>
              <w:t>3</w:t>
            </w:r>
            <w:r>
              <w:rPr>
                <w:rFonts w:hint="eastAsia"/>
                <w:kern w:val="0"/>
                <w:sz w:val="24"/>
                <w:highlight w:val="none"/>
                <w:lang w:val="en-US" w:eastAsia="zh-CN"/>
              </w:rPr>
              <w:t>，</w:t>
            </w:r>
            <w:r>
              <w:rPr>
                <w:rFonts w:hint="default"/>
                <w:kern w:val="0"/>
                <w:sz w:val="24"/>
                <w:highlight w:val="none"/>
                <w:lang w:val="en-US" w:eastAsia="zh-CN"/>
              </w:rPr>
              <w:t>SO</w:t>
            </w:r>
            <w:r>
              <w:rPr>
                <w:rFonts w:hint="default"/>
                <w:kern w:val="0"/>
                <w:sz w:val="24"/>
                <w:highlight w:val="none"/>
                <w:vertAlign w:val="subscript"/>
                <w:lang w:val="en-US" w:eastAsia="zh-CN"/>
              </w:rPr>
              <w:t>2</w:t>
            </w:r>
            <w:r>
              <w:rPr>
                <w:rFonts w:hint="eastAsia"/>
                <w:kern w:val="0"/>
                <w:sz w:val="24"/>
                <w:highlight w:val="none"/>
                <w:lang w:val="en-US" w:eastAsia="zh-CN"/>
              </w:rPr>
              <w:t>年均浓度为</w:t>
            </w:r>
            <w:r>
              <w:rPr>
                <w:rFonts w:hint="default"/>
                <w:kern w:val="0"/>
                <w:sz w:val="24"/>
                <w:highlight w:val="none"/>
                <w:lang w:val="en-US" w:eastAsia="zh-CN"/>
              </w:rPr>
              <w:t>1</w:t>
            </w:r>
            <w:r>
              <w:rPr>
                <w:rFonts w:hint="eastAsia"/>
                <w:kern w:val="0"/>
                <w:sz w:val="24"/>
                <w:highlight w:val="none"/>
                <w:lang w:val="en-US" w:eastAsia="zh-CN"/>
              </w:rPr>
              <w:t>1</w:t>
            </w:r>
            <w:r>
              <w:rPr>
                <w:rFonts w:hint="default"/>
                <w:kern w:val="0"/>
                <w:sz w:val="24"/>
                <w:highlight w:val="none"/>
                <w:lang w:val="en-US" w:eastAsia="zh-CN"/>
              </w:rPr>
              <w:t>μg/m</w:t>
            </w:r>
            <w:r>
              <w:rPr>
                <w:rFonts w:hint="default"/>
                <w:kern w:val="0"/>
                <w:sz w:val="24"/>
                <w:highlight w:val="none"/>
                <w:vertAlign w:val="superscript"/>
                <w:lang w:val="en-US" w:eastAsia="zh-CN"/>
              </w:rPr>
              <w:t>3</w:t>
            </w:r>
            <w:r>
              <w:rPr>
                <w:rFonts w:hint="eastAsia"/>
                <w:kern w:val="0"/>
                <w:sz w:val="24"/>
                <w:highlight w:val="none"/>
                <w:lang w:val="en-US" w:eastAsia="zh-CN"/>
              </w:rPr>
              <w:t>，</w:t>
            </w:r>
            <w:r>
              <w:rPr>
                <w:rFonts w:hint="default"/>
                <w:kern w:val="0"/>
                <w:sz w:val="24"/>
                <w:highlight w:val="none"/>
                <w:lang w:val="en-US" w:eastAsia="zh-CN"/>
              </w:rPr>
              <w:t>NO</w:t>
            </w:r>
            <w:r>
              <w:rPr>
                <w:rFonts w:hint="default"/>
                <w:kern w:val="0"/>
                <w:sz w:val="24"/>
                <w:highlight w:val="none"/>
                <w:vertAlign w:val="subscript"/>
                <w:lang w:val="en-US" w:eastAsia="zh-CN"/>
              </w:rPr>
              <w:t>2</w:t>
            </w:r>
            <w:r>
              <w:rPr>
                <w:rFonts w:hint="eastAsia"/>
                <w:kern w:val="0"/>
                <w:sz w:val="24"/>
                <w:highlight w:val="none"/>
                <w:lang w:val="en-US" w:eastAsia="zh-CN"/>
              </w:rPr>
              <w:t>年均浓度为</w:t>
            </w:r>
            <w:r>
              <w:rPr>
                <w:rFonts w:hint="default"/>
                <w:kern w:val="0"/>
                <w:sz w:val="24"/>
                <w:highlight w:val="none"/>
                <w:lang w:val="en-US" w:eastAsia="zh-CN"/>
              </w:rPr>
              <w:t>1</w:t>
            </w:r>
            <w:r>
              <w:rPr>
                <w:rFonts w:hint="eastAsia"/>
                <w:kern w:val="0"/>
                <w:sz w:val="24"/>
                <w:highlight w:val="none"/>
                <w:lang w:val="en-US" w:eastAsia="zh-CN"/>
              </w:rPr>
              <w:t>5</w:t>
            </w:r>
            <w:r>
              <w:rPr>
                <w:rFonts w:hint="default"/>
                <w:kern w:val="0"/>
                <w:sz w:val="24"/>
                <w:highlight w:val="none"/>
                <w:lang w:val="en-US" w:eastAsia="zh-CN"/>
              </w:rPr>
              <w:t>μg/m</w:t>
            </w:r>
            <w:r>
              <w:rPr>
                <w:rFonts w:hint="default"/>
                <w:kern w:val="0"/>
                <w:sz w:val="24"/>
                <w:highlight w:val="none"/>
                <w:vertAlign w:val="superscript"/>
                <w:lang w:val="en-US" w:eastAsia="zh-CN"/>
              </w:rPr>
              <w:t>3</w:t>
            </w:r>
            <w:r>
              <w:rPr>
                <w:rFonts w:hint="eastAsia"/>
                <w:kern w:val="0"/>
                <w:sz w:val="24"/>
                <w:highlight w:val="none"/>
                <w:lang w:val="en-US" w:eastAsia="zh-CN"/>
              </w:rPr>
              <w:t>，</w:t>
            </w:r>
            <w:r>
              <w:rPr>
                <w:rFonts w:hint="default"/>
                <w:kern w:val="0"/>
                <w:sz w:val="24"/>
                <w:highlight w:val="none"/>
                <w:lang w:val="en-US" w:eastAsia="zh-CN"/>
              </w:rPr>
              <w:t>PM</w:t>
            </w:r>
            <w:r>
              <w:rPr>
                <w:rFonts w:hint="default"/>
                <w:kern w:val="0"/>
                <w:sz w:val="24"/>
                <w:highlight w:val="none"/>
                <w:vertAlign w:val="subscript"/>
                <w:lang w:val="en-US" w:eastAsia="zh-CN"/>
              </w:rPr>
              <w:t>2.5</w:t>
            </w:r>
            <w:r>
              <w:rPr>
                <w:rFonts w:hint="eastAsia"/>
                <w:kern w:val="0"/>
                <w:sz w:val="24"/>
                <w:highlight w:val="none"/>
                <w:lang w:val="en-US" w:eastAsia="zh-CN"/>
              </w:rPr>
              <w:t>年均浓度为</w:t>
            </w:r>
            <w:r>
              <w:rPr>
                <w:rFonts w:hint="default"/>
                <w:kern w:val="0"/>
                <w:sz w:val="24"/>
                <w:highlight w:val="none"/>
                <w:lang w:val="en-US" w:eastAsia="zh-CN"/>
              </w:rPr>
              <w:t>2</w:t>
            </w:r>
            <w:r>
              <w:rPr>
                <w:rFonts w:hint="eastAsia"/>
                <w:kern w:val="0"/>
                <w:sz w:val="24"/>
                <w:highlight w:val="none"/>
                <w:lang w:val="en-US" w:eastAsia="zh-CN"/>
              </w:rPr>
              <w:t>7</w:t>
            </w:r>
            <w:r>
              <w:rPr>
                <w:rFonts w:hint="default"/>
                <w:kern w:val="0"/>
                <w:sz w:val="24"/>
                <w:highlight w:val="none"/>
                <w:lang w:val="en-US" w:eastAsia="zh-CN"/>
              </w:rPr>
              <w:t>μg/m</w:t>
            </w:r>
            <w:r>
              <w:rPr>
                <w:rFonts w:hint="default"/>
                <w:kern w:val="0"/>
                <w:sz w:val="24"/>
                <w:highlight w:val="none"/>
                <w:vertAlign w:val="superscript"/>
                <w:lang w:val="en-US" w:eastAsia="zh-CN"/>
              </w:rPr>
              <w:t>3</w:t>
            </w:r>
            <w:r>
              <w:rPr>
                <w:rFonts w:hint="eastAsia"/>
                <w:kern w:val="0"/>
                <w:sz w:val="24"/>
                <w:highlight w:val="none"/>
                <w:lang w:val="en-US" w:eastAsia="zh-CN"/>
              </w:rPr>
              <w:t>，一氧化碳</w:t>
            </w:r>
            <w:r>
              <w:rPr>
                <w:rFonts w:hint="default"/>
                <w:kern w:val="0"/>
                <w:sz w:val="24"/>
                <w:highlight w:val="none"/>
                <w:lang w:val="en-US" w:eastAsia="zh-CN"/>
              </w:rPr>
              <w:t>24</w:t>
            </w:r>
            <w:r>
              <w:rPr>
                <w:rFonts w:hint="eastAsia"/>
                <w:kern w:val="0"/>
                <w:sz w:val="24"/>
                <w:highlight w:val="none"/>
                <w:lang w:val="en-US" w:eastAsia="zh-CN"/>
              </w:rPr>
              <w:t>小时平均第</w:t>
            </w:r>
            <w:r>
              <w:rPr>
                <w:rFonts w:hint="default"/>
                <w:kern w:val="0"/>
                <w:sz w:val="24"/>
                <w:highlight w:val="none"/>
                <w:lang w:val="en-US" w:eastAsia="zh-CN"/>
              </w:rPr>
              <w:t>95</w:t>
            </w:r>
            <w:r>
              <w:rPr>
                <w:rFonts w:hint="eastAsia"/>
                <w:kern w:val="0"/>
                <w:sz w:val="24"/>
                <w:highlight w:val="none"/>
                <w:lang w:val="en-US" w:eastAsia="zh-CN"/>
              </w:rPr>
              <w:t>百分位数浓度为</w:t>
            </w:r>
            <w:r>
              <w:rPr>
                <w:rFonts w:hint="default"/>
                <w:kern w:val="0"/>
                <w:sz w:val="24"/>
                <w:highlight w:val="none"/>
                <w:lang w:val="en-US" w:eastAsia="zh-CN"/>
              </w:rPr>
              <w:t>0.9mg/m</w:t>
            </w:r>
            <w:r>
              <w:rPr>
                <w:rFonts w:hint="default"/>
                <w:kern w:val="0"/>
                <w:sz w:val="24"/>
                <w:highlight w:val="none"/>
                <w:vertAlign w:val="superscript"/>
                <w:lang w:val="en-US" w:eastAsia="zh-CN"/>
              </w:rPr>
              <w:t>3</w:t>
            </w:r>
            <w:r>
              <w:rPr>
                <w:rFonts w:hint="eastAsia"/>
                <w:kern w:val="0"/>
                <w:sz w:val="24"/>
                <w:highlight w:val="none"/>
                <w:lang w:val="en-US" w:eastAsia="zh-CN"/>
              </w:rPr>
              <w:t>，</w:t>
            </w:r>
            <w:r>
              <w:rPr>
                <w:rFonts w:hint="default"/>
                <w:kern w:val="0"/>
                <w:sz w:val="24"/>
                <w:highlight w:val="none"/>
                <w:lang w:val="en-US" w:eastAsia="zh-CN"/>
              </w:rPr>
              <w:t>O</w:t>
            </w:r>
            <w:r>
              <w:rPr>
                <w:rFonts w:hint="default"/>
                <w:kern w:val="0"/>
                <w:sz w:val="24"/>
                <w:highlight w:val="none"/>
                <w:vertAlign w:val="subscript"/>
                <w:lang w:val="en-US" w:eastAsia="zh-CN"/>
              </w:rPr>
              <w:t>3</w:t>
            </w:r>
            <w:r>
              <w:rPr>
                <w:rFonts w:hint="eastAsia"/>
                <w:kern w:val="0"/>
                <w:sz w:val="24"/>
                <w:highlight w:val="none"/>
                <w:lang w:val="en-US" w:eastAsia="zh-CN"/>
              </w:rPr>
              <w:t>日最大</w:t>
            </w:r>
            <w:r>
              <w:rPr>
                <w:rFonts w:hint="default"/>
                <w:kern w:val="0"/>
                <w:sz w:val="24"/>
                <w:highlight w:val="none"/>
                <w:lang w:val="en-US" w:eastAsia="zh-CN"/>
              </w:rPr>
              <w:t>8</w:t>
            </w:r>
            <w:r>
              <w:rPr>
                <w:rFonts w:hint="eastAsia"/>
                <w:kern w:val="0"/>
                <w:sz w:val="24"/>
                <w:highlight w:val="none"/>
                <w:lang w:val="en-US" w:eastAsia="zh-CN"/>
              </w:rPr>
              <w:t>小时平均第</w:t>
            </w:r>
            <w:r>
              <w:rPr>
                <w:rFonts w:hint="default"/>
                <w:kern w:val="0"/>
                <w:sz w:val="24"/>
                <w:highlight w:val="none"/>
                <w:lang w:val="en-US" w:eastAsia="zh-CN"/>
              </w:rPr>
              <w:t>90</w:t>
            </w:r>
            <w:r>
              <w:rPr>
                <w:rFonts w:hint="eastAsia"/>
                <w:kern w:val="0"/>
                <w:sz w:val="24"/>
                <w:highlight w:val="none"/>
                <w:lang w:val="en-US" w:eastAsia="zh-CN"/>
              </w:rPr>
              <w:t>百分位数浓度为105</w:t>
            </w:r>
            <w:r>
              <w:rPr>
                <w:rFonts w:hint="default"/>
                <w:kern w:val="0"/>
                <w:sz w:val="24"/>
                <w:highlight w:val="none"/>
                <w:lang w:val="en-US" w:eastAsia="zh-CN"/>
              </w:rPr>
              <w:t>μg/m</w:t>
            </w:r>
            <w:r>
              <w:rPr>
                <w:rFonts w:hint="default"/>
                <w:kern w:val="0"/>
                <w:sz w:val="24"/>
                <w:highlight w:val="none"/>
                <w:vertAlign w:val="superscript"/>
                <w:lang w:val="en-US" w:eastAsia="zh-CN"/>
              </w:rPr>
              <w:t>3</w:t>
            </w:r>
            <w:r>
              <w:rPr>
                <w:rFonts w:hint="eastAsia"/>
                <w:kern w:val="0"/>
                <w:sz w:val="24"/>
                <w:highlight w:val="none"/>
                <w:lang w:val="en-US" w:eastAsia="zh-CN"/>
              </w:rPr>
              <w:t>。双鸭山市</w:t>
            </w:r>
            <w:r>
              <w:rPr>
                <w:rFonts w:hint="default"/>
                <w:kern w:val="0"/>
                <w:sz w:val="24"/>
                <w:highlight w:val="none"/>
                <w:lang w:val="en-US" w:eastAsia="zh-CN"/>
              </w:rPr>
              <w:t>PM</w:t>
            </w:r>
            <w:r>
              <w:rPr>
                <w:rFonts w:hint="default"/>
                <w:kern w:val="0"/>
                <w:sz w:val="24"/>
                <w:highlight w:val="none"/>
                <w:vertAlign w:val="subscript"/>
                <w:lang w:val="en-US" w:eastAsia="zh-CN"/>
              </w:rPr>
              <w:t>10</w:t>
            </w:r>
            <w:r>
              <w:rPr>
                <w:rFonts w:hint="eastAsia"/>
                <w:kern w:val="0"/>
                <w:sz w:val="24"/>
                <w:highlight w:val="none"/>
                <w:lang w:val="en-US" w:eastAsia="zh-CN"/>
              </w:rPr>
              <w:t>、</w:t>
            </w:r>
            <w:r>
              <w:rPr>
                <w:rFonts w:hint="default"/>
                <w:kern w:val="0"/>
                <w:sz w:val="24"/>
                <w:highlight w:val="none"/>
                <w:lang w:val="en-US" w:eastAsia="zh-CN"/>
              </w:rPr>
              <w:t>PM</w:t>
            </w:r>
            <w:r>
              <w:rPr>
                <w:rFonts w:hint="default"/>
                <w:kern w:val="0"/>
                <w:sz w:val="24"/>
                <w:highlight w:val="none"/>
                <w:vertAlign w:val="subscript"/>
                <w:lang w:val="en-US" w:eastAsia="zh-CN"/>
              </w:rPr>
              <w:t>2.5</w:t>
            </w:r>
            <w:r>
              <w:rPr>
                <w:rFonts w:hint="eastAsia"/>
                <w:kern w:val="0"/>
                <w:sz w:val="24"/>
                <w:highlight w:val="none"/>
                <w:lang w:val="en-US" w:eastAsia="zh-CN"/>
              </w:rPr>
              <w:t>、</w:t>
            </w:r>
            <w:r>
              <w:rPr>
                <w:rFonts w:hint="default"/>
                <w:kern w:val="0"/>
                <w:sz w:val="24"/>
                <w:highlight w:val="none"/>
                <w:lang w:val="en-US" w:eastAsia="zh-CN"/>
              </w:rPr>
              <w:t>SO</w:t>
            </w:r>
            <w:r>
              <w:rPr>
                <w:rFonts w:hint="default"/>
                <w:kern w:val="0"/>
                <w:sz w:val="24"/>
                <w:highlight w:val="none"/>
                <w:vertAlign w:val="subscript"/>
                <w:lang w:val="en-US" w:eastAsia="zh-CN"/>
              </w:rPr>
              <w:t>2</w:t>
            </w:r>
            <w:r>
              <w:rPr>
                <w:rFonts w:hint="eastAsia"/>
                <w:kern w:val="0"/>
                <w:sz w:val="24"/>
                <w:highlight w:val="none"/>
                <w:lang w:val="en-US" w:eastAsia="zh-CN"/>
              </w:rPr>
              <w:t>、</w:t>
            </w:r>
            <w:r>
              <w:rPr>
                <w:rFonts w:hint="default"/>
                <w:kern w:val="0"/>
                <w:sz w:val="24"/>
                <w:highlight w:val="none"/>
                <w:lang w:val="en-US" w:eastAsia="zh-CN"/>
              </w:rPr>
              <w:t>NO</w:t>
            </w:r>
            <w:r>
              <w:rPr>
                <w:rFonts w:hint="default"/>
                <w:kern w:val="0"/>
                <w:sz w:val="24"/>
                <w:highlight w:val="none"/>
                <w:vertAlign w:val="subscript"/>
                <w:lang w:val="en-US" w:eastAsia="zh-CN"/>
              </w:rPr>
              <w:t>2</w:t>
            </w:r>
            <w:r>
              <w:rPr>
                <w:rFonts w:hint="eastAsia"/>
                <w:kern w:val="0"/>
                <w:sz w:val="24"/>
                <w:highlight w:val="none"/>
                <w:lang w:val="en-US" w:eastAsia="zh-CN"/>
              </w:rPr>
              <w:t>、</w:t>
            </w:r>
            <w:r>
              <w:rPr>
                <w:rFonts w:hint="default"/>
                <w:kern w:val="0"/>
                <w:sz w:val="24"/>
                <w:highlight w:val="none"/>
                <w:lang w:val="en-US" w:eastAsia="zh-CN"/>
              </w:rPr>
              <w:t>CO</w:t>
            </w:r>
            <w:r>
              <w:rPr>
                <w:rFonts w:hint="eastAsia"/>
                <w:kern w:val="0"/>
                <w:sz w:val="24"/>
                <w:highlight w:val="none"/>
                <w:lang w:val="en-US" w:eastAsia="zh-CN"/>
              </w:rPr>
              <w:t>、</w:t>
            </w:r>
            <w:r>
              <w:rPr>
                <w:rFonts w:hint="default"/>
                <w:kern w:val="0"/>
                <w:sz w:val="24"/>
                <w:highlight w:val="none"/>
                <w:lang w:val="en-US" w:eastAsia="zh-CN"/>
              </w:rPr>
              <w:t>O</w:t>
            </w:r>
            <w:r>
              <w:rPr>
                <w:rFonts w:hint="default"/>
                <w:kern w:val="0"/>
                <w:sz w:val="24"/>
                <w:highlight w:val="none"/>
                <w:vertAlign w:val="subscript"/>
                <w:lang w:val="en-US" w:eastAsia="zh-CN"/>
              </w:rPr>
              <w:t>3</w:t>
            </w:r>
            <w:r>
              <w:rPr>
                <w:rFonts w:hint="eastAsia"/>
                <w:kern w:val="0"/>
                <w:sz w:val="24"/>
                <w:highlight w:val="none"/>
                <w:lang w:val="en-US" w:eastAsia="zh-CN"/>
              </w:rPr>
              <w:t>均满足《环境空气质量标准》（</w:t>
            </w:r>
            <w:r>
              <w:rPr>
                <w:rFonts w:hint="default"/>
                <w:kern w:val="0"/>
                <w:sz w:val="24"/>
                <w:highlight w:val="none"/>
                <w:lang w:val="en-US" w:eastAsia="zh-CN"/>
              </w:rPr>
              <w:t>GB3095-2012</w:t>
            </w:r>
            <w:r>
              <w:rPr>
                <w:rFonts w:hint="eastAsia"/>
                <w:kern w:val="0"/>
                <w:sz w:val="24"/>
                <w:highlight w:val="none"/>
                <w:lang w:val="en-US" w:eastAsia="zh-CN"/>
              </w:rPr>
              <w:t>）及修改单中二级标准</w:t>
            </w:r>
            <w:r>
              <w:rPr>
                <w:kern w:val="0"/>
                <w:sz w:val="24"/>
                <w:highlight w:val="none"/>
              </w:rPr>
              <w:t>。</w:t>
            </w:r>
          </w:p>
          <w:p w14:paraId="016CD656">
            <w:pPr>
              <w:adjustRightInd w:val="0"/>
              <w:snapToGrid w:val="0"/>
              <w:spacing w:line="360" w:lineRule="auto"/>
              <w:ind w:firstLine="480" w:firstLineChars="200"/>
              <w:rPr>
                <w:kern w:val="0"/>
                <w:sz w:val="24"/>
                <w:highlight w:val="none"/>
              </w:rPr>
            </w:pPr>
            <w:r>
              <w:rPr>
                <w:kern w:val="0"/>
                <w:sz w:val="24"/>
                <w:highlight w:val="none"/>
              </w:rPr>
              <w:t>基本污染物现状监测结果经统计列于表3-1中。</w:t>
            </w:r>
          </w:p>
          <w:p w14:paraId="5B4E5939">
            <w:pPr>
              <w:jc w:val="center"/>
              <w:rPr>
                <w:rFonts w:eastAsia="黑体"/>
                <w:szCs w:val="21"/>
                <w:highlight w:val="none"/>
              </w:rPr>
            </w:pPr>
            <w:r>
              <w:rPr>
                <w:rFonts w:eastAsia="黑体"/>
                <w:szCs w:val="21"/>
                <w:highlight w:val="none"/>
              </w:rPr>
              <w:t>表3-1  区域环境空气质量现状评价表  单位：μg/m</w:t>
            </w:r>
            <w:r>
              <w:rPr>
                <w:rFonts w:eastAsia="黑体"/>
                <w:szCs w:val="21"/>
                <w:highlight w:val="none"/>
                <w:vertAlign w:val="superscript"/>
              </w:rPr>
              <w:t>3</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30"/>
              <w:gridCol w:w="2573"/>
              <w:gridCol w:w="1211"/>
              <w:gridCol w:w="1211"/>
              <w:gridCol w:w="1156"/>
              <w:gridCol w:w="1340"/>
            </w:tblGrid>
            <w:tr w14:paraId="5459ED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5" w:hRule="atLeast"/>
                <w:jc w:val="center"/>
              </w:trPr>
              <w:tc>
                <w:tcPr>
                  <w:tcW w:w="552" w:type="pct"/>
                  <w:tcBorders>
                    <w:top w:val="single" w:color="auto" w:sz="12" w:space="0"/>
                    <w:left w:val="nil"/>
                    <w:bottom w:val="single" w:color="auto" w:sz="6" w:space="0"/>
                    <w:right w:val="single" w:color="auto" w:sz="6" w:space="0"/>
                  </w:tcBorders>
                  <w:noWrap/>
                  <w:vAlign w:val="center"/>
                </w:tcPr>
                <w:p w14:paraId="6C2C73F3">
                  <w:pPr>
                    <w:tabs>
                      <w:tab w:val="left" w:pos="3960"/>
                    </w:tabs>
                    <w:snapToGrid w:val="0"/>
                    <w:jc w:val="center"/>
                    <w:rPr>
                      <w:szCs w:val="21"/>
                      <w:highlight w:val="none"/>
                    </w:rPr>
                  </w:pPr>
                  <w:r>
                    <w:rPr>
                      <w:szCs w:val="21"/>
                      <w:highlight w:val="none"/>
                    </w:rPr>
                    <w:t>污染物</w:t>
                  </w:r>
                </w:p>
              </w:tc>
              <w:tc>
                <w:tcPr>
                  <w:tcW w:w="1527" w:type="pct"/>
                  <w:tcBorders>
                    <w:top w:val="single" w:color="auto" w:sz="12" w:space="0"/>
                    <w:left w:val="single" w:color="auto" w:sz="6" w:space="0"/>
                    <w:bottom w:val="single" w:color="auto" w:sz="6" w:space="0"/>
                    <w:right w:val="single" w:color="auto" w:sz="6" w:space="0"/>
                  </w:tcBorders>
                  <w:noWrap/>
                  <w:vAlign w:val="center"/>
                </w:tcPr>
                <w:p w14:paraId="59B91D4B">
                  <w:pPr>
                    <w:tabs>
                      <w:tab w:val="left" w:pos="3960"/>
                    </w:tabs>
                    <w:snapToGrid w:val="0"/>
                    <w:jc w:val="center"/>
                    <w:rPr>
                      <w:szCs w:val="21"/>
                      <w:highlight w:val="none"/>
                    </w:rPr>
                  </w:pPr>
                  <w:r>
                    <w:rPr>
                      <w:szCs w:val="21"/>
                      <w:highlight w:val="none"/>
                    </w:rPr>
                    <w:t>年评价指标</w:t>
                  </w:r>
                </w:p>
              </w:tc>
              <w:tc>
                <w:tcPr>
                  <w:tcW w:w="719" w:type="pct"/>
                  <w:tcBorders>
                    <w:top w:val="single" w:color="auto" w:sz="12" w:space="0"/>
                    <w:left w:val="single" w:color="auto" w:sz="6" w:space="0"/>
                    <w:bottom w:val="single" w:color="auto" w:sz="6" w:space="0"/>
                    <w:right w:val="single" w:color="auto" w:sz="6" w:space="0"/>
                  </w:tcBorders>
                  <w:noWrap/>
                  <w:vAlign w:val="center"/>
                </w:tcPr>
                <w:p w14:paraId="273B17DC">
                  <w:pPr>
                    <w:tabs>
                      <w:tab w:val="left" w:pos="3960"/>
                    </w:tabs>
                    <w:snapToGrid w:val="0"/>
                    <w:jc w:val="center"/>
                    <w:rPr>
                      <w:szCs w:val="21"/>
                      <w:highlight w:val="none"/>
                    </w:rPr>
                  </w:pPr>
                  <w:r>
                    <w:rPr>
                      <w:szCs w:val="21"/>
                      <w:highlight w:val="none"/>
                    </w:rPr>
                    <w:t>现状浓度</w:t>
                  </w:r>
                </w:p>
                <w:p w14:paraId="31511858">
                  <w:pPr>
                    <w:tabs>
                      <w:tab w:val="left" w:pos="3960"/>
                    </w:tabs>
                    <w:snapToGrid w:val="0"/>
                    <w:jc w:val="center"/>
                    <w:rPr>
                      <w:szCs w:val="21"/>
                      <w:highlight w:val="none"/>
                    </w:rPr>
                  </w:pPr>
                  <w:r>
                    <w:rPr>
                      <w:szCs w:val="21"/>
                      <w:highlight w:val="none"/>
                    </w:rPr>
                    <w:t>（μg/m</w:t>
                  </w:r>
                  <w:r>
                    <w:rPr>
                      <w:szCs w:val="21"/>
                      <w:highlight w:val="none"/>
                      <w:vertAlign w:val="superscript"/>
                    </w:rPr>
                    <w:t>3</w:t>
                  </w:r>
                  <w:r>
                    <w:rPr>
                      <w:szCs w:val="21"/>
                      <w:highlight w:val="none"/>
                    </w:rPr>
                    <w:t>）</w:t>
                  </w:r>
                </w:p>
              </w:tc>
              <w:tc>
                <w:tcPr>
                  <w:tcW w:w="719" w:type="pct"/>
                  <w:tcBorders>
                    <w:top w:val="single" w:color="auto" w:sz="12" w:space="0"/>
                    <w:left w:val="single" w:color="auto" w:sz="6" w:space="0"/>
                    <w:bottom w:val="single" w:color="auto" w:sz="6" w:space="0"/>
                    <w:right w:val="single" w:color="auto" w:sz="6" w:space="0"/>
                  </w:tcBorders>
                  <w:noWrap/>
                  <w:vAlign w:val="center"/>
                </w:tcPr>
                <w:p w14:paraId="678AEB0B">
                  <w:pPr>
                    <w:tabs>
                      <w:tab w:val="left" w:pos="3960"/>
                    </w:tabs>
                    <w:snapToGrid w:val="0"/>
                    <w:jc w:val="center"/>
                    <w:rPr>
                      <w:szCs w:val="21"/>
                      <w:highlight w:val="none"/>
                    </w:rPr>
                  </w:pPr>
                  <w:r>
                    <w:rPr>
                      <w:szCs w:val="21"/>
                      <w:highlight w:val="none"/>
                    </w:rPr>
                    <w:t>标准值</w:t>
                  </w:r>
                </w:p>
                <w:p w14:paraId="2DD4F49D">
                  <w:pPr>
                    <w:tabs>
                      <w:tab w:val="left" w:pos="3960"/>
                    </w:tabs>
                    <w:snapToGrid w:val="0"/>
                    <w:jc w:val="center"/>
                    <w:rPr>
                      <w:szCs w:val="21"/>
                      <w:highlight w:val="none"/>
                    </w:rPr>
                  </w:pPr>
                  <w:r>
                    <w:rPr>
                      <w:szCs w:val="21"/>
                      <w:highlight w:val="none"/>
                    </w:rPr>
                    <w:t>（μg/m</w:t>
                  </w:r>
                  <w:r>
                    <w:rPr>
                      <w:szCs w:val="21"/>
                      <w:highlight w:val="none"/>
                      <w:vertAlign w:val="superscript"/>
                    </w:rPr>
                    <w:t>3</w:t>
                  </w:r>
                  <w:r>
                    <w:rPr>
                      <w:szCs w:val="21"/>
                      <w:highlight w:val="none"/>
                    </w:rPr>
                    <w:t>）</w:t>
                  </w:r>
                </w:p>
              </w:tc>
              <w:tc>
                <w:tcPr>
                  <w:tcW w:w="686" w:type="pct"/>
                  <w:tcBorders>
                    <w:top w:val="single" w:color="auto" w:sz="12" w:space="0"/>
                    <w:left w:val="single" w:color="auto" w:sz="6" w:space="0"/>
                    <w:bottom w:val="single" w:color="auto" w:sz="6" w:space="0"/>
                    <w:right w:val="single" w:color="auto" w:sz="6" w:space="0"/>
                  </w:tcBorders>
                  <w:noWrap/>
                  <w:vAlign w:val="center"/>
                </w:tcPr>
                <w:p w14:paraId="06358A9C">
                  <w:pPr>
                    <w:tabs>
                      <w:tab w:val="left" w:pos="3960"/>
                    </w:tabs>
                    <w:snapToGrid w:val="0"/>
                    <w:jc w:val="center"/>
                    <w:rPr>
                      <w:szCs w:val="21"/>
                      <w:highlight w:val="none"/>
                    </w:rPr>
                  </w:pPr>
                  <w:r>
                    <w:rPr>
                      <w:szCs w:val="21"/>
                      <w:highlight w:val="none"/>
                    </w:rPr>
                    <w:t>占标率</w:t>
                  </w:r>
                </w:p>
                <w:p w14:paraId="7F2FDB4A">
                  <w:pPr>
                    <w:tabs>
                      <w:tab w:val="left" w:pos="3960"/>
                    </w:tabs>
                    <w:snapToGrid w:val="0"/>
                    <w:jc w:val="center"/>
                    <w:rPr>
                      <w:szCs w:val="21"/>
                      <w:highlight w:val="none"/>
                    </w:rPr>
                  </w:pPr>
                  <w:r>
                    <w:rPr>
                      <w:szCs w:val="21"/>
                      <w:highlight w:val="none"/>
                    </w:rPr>
                    <w:t>（%）</w:t>
                  </w:r>
                </w:p>
              </w:tc>
              <w:tc>
                <w:tcPr>
                  <w:tcW w:w="795" w:type="pct"/>
                  <w:tcBorders>
                    <w:top w:val="single" w:color="auto" w:sz="12" w:space="0"/>
                    <w:left w:val="single" w:color="auto" w:sz="6" w:space="0"/>
                    <w:bottom w:val="single" w:color="auto" w:sz="6" w:space="0"/>
                    <w:right w:val="nil"/>
                  </w:tcBorders>
                  <w:noWrap/>
                  <w:vAlign w:val="center"/>
                </w:tcPr>
                <w:p w14:paraId="1FA6533D">
                  <w:pPr>
                    <w:tabs>
                      <w:tab w:val="left" w:pos="3960"/>
                    </w:tabs>
                    <w:snapToGrid w:val="0"/>
                    <w:jc w:val="center"/>
                    <w:rPr>
                      <w:szCs w:val="21"/>
                      <w:highlight w:val="none"/>
                    </w:rPr>
                  </w:pPr>
                  <w:r>
                    <w:rPr>
                      <w:szCs w:val="21"/>
                      <w:highlight w:val="none"/>
                    </w:rPr>
                    <w:t>达标情况</w:t>
                  </w:r>
                </w:p>
              </w:tc>
            </w:tr>
            <w:tr w14:paraId="4B4035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2" w:type="pct"/>
                  <w:tcBorders>
                    <w:top w:val="single" w:color="auto" w:sz="6" w:space="0"/>
                    <w:left w:val="nil"/>
                    <w:bottom w:val="single" w:color="auto" w:sz="6" w:space="0"/>
                    <w:right w:val="single" w:color="auto" w:sz="6" w:space="0"/>
                  </w:tcBorders>
                  <w:noWrap/>
                  <w:vAlign w:val="center"/>
                </w:tcPr>
                <w:p w14:paraId="3BA63CC2">
                  <w:pPr>
                    <w:pStyle w:val="130"/>
                    <w:adjustRightInd w:val="0"/>
                    <w:snapToGrid w:val="0"/>
                    <w:jc w:val="center"/>
                    <w:textAlignment w:val="center"/>
                    <w:rPr>
                      <w:kern w:val="2"/>
                      <w:highlight w:val="none"/>
                    </w:rPr>
                  </w:pPr>
                  <w:r>
                    <w:rPr>
                      <w:kern w:val="2"/>
                      <w:highlight w:val="none"/>
                    </w:rPr>
                    <w:t>PM</w:t>
                  </w:r>
                  <w:r>
                    <w:rPr>
                      <w:kern w:val="2"/>
                      <w:highlight w:val="none"/>
                      <w:vertAlign w:val="subscript"/>
                    </w:rPr>
                    <w:t>2.5</w:t>
                  </w:r>
                </w:p>
              </w:tc>
              <w:tc>
                <w:tcPr>
                  <w:tcW w:w="1527" w:type="pct"/>
                  <w:tcBorders>
                    <w:top w:val="single" w:color="auto" w:sz="6" w:space="0"/>
                    <w:left w:val="single" w:color="auto" w:sz="6" w:space="0"/>
                    <w:bottom w:val="single" w:color="auto" w:sz="6" w:space="0"/>
                    <w:right w:val="single" w:color="auto" w:sz="6" w:space="0"/>
                  </w:tcBorders>
                  <w:noWrap/>
                  <w:vAlign w:val="center"/>
                </w:tcPr>
                <w:p w14:paraId="04C412F2">
                  <w:pPr>
                    <w:adjustRightInd w:val="0"/>
                    <w:snapToGrid w:val="0"/>
                    <w:jc w:val="center"/>
                    <w:rPr>
                      <w:szCs w:val="21"/>
                      <w:highlight w:val="none"/>
                    </w:rPr>
                  </w:pPr>
                  <w:r>
                    <w:rPr>
                      <w:szCs w:val="21"/>
                      <w:highlight w:val="none"/>
                    </w:rPr>
                    <w:t>年平均质量浓度</w:t>
                  </w:r>
                </w:p>
              </w:tc>
              <w:tc>
                <w:tcPr>
                  <w:tcW w:w="719" w:type="pct"/>
                  <w:tcBorders>
                    <w:top w:val="single" w:color="auto" w:sz="6" w:space="0"/>
                    <w:left w:val="single" w:color="auto" w:sz="6" w:space="0"/>
                    <w:bottom w:val="single" w:color="auto" w:sz="6" w:space="0"/>
                    <w:right w:val="single" w:color="auto" w:sz="6" w:space="0"/>
                  </w:tcBorders>
                  <w:noWrap/>
                  <w:vAlign w:val="center"/>
                </w:tcPr>
                <w:p w14:paraId="30214723">
                  <w:pPr>
                    <w:adjustRightInd w:val="0"/>
                    <w:snapToGrid w:val="0"/>
                    <w:jc w:val="center"/>
                    <w:rPr>
                      <w:rFonts w:hint="default" w:eastAsia="宋体"/>
                      <w:szCs w:val="21"/>
                      <w:highlight w:val="none"/>
                      <w:lang w:val="en-US" w:eastAsia="zh-CN"/>
                    </w:rPr>
                  </w:pPr>
                  <w:r>
                    <w:rPr>
                      <w:rFonts w:hint="eastAsia"/>
                      <w:szCs w:val="21"/>
                      <w:highlight w:val="none"/>
                      <w:lang w:val="en-US" w:eastAsia="zh-CN"/>
                    </w:rPr>
                    <w:t>27</w:t>
                  </w:r>
                </w:p>
              </w:tc>
              <w:tc>
                <w:tcPr>
                  <w:tcW w:w="719" w:type="pct"/>
                  <w:tcBorders>
                    <w:top w:val="single" w:color="auto" w:sz="6" w:space="0"/>
                    <w:left w:val="single" w:color="auto" w:sz="6" w:space="0"/>
                    <w:bottom w:val="single" w:color="auto" w:sz="6" w:space="0"/>
                    <w:right w:val="single" w:color="auto" w:sz="6" w:space="0"/>
                  </w:tcBorders>
                  <w:noWrap/>
                  <w:vAlign w:val="center"/>
                </w:tcPr>
                <w:p w14:paraId="422A3EAF">
                  <w:pPr>
                    <w:adjustRightInd w:val="0"/>
                    <w:snapToGrid w:val="0"/>
                    <w:jc w:val="center"/>
                    <w:rPr>
                      <w:szCs w:val="21"/>
                      <w:highlight w:val="none"/>
                    </w:rPr>
                  </w:pPr>
                  <w:r>
                    <w:rPr>
                      <w:szCs w:val="21"/>
                      <w:highlight w:val="none"/>
                    </w:rPr>
                    <w:t>35</w:t>
                  </w:r>
                </w:p>
              </w:tc>
              <w:tc>
                <w:tcPr>
                  <w:tcW w:w="686" w:type="pct"/>
                  <w:tcBorders>
                    <w:top w:val="single" w:color="auto" w:sz="6" w:space="0"/>
                    <w:left w:val="single" w:color="auto" w:sz="6" w:space="0"/>
                    <w:bottom w:val="single" w:color="auto" w:sz="6" w:space="0"/>
                    <w:right w:val="single" w:color="auto" w:sz="6" w:space="0"/>
                  </w:tcBorders>
                  <w:noWrap/>
                  <w:vAlign w:val="center"/>
                </w:tcPr>
                <w:p w14:paraId="6BBF3AD6">
                  <w:pPr>
                    <w:adjustRightInd w:val="0"/>
                    <w:snapToGrid w:val="0"/>
                    <w:jc w:val="center"/>
                    <w:rPr>
                      <w:rFonts w:hint="default" w:eastAsia="宋体"/>
                      <w:szCs w:val="21"/>
                      <w:highlight w:val="none"/>
                      <w:lang w:val="en-US" w:eastAsia="zh-CN"/>
                    </w:rPr>
                  </w:pPr>
                  <w:r>
                    <w:rPr>
                      <w:rFonts w:hint="eastAsia"/>
                      <w:szCs w:val="21"/>
                      <w:highlight w:val="none"/>
                      <w:lang w:val="en-US" w:eastAsia="zh-CN"/>
                    </w:rPr>
                    <w:t>77.14</w:t>
                  </w:r>
                </w:p>
              </w:tc>
              <w:tc>
                <w:tcPr>
                  <w:tcW w:w="795" w:type="pct"/>
                  <w:tcBorders>
                    <w:top w:val="single" w:color="auto" w:sz="6" w:space="0"/>
                    <w:left w:val="single" w:color="auto" w:sz="6" w:space="0"/>
                    <w:bottom w:val="single" w:color="auto" w:sz="6" w:space="0"/>
                    <w:right w:val="nil"/>
                  </w:tcBorders>
                  <w:noWrap/>
                  <w:vAlign w:val="center"/>
                </w:tcPr>
                <w:p w14:paraId="7A79B48A">
                  <w:pPr>
                    <w:adjustRightInd w:val="0"/>
                    <w:snapToGrid w:val="0"/>
                    <w:jc w:val="center"/>
                    <w:rPr>
                      <w:szCs w:val="21"/>
                      <w:highlight w:val="none"/>
                    </w:rPr>
                  </w:pPr>
                  <w:r>
                    <w:rPr>
                      <w:szCs w:val="21"/>
                      <w:highlight w:val="none"/>
                    </w:rPr>
                    <w:t>达标</w:t>
                  </w:r>
                </w:p>
              </w:tc>
            </w:tr>
            <w:tr w14:paraId="5C30FF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2" w:type="pct"/>
                  <w:tcBorders>
                    <w:top w:val="single" w:color="auto" w:sz="6" w:space="0"/>
                    <w:left w:val="nil"/>
                    <w:bottom w:val="single" w:color="auto" w:sz="6" w:space="0"/>
                    <w:right w:val="single" w:color="auto" w:sz="6" w:space="0"/>
                  </w:tcBorders>
                  <w:noWrap/>
                  <w:vAlign w:val="center"/>
                </w:tcPr>
                <w:p w14:paraId="75726593">
                  <w:pPr>
                    <w:pStyle w:val="130"/>
                    <w:adjustRightInd w:val="0"/>
                    <w:snapToGrid w:val="0"/>
                    <w:jc w:val="center"/>
                    <w:textAlignment w:val="center"/>
                    <w:rPr>
                      <w:kern w:val="2"/>
                      <w:highlight w:val="none"/>
                    </w:rPr>
                  </w:pPr>
                  <w:r>
                    <w:rPr>
                      <w:kern w:val="2"/>
                      <w:highlight w:val="none"/>
                    </w:rPr>
                    <w:t>PM</w:t>
                  </w:r>
                  <w:r>
                    <w:rPr>
                      <w:kern w:val="2"/>
                      <w:highlight w:val="none"/>
                      <w:vertAlign w:val="subscript"/>
                    </w:rPr>
                    <w:t>10</w:t>
                  </w:r>
                </w:p>
              </w:tc>
              <w:tc>
                <w:tcPr>
                  <w:tcW w:w="1527" w:type="pct"/>
                  <w:tcBorders>
                    <w:top w:val="single" w:color="auto" w:sz="6" w:space="0"/>
                    <w:left w:val="single" w:color="auto" w:sz="6" w:space="0"/>
                    <w:bottom w:val="single" w:color="auto" w:sz="6" w:space="0"/>
                    <w:right w:val="single" w:color="auto" w:sz="6" w:space="0"/>
                  </w:tcBorders>
                  <w:noWrap/>
                  <w:vAlign w:val="center"/>
                </w:tcPr>
                <w:p w14:paraId="4BB5E52F">
                  <w:pPr>
                    <w:adjustRightInd w:val="0"/>
                    <w:snapToGrid w:val="0"/>
                    <w:jc w:val="center"/>
                    <w:rPr>
                      <w:szCs w:val="21"/>
                      <w:highlight w:val="none"/>
                    </w:rPr>
                  </w:pPr>
                  <w:r>
                    <w:rPr>
                      <w:szCs w:val="21"/>
                      <w:highlight w:val="none"/>
                    </w:rPr>
                    <w:t>年平均质量浓度</w:t>
                  </w:r>
                </w:p>
              </w:tc>
              <w:tc>
                <w:tcPr>
                  <w:tcW w:w="719" w:type="pct"/>
                  <w:tcBorders>
                    <w:top w:val="single" w:color="auto" w:sz="6" w:space="0"/>
                    <w:left w:val="single" w:color="auto" w:sz="6" w:space="0"/>
                    <w:bottom w:val="single" w:color="auto" w:sz="6" w:space="0"/>
                    <w:right w:val="single" w:color="auto" w:sz="6" w:space="0"/>
                  </w:tcBorders>
                  <w:noWrap/>
                  <w:vAlign w:val="center"/>
                </w:tcPr>
                <w:p w14:paraId="7990B6C3">
                  <w:pPr>
                    <w:adjustRightInd w:val="0"/>
                    <w:snapToGrid w:val="0"/>
                    <w:jc w:val="center"/>
                    <w:rPr>
                      <w:rFonts w:hint="default" w:eastAsia="宋体"/>
                      <w:szCs w:val="21"/>
                      <w:highlight w:val="none"/>
                      <w:lang w:val="en-US" w:eastAsia="zh-CN"/>
                    </w:rPr>
                  </w:pPr>
                  <w:r>
                    <w:rPr>
                      <w:rFonts w:hint="eastAsia"/>
                      <w:szCs w:val="21"/>
                      <w:highlight w:val="none"/>
                      <w:lang w:val="en-US" w:eastAsia="zh-CN"/>
                    </w:rPr>
                    <w:t>43</w:t>
                  </w:r>
                </w:p>
              </w:tc>
              <w:tc>
                <w:tcPr>
                  <w:tcW w:w="719" w:type="pct"/>
                  <w:tcBorders>
                    <w:top w:val="single" w:color="auto" w:sz="6" w:space="0"/>
                    <w:left w:val="single" w:color="auto" w:sz="6" w:space="0"/>
                    <w:bottom w:val="single" w:color="auto" w:sz="6" w:space="0"/>
                    <w:right w:val="single" w:color="auto" w:sz="6" w:space="0"/>
                  </w:tcBorders>
                  <w:noWrap/>
                  <w:vAlign w:val="center"/>
                </w:tcPr>
                <w:p w14:paraId="750556E4">
                  <w:pPr>
                    <w:adjustRightInd w:val="0"/>
                    <w:snapToGrid w:val="0"/>
                    <w:jc w:val="center"/>
                    <w:rPr>
                      <w:szCs w:val="21"/>
                      <w:highlight w:val="none"/>
                    </w:rPr>
                  </w:pPr>
                  <w:r>
                    <w:rPr>
                      <w:szCs w:val="21"/>
                      <w:highlight w:val="none"/>
                    </w:rPr>
                    <w:t>70</w:t>
                  </w:r>
                </w:p>
              </w:tc>
              <w:tc>
                <w:tcPr>
                  <w:tcW w:w="686" w:type="pct"/>
                  <w:tcBorders>
                    <w:top w:val="single" w:color="auto" w:sz="6" w:space="0"/>
                    <w:left w:val="single" w:color="auto" w:sz="6" w:space="0"/>
                    <w:bottom w:val="single" w:color="auto" w:sz="6" w:space="0"/>
                    <w:right w:val="single" w:color="auto" w:sz="6" w:space="0"/>
                  </w:tcBorders>
                  <w:noWrap/>
                  <w:vAlign w:val="center"/>
                </w:tcPr>
                <w:p w14:paraId="13881735">
                  <w:pPr>
                    <w:adjustRightInd w:val="0"/>
                    <w:snapToGrid w:val="0"/>
                    <w:jc w:val="center"/>
                    <w:rPr>
                      <w:rFonts w:hint="default" w:eastAsia="宋体"/>
                      <w:szCs w:val="21"/>
                      <w:highlight w:val="none"/>
                      <w:lang w:val="en-US" w:eastAsia="zh-CN"/>
                    </w:rPr>
                  </w:pPr>
                  <w:r>
                    <w:rPr>
                      <w:rFonts w:hint="eastAsia"/>
                      <w:szCs w:val="21"/>
                      <w:highlight w:val="none"/>
                      <w:lang w:val="en-US" w:eastAsia="zh-CN"/>
                    </w:rPr>
                    <w:t>61.43</w:t>
                  </w:r>
                </w:p>
              </w:tc>
              <w:tc>
                <w:tcPr>
                  <w:tcW w:w="795" w:type="pct"/>
                  <w:tcBorders>
                    <w:top w:val="single" w:color="auto" w:sz="6" w:space="0"/>
                    <w:left w:val="single" w:color="auto" w:sz="6" w:space="0"/>
                    <w:bottom w:val="single" w:color="auto" w:sz="6" w:space="0"/>
                    <w:right w:val="nil"/>
                  </w:tcBorders>
                  <w:noWrap/>
                  <w:vAlign w:val="center"/>
                </w:tcPr>
                <w:p w14:paraId="5839D76B">
                  <w:pPr>
                    <w:adjustRightInd w:val="0"/>
                    <w:snapToGrid w:val="0"/>
                    <w:jc w:val="center"/>
                    <w:rPr>
                      <w:szCs w:val="21"/>
                      <w:highlight w:val="none"/>
                    </w:rPr>
                  </w:pPr>
                  <w:r>
                    <w:rPr>
                      <w:szCs w:val="21"/>
                      <w:highlight w:val="none"/>
                    </w:rPr>
                    <w:t>达标</w:t>
                  </w:r>
                </w:p>
              </w:tc>
            </w:tr>
            <w:tr w14:paraId="16BE65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2" w:type="pct"/>
                  <w:tcBorders>
                    <w:top w:val="single" w:color="auto" w:sz="6" w:space="0"/>
                    <w:left w:val="nil"/>
                    <w:bottom w:val="single" w:color="auto" w:sz="6" w:space="0"/>
                    <w:right w:val="single" w:color="auto" w:sz="6" w:space="0"/>
                  </w:tcBorders>
                  <w:noWrap/>
                  <w:vAlign w:val="center"/>
                </w:tcPr>
                <w:p w14:paraId="45701962">
                  <w:pPr>
                    <w:pStyle w:val="130"/>
                    <w:adjustRightInd w:val="0"/>
                    <w:snapToGrid w:val="0"/>
                    <w:jc w:val="center"/>
                    <w:textAlignment w:val="center"/>
                    <w:rPr>
                      <w:kern w:val="2"/>
                      <w:highlight w:val="none"/>
                    </w:rPr>
                  </w:pPr>
                  <w:r>
                    <w:rPr>
                      <w:kern w:val="2"/>
                      <w:highlight w:val="none"/>
                    </w:rPr>
                    <w:t>NO</w:t>
                  </w:r>
                  <w:r>
                    <w:rPr>
                      <w:kern w:val="2"/>
                      <w:highlight w:val="none"/>
                      <w:vertAlign w:val="subscript"/>
                    </w:rPr>
                    <w:t>2</w:t>
                  </w:r>
                </w:p>
              </w:tc>
              <w:tc>
                <w:tcPr>
                  <w:tcW w:w="1527" w:type="pct"/>
                  <w:tcBorders>
                    <w:top w:val="single" w:color="auto" w:sz="6" w:space="0"/>
                    <w:left w:val="single" w:color="auto" w:sz="6" w:space="0"/>
                    <w:bottom w:val="single" w:color="auto" w:sz="6" w:space="0"/>
                    <w:right w:val="single" w:color="auto" w:sz="6" w:space="0"/>
                  </w:tcBorders>
                  <w:noWrap/>
                  <w:vAlign w:val="center"/>
                </w:tcPr>
                <w:p w14:paraId="7CE352C4">
                  <w:pPr>
                    <w:adjustRightInd w:val="0"/>
                    <w:snapToGrid w:val="0"/>
                    <w:jc w:val="center"/>
                    <w:rPr>
                      <w:szCs w:val="21"/>
                      <w:highlight w:val="none"/>
                    </w:rPr>
                  </w:pPr>
                  <w:r>
                    <w:rPr>
                      <w:szCs w:val="21"/>
                      <w:highlight w:val="none"/>
                    </w:rPr>
                    <w:t>年平均质量浓度</w:t>
                  </w:r>
                </w:p>
              </w:tc>
              <w:tc>
                <w:tcPr>
                  <w:tcW w:w="719" w:type="pct"/>
                  <w:tcBorders>
                    <w:top w:val="single" w:color="auto" w:sz="6" w:space="0"/>
                    <w:left w:val="single" w:color="auto" w:sz="6" w:space="0"/>
                    <w:bottom w:val="single" w:color="auto" w:sz="6" w:space="0"/>
                    <w:right w:val="single" w:color="auto" w:sz="6" w:space="0"/>
                  </w:tcBorders>
                  <w:noWrap/>
                  <w:vAlign w:val="center"/>
                </w:tcPr>
                <w:p w14:paraId="253C95B1">
                  <w:pPr>
                    <w:adjustRightInd w:val="0"/>
                    <w:snapToGrid w:val="0"/>
                    <w:jc w:val="center"/>
                    <w:rPr>
                      <w:rFonts w:hint="default" w:eastAsia="宋体"/>
                      <w:szCs w:val="21"/>
                      <w:highlight w:val="none"/>
                      <w:lang w:val="en-US" w:eastAsia="zh-CN"/>
                    </w:rPr>
                  </w:pPr>
                  <w:r>
                    <w:rPr>
                      <w:rFonts w:hint="eastAsia"/>
                      <w:szCs w:val="21"/>
                      <w:highlight w:val="none"/>
                      <w:lang w:val="en-US" w:eastAsia="zh-CN"/>
                    </w:rPr>
                    <w:t>15</w:t>
                  </w:r>
                </w:p>
              </w:tc>
              <w:tc>
                <w:tcPr>
                  <w:tcW w:w="719" w:type="pct"/>
                  <w:tcBorders>
                    <w:top w:val="single" w:color="auto" w:sz="6" w:space="0"/>
                    <w:left w:val="single" w:color="auto" w:sz="6" w:space="0"/>
                    <w:bottom w:val="single" w:color="auto" w:sz="6" w:space="0"/>
                    <w:right w:val="single" w:color="auto" w:sz="6" w:space="0"/>
                  </w:tcBorders>
                  <w:noWrap/>
                  <w:vAlign w:val="center"/>
                </w:tcPr>
                <w:p w14:paraId="5F48BABF">
                  <w:pPr>
                    <w:adjustRightInd w:val="0"/>
                    <w:snapToGrid w:val="0"/>
                    <w:jc w:val="center"/>
                    <w:rPr>
                      <w:szCs w:val="21"/>
                      <w:highlight w:val="none"/>
                    </w:rPr>
                  </w:pPr>
                  <w:r>
                    <w:rPr>
                      <w:szCs w:val="21"/>
                      <w:highlight w:val="none"/>
                    </w:rPr>
                    <w:t>40</w:t>
                  </w:r>
                </w:p>
              </w:tc>
              <w:tc>
                <w:tcPr>
                  <w:tcW w:w="686" w:type="pct"/>
                  <w:tcBorders>
                    <w:top w:val="single" w:color="auto" w:sz="6" w:space="0"/>
                    <w:left w:val="single" w:color="auto" w:sz="6" w:space="0"/>
                    <w:bottom w:val="single" w:color="auto" w:sz="6" w:space="0"/>
                    <w:right w:val="single" w:color="auto" w:sz="6" w:space="0"/>
                  </w:tcBorders>
                  <w:noWrap/>
                  <w:vAlign w:val="center"/>
                </w:tcPr>
                <w:p w14:paraId="04AC96AE">
                  <w:pPr>
                    <w:adjustRightInd w:val="0"/>
                    <w:snapToGrid w:val="0"/>
                    <w:jc w:val="center"/>
                    <w:rPr>
                      <w:rFonts w:hint="default" w:eastAsia="宋体"/>
                      <w:szCs w:val="21"/>
                      <w:highlight w:val="none"/>
                      <w:lang w:val="en-US" w:eastAsia="zh-CN"/>
                    </w:rPr>
                  </w:pPr>
                  <w:r>
                    <w:rPr>
                      <w:rFonts w:hint="eastAsia"/>
                      <w:szCs w:val="21"/>
                      <w:highlight w:val="none"/>
                      <w:lang w:val="en-US" w:eastAsia="zh-CN"/>
                    </w:rPr>
                    <w:t>37.5</w:t>
                  </w:r>
                </w:p>
              </w:tc>
              <w:tc>
                <w:tcPr>
                  <w:tcW w:w="795" w:type="pct"/>
                  <w:tcBorders>
                    <w:top w:val="single" w:color="auto" w:sz="6" w:space="0"/>
                    <w:left w:val="single" w:color="auto" w:sz="6" w:space="0"/>
                    <w:bottom w:val="single" w:color="auto" w:sz="6" w:space="0"/>
                    <w:right w:val="nil"/>
                  </w:tcBorders>
                  <w:noWrap/>
                  <w:vAlign w:val="center"/>
                </w:tcPr>
                <w:p w14:paraId="5C130DB6">
                  <w:pPr>
                    <w:adjustRightInd w:val="0"/>
                    <w:snapToGrid w:val="0"/>
                    <w:jc w:val="center"/>
                    <w:rPr>
                      <w:szCs w:val="21"/>
                      <w:highlight w:val="none"/>
                    </w:rPr>
                  </w:pPr>
                  <w:r>
                    <w:rPr>
                      <w:szCs w:val="21"/>
                      <w:highlight w:val="none"/>
                    </w:rPr>
                    <w:t>达标</w:t>
                  </w:r>
                </w:p>
              </w:tc>
            </w:tr>
            <w:tr w14:paraId="2984E7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2" w:type="pct"/>
                  <w:tcBorders>
                    <w:top w:val="single" w:color="auto" w:sz="6" w:space="0"/>
                    <w:left w:val="nil"/>
                    <w:bottom w:val="single" w:color="auto" w:sz="6" w:space="0"/>
                    <w:right w:val="single" w:color="auto" w:sz="6" w:space="0"/>
                  </w:tcBorders>
                  <w:noWrap/>
                  <w:vAlign w:val="center"/>
                </w:tcPr>
                <w:p w14:paraId="7D92D339">
                  <w:pPr>
                    <w:pStyle w:val="130"/>
                    <w:adjustRightInd w:val="0"/>
                    <w:snapToGrid w:val="0"/>
                    <w:jc w:val="center"/>
                    <w:textAlignment w:val="center"/>
                    <w:rPr>
                      <w:kern w:val="2"/>
                      <w:highlight w:val="none"/>
                    </w:rPr>
                  </w:pPr>
                  <w:r>
                    <w:rPr>
                      <w:kern w:val="2"/>
                      <w:highlight w:val="none"/>
                    </w:rPr>
                    <w:t>SO</w:t>
                  </w:r>
                  <w:r>
                    <w:rPr>
                      <w:kern w:val="2"/>
                      <w:highlight w:val="none"/>
                      <w:vertAlign w:val="subscript"/>
                    </w:rPr>
                    <w:t>2</w:t>
                  </w:r>
                </w:p>
              </w:tc>
              <w:tc>
                <w:tcPr>
                  <w:tcW w:w="1527" w:type="pct"/>
                  <w:tcBorders>
                    <w:top w:val="single" w:color="auto" w:sz="6" w:space="0"/>
                    <w:left w:val="single" w:color="auto" w:sz="6" w:space="0"/>
                    <w:bottom w:val="single" w:color="auto" w:sz="6" w:space="0"/>
                    <w:right w:val="single" w:color="auto" w:sz="6" w:space="0"/>
                  </w:tcBorders>
                  <w:noWrap/>
                  <w:vAlign w:val="center"/>
                </w:tcPr>
                <w:p w14:paraId="54CDE5C0">
                  <w:pPr>
                    <w:adjustRightInd w:val="0"/>
                    <w:snapToGrid w:val="0"/>
                    <w:jc w:val="center"/>
                    <w:rPr>
                      <w:szCs w:val="21"/>
                      <w:highlight w:val="none"/>
                    </w:rPr>
                  </w:pPr>
                  <w:r>
                    <w:rPr>
                      <w:szCs w:val="21"/>
                      <w:highlight w:val="none"/>
                    </w:rPr>
                    <w:t>年平均质量浓度</w:t>
                  </w:r>
                </w:p>
              </w:tc>
              <w:tc>
                <w:tcPr>
                  <w:tcW w:w="719" w:type="pct"/>
                  <w:tcBorders>
                    <w:top w:val="single" w:color="auto" w:sz="6" w:space="0"/>
                    <w:left w:val="single" w:color="auto" w:sz="6" w:space="0"/>
                    <w:bottom w:val="single" w:color="auto" w:sz="6" w:space="0"/>
                    <w:right w:val="single" w:color="auto" w:sz="6" w:space="0"/>
                  </w:tcBorders>
                  <w:noWrap/>
                  <w:vAlign w:val="center"/>
                </w:tcPr>
                <w:p w14:paraId="785F2CCA">
                  <w:pPr>
                    <w:adjustRightInd w:val="0"/>
                    <w:snapToGrid w:val="0"/>
                    <w:jc w:val="center"/>
                    <w:rPr>
                      <w:rFonts w:hint="default" w:eastAsia="宋体"/>
                      <w:szCs w:val="21"/>
                      <w:highlight w:val="none"/>
                      <w:lang w:val="en-US" w:eastAsia="zh-CN"/>
                    </w:rPr>
                  </w:pPr>
                  <w:r>
                    <w:rPr>
                      <w:rFonts w:hint="eastAsia"/>
                      <w:szCs w:val="21"/>
                      <w:highlight w:val="none"/>
                      <w:lang w:val="en-US" w:eastAsia="zh-CN"/>
                    </w:rPr>
                    <w:t>11</w:t>
                  </w:r>
                </w:p>
              </w:tc>
              <w:tc>
                <w:tcPr>
                  <w:tcW w:w="719" w:type="pct"/>
                  <w:tcBorders>
                    <w:top w:val="single" w:color="auto" w:sz="6" w:space="0"/>
                    <w:left w:val="single" w:color="auto" w:sz="6" w:space="0"/>
                    <w:bottom w:val="single" w:color="auto" w:sz="6" w:space="0"/>
                    <w:right w:val="single" w:color="auto" w:sz="6" w:space="0"/>
                  </w:tcBorders>
                  <w:noWrap/>
                  <w:vAlign w:val="center"/>
                </w:tcPr>
                <w:p w14:paraId="07ADACC5">
                  <w:pPr>
                    <w:adjustRightInd w:val="0"/>
                    <w:snapToGrid w:val="0"/>
                    <w:jc w:val="center"/>
                    <w:rPr>
                      <w:szCs w:val="21"/>
                      <w:highlight w:val="none"/>
                    </w:rPr>
                  </w:pPr>
                  <w:r>
                    <w:rPr>
                      <w:szCs w:val="21"/>
                      <w:highlight w:val="none"/>
                    </w:rPr>
                    <w:t>60</w:t>
                  </w:r>
                </w:p>
              </w:tc>
              <w:tc>
                <w:tcPr>
                  <w:tcW w:w="686" w:type="pct"/>
                  <w:tcBorders>
                    <w:top w:val="single" w:color="auto" w:sz="6" w:space="0"/>
                    <w:left w:val="single" w:color="auto" w:sz="6" w:space="0"/>
                    <w:bottom w:val="single" w:color="auto" w:sz="6" w:space="0"/>
                    <w:right w:val="single" w:color="auto" w:sz="6" w:space="0"/>
                  </w:tcBorders>
                  <w:noWrap/>
                  <w:vAlign w:val="center"/>
                </w:tcPr>
                <w:p w14:paraId="34862D21">
                  <w:pPr>
                    <w:adjustRightInd w:val="0"/>
                    <w:snapToGrid w:val="0"/>
                    <w:jc w:val="center"/>
                    <w:rPr>
                      <w:rFonts w:hint="default" w:eastAsia="宋体"/>
                      <w:szCs w:val="21"/>
                      <w:highlight w:val="none"/>
                      <w:lang w:val="en-US" w:eastAsia="zh-CN"/>
                    </w:rPr>
                  </w:pPr>
                  <w:r>
                    <w:rPr>
                      <w:rFonts w:hint="eastAsia"/>
                      <w:szCs w:val="21"/>
                      <w:highlight w:val="none"/>
                      <w:lang w:val="en-US" w:eastAsia="zh-CN"/>
                    </w:rPr>
                    <w:t>18.33</w:t>
                  </w:r>
                </w:p>
              </w:tc>
              <w:tc>
                <w:tcPr>
                  <w:tcW w:w="795" w:type="pct"/>
                  <w:tcBorders>
                    <w:top w:val="single" w:color="auto" w:sz="6" w:space="0"/>
                    <w:left w:val="single" w:color="auto" w:sz="6" w:space="0"/>
                    <w:bottom w:val="single" w:color="auto" w:sz="6" w:space="0"/>
                    <w:right w:val="nil"/>
                  </w:tcBorders>
                  <w:noWrap/>
                  <w:vAlign w:val="center"/>
                </w:tcPr>
                <w:p w14:paraId="5589FBCA">
                  <w:pPr>
                    <w:adjustRightInd w:val="0"/>
                    <w:snapToGrid w:val="0"/>
                    <w:jc w:val="center"/>
                    <w:rPr>
                      <w:szCs w:val="21"/>
                      <w:highlight w:val="none"/>
                    </w:rPr>
                  </w:pPr>
                  <w:r>
                    <w:rPr>
                      <w:szCs w:val="21"/>
                      <w:highlight w:val="none"/>
                    </w:rPr>
                    <w:t>达标</w:t>
                  </w:r>
                </w:p>
              </w:tc>
            </w:tr>
            <w:tr w14:paraId="0EAF04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2" w:type="pct"/>
                  <w:tcBorders>
                    <w:top w:val="single" w:color="auto" w:sz="6" w:space="0"/>
                    <w:left w:val="nil"/>
                    <w:bottom w:val="single" w:color="auto" w:sz="6" w:space="0"/>
                    <w:right w:val="single" w:color="auto" w:sz="6" w:space="0"/>
                  </w:tcBorders>
                  <w:noWrap/>
                  <w:vAlign w:val="center"/>
                </w:tcPr>
                <w:p w14:paraId="1C551A3F">
                  <w:pPr>
                    <w:pStyle w:val="130"/>
                    <w:adjustRightInd w:val="0"/>
                    <w:snapToGrid w:val="0"/>
                    <w:jc w:val="center"/>
                    <w:textAlignment w:val="center"/>
                    <w:rPr>
                      <w:kern w:val="2"/>
                      <w:highlight w:val="none"/>
                    </w:rPr>
                  </w:pPr>
                  <w:r>
                    <w:rPr>
                      <w:kern w:val="2"/>
                      <w:highlight w:val="none"/>
                    </w:rPr>
                    <w:t>CO</w:t>
                  </w:r>
                </w:p>
              </w:tc>
              <w:tc>
                <w:tcPr>
                  <w:tcW w:w="1527" w:type="pct"/>
                  <w:tcBorders>
                    <w:top w:val="single" w:color="auto" w:sz="6" w:space="0"/>
                    <w:left w:val="single" w:color="auto" w:sz="6" w:space="0"/>
                    <w:bottom w:val="single" w:color="auto" w:sz="6" w:space="0"/>
                    <w:right w:val="single" w:color="auto" w:sz="6" w:space="0"/>
                  </w:tcBorders>
                  <w:noWrap/>
                  <w:vAlign w:val="center"/>
                </w:tcPr>
                <w:p w14:paraId="30C6FB96">
                  <w:pPr>
                    <w:adjustRightInd w:val="0"/>
                    <w:snapToGrid w:val="0"/>
                    <w:jc w:val="center"/>
                    <w:rPr>
                      <w:szCs w:val="21"/>
                      <w:highlight w:val="none"/>
                    </w:rPr>
                  </w:pPr>
                  <w:r>
                    <w:rPr>
                      <w:szCs w:val="21"/>
                      <w:highlight w:val="none"/>
                    </w:rPr>
                    <w:t>百分位数日平均</w:t>
                  </w:r>
                </w:p>
              </w:tc>
              <w:tc>
                <w:tcPr>
                  <w:tcW w:w="719" w:type="pct"/>
                  <w:tcBorders>
                    <w:top w:val="single" w:color="auto" w:sz="6" w:space="0"/>
                    <w:left w:val="single" w:color="auto" w:sz="6" w:space="0"/>
                    <w:bottom w:val="single" w:color="auto" w:sz="6" w:space="0"/>
                    <w:right w:val="single" w:color="auto" w:sz="6" w:space="0"/>
                  </w:tcBorders>
                  <w:noWrap/>
                  <w:vAlign w:val="center"/>
                </w:tcPr>
                <w:p w14:paraId="27FB14FD">
                  <w:pPr>
                    <w:adjustRightInd w:val="0"/>
                    <w:snapToGrid w:val="0"/>
                    <w:jc w:val="center"/>
                    <w:rPr>
                      <w:szCs w:val="21"/>
                      <w:highlight w:val="none"/>
                    </w:rPr>
                  </w:pPr>
                  <w:r>
                    <w:rPr>
                      <w:rFonts w:hint="eastAsia"/>
                      <w:szCs w:val="21"/>
                      <w:highlight w:val="none"/>
                    </w:rPr>
                    <w:t>900</w:t>
                  </w:r>
                </w:p>
              </w:tc>
              <w:tc>
                <w:tcPr>
                  <w:tcW w:w="719" w:type="pct"/>
                  <w:tcBorders>
                    <w:top w:val="single" w:color="auto" w:sz="6" w:space="0"/>
                    <w:left w:val="single" w:color="auto" w:sz="6" w:space="0"/>
                    <w:bottom w:val="single" w:color="auto" w:sz="6" w:space="0"/>
                    <w:right w:val="single" w:color="auto" w:sz="6" w:space="0"/>
                  </w:tcBorders>
                  <w:noWrap/>
                  <w:vAlign w:val="center"/>
                </w:tcPr>
                <w:p w14:paraId="3B9F57FC">
                  <w:pPr>
                    <w:adjustRightInd w:val="0"/>
                    <w:snapToGrid w:val="0"/>
                    <w:jc w:val="center"/>
                    <w:rPr>
                      <w:szCs w:val="21"/>
                      <w:highlight w:val="none"/>
                    </w:rPr>
                  </w:pPr>
                  <w:r>
                    <w:rPr>
                      <w:szCs w:val="21"/>
                      <w:highlight w:val="none"/>
                    </w:rPr>
                    <w:t>4000</w:t>
                  </w:r>
                </w:p>
              </w:tc>
              <w:tc>
                <w:tcPr>
                  <w:tcW w:w="686" w:type="pct"/>
                  <w:tcBorders>
                    <w:top w:val="single" w:color="auto" w:sz="6" w:space="0"/>
                    <w:left w:val="single" w:color="auto" w:sz="6" w:space="0"/>
                    <w:bottom w:val="single" w:color="auto" w:sz="6" w:space="0"/>
                    <w:right w:val="single" w:color="auto" w:sz="6" w:space="0"/>
                  </w:tcBorders>
                  <w:noWrap/>
                  <w:vAlign w:val="center"/>
                </w:tcPr>
                <w:p w14:paraId="46237A75">
                  <w:pPr>
                    <w:adjustRightInd w:val="0"/>
                    <w:snapToGrid w:val="0"/>
                    <w:jc w:val="center"/>
                    <w:rPr>
                      <w:rFonts w:hint="eastAsia" w:eastAsia="宋体"/>
                      <w:szCs w:val="21"/>
                      <w:highlight w:val="none"/>
                      <w:lang w:val="en-US" w:eastAsia="zh-CN"/>
                    </w:rPr>
                  </w:pPr>
                  <w:r>
                    <w:rPr>
                      <w:rFonts w:hint="eastAsia"/>
                      <w:szCs w:val="21"/>
                      <w:highlight w:val="none"/>
                    </w:rPr>
                    <w:t>22.5</w:t>
                  </w:r>
                  <w:r>
                    <w:rPr>
                      <w:rFonts w:hint="eastAsia"/>
                      <w:szCs w:val="21"/>
                      <w:highlight w:val="none"/>
                      <w:lang w:val="en-US" w:eastAsia="zh-CN"/>
                    </w:rPr>
                    <w:t>0</w:t>
                  </w:r>
                </w:p>
              </w:tc>
              <w:tc>
                <w:tcPr>
                  <w:tcW w:w="795" w:type="pct"/>
                  <w:tcBorders>
                    <w:top w:val="single" w:color="auto" w:sz="6" w:space="0"/>
                    <w:left w:val="single" w:color="auto" w:sz="6" w:space="0"/>
                    <w:bottom w:val="single" w:color="auto" w:sz="6" w:space="0"/>
                    <w:right w:val="nil"/>
                  </w:tcBorders>
                  <w:noWrap/>
                  <w:vAlign w:val="center"/>
                </w:tcPr>
                <w:p w14:paraId="5D634CAE">
                  <w:pPr>
                    <w:adjustRightInd w:val="0"/>
                    <w:snapToGrid w:val="0"/>
                    <w:jc w:val="center"/>
                    <w:rPr>
                      <w:szCs w:val="21"/>
                      <w:highlight w:val="none"/>
                    </w:rPr>
                  </w:pPr>
                  <w:r>
                    <w:rPr>
                      <w:szCs w:val="21"/>
                      <w:highlight w:val="none"/>
                    </w:rPr>
                    <w:t>达标</w:t>
                  </w:r>
                </w:p>
              </w:tc>
            </w:tr>
            <w:tr w14:paraId="7A4C1B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52" w:type="pct"/>
                  <w:tcBorders>
                    <w:top w:val="single" w:color="auto" w:sz="6" w:space="0"/>
                    <w:left w:val="nil"/>
                    <w:bottom w:val="single" w:color="auto" w:sz="12" w:space="0"/>
                    <w:right w:val="single" w:color="auto" w:sz="6" w:space="0"/>
                  </w:tcBorders>
                  <w:noWrap/>
                  <w:vAlign w:val="center"/>
                </w:tcPr>
                <w:p w14:paraId="25D10FAE">
                  <w:pPr>
                    <w:pStyle w:val="130"/>
                    <w:adjustRightInd w:val="0"/>
                    <w:snapToGrid w:val="0"/>
                    <w:jc w:val="center"/>
                    <w:textAlignment w:val="center"/>
                    <w:rPr>
                      <w:kern w:val="2"/>
                      <w:highlight w:val="none"/>
                    </w:rPr>
                  </w:pPr>
                  <w:r>
                    <w:rPr>
                      <w:kern w:val="2"/>
                      <w:highlight w:val="none"/>
                    </w:rPr>
                    <w:t>O</w:t>
                  </w:r>
                  <w:r>
                    <w:rPr>
                      <w:kern w:val="2"/>
                      <w:highlight w:val="none"/>
                      <w:vertAlign w:val="subscript"/>
                    </w:rPr>
                    <w:t>3</w:t>
                  </w:r>
                </w:p>
              </w:tc>
              <w:tc>
                <w:tcPr>
                  <w:tcW w:w="1527" w:type="pct"/>
                  <w:tcBorders>
                    <w:top w:val="single" w:color="auto" w:sz="6" w:space="0"/>
                    <w:left w:val="single" w:color="auto" w:sz="6" w:space="0"/>
                    <w:bottom w:val="single" w:color="auto" w:sz="12" w:space="0"/>
                    <w:right w:val="single" w:color="auto" w:sz="6" w:space="0"/>
                  </w:tcBorders>
                  <w:noWrap/>
                  <w:vAlign w:val="center"/>
                </w:tcPr>
                <w:p w14:paraId="71252AEF">
                  <w:pPr>
                    <w:adjustRightInd w:val="0"/>
                    <w:snapToGrid w:val="0"/>
                    <w:jc w:val="center"/>
                    <w:rPr>
                      <w:szCs w:val="21"/>
                      <w:highlight w:val="none"/>
                    </w:rPr>
                  </w:pPr>
                  <w:r>
                    <w:rPr>
                      <w:rFonts w:hint="default"/>
                      <w:szCs w:val="21"/>
                      <w:highlight w:val="none"/>
                      <w:lang w:val="en-US" w:eastAsia="zh-CN"/>
                    </w:rPr>
                    <w:t>8h</w:t>
                  </w:r>
                  <w:r>
                    <w:rPr>
                      <w:szCs w:val="21"/>
                      <w:highlight w:val="none"/>
                      <w:lang w:val="en-US" w:eastAsia="zh-CN"/>
                    </w:rPr>
                    <w:t>平均质量浓</w:t>
                  </w:r>
                  <w:r>
                    <w:rPr>
                      <w:rFonts w:hint="eastAsia"/>
                      <w:szCs w:val="21"/>
                      <w:highlight w:val="none"/>
                      <w:lang w:val="en-US" w:eastAsia="zh-CN"/>
                    </w:rPr>
                    <w:t>度</w:t>
                  </w:r>
                </w:p>
              </w:tc>
              <w:tc>
                <w:tcPr>
                  <w:tcW w:w="719" w:type="pct"/>
                  <w:tcBorders>
                    <w:top w:val="single" w:color="auto" w:sz="6" w:space="0"/>
                    <w:left w:val="single" w:color="auto" w:sz="6" w:space="0"/>
                    <w:bottom w:val="single" w:color="auto" w:sz="12" w:space="0"/>
                    <w:right w:val="single" w:color="auto" w:sz="6" w:space="0"/>
                  </w:tcBorders>
                  <w:noWrap/>
                  <w:vAlign w:val="center"/>
                </w:tcPr>
                <w:p w14:paraId="570E9280">
                  <w:pPr>
                    <w:adjustRightInd w:val="0"/>
                    <w:snapToGrid w:val="0"/>
                    <w:jc w:val="center"/>
                    <w:rPr>
                      <w:rFonts w:hint="default" w:eastAsia="宋体"/>
                      <w:szCs w:val="21"/>
                      <w:highlight w:val="none"/>
                      <w:lang w:val="en-US" w:eastAsia="zh-CN"/>
                    </w:rPr>
                  </w:pPr>
                  <w:r>
                    <w:rPr>
                      <w:rFonts w:hint="eastAsia"/>
                      <w:szCs w:val="21"/>
                      <w:highlight w:val="none"/>
                      <w:lang w:val="en-US" w:eastAsia="zh-CN"/>
                    </w:rPr>
                    <w:t>105</w:t>
                  </w:r>
                </w:p>
              </w:tc>
              <w:tc>
                <w:tcPr>
                  <w:tcW w:w="719" w:type="pct"/>
                  <w:tcBorders>
                    <w:top w:val="single" w:color="auto" w:sz="6" w:space="0"/>
                    <w:left w:val="single" w:color="auto" w:sz="6" w:space="0"/>
                    <w:bottom w:val="single" w:color="auto" w:sz="12" w:space="0"/>
                    <w:right w:val="single" w:color="auto" w:sz="6" w:space="0"/>
                  </w:tcBorders>
                  <w:noWrap/>
                  <w:vAlign w:val="center"/>
                </w:tcPr>
                <w:p w14:paraId="55024EC8">
                  <w:pPr>
                    <w:adjustRightInd w:val="0"/>
                    <w:snapToGrid w:val="0"/>
                    <w:jc w:val="center"/>
                    <w:rPr>
                      <w:szCs w:val="21"/>
                      <w:highlight w:val="none"/>
                    </w:rPr>
                  </w:pPr>
                  <w:r>
                    <w:rPr>
                      <w:szCs w:val="21"/>
                      <w:highlight w:val="none"/>
                    </w:rPr>
                    <w:t>160</w:t>
                  </w:r>
                </w:p>
              </w:tc>
              <w:tc>
                <w:tcPr>
                  <w:tcW w:w="686" w:type="pct"/>
                  <w:tcBorders>
                    <w:top w:val="single" w:color="auto" w:sz="6" w:space="0"/>
                    <w:left w:val="single" w:color="auto" w:sz="6" w:space="0"/>
                    <w:bottom w:val="single" w:color="auto" w:sz="12" w:space="0"/>
                    <w:right w:val="single" w:color="auto" w:sz="6" w:space="0"/>
                  </w:tcBorders>
                  <w:noWrap/>
                  <w:vAlign w:val="center"/>
                </w:tcPr>
                <w:p w14:paraId="21E201F6">
                  <w:pPr>
                    <w:adjustRightInd w:val="0"/>
                    <w:snapToGrid w:val="0"/>
                    <w:jc w:val="center"/>
                    <w:rPr>
                      <w:rFonts w:hint="default" w:eastAsia="宋体"/>
                      <w:szCs w:val="21"/>
                      <w:highlight w:val="none"/>
                      <w:lang w:val="en-US" w:eastAsia="zh-CN"/>
                    </w:rPr>
                  </w:pPr>
                  <w:r>
                    <w:rPr>
                      <w:rFonts w:hint="eastAsia"/>
                      <w:szCs w:val="21"/>
                      <w:highlight w:val="none"/>
                      <w:lang w:val="en-US" w:eastAsia="zh-CN"/>
                    </w:rPr>
                    <w:t>65.63</w:t>
                  </w:r>
                </w:p>
              </w:tc>
              <w:tc>
                <w:tcPr>
                  <w:tcW w:w="795" w:type="pct"/>
                  <w:tcBorders>
                    <w:top w:val="single" w:color="auto" w:sz="6" w:space="0"/>
                    <w:left w:val="single" w:color="auto" w:sz="6" w:space="0"/>
                    <w:bottom w:val="single" w:color="auto" w:sz="12" w:space="0"/>
                    <w:right w:val="nil"/>
                  </w:tcBorders>
                  <w:noWrap/>
                  <w:vAlign w:val="center"/>
                </w:tcPr>
                <w:p w14:paraId="43B3F8D8">
                  <w:pPr>
                    <w:adjustRightInd w:val="0"/>
                    <w:snapToGrid w:val="0"/>
                    <w:jc w:val="center"/>
                    <w:rPr>
                      <w:szCs w:val="21"/>
                      <w:highlight w:val="none"/>
                    </w:rPr>
                  </w:pPr>
                  <w:r>
                    <w:rPr>
                      <w:szCs w:val="21"/>
                      <w:highlight w:val="none"/>
                    </w:rPr>
                    <w:t>达标</w:t>
                  </w:r>
                </w:p>
              </w:tc>
            </w:tr>
          </w:tbl>
          <w:p w14:paraId="28DB2847">
            <w:pPr>
              <w:adjustRightInd w:val="0"/>
              <w:snapToGrid w:val="0"/>
              <w:spacing w:line="360" w:lineRule="auto"/>
              <w:ind w:firstLine="480" w:firstLineChars="200"/>
              <w:jc w:val="both"/>
              <w:rPr>
                <w:sz w:val="24"/>
                <w:highlight w:val="none"/>
              </w:rPr>
            </w:pPr>
            <w:r>
              <w:rPr>
                <w:rFonts w:hint="eastAsia"/>
                <w:sz w:val="24"/>
                <w:highlight w:val="none"/>
                <w:lang w:val="en-US" w:eastAsia="zh-CN"/>
              </w:rPr>
              <w:t>综上所述，双鸭山市空气基本污染物中PM</w:t>
            </w:r>
            <w:r>
              <w:rPr>
                <w:rFonts w:hint="eastAsia"/>
                <w:sz w:val="24"/>
                <w:highlight w:val="none"/>
                <w:vertAlign w:val="subscript"/>
                <w:lang w:val="en-US" w:eastAsia="zh-CN"/>
              </w:rPr>
              <w:t>2.5</w:t>
            </w:r>
            <w:r>
              <w:rPr>
                <w:rFonts w:hint="eastAsia"/>
                <w:sz w:val="24"/>
                <w:highlight w:val="none"/>
                <w:lang w:val="en-US" w:eastAsia="zh-CN"/>
              </w:rPr>
              <w:t>、PM</w:t>
            </w:r>
            <w:r>
              <w:rPr>
                <w:rFonts w:hint="eastAsia"/>
                <w:sz w:val="24"/>
                <w:highlight w:val="none"/>
                <w:vertAlign w:val="subscript"/>
                <w:lang w:val="en-US" w:eastAsia="zh-CN"/>
              </w:rPr>
              <w:t>10</w:t>
            </w:r>
            <w:r>
              <w:rPr>
                <w:rFonts w:hint="eastAsia"/>
                <w:sz w:val="24"/>
                <w:highlight w:val="none"/>
                <w:lang w:val="en-US" w:eastAsia="zh-CN"/>
              </w:rPr>
              <w:t>、SO</w:t>
            </w:r>
            <w:r>
              <w:rPr>
                <w:rFonts w:hint="eastAsia"/>
                <w:sz w:val="24"/>
                <w:highlight w:val="none"/>
                <w:vertAlign w:val="subscript"/>
                <w:lang w:val="en-US" w:eastAsia="zh-CN"/>
              </w:rPr>
              <w:t>2</w:t>
            </w:r>
            <w:r>
              <w:rPr>
                <w:rFonts w:hint="eastAsia"/>
                <w:sz w:val="24"/>
                <w:highlight w:val="none"/>
                <w:lang w:val="en-US" w:eastAsia="zh-CN"/>
              </w:rPr>
              <w:t>、NO</w:t>
            </w:r>
            <w:r>
              <w:rPr>
                <w:rFonts w:hint="eastAsia"/>
                <w:sz w:val="24"/>
                <w:highlight w:val="none"/>
                <w:vertAlign w:val="subscript"/>
                <w:lang w:val="en-US" w:eastAsia="zh-CN"/>
              </w:rPr>
              <w:t>2</w:t>
            </w:r>
            <w:r>
              <w:rPr>
                <w:rFonts w:hint="eastAsia"/>
                <w:sz w:val="24"/>
                <w:highlight w:val="none"/>
                <w:lang w:val="en-US" w:eastAsia="zh-CN"/>
              </w:rPr>
              <w:t>年平均质量浓度均满足《环境空气质量标准》（GB3095-2012）及修改单中的二级标准；CO日平均质量浓度、O</w:t>
            </w:r>
            <w:r>
              <w:rPr>
                <w:rFonts w:hint="eastAsia"/>
                <w:sz w:val="24"/>
                <w:highlight w:val="none"/>
                <w:vertAlign w:val="subscript"/>
                <w:lang w:val="en-US" w:eastAsia="zh-CN"/>
              </w:rPr>
              <w:t>3</w:t>
            </w:r>
            <w:r>
              <w:rPr>
                <w:rFonts w:hint="eastAsia"/>
                <w:sz w:val="24"/>
                <w:highlight w:val="none"/>
                <w:lang w:val="en-US" w:eastAsia="zh-CN"/>
              </w:rPr>
              <w:t>8h平均质量浓度均满足《环境空气质量标准》（GB3095-2012）及修改单中的二级标准，本项目所在区域属于达标区</w:t>
            </w:r>
            <w:r>
              <w:rPr>
                <w:rFonts w:hint="eastAsia"/>
                <w:sz w:val="24"/>
                <w:highlight w:val="none"/>
              </w:rPr>
              <w:t>。</w:t>
            </w:r>
          </w:p>
          <w:p w14:paraId="170027B0">
            <w:pPr>
              <w:pStyle w:val="136"/>
              <w:spacing w:line="360" w:lineRule="auto"/>
              <w:ind w:firstLine="480"/>
              <w:rPr>
                <w:rFonts w:hint="eastAsia" w:cs="Times New Roman"/>
                <w:bCs w:val="0"/>
                <w:sz w:val="24"/>
                <w:szCs w:val="24"/>
                <w:highlight w:val="none"/>
              </w:rPr>
            </w:pPr>
            <w:r>
              <w:rPr>
                <w:rFonts w:hint="eastAsia" w:cs="Times New Roman"/>
                <w:bCs w:val="0"/>
                <w:sz w:val="24"/>
                <w:szCs w:val="24"/>
                <w:highlight w:val="none"/>
              </w:rPr>
              <w:t>（2）其它污染物环境质量现状</w:t>
            </w:r>
          </w:p>
          <w:p w14:paraId="4FD09C7F">
            <w:pPr>
              <w:keepNext w:val="0"/>
              <w:keepLines w:val="0"/>
              <w:pageBreakBefore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yellow"/>
                <w:lang w:val="zh-CN"/>
              </w:rPr>
            </w:pPr>
            <w:r>
              <w:rPr>
                <w:rFonts w:cs="Times New Roman"/>
                <w:bCs w:val="0"/>
                <w:sz w:val="24"/>
                <w:szCs w:val="24"/>
                <w:highlight w:val="none"/>
              </w:rPr>
              <w:t>其他污染物中TSP质量现状评价委托黑龙江克巽检测技术有限公司于202</w:t>
            </w:r>
            <w:r>
              <w:rPr>
                <w:rFonts w:hint="eastAsia" w:cs="Times New Roman"/>
                <w:bCs w:val="0"/>
                <w:sz w:val="24"/>
                <w:szCs w:val="24"/>
                <w:highlight w:val="none"/>
              </w:rPr>
              <w:t>5</w:t>
            </w:r>
            <w:r>
              <w:rPr>
                <w:rFonts w:cs="Times New Roman"/>
                <w:bCs w:val="0"/>
                <w:sz w:val="24"/>
                <w:szCs w:val="24"/>
                <w:highlight w:val="none"/>
              </w:rPr>
              <w:t>年</w:t>
            </w:r>
            <w:r>
              <w:rPr>
                <w:rFonts w:hint="eastAsia" w:cs="Times New Roman"/>
                <w:bCs w:val="0"/>
                <w:sz w:val="24"/>
                <w:szCs w:val="24"/>
                <w:highlight w:val="none"/>
              </w:rPr>
              <w:t>0</w:t>
            </w:r>
            <w:r>
              <w:rPr>
                <w:rFonts w:hint="eastAsia" w:cs="Times New Roman"/>
                <w:bCs w:val="0"/>
                <w:sz w:val="24"/>
                <w:szCs w:val="24"/>
                <w:highlight w:val="none"/>
                <w:lang w:val="en-US" w:eastAsia="zh-CN"/>
              </w:rPr>
              <w:t>4</w:t>
            </w:r>
            <w:r>
              <w:rPr>
                <w:rFonts w:cs="Times New Roman"/>
                <w:bCs w:val="0"/>
                <w:sz w:val="24"/>
                <w:szCs w:val="24"/>
                <w:highlight w:val="none"/>
              </w:rPr>
              <w:t>月</w:t>
            </w:r>
            <w:r>
              <w:rPr>
                <w:rFonts w:hint="eastAsia" w:cs="Times New Roman"/>
                <w:bCs w:val="0"/>
                <w:sz w:val="24"/>
                <w:szCs w:val="24"/>
                <w:highlight w:val="none"/>
                <w:lang w:val="en-US" w:eastAsia="zh-CN"/>
              </w:rPr>
              <w:t>11</w:t>
            </w:r>
            <w:r>
              <w:rPr>
                <w:rFonts w:cs="Times New Roman"/>
                <w:bCs w:val="0"/>
                <w:sz w:val="24"/>
                <w:szCs w:val="24"/>
                <w:highlight w:val="none"/>
              </w:rPr>
              <w:t>日至</w:t>
            </w:r>
            <w:r>
              <w:rPr>
                <w:rFonts w:hint="eastAsia" w:cs="Times New Roman"/>
                <w:bCs w:val="0"/>
                <w:sz w:val="24"/>
                <w:szCs w:val="24"/>
                <w:highlight w:val="none"/>
              </w:rPr>
              <w:t>0</w:t>
            </w:r>
            <w:r>
              <w:rPr>
                <w:rFonts w:hint="eastAsia" w:cs="Times New Roman"/>
                <w:bCs w:val="0"/>
                <w:sz w:val="24"/>
                <w:szCs w:val="24"/>
                <w:highlight w:val="none"/>
                <w:lang w:val="en-US" w:eastAsia="zh-CN"/>
              </w:rPr>
              <w:t>4</w:t>
            </w:r>
            <w:r>
              <w:rPr>
                <w:rFonts w:cs="Times New Roman"/>
                <w:bCs w:val="0"/>
                <w:sz w:val="24"/>
                <w:szCs w:val="24"/>
                <w:highlight w:val="none"/>
              </w:rPr>
              <w:t>月</w:t>
            </w:r>
            <w:r>
              <w:rPr>
                <w:rFonts w:hint="eastAsia" w:cs="Times New Roman"/>
                <w:bCs w:val="0"/>
                <w:sz w:val="24"/>
                <w:szCs w:val="24"/>
                <w:highlight w:val="none"/>
                <w:lang w:val="en-US" w:eastAsia="zh-CN"/>
              </w:rPr>
              <w:t>13</w:t>
            </w:r>
            <w:r>
              <w:rPr>
                <w:rFonts w:cs="Times New Roman"/>
                <w:bCs w:val="0"/>
                <w:sz w:val="24"/>
                <w:szCs w:val="24"/>
                <w:highlight w:val="none"/>
              </w:rPr>
              <w:t>日进行了现状监测，连续监测3天，监测报告见附件。</w:t>
            </w:r>
            <w:r>
              <w:rPr>
                <w:rFonts w:hint="eastAsia" w:cs="Times New Roman"/>
                <w:bCs w:val="0"/>
                <w:color w:val="auto"/>
                <w:sz w:val="24"/>
                <w:szCs w:val="24"/>
                <w:highlight w:val="none"/>
              </w:rPr>
              <w:t>所以</w:t>
            </w:r>
            <w:r>
              <w:rPr>
                <w:rFonts w:cs="Times New Roman"/>
                <w:bCs w:val="0"/>
                <w:sz w:val="24"/>
                <w:szCs w:val="24"/>
                <w:highlight w:val="none"/>
              </w:rPr>
              <w:t>现状监测污染因子仅考虑本</w:t>
            </w:r>
            <w:r>
              <w:rPr>
                <w:rFonts w:hint="eastAsia" w:cs="Times New Roman"/>
                <w:bCs w:val="0"/>
                <w:sz w:val="24"/>
                <w:szCs w:val="24"/>
                <w:highlight w:val="none"/>
              </w:rPr>
              <w:t>项目</w:t>
            </w:r>
            <w:r>
              <w:rPr>
                <w:rFonts w:cs="Times New Roman"/>
                <w:bCs w:val="0"/>
                <w:sz w:val="24"/>
                <w:szCs w:val="24"/>
                <w:highlight w:val="none"/>
              </w:rPr>
              <w:t>产生污染物的特点，确定项目监测因子为TSP。监测点位：根据拟建工程的污染特征、当地气象条件、地形分布及评价区域环境功能区划要求等，在评价区内设置监测点位，点位分布情况见表3-2和图3-1。</w:t>
            </w:r>
          </w:p>
          <w:p w14:paraId="1E7FBD57">
            <w:pPr>
              <w:spacing w:before="48" w:beforeLines="20" w:line="360" w:lineRule="auto"/>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5342255" cy="4197350"/>
                  <wp:effectExtent l="0" t="0" r="10795" b="12700"/>
                  <wp:docPr id="13" name="图片 13" descr="51e6036401f9543cbf39d751eb9af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51e6036401f9543cbf39d751eb9afa7"/>
                          <pic:cNvPicPr>
                            <a:picLocks noChangeAspect="1"/>
                          </pic:cNvPicPr>
                        </pic:nvPicPr>
                        <pic:blipFill>
                          <a:blip r:embed="rId15"/>
                          <a:stretch>
                            <a:fillRect/>
                          </a:stretch>
                        </pic:blipFill>
                        <pic:spPr>
                          <a:xfrm>
                            <a:off x="0" y="0"/>
                            <a:ext cx="5342255" cy="4197350"/>
                          </a:xfrm>
                          <a:prstGeom prst="rect">
                            <a:avLst/>
                          </a:prstGeom>
                        </pic:spPr>
                      </pic:pic>
                    </a:graphicData>
                  </a:graphic>
                </wp:inline>
              </w:drawing>
            </w:r>
          </w:p>
          <w:p w14:paraId="64F4EEFD">
            <w:pPr>
              <w:spacing w:line="360" w:lineRule="auto"/>
              <w:jc w:val="center"/>
              <w:rPr>
                <w:rFonts w:hint="default" w:ascii="Times New Roman" w:hAnsi="Times New Roman" w:eastAsia="宋体" w:cs="Times New Roman"/>
                <w:b/>
                <w:color w:val="auto"/>
                <w:kern w:val="0"/>
                <w:sz w:val="24"/>
                <w:szCs w:val="24"/>
                <w:highlight w:val="none"/>
                <w:lang w:eastAsia="zh-CN"/>
              </w:rPr>
            </w:pPr>
            <w:r>
              <w:rPr>
                <w:rFonts w:hint="default" w:ascii="Times New Roman" w:hAnsi="Times New Roman" w:cs="Times New Roman"/>
                <w:b/>
                <w:color w:val="auto"/>
                <w:kern w:val="0"/>
                <w:sz w:val="24"/>
                <w:szCs w:val="24"/>
                <w:highlight w:val="none"/>
              </w:rPr>
              <w:t>图3-</w:t>
            </w:r>
            <w:r>
              <w:rPr>
                <w:rFonts w:hint="default" w:ascii="Times New Roman" w:hAnsi="Times New Roman" w:cs="Times New Roman"/>
                <w:b/>
                <w:color w:val="auto"/>
                <w:kern w:val="0"/>
                <w:sz w:val="24"/>
                <w:szCs w:val="24"/>
                <w:highlight w:val="none"/>
                <w:lang w:val="en-US" w:eastAsia="zh-CN"/>
              </w:rPr>
              <w:t>1</w:t>
            </w:r>
            <w:r>
              <w:rPr>
                <w:rFonts w:hint="default" w:ascii="Times New Roman" w:hAnsi="Times New Roman" w:cs="Times New Roman"/>
                <w:b/>
                <w:color w:val="auto"/>
                <w:kern w:val="0"/>
                <w:sz w:val="24"/>
                <w:szCs w:val="24"/>
                <w:highlight w:val="none"/>
              </w:rPr>
              <w:t xml:space="preserve">  大气监测点位图</w:t>
            </w:r>
          </w:p>
          <w:p w14:paraId="514ADEF6">
            <w:pPr>
              <w:adjustRightInd w:val="0"/>
              <w:snapToGrid w:val="0"/>
              <w:jc w:val="center"/>
              <w:rPr>
                <w:rFonts w:hint="default" w:ascii="Times New Roman" w:hAnsi="Times New Roman" w:cs="Times New Roman"/>
                <w:b/>
                <w:bCs/>
                <w:color w:val="auto"/>
                <w:kern w:val="0"/>
                <w:sz w:val="24"/>
                <w:szCs w:val="24"/>
                <w:highlight w:val="yellow"/>
              </w:rPr>
            </w:pPr>
            <w:r>
              <w:rPr>
                <w:rFonts w:hint="default" w:ascii="Times New Roman" w:hAnsi="Times New Roman" w:cs="Times New Roman"/>
                <w:b/>
                <w:bCs/>
                <w:color w:val="auto"/>
                <w:kern w:val="0"/>
                <w:sz w:val="24"/>
                <w:szCs w:val="24"/>
                <w:highlight w:val="none"/>
              </w:rPr>
              <w:t>表3-</w:t>
            </w:r>
            <w:r>
              <w:rPr>
                <w:rFonts w:hint="eastAsia" w:ascii="Times New Roman" w:hAnsi="Times New Roman" w:cs="Times New Roman"/>
                <w:b/>
                <w:bCs/>
                <w:color w:val="auto"/>
                <w:kern w:val="0"/>
                <w:sz w:val="24"/>
                <w:szCs w:val="24"/>
                <w:highlight w:val="none"/>
                <w:lang w:val="en-US" w:eastAsia="zh-CN"/>
              </w:rPr>
              <w:t>2</w:t>
            </w:r>
            <w:r>
              <w:rPr>
                <w:rFonts w:hint="default" w:ascii="Times New Roman" w:hAnsi="Times New Roman" w:cs="Times New Roman"/>
                <w:b/>
                <w:bCs/>
                <w:color w:val="auto"/>
                <w:kern w:val="0"/>
                <w:sz w:val="24"/>
                <w:szCs w:val="24"/>
                <w:highlight w:val="none"/>
              </w:rPr>
              <w:t xml:space="preserve">  监测结果</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838"/>
              <w:gridCol w:w="1663"/>
              <w:gridCol w:w="1664"/>
              <w:gridCol w:w="1389"/>
              <w:gridCol w:w="1034"/>
              <w:gridCol w:w="984"/>
            </w:tblGrid>
            <w:tr w14:paraId="74C93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8" w:type="dxa"/>
                  <w:tcBorders>
                    <w:tl2br w:val="nil"/>
                    <w:tr2bl w:val="nil"/>
                  </w:tcBorders>
                  <w:noWrap w:val="0"/>
                  <w:vAlign w:val="center"/>
                </w:tcPr>
                <w:p w14:paraId="1C45C06B">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名称</w:t>
                  </w:r>
                </w:p>
              </w:tc>
              <w:tc>
                <w:tcPr>
                  <w:tcW w:w="837" w:type="dxa"/>
                  <w:tcBorders>
                    <w:tl2br w:val="nil"/>
                    <w:tr2bl w:val="nil"/>
                  </w:tcBorders>
                  <w:noWrap w:val="0"/>
                  <w:vAlign w:val="center"/>
                </w:tcPr>
                <w:p w14:paraId="6C86120E">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污染物</w:t>
                  </w:r>
                </w:p>
              </w:tc>
              <w:tc>
                <w:tcPr>
                  <w:tcW w:w="1661" w:type="dxa"/>
                  <w:tcBorders>
                    <w:tl2br w:val="nil"/>
                    <w:tr2bl w:val="nil"/>
                  </w:tcBorders>
                  <w:noWrap w:val="0"/>
                  <w:vAlign w:val="center"/>
                </w:tcPr>
                <w:p w14:paraId="18B32B3C">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评价标准（</w:t>
                  </w:r>
                  <w:r>
                    <w:rPr>
                      <w:rFonts w:hint="eastAsia" w:cs="Times New Roman"/>
                      <w:color w:val="auto"/>
                      <w:kern w:val="0"/>
                      <w:sz w:val="21"/>
                      <w:szCs w:val="21"/>
                      <w:highlight w:val="none"/>
                      <w:lang w:val="en-US" w:eastAsia="zh-CN"/>
                    </w:rPr>
                    <w:t>m</w:t>
                  </w:r>
                  <w:r>
                    <w:rPr>
                      <w:rFonts w:hint="default" w:ascii="Times New Roman" w:hAnsi="Times New Roman" w:cs="Times New Roman"/>
                      <w:color w:val="auto"/>
                      <w:kern w:val="0"/>
                      <w:sz w:val="21"/>
                      <w:szCs w:val="21"/>
                      <w:highlight w:val="none"/>
                    </w:rPr>
                    <w:t>g/m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w:t>
                  </w:r>
                </w:p>
              </w:tc>
              <w:tc>
                <w:tcPr>
                  <w:tcW w:w="1662" w:type="dxa"/>
                  <w:tcBorders>
                    <w:tl2br w:val="nil"/>
                    <w:tr2bl w:val="nil"/>
                  </w:tcBorders>
                  <w:noWrap w:val="0"/>
                  <w:vAlign w:val="center"/>
                </w:tcPr>
                <w:p w14:paraId="4A3AA599">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浓度范围（</w:t>
                  </w:r>
                  <w:r>
                    <w:rPr>
                      <w:rFonts w:hint="eastAsia" w:cs="Times New Roman"/>
                      <w:color w:val="auto"/>
                      <w:kern w:val="0"/>
                      <w:sz w:val="21"/>
                      <w:szCs w:val="21"/>
                      <w:highlight w:val="none"/>
                      <w:lang w:val="en-US" w:eastAsia="zh-CN"/>
                    </w:rPr>
                    <w:t>m</w:t>
                  </w:r>
                  <w:r>
                    <w:rPr>
                      <w:rFonts w:hint="default" w:ascii="Times New Roman" w:hAnsi="Times New Roman" w:cs="Times New Roman"/>
                      <w:color w:val="auto"/>
                      <w:kern w:val="0"/>
                      <w:sz w:val="21"/>
                      <w:szCs w:val="21"/>
                      <w:highlight w:val="none"/>
                    </w:rPr>
                    <w:t>g/m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w:t>
                  </w:r>
                </w:p>
              </w:tc>
              <w:tc>
                <w:tcPr>
                  <w:tcW w:w="1387" w:type="dxa"/>
                  <w:tcBorders>
                    <w:tl2br w:val="nil"/>
                    <w:tr2bl w:val="nil"/>
                  </w:tcBorders>
                  <w:noWrap w:val="0"/>
                  <w:vAlign w:val="center"/>
                </w:tcPr>
                <w:p w14:paraId="21CC5028">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最大占标率%</w:t>
                  </w:r>
                </w:p>
              </w:tc>
              <w:tc>
                <w:tcPr>
                  <w:tcW w:w="1033" w:type="dxa"/>
                  <w:tcBorders>
                    <w:tl2br w:val="nil"/>
                    <w:tr2bl w:val="nil"/>
                  </w:tcBorders>
                  <w:noWrap w:val="0"/>
                  <w:vAlign w:val="center"/>
                </w:tcPr>
                <w:p w14:paraId="21DA281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超标率%</w:t>
                  </w:r>
                </w:p>
              </w:tc>
              <w:tc>
                <w:tcPr>
                  <w:tcW w:w="983" w:type="dxa"/>
                  <w:tcBorders>
                    <w:tl2br w:val="nil"/>
                    <w:tr2bl w:val="nil"/>
                  </w:tcBorders>
                  <w:noWrap w:val="0"/>
                  <w:vAlign w:val="center"/>
                </w:tcPr>
                <w:p w14:paraId="32684FC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达标情况</w:t>
                  </w:r>
                </w:p>
              </w:tc>
            </w:tr>
            <w:tr w14:paraId="457DC8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8" w:type="dxa"/>
                  <w:tcBorders>
                    <w:tl2br w:val="nil"/>
                    <w:tr2bl w:val="nil"/>
                  </w:tcBorders>
                  <w:noWrap w:val="0"/>
                  <w:vAlign w:val="center"/>
                </w:tcPr>
                <w:p w14:paraId="0BEAD16F">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1#厂址下风向</w:t>
                  </w:r>
                </w:p>
              </w:tc>
              <w:tc>
                <w:tcPr>
                  <w:tcW w:w="837" w:type="dxa"/>
                  <w:tcBorders>
                    <w:tl2br w:val="nil"/>
                    <w:tr2bl w:val="nil"/>
                  </w:tcBorders>
                  <w:noWrap w:val="0"/>
                  <w:vAlign w:val="center"/>
                </w:tcPr>
                <w:p w14:paraId="06100319">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TSP</w:t>
                  </w:r>
                </w:p>
              </w:tc>
              <w:tc>
                <w:tcPr>
                  <w:tcW w:w="1661" w:type="dxa"/>
                  <w:tcBorders>
                    <w:tl2br w:val="nil"/>
                    <w:tr2bl w:val="nil"/>
                  </w:tcBorders>
                  <w:noWrap w:val="0"/>
                  <w:vAlign w:val="center"/>
                </w:tcPr>
                <w:p w14:paraId="515436D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1662" w:type="dxa"/>
                  <w:tcBorders>
                    <w:tl2br w:val="nil"/>
                    <w:tr2bl w:val="nil"/>
                  </w:tcBorders>
                  <w:noWrap w:val="0"/>
                  <w:vAlign w:val="center"/>
                </w:tcPr>
                <w:p w14:paraId="662FEC1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0.206</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0.249</w:t>
                  </w:r>
                </w:p>
              </w:tc>
              <w:tc>
                <w:tcPr>
                  <w:tcW w:w="1387" w:type="dxa"/>
                  <w:tcBorders>
                    <w:tl2br w:val="nil"/>
                    <w:tr2bl w:val="nil"/>
                  </w:tcBorders>
                  <w:noWrap w:val="0"/>
                  <w:vAlign w:val="center"/>
                </w:tcPr>
                <w:p w14:paraId="73B984E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83</w:t>
                  </w:r>
                </w:p>
              </w:tc>
              <w:tc>
                <w:tcPr>
                  <w:tcW w:w="1033" w:type="dxa"/>
                  <w:tcBorders>
                    <w:tl2br w:val="nil"/>
                    <w:tr2bl w:val="nil"/>
                  </w:tcBorders>
                  <w:noWrap w:val="0"/>
                  <w:vAlign w:val="center"/>
                </w:tcPr>
                <w:p w14:paraId="028937D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983" w:type="dxa"/>
                  <w:tcBorders>
                    <w:tl2br w:val="nil"/>
                    <w:tr2bl w:val="nil"/>
                  </w:tcBorders>
                  <w:noWrap w:val="0"/>
                  <w:vAlign w:val="center"/>
                </w:tcPr>
                <w:p w14:paraId="4FD8DB42">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14:paraId="5ABAFA20">
            <w:pPr>
              <w:spacing w:line="360" w:lineRule="auto"/>
              <w:ind w:firstLine="480" w:firstLineChars="200"/>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4"/>
                <w:szCs w:val="24"/>
                <w:highlight w:val="none"/>
                <w:lang w:val="zh-CN" w:eastAsia="zh-CN"/>
              </w:rPr>
              <w:t>由上表可以看出，本项目TSP24小时平均浓度值满足《环境空气质量标准》（GB3095-2012）及其修改单二级标准要求，区域环境空气质量良好。</w:t>
            </w:r>
          </w:p>
          <w:p w14:paraId="02145D53">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4"/>
                <w:szCs w:val="24"/>
                <w:highlight w:val="none"/>
                <w:lang w:val="en-US" w:eastAsia="zh-CN"/>
              </w:rPr>
            </w:pPr>
            <w:r>
              <w:rPr>
                <w:rFonts w:hint="default" w:ascii="Times New Roman" w:hAnsi="Times New Roman" w:eastAsia="宋体" w:cs="Times New Roman"/>
                <w:b/>
                <w:bCs/>
                <w:sz w:val="24"/>
                <w:szCs w:val="24"/>
                <w:highlight w:val="none"/>
                <w:lang w:val="en-US" w:eastAsia="zh-CN"/>
              </w:rPr>
              <w:t>地表水环境</w:t>
            </w:r>
          </w:p>
          <w:p w14:paraId="5A66FA56">
            <w:pPr>
              <w:spacing w:line="360" w:lineRule="auto"/>
              <w:ind w:firstLine="480" w:firstLineChars="200"/>
              <w:rPr>
                <w:rFonts w:hint="eastAsia" w:ascii="Times New Roman" w:hAnsi="Times New Roman" w:eastAsia="宋体" w:cs="Times New Roman"/>
                <w:color w:val="auto"/>
                <w:sz w:val="24"/>
                <w:szCs w:val="24"/>
                <w:highlight w:val="yellow"/>
                <w:lang w:val="en-US" w:eastAsia="zh-CN"/>
              </w:rPr>
            </w:pPr>
            <w:r>
              <w:rPr>
                <w:rFonts w:ascii="宋体" w:hAnsi="宋体" w:eastAsia="宋体" w:cs="宋体"/>
                <w:sz w:val="24"/>
                <w:szCs w:val="24"/>
                <w:highlight w:val="yellow"/>
              </w:rPr>
              <w:t>本项目区域水体为</w:t>
            </w:r>
            <w:r>
              <w:rPr>
                <w:rFonts w:hint="eastAsia" w:ascii="宋体" w:hAnsi="宋体" w:eastAsia="宋体" w:cs="宋体"/>
                <w:sz w:val="24"/>
                <w:szCs w:val="24"/>
                <w:highlight w:val="yellow"/>
                <w:lang w:val="en-US" w:eastAsia="zh-CN"/>
              </w:rPr>
              <w:t>七星河</w:t>
            </w:r>
            <w:r>
              <w:rPr>
                <w:rFonts w:ascii="宋体" w:hAnsi="宋体" w:eastAsia="宋体" w:cs="宋体"/>
                <w:sz w:val="24"/>
                <w:szCs w:val="24"/>
                <w:highlight w:val="yellow"/>
              </w:rPr>
              <w:t>，七星河汇入挠力河，最终汇入乌苏里江。根据黑龙江省地方标准《黑龙江省地表水功能区标准》 （GB23/T740-2003），七星河无水体功能类别。根据《全国重要江河湖泊水功能区划（2011-2030）》，该段水质目标为Ⅲ类，应满足《地表水环境质量标准》（GB3838-2002）Ⅲ类类水体功能标准。 参考《202</w:t>
            </w:r>
            <w:r>
              <w:rPr>
                <w:rFonts w:hint="eastAsia" w:ascii="宋体" w:hAnsi="宋体" w:eastAsia="宋体" w:cs="宋体"/>
                <w:sz w:val="24"/>
                <w:szCs w:val="24"/>
                <w:highlight w:val="yellow"/>
                <w:lang w:val="en-US" w:eastAsia="zh-CN"/>
              </w:rPr>
              <w:t>4</w:t>
            </w:r>
            <w:r>
              <w:rPr>
                <w:rFonts w:ascii="宋体" w:hAnsi="宋体" w:eastAsia="宋体" w:cs="宋体"/>
                <w:sz w:val="24"/>
                <w:szCs w:val="24"/>
                <w:highlight w:val="yellow"/>
              </w:rPr>
              <w:t>年黑龙江省生态环境质量状况》中的全省河流总体水质状况，七星河最终汇入至挠力河，挠力河水质现状类别为III类，满足《地表水环境质量标准》（GB3838-2002）III类标准。</w:t>
            </w:r>
          </w:p>
          <w:p w14:paraId="5180C1B1">
            <w:pPr>
              <w:tabs>
                <w:tab w:val="left" w:pos="2820"/>
              </w:tabs>
              <w:spacing w:line="360" w:lineRule="auto"/>
              <w:ind w:left="482"/>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3.声环境</w:t>
            </w:r>
          </w:p>
          <w:p w14:paraId="5E415D00">
            <w:pPr>
              <w:spacing w:line="360" w:lineRule="auto"/>
              <w:ind w:firstLine="480" w:firstLineChars="200"/>
              <w:rPr>
                <w:rFonts w:hint="eastAsia"/>
                <w:sz w:val="24"/>
                <w:highlight w:val="none"/>
              </w:rPr>
            </w:pPr>
            <w:r>
              <w:rPr>
                <w:rFonts w:hint="eastAsia"/>
                <w:sz w:val="24"/>
                <w:highlight w:val="none"/>
              </w:rPr>
              <w:t>双鸭山市区域昼间声环境质量为二级，等效声级为54.4dB(A)</w:t>
            </w:r>
            <w:r>
              <w:rPr>
                <w:rFonts w:hint="eastAsia"/>
                <w:sz w:val="24"/>
                <w:highlight w:val="none"/>
                <w:lang w:eastAsia="zh-CN"/>
              </w:rPr>
              <w:t>，</w:t>
            </w:r>
            <w:r>
              <w:rPr>
                <w:rFonts w:hint="eastAsia"/>
                <w:sz w:val="24"/>
                <w:highlight w:val="none"/>
              </w:rPr>
              <w:t>道路交通昼间声环境质量为一级，等效声级为67.6dB(A)</w:t>
            </w:r>
            <w:r>
              <w:rPr>
                <w:rFonts w:hint="eastAsia"/>
                <w:sz w:val="24"/>
                <w:highlight w:val="none"/>
                <w:lang w:eastAsia="zh-CN"/>
              </w:rPr>
              <w:t>；</w:t>
            </w:r>
            <w:r>
              <w:rPr>
                <w:rFonts w:hint="eastAsia"/>
                <w:sz w:val="24"/>
                <w:highlight w:val="none"/>
              </w:rPr>
              <w:t>功能区昼间达标率100%，功能区夜间达标率93.8%。</w:t>
            </w:r>
          </w:p>
          <w:p w14:paraId="0B07D053">
            <w:pPr>
              <w:spacing w:line="360" w:lineRule="auto"/>
              <w:ind w:firstLine="480" w:firstLineChars="200"/>
              <w:rPr>
                <w:sz w:val="24"/>
                <w:highlight w:val="none"/>
              </w:rPr>
            </w:pPr>
            <w:r>
              <w:rPr>
                <w:sz w:val="24"/>
                <w:highlight w:val="none"/>
              </w:rPr>
              <w:t>本项目周边50m范围内无声环境敏感点，根据建设项目环境影响报告表编制技术指南（污染影响类），不另行进行声环境现状监测。</w:t>
            </w:r>
          </w:p>
          <w:p w14:paraId="6302B314">
            <w:pPr>
              <w:spacing w:line="360" w:lineRule="auto"/>
              <w:ind w:firstLine="482" w:firstLineChars="200"/>
              <w:rPr>
                <w:rFonts w:hint="default" w:ascii="Times New Roman" w:hAnsi="Times New Roman" w:cs="Times New Roman"/>
                <w:color w:val="auto"/>
                <w:szCs w:val="21"/>
                <w:highlight w:val="none"/>
              </w:rPr>
            </w:pPr>
            <w:r>
              <w:rPr>
                <w:rFonts w:hint="default" w:ascii="Times New Roman" w:hAnsi="Times New Roman" w:cs="Times New Roman"/>
                <w:b/>
                <w:bCs/>
                <w:color w:val="auto"/>
                <w:sz w:val="24"/>
                <w:szCs w:val="24"/>
                <w:highlight w:val="none"/>
              </w:rPr>
              <w:t>4、生态环境</w:t>
            </w:r>
          </w:p>
          <w:p w14:paraId="41CD74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Cs w:val="21"/>
                <w:highlight w:val="none"/>
              </w:rPr>
            </w:pPr>
            <w:r>
              <w:rPr>
                <w:color w:val="auto"/>
                <w:spacing w:val="0"/>
                <w:sz w:val="24"/>
                <w:highlight w:val="none"/>
              </w:rPr>
              <w:t>本项目厂址区域内无国家、省、市级自然保护区、风景名胜区、世界文化和自然遗产地、海洋特别保护区、基本农田保护区、基本草原、森林公园、地质公园、重要湿地、天然林、野生动物重要栖息地、重点保护野生植物生长繁殖地、重要水生生物的自然产卵场、索饵场、越冬场和洄游通道、天然渔场、沙化土地封禁保护区、封闭及半封闭海域等环境敏感区。</w:t>
            </w:r>
          </w:p>
          <w:p w14:paraId="79845CF2">
            <w:pPr>
              <w:spacing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5、地下水、土壤环境</w:t>
            </w:r>
          </w:p>
          <w:p w14:paraId="693236B8">
            <w:pPr>
              <w:spacing w:line="360" w:lineRule="auto"/>
              <w:ind w:firstLine="480" w:firstLineChars="200"/>
              <w:rPr>
                <w:rFonts w:hint="default" w:ascii="Times New Roman" w:hAnsi="Times New Roman" w:cs="Times New Roman"/>
                <w:color w:val="auto"/>
                <w:highlight w:val="yellow"/>
              </w:rPr>
            </w:pPr>
            <w:r>
              <w:rPr>
                <w:rFonts w:hint="default" w:ascii="Times New Roman" w:hAnsi="Times New Roman" w:cs="Times New Roman"/>
                <w:color w:val="auto"/>
                <w:sz w:val="24"/>
                <w:szCs w:val="24"/>
                <w:highlight w:val="none"/>
              </w:rPr>
              <w:t>根据建设项目环境影响报告表编制技术指南（污染影响类），原则上不开展地下水、土壤环境质量现状调查。本项目不存在土壤、地下水环境污染途径，不需开展环境质量现状调查。</w:t>
            </w:r>
          </w:p>
        </w:tc>
      </w:tr>
      <w:tr w14:paraId="4603FE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51" w:hRule="atLeast"/>
          <w:jc w:val="center"/>
        </w:trPr>
        <w:tc>
          <w:tcPr>
            <w:tcW w:w="800" w:type="dxa"/>
            <w:noWrap w:val="0"/>
            <w:vAlign w:val="center"/>
          </w:tcPr>
          <w:p w14:paraId="029F3DD6">
            <w:pPr>
              <w:adjustRightInd w:val="0"/>
              <w:snapToGrid w:val="0"/>
              <w:jc w:val="center"/>
              <w:rPr>
                <w:rFonts w:hint="default" w:ascii="Times New Roman" w:hAnsi="Times New Roman" w:cs="Times New Roman"/>
                <w:color w:val="auto"/>
                <w:kern w:val="0"/>
                <w:szCs w:val="21"/>
                <w:highlight w:val="yellow"/>
              </w:rPr>
            </w:pPr>
            <w:r>
              <w:rPr>
                <w:rFonts w:hint="default" w:ascii="Times New Roman" w:hAnsi="Times New Roman" w:cs="Times New Roman"/>
                <w:color w:val="auto"/>
                <w:kern w:val="0"/>
                <w:szCs w:val="21"/>
                <w:highlight w:val="none"/>
              </w:rPr>
              <w:t>环境保护目标</w:t>
            </w:r>
          </w:p>
        </w:tc>
        <w:tc>
          <w:tcPr>
            <w:tcW w:w="8190" w:type="dxa"/>
            <w:noWrap w:val="0"/>
            <w:vAlign w:val="top"/>
          </w:tcPr>
          <w:p w14:paraId="2C53F23D">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w:t>
            </w:r>
            <w:r>
              <w:rPr>
                <w:rFonts w:hint="default" w:ascii="Times New Roman" w:hAnsi="Times New Roman" w:cs="Times New Roman"/>
                <w:b/>
                <w:bCs/>
                <w:color w:val="auto"/>
                <w:sz w:val="24"/>
                <w:szCs w:val="24"/>
                <w:highlight w:val="none"/>
              </w:rPr>
              <w:t>水环境保护目标</w:t>
            </w:r>
          </w:p>
          <w:p w14:paraId="0EF6591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yellow"/>
              </w:rPr>
            </w:pP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kern w:val="21"/>
                <w:sz w:val="24"/>
                <w:szCs w:val="24"/>
                <w:highlight w:val="none"/>
              </w:rPr>
              <w:t>厂界外500m范围内无地下水集中式饮用水水源和热水、矿泉水、温泉等特殊地下水资源。</w:t>
            </w:r>
          </w:p>
          <w:p w14:paraId="0F1D8205">
            <w:pPr>
              <w:keepNext w:val="0"/>
              <w:keepLines w:val="0"/>
              <w:pageBreakBefore w:val="0"/>
              <w:widowControl w:val="0"/>
              <w:numPr>
                <w:ilvl w:val="0"/>
                <w:numId w:val="10"/>
              </w:numPr>
              <w:kinsoku/>
              <w:wordWrap/>
              <w:overflowPunct/>
              <w:topLinePunct w:val="0"/>
              <w:autoSpaceDE/>
              <w:autoSpaceDN/>
              <w:bidi w:val="0"/>
              <w:spacing w:line="360" w:lineRule="auto"/>
              <w:ind w:firstLine="482" w:firstLineChars="200"/>
              <w:jc w:val="both"/>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大气环境保护目标</w:t>
            </w:r>
          </w:p>
          <w:p w14:paraId="5EEE0C1F">
            <w:pPr>
              <w:pStyle w:val="115"/>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snapToGrid w:val="0"/>
                <w:color w:val="auto"/>
                <w:spacing w:val="0"/>
                <w:kern w:val="0"/>
                <w:sz w:val="24"/>
                <w:highlight w:val="none"/>
                <w:lang w:eastAsia="zh-CN"/>
              </w:rPr>
            </w:pPr>
            <w:bookmarkStart w:id="31" w:name="_Toc171173100"/>
            <w:r>
              <w:rPr>
                <w:snapToGrid w:val="0"/>
                <w:kern w:val="0"/>
                <w:sz w:val="24"/>
                <w:highlight w:val="none"/>
              </w:rPr>
              <w:t>本项目厂界外500m范围内环境空气保护目标</w:t>
            </w:r>
            <w:r>
              <w:rPr>
                <w:rFonts w:hint="eastAsia"/>
                <w:snapToGrid w:val="0"/>
                <w:kern w:val="0"/>
                <w:sz w:val="24"/>
                <w:highlight w:val="none"/>
                <w:lang w:val="en-US" w:eastAsia="zh-CN"/>
              </w:rPr>
              <w:t>如下表3-3</w:t>
            </w:r>
          </w:p>
          <w:bookmarkEnd w:id="31"/>
          <w:p w14:paraId="589CC9ED">
            <w:pPr>
              <w:jc w:val="center"/>
              <w:rPr>
                <w:b/>
                <w:color w:val="auto"/>
                <w:sz w:val="24"/>
                <w:highlight w:val="none"/>
              </w:rPr>
            </w:pPr>
            <w:r>
              <w:rPr>
                <w:b/>
                <w:color w:val="auto"/>
                <w:sz w:val="24"/>
                <w:highlight w:val="none"/>
              </w:rPr>
              <w:t>表3-</w:t>
            </w:r>
            <w:r>
              <w:rPr>
                <w:rFonts w:hint="eastAsia"/>
                <w:b/>
                <w:color w:val="auto"/>
                <w:sz w:val="24"/>
                <w:highlight w:val="none"/>
                <w:lang w:val="en-US" w:eastAsia="zh-CN"/>
              </w:rPr>
              <w:t xml:space="preserve">3 </w:t>
            </w:r>
            <w:r>
              <w:rPr>
                <w:b/>
                <w:color w:val="auto"/>
                <w:sz w:val="24"/>
                <w:highlight w:val="none"/>
              </w:rPr>
              <w:t>大气环境保护目标情况表</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7"/>
              <w:gridCol w:w="1949"/>
              <w:gridCol w:w="1844"/>
              <w:gridCol w:w="1042"/>
              <w:gridCol w:w="524"/>
              <w:gridCol w:w="671"/>
              <w:gridCol w:w="775"/>
              <w:gridCol w:w="856"/>
            </w:tblGrid>
            <w:tr w14:paraId="664DB9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535" w:type="pct"/>
                  <w:vMerge w:val="restart"/>
                  <w:noWrap w:val="0"/>
                  <w:vAlign w:val="center"/>
                </w:tcPr>
                <w:p w14:paraId="76C9B93C">
                  <w:pPr>
                    <w:pStyle w:val="101"/>
                    <w:adjustRightInd w:val="0"/>
                    <w:snapToGrid w:val="0"/>
                    <w:spacing w:line="240" w:lineRule="auto"/>
                    <w:ind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名称</w:t>
                  </w:r>
                </w:p>
              </w:tc>
              <w:tc>
                <w:tcPr>
                  <w:tcW w:w="1741" w:type="pct"/>
                  <w:gridSpan w:val="2"/>
                  <w:noWrap w:val="0"/>
                  <w:vAlign w:val="center"/>
                </w:tcPr>
                <w:p w14:paraId="3F27CFFE">
                  <w:pPr>
                    <w:pStyle w:val="101"/>
                    <w:adjustRightInd w:val="0"/>
                    <w:snapToGrid w:val="0"/>
                    <w:spacing w:line="240" w:lineRule="auto"/>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坐标/</w:t>
                  </w:r>
                  <w:r>
                    <w:rPr>
                      <w:rFonts w:hint="default" w:ascii="Times New Roman" w:hAnsi="Times New Roman" w:cs="Times New Roman"/>
                      <w:color w:val="auto"/>
                      <w:highlight w:val="none"/>
                      <w:lang w:val="en-US" w:eastAsia="zh-CN"/>
                    </w:rPr>
                    <w:t>°</w:t>
                  </w:r>
                </w:p>
              </w:tc>
              <w:tc>
                <w:tcPr>
                  <w:tcW w:w="704" w:type="pct"/>
                  <w:vMerge w:val="restart"/>
                  <w:noWrap w:val="0"/>
                  <w:vAlign w:val="center"/>
                </w:tcPr>
                <w:p w14:paraId="18246BC1">
                  <w:pPr>
                    <w:pStyle w:val="101"/>
                    <w:adjustRightInd w:val="0"/>
                    <w:snapToGrid w:val="0"/>
                    <w:spacing w:line="240" w:lineRule="auto"/>
                    <w:ind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保护对象</w:t>
                  </w:r>
                </w:p>
              </w:tc>
              <w:tc>
                <w:tcPr>
                  <w:tcW w:w="396" w:type="pct"/>
                  <w:vMerge w:val="restart"/>
                  <w:noWrap w:val="0"/>
                  <w:vAlign w:val="center"/>
                </w:tcPr>
                <w:p w14:paraId="030951BF">
                  <w:pPr>
                    <w:pStyle w:val="101"/>
                    <w:adjustRightInd w:val="0"/>
                    <w:snapToGrid w:val="0"/>
                    <w:spacing w:line="240" w:lineRule="auto"/>
                    <w:ind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保护内容</w:t>
                  </w:r>
                </w:p>
              </w:tc>
              <w:tc>
                <w:tcPr>
                  <w:tcW w:w="483" w:type="pct"/>
                  <w:vMerge w:val="restart"/>
                  <w:noWrap w:val="0"/>
                  <w:vAlign w:val="center"/>
                </w:tcPr>
                <w:p w14:paraId="45739F32">
                  <w:pPr>
                    <w:pStyle w:val="101"/>
                    <w:adjustRightInd w:val="0"/>
                    <w:snapToGrid w:val="0"/>
                    <w:spacing w:line="240" w:lineRule="auto"/>
                    <w:ind w:firstLine="0" w:firstLineChars="0"/>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环境功能区</w:t>
                  </w:r>
                </w:p>
              </w:tc>
              <w:tc>
                <w:tcPr>
                  <w:tcW w:w="545" w:type="pct"/>
                  <w:vMerge w:val="restart"/>
                  <w:noWrap w:val="0"/>
                  <w:vAlign w:val="center"/>
                </w:tcPr>
                <w:p w14:paraId="71D7AEA7">
                  <w:pPr>
                    <w:pStyle w:val="101"/>
                    <w:adjustRightInd w:val="0"/>
                    <w:snapToGrid w:val="0"/>
                    <w:spacing w:line="240" w:lineRule="auto"/>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相对厂址方位</w:t>
                  </w:r>
                </w:p>
              </w:tc>
              <w:tc>
                <w:tcPr>
                  <w:tcW w:w="593" w:type="pct"/>
                  <w:vMerge w:val="restart"/>
                  <w:noWrap w:val="0"/>
                  <w:vAlign w:val="center"/>
                </w:tcPr>
                <w:p w14:paraId="09F908E8">
                  <w:pPr>
                    <w:pStyle w:val="101"/>
                    <w:adjustRightInd w:val="0"/>
                    <w:snapToGrid w:val="0"/>
                    <w:spacing w:line="240" w:lineRule="auto"/>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相对厂界距离/m</w:t>
                  </w:r>
                </w:p>
              </w:tc>
            </w:tr>
            <w:tr w14:paraId="6D0FF9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535" w:type="pct"/>
                  <w:vMerge w:val="continue"/>
                  <w:noWrap w:val="0"/>
                  <w:vAlign w:val="center"/>
                </w:tcPr>
                <w:p w14:paraId="5CD6F676">
                  <w:pPr>
                    <w:pStyle w:val="101"/>
                    <w:adjustRightInd w:val="0"/>
                    <w:snapToGrid w:val="0"/>
                    <w:spacing w:line="240" w:lineRule="auto"/>
                    <w:ind w:firstLine="0" w:firstLineChars="0"/>
                    <w:jc w:val="center"/>
                    <w:rPr>
                      <w:rFonts w:hint="default" w:ascii="Times New Roman" w:hAnsi="Times New Roman" w:cs="Times New Roman"/>
                      <w:color w:val="auto"/>
                      <w:highlight w:val="none"/>
                    </w:rPr>
                  </w:pPr>
                </w:p>
              </w:tc>
              <w:tc>
                <w:tcPr>
                  <w:tcW w:w="917" w:type="pct"/>
                  <w:noWrap w:val="0"/>
                  <w:vAlign w:val="center"/>
                </w:tcPr>
                <w:p w14:paraId="338AC9E2">
                  <w:pPr>
                    <w:pStyle w:val="101"/>
                    <w:adjustRightInd w:val="0"/>
                    <w:snapToGrid w:val="0"/>
                    <w:spacing w:line="240" w:lineRule="auto"/>
                    <w:ind w:firstLine="0" w:firstLineChars="0"/>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东经</w:t>
                  </w:r>
                </w:p>
              </w:tc>
              <w:tc>
                <w:tcPr>
                  <w:tcW w:w="824" w:type="pct"/>
                  <w:noWrap w:val="0"/>
                  <w:vAlign w:val="center"/>
                </w:tcPr>
                <w:p w14:paraId="6AB713C6">
                  <w:pPr>
                    <w:pStyle w:val="101"/>
                    <w:adjustRightInd w:val="0"/>
                    <w:snapToGrid w:val="0"/>
                    <w:spacing w:line="240" w:lineRule="auto"/>
                    <w:ind w:firstLine="0" w:firstLineChars="0"/>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北纬</w:t>
                  </w:r>
                </w:p>
              </w:tc>
              <w:tc>
                <w:tcPr>
                  <w:tcW w:w="704" w:type="pct"/>
                  <w:vMerge w:val="continue"/>
                  <w:noWrap w:val="0"/>
                  <w:vAlign w:val="center"/>
                </w:tcPr>
                <w:p w14:paraId="0B11784A">
                  <w:pPr>
                    <w:pStyle w:val="101"/>
                    <w:adjustRightInd w:val="0"/>
                    <w:snapToGrid w:val="0"/>
                    <w:spacing w:line="240" w:lineRule="auto"/>
                    <w:ind w:firstLine="0" w:firstLineChars="0"/>
                    <w:rPr>
                      <w:rFonts w:hint="default" w:ascii="Times New Roman" w:hAnsi="Times New Roman" w:cs="Times New Roman"/>
                      <w:color w:val="auto"/>
                      <w:highlight w:val="none"/>
                    </w:rPr>
                  </w:pPr>
                </w:p>
              </w:tc>
              <w:tc>
                <w:tcPr>
                  <w:tcW w:w="396" w:type="pct"/>
                  <w:vMerge w:val="continue"/>
                  <w:noWrap w:val="0"/>
                  <w:vAlign w:val="center"/>
                </w:tcPr>
                <w:p w14:paraId="3359443B">
                  <w:pPr>
                    <w:pStyle w:val="101"/>
                    <w:adjustRightInd w:val="0"/>
                    <w:snapToGrid w:val="0"/>
                    <w:spacing w:line="240" w:lineRule="auto"/>
                    <w:ind w:firstLine="0" w:firstLineChars="0"/>
                    <w:rPr>
                      <w:rFonts w:hint="default" w:ascii="Times New Roman" w:hAnsi="Times New Roman" w:cs="Times New Roman"/>
                      <w:color w:val="auto"/>
                      <w:highlight w:val="none"/>
                      <w:lang w:val="en-US" w:eastAsia="zh-CN"/>
                    </w:rPr>
                  </w:pPr>
                </w:p>
              </w:tc>
              <w:tc>
                <w:tcPr>
                  <w:tcW w:w="483" w:type="pct"/>
                  <w:vMerge w:val="continue"/>
                  <w:noWrap w:val="0"/>
                  <w:vAlign w:val="center"/>
                </w:tcPr>
                <w:p w14:paraId="377793B7">
                  <w:pPr>
                    <w:pStyle w:val="101"/>
                    <w:adjustRightInd w:val="0"/>
                    <w:snapToGrid w:val="0"/>
                    <w:spacing w:line="240" w:lineRule="auto"/>
                    <w:ind w:firstLine="0" w:firstLineChars="0"/>
                    <w:rPr>
                      <w:rFonts w:hint="default" w:ascii="Times New Roman" w:hAnsi="Times New Roman" w:cs="Times New Roman"/>
                      <w:color w:val="auto"/>
                      <w:highlight w:val="none"/>
                      <w:lang w:val="en-US" w:eastAsia="zh-CN"/>
                    </w:rPr>
                  </w:pPr>
                </w:p>
              </w:tc>
              <w:tc>
                <w:tcPr>
                  <w:tcW w:w="545" w:type="pct"/>
                  <w:vMerge w:val="continue"/>
                  <w:noWrap w:val="0"/>
                  <w:vAlign w:val="center"/>
                </w:tcPr>
                <w:p w14:paraId="0C32846B">
                  <w:pPr>
                    <w:pStyle w:val="101"/>
                    <w:adjustRightInd w:val="0"/>
                    <w:snapToGrid w:val="0"/>
                    <w:spacing w:line="240" w:lineRule="auto"/>
                    <w:ind w:firstLine="0" w:firstLineChars="0"/>
                    <w:rPr>
                      <w:rFonts w:hint="default" w:ascii="Times New Roman" w:hAnsi="Times New Roman" w:cs="Times New Roman"/>
                      <w:color w:val="auto"/>
                      <w:highlight w:val="none"/>
                      <w:lang w:eastAsia="zh-CN"/>
                    </w:rPr>
                  </w:pPr>
                </w:p>
              </w:tc>
              <w:tc>
                <w:tcPr>
                  <w:tcW w:w="593" w:type="pct"/>
                  <w:vMerge w:val="continue"/>
                  <w:noWrap w:val="0"/>
                  <w:vAlign w:val="center"/>
                </w:tcPr>
                <w:p w14:paraId="04BA14E3">
                  <w:pPr>
                    <w:pStyle w:val="101"/>
                    <w:adjustRightInd w:val="0"/>
                    <w:snapToGrid w:val="0"/>
                    <w:spacing w:line="240" w:lineRule="auto"/>
                    <w:ind w:firstLine="0" w:firstLineChars="0"/>
                    <w:rPr>
                      <w:rFonts w:hint="default" w:ascii="Times New Roman" w:hAnsi="Times New Roman" w:cs="Times New Roman"/>
                      <w:color w:val="auto"/>
                      <w:highlight w:val="none"/>
                    </w:rPr>
                  </w:pPr>
                </w:p>
              </w:tc>
            </w:tr>
            <w:tr w14:paraId="09A191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5" w:type="pct"/>
                  <w:noWrap w:val="0"/>
                  <w:vAlign w:val="center"/>
                </w:tcPr>
                <w:p w14:paraId="0B4E52C2">
                  <w:pPr>
                    <w:pStyle w:val="101"/>
                    <w:adjustRightInd w:val="0"/>
                    <w:snapToGrid w:val="0"/>
                    <w:spacing w:line="240" w:lineRule="auto"/>
                    <w:ind w:firstLine="0" w:firstLineChars="0"/>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居民</w:t>
                  </w:r>
                </w:p>
              </w:tc>
              <w:tc>
                <w:tcPr>
                  <w:tcW w:w="917" w:type="pct"/>
                  <w:noWrap w:val="0"/>
                  <w:vAlign w:val="center"/>
                </w:tcPr>
                <w:p w14:paraId="6724EABC">
                  <w:pPr>
                    <w:pStyle w:val="101"/>
                    <w:adjustRightInd w:val="0"/>
                    <w:snapToGrid w:val="0"/>
                    <w:spacing w:line="240" w:lineRule="auto"/>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131°40′44.077″</w:t>
                  </w:r>
                </w:p>
              </w:tc>
              <w:tc>
                <w:tcPr>
                  <w:tcW w:w="1330" w:type="dxa"/>
                  <w:noWrap w:val="0"/>
                  <w:vAlign w:val="center"/>
                </w:tcPr>
                <w:p w14:paraId="5550EFC9">
                  <w:pPr>
                    <w:pStyle w:val="101"/>
                    <w:adjustRightInd w:val="0"/>
                    <w:snapToGrid w:val="0"/>
                    <w:spacing w:line="240" w:lineRule="auto"/>
                    <w:ind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46°32′27.117″</w:t>
                  </w:r>
                </w:p>
              </w:tc>
              <w:tc>
                <w:tcPr>
                  <w:tcW w:w="704" w:type="pct"/>
                  <w:noWrap w:val="0"/>
                  <w:vAlign w:val="center"/>
                </w:tcPr>
                <w:p w14:paraId="4C9D5F0A">
                  <w:pPr>
                    <w:pStyle w:val="101"/>
                    <w:adjustRightInd w:val="0"/>
                    <w:snapToGrid w:val="0"/>
                    <w:spacing w:line="240" w:lineRule="auto"/>
                    <w:ind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农村人群集中区</w:t>
                  </w:r>
                </w:p>
              </w:tc>
              <w:tc>
                <w:tcPr>
                  <w:tcW w:w="396" w:type="pct"/>
                  <w:noWrap w:val="0"/>
                  <w:vAlign w:val="center"/>
                </w:tcPr>
                <w:p w14:paraId="540D5B61">
                  <w:pPr>
                    <w:pStyle w:val="101"/>
                    <w:adjustRightInd w:val="0"/>
                    <w:snapToGrid w:val="0"/>
                    <w:spacing w:line="240" w:lineRule="auto"/>
                    <w:ind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人群</w:t>
                  </w:r>
                </w:p>
              </w:tc>
              <w:tc>
                <w:tcPr>
                  <w:tcW w:w="483" w:type="pct"/>
                  <w:noWrap w:val="0"/>
                  <w:vAlign w:val="center"/>
                </w:tcPr>
                <w:p w14:paraId="2B249CED">
                  <w:pPr>
                    <w:pStyle w:val="101"/>
                    <w:adjustRightInd w:val="0"/>
                    <w:snapToGrid w:val="0"/>
                    <w:spacing w:line="240" w:lineRule="auto"/>
                    <w:ind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二类区</w:t>
                  </w:r>
                </w:p>
              </w:tc>
              <w:tc>
                <w:tcPr>
                  <w:tcW w:w="545" w:type="pct"/>
                  <w:noWrap w:val="0"/>
                  <w:vAlign w:val="center"/>
                </w:tcPr>
                <w:p w14:paraId="6DF26D19">
                  <w:pPr>
                    <w:pStyle w:val="101"/>
                    <w:adjustRightInd w:val="0"/>
                    <w:snapToGrid w:val="0"/>
                    <w:spacing w:line="240" w:lineRule="auto"/>
                    <w:ind w:firstLine="0" w:firstLineChars="0"/>
                    <w:jc w:val="center"/>
                    <w:rPr>
                      <w:rFonts w:hint="default" w:ascii="Times New Roman" w:hAnsi="Times New Roman" w:cs="Times New Roman"/>
                      <w:color w:val="auto"/>
                      <w:kern w:val="2"/>
                      <w:sz w:val="21"/>
                      <w:szCs w:val="20"/>
                      <w:highlight w:val="none"/>
                      <w:lang w:val="en-US" w:eastAsia="zh-CN" w:bidi="ar-SA"/>
                    </w:rPr>
                  </w:pPr>
                  <w:r>
                    <w:rPr>
                      <w:rFonts w:hint="eastAsia" w:cs="Times New Roman"/>
                      <w:color w:val="auto"/>
                      <w:kern w:val="2"/>
                      <w:sz w:val="21"/>
                      <w:szCs w:val="20"/>
                      <w:highlight w:val="none"/>
                      <w:lang w:val="en-US" w:eastAsia="zh-CN" w:bidi="ar-SA"/>
                    </w:rPr>
                    <w:t>N</w:t>
                  </w:r>
                </w:p>
              </w:tc>
              <w:tc>
                <w:tcPr>
                  <w:tcW w:w="593" w:type="pct"/>
                  <w:noWrap w:val="0"/>
                  <w:vAlign w:val="center"/>
                </w:tcPr>
                <w:p w14:paraId="16C33889">
                  <w:pPr>
                    <w:pStyle w:val="101"/>
                    <w:adjustRightInd w:val="0"/>
                    <w:snapToGrid w:val="0"/>
                    <w:spacing w:line="240" w:lineRule="auto"/>
                    <w:ind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450</w:t>
                  </w:r>
                </w:p>
              </w:tc>
            </w:tr>
          </w:tbl>
          <w:p w14:paraId="5A0F3ED0">
            <w:pPr>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3、声环境保护目标</w:t>
            </w:r>
          </w:p>
          <w:p w14:paraId="265F0C7D">
            <w:pPr>
              <w:spacing w:line="360" w:lineRule="auto"/>
              <w:ind w:firstLine="480" w:firstLineChars="200"/>
              <w:jc w:val="both"/>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kern w:val="21"/>
                <w:sz w:val="24"/>
                <w:szCs w:val="24"/>
                <w:highlight w:val="none"/>
              </w:rPr>
              <w:t>厂界外50m范围内无声环境保护目标。</w:t>
            </w:r>
          </w:p>
          <w:p w14:paraId="7912ABDC">
            <w:pPr>
              <w:pStyle w:val="85"/>
              <w:ind w:firstLine="42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4、生态环境保护目标</w:t>
            </w:r>
          </w:p>
          <w:p w14:paraId="3FE03C71">
            <w:pPr>
              <w:pStyle w:val="85"/>
              <w:ind w:firstLine="42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本项目用地范围内不含有生态环境保护目标。</w:t>
            </w:r>
          </w:p>
        </w:tc>
      </w:tr>
      <w:tr w14:paraId="6105D2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tcMar>
              <w:left w:w="28" w:type="dxa"/>
              <w:right w:w="28" w:type="dxa"/>
            </w:tcMar>
            <w:vAlign w:val="center"/>
          </w:tcPr>
          <w:p w14:paraId="0BDEF4C7">
            <w:pPr>
              <w:adjustRightInd w:val="0"/>
              <w:snapToGrid w:val="0"/>
              <w:jc w:val="center"/>
              <w:rPr>
                <w:rFonts w:hint="default" w:ascii="Times New Roman" w:hAnsi="Times New Roman" w:cs="Times New Roman"/>
                <w:color w:val="auto"/>
                <w:kern w:val="0"/>
                <w:szCs w:val="21"/>
                <w:highlight w:val="yellow"/>
              </w:rPr>
            </w:pPr>
          </w:p>
          <w:p w14:paraId="3436552C">
            <w:pPr>
              <w:adjustRightInd w:val="0"/>
              <w:snapToGrid w:val="0"/>
              <w:jc w:val="center"/>
              <w:rPr>
                <w:rFonts w:hint="default" w:ascii="Times New Roman" w:hAnsi="Times New Roman" w:cs="Times New Roman"/>
                <w:color w:val="auto"/>
                <w:kern w:val="0"/>
                <w:szCs w:val="21"/>
                <w:highlight w:val="yellow"/>
              </w:rPr>
            </w:pPr>
          </w:p>
          <w:p w14:paraId="7EFED58F">
            <w:pPr>
              <w:adjustRightInd w:val="0"/>
              <w:snapToGrid w:val="0"/>
              <w:jc w:val="center"/>
              <w:rPr>
                <w:rFonts w:hint="default" w:ascii="Times New Roman" w:hAnsi="Times New Roman" w:cs="Times New Roman"/>
                <w:color w:val="auto"/>
                <w:kern w:val="0"/>
                <w:szCs w:val="21"/>
                <w:highlight w:val="yellow"/>
              </w:rPr>
            </w:pPr>
          </w:p>
          <w:p w14:paraId="2E8DFBE2">
            <w:pPr>
              <w:adjustRightInd w:val="0"/>
              <w:snapToGrid w:val="0"/>
              <w:jc w:val="center"/>
              <w:rPr>
                <w:rFonts w:hint="default" w:ascii="Times New Roman" w:hAnsi="Times New Roman" w:cs="Times New Roman"/>
                <w:color w:val="auto"/>
                <w:kern w:val="0"/>
                <w:szCs w:val="21"/>
                <w:highlight w:val="yellow"/>
              </w:rPr>
            </w:pPr>
          </w:p>
          <w:p w14:paraId="13A8C05A">
            <w:pPr>
              <w:adjustRightInd w:val="0"/>
              <w:snapToGrid w:val="0"/>
              <w:jc w:val="center"/>
              <w:rPr>
                <w:rFonts w:hint="default" w:ascii="Times New Roman" w:hAnsi="Times New Roman" w:cs="Times New Roman"/>
                <w:color w:val="auto"/>
                <w:kern w:val="0"/>
                <w:szCs w:val="21"/>
                <w:highlight w:val="yellow"/>
              </w:rPr>
            </w:pPr>
          </w:p>
          <w:p w14:paraId="5FBC4FFC">
            <w:pPr>
              <w:adjustRightInd w:val="0"/>
              <w:snapToGrid w:val="0"/>
              <w:jc w:val="center"/>
              <w:rPr>
                <w:rFonts w:hint="default" w:ascii="Times New Roman" w:hAnsi="Times New Roman" w:cs="Times New Roman"/>
                <w:color w:val="auto"/>
                <w:kern w:val="0"/>
                <w:szCs w:val="21"/>
                <w:highlight w:val="yellow"/>
              </w:rPr>
            </w:pPr>
          </w:p>
          <w:p w14:paraId="150652BE">
            <w:pPr>
              <w:adjustRightInd w:val="0"/>
              <w:snapToGrid w:val="0"/>
              <w:jc w:val="center"/>
              <w:rPr>
                <w:rFonts w:hint="default" w:ascii="Times New Roman" w:hAnsi="Times New Roman" w:cs="Times New Roman"/>
                <w:color w:val="auto"/>
                <w:kern w:val="0"/>
                <w:szCs w:val="21"/>
                <w:highlight w:val="yellow"/>
              </w:rPr>
            </w:pPr>
          </w:p>
          <w:p w14:paraId="24C620C9">
            <w:pPr>
              <w:adjustRightInd w:val="0"/>
              <w:snapToGrid w:val="0"/>
              <w:jc w:val="center"/>
              <w:rPr>
                <w:rFonts w:hint="default" w:ascii="Times New Roman" w:hAnsi="Times New Roman" w:cs="Times New Roman"/>
                <w:color w:val="auto"/>
                <w:kern w:val="0"/>
                <w:szCs w:val="21"/>
                <w:highlight w:val="yellow"/>
              </w:rPr>
            </w:pPr>
          </w:p>
          <w:p w14:paraId="18AD0AB6">
            <w:pPr>
              <w:adjustRightInd w:val="0"/>
              <w:snapToGrid w:val="0"/>
              <w:jc w:val="center"/>
              <w:rPr>
                <w:rFonts w:hint="default" w:ascii="Times New Roman" w:hAnsi="Times New Roman" w:cs="Times New Roman"/>
                <w:color w:val="auto"/>
                <w:kern w:val="0"/>
                <w:szCs w:val="21"/>
                <w:highlight w:val="yellow"/>
              </w:rPr>
            </w:pPr>
          </w:p>
          <w:p w14:paraId="0C04E2AE">
            <w:pPr>
              <w:adjustRightInd w:val="0"/>
              <w:snapToGrid w:val="0"/>
              <w:jc w:val="center"/>
              <w:rPr>
                <w:rFonts w:hint="default" w:ascii="Times New Roman" w:hAnsi="Times New Roman" w:cs="Times New Roman"/>
                <w:color w:val="auto"/>
                <w:kern w:val="0"/>
                <w:szCs w:val="21"/>
                <w:highlight w:val="yellow"/>
              </w:rPr>
            </w:pPr>
            <w:r>
              <w:rPr>
                <w:rFonts w:hint="default" w:ascii="Times New Roman" w:hAnsi="Times New Roman" w:cs="Times New Roman"/>
                <w:color w:val="auto"/>
                <w:kern w:val="0"/>
                <w:szCs w:val="21"/>
                <w:highlight w:val="none"/>
              </w:rPr>
              <w:t>污染物排放控制标准</w:t>
            </w:r>
          </w:p>
        </w:tc>
        <w:tc>
          <w:tcPr>
            <w:tcW w:w="8190" w:type="dxa"/>
            <w:noWrap w:val="0"/>
            <w:vAlign w:val="center"/>
          </w:tcPr>
          <w:p w14:paraId="28CC8ECF">
            <w:pPr>
              <w:numPr>
                <w:ilvl w:val="0"/>
                <w:numId w:val="11"/>
              </w:numPr>
              <w:adjustRightInd w:val="0"/>
              <w:snapToGrid w:val="0"/>
              <w:spacing w:line="360" w:lineRule="auto"/>
              <w:ind w:firstLine="482" w:firstLineChars="200"/>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施工期</w:t>
            </w:r>
          </w:p>
          <w:p w14:paraId="7E800DF8">
            <w:pPr>
              <w:numPr>
                <w:ilvl w:val="0"/>
                <w:numId w:val="12"/>
              </w:numPr>
              <w:adjustRightInd w:val="0"/>
              <w:snapToGrid w:val="0"/>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废气</w:t>
            </w:r>
          </w:p>
          <w:p w14:paraId="1DCAFE78">
            <w:pPr>
              <w:adjustRightInd w:val="0"/>
              <w:snapToGrid w:val="0"/>
              <w:spacing w:line="360" w:lineRule="auto"/>
              <w:ind w:firstLine="480" w:firstLineChars="200"/>
              <w:rPr>
                <w:rFonts w:hint="default" w:ascii="Times New Roman" w:hAnsi="Times New Roman" w:eastAsia="宋体" w:cs="Times New Roman"/>
                <w:b/>
                <w:color w:val="auto"/>
                <w:highlight w:val="none"/>
                <w:lang w:val="en-US" w:eastAsia="zh-CN"/>
              </w:rPr>
            </w:pPr>
            <w:r>
              <w:rPr>
                <w:rFonts w:hint="default" w:ascii="Times New Roman" w:hAnsi="Times New Roman" w:eastAsia="宋体" w:cs="Times New Roman"/>
                <w:color w:val="auto"/>
                <w:sz w:val="24"/>
                <w:szCs w:val="24"/>
                <w:highlight w:val="none"/>
              </w:rPr>
              <w:t>施工期扬尘执行《大气污染物综合排放标准》（GB16297-1996）表2无组织排放标准限值</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详见表3-4</w:t>
            </w:r>
            <w:r>
              <w:rPr>
                <w:rFonts w:hint="eastAsia" w:cs="Times New Roman"/>
                <w:color w:val="auto"/>
                <w:szCs w:val="21"/>
                <w:highlight w:val="none"/>
                <w:lang w:val="en-US" w:eastAsia="zh-CN"/>
              </w:rPr>
              <w:t>。</w:t>
            </w:r>
          </w:p>
          <w:p w14:paraId="58CC669C">
            <w:pPr>
              <w:ind w:firstLine="482"/>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表3-</w:t>
            </w:r>
            <w:r>
              <w:rPr>
                <w:rFonts w:hint="eastAsia" w:cs="Times New Roman"/>
                <w:b/>
                <w:color w:val="auto"/>
                <w:sz w:val="24"/>
                <w:szCs w:val="24"/>
                <w:highlight w:val="none"/>
                <w:lang w:val="en-US" w:eastAsia="zh-CN"/>
              </w:rPr>
              <w:t>4</w:t>
            </w:r>
            <w:r>
              <w:rPr>
                <w:rFonts w:hint="default" w:ascii="Times New Roman" w:hAnsi="Times New Roman" w:eastAsia="宋体" w:cs="Times New Roman"/>
                <w:b/>
                <w:color w:val="auto"/>
                <w:sz w:val="24"/>
                <w:szCs w:val="24"/>
                <w:highlight w:val="none"/>
              </w:rPr>
              <w:t xml:space="preserve"> 大气污染物综合排放标准</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6" w:type="dxa"/>
                <w:bottom w:w="0" w:type="dxa"/>
                <w:right w:w="56" w:type="dxa"/>
              </w:tblCellMar>
            </w:tblPr>
            <w:tblGrid>
              <w:gridCol w:w="1147"/>
              <w:gridCol w:w="940"/>
              <w:gridCol w:w="1098"/>
              <w:gridCol w:w="1398"/>
              <w:gridCol w:w="847"/>
              <w:gridCol w:w="2991"/>
            </w:tblGrid>
            <w:tr w14:paraId="1080FF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588" w:hRule="exact"/>
                <w:jc w:val="center"/>
              </w:trPr>
              <w:tc>
                <w:tcPr>
                  <w:tcW w:w="681" w:type="pct"/>
                  <w:tcBorders>
                    <w:tl2br w:val="nil"/>
                    <w:tr2bl w:val="nil"/>
                  </w:tcBorders>
                  <w:vAlign w:val="center"/>
                </w:tcPr>
                <w:p w14:paraId="7160B16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558" w:type="pct"/>
                  <w:tcBorders>
                    <w:tl2br w:val="nil"/>
                    <w:tr2bl w:val="nil"/>
                  </w:tcBorders>
                  <w:vAlign w:val="center"/>
                </w:tcPr>
                <w:p w14:paraId="2EA16D0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排放源</w:t>
                  </w:r>
                </w:p>
              </w:tc>
              <w:tc>
                <w:tcPr>
                  <w:tcW w:w="652" w:type="pct"/>
                  <w:tcBorders>
                    <w:tl2br w:val="nil"/>
                    <w:tr2bl w:val="nil"/>
                  </w:tcBorders>
                  <w:vAlign w:val="center"/>
                </w:tcPr>
                <w:p w14:paraId="0946448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w:t>
                  </w:r>
                </w:p>
                <w:p w14:paraId="71664DC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速率</w:t>
                  </w:r>
                </w:p>
              </w:tc>
              <w:tc>
                <w:tcPr>
                  <w:tcW w:w="830" w:type="pct"/>
                  <w:tcBorders>
                    <w:tl2br w:val="nil"/>
                    <w:tr2bl w:val="nil"/>
                  </w:tcBorders>
                  <w:vAlign w:val="center"/>
                </w:tcPr>
                <w:p w14:paraId="08CA255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最高允许</w:t>
                  </w:r>
                </w:p>
                <w:p w14:paraId="16D8AE9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排放浓度</w:t>
                  </w:r>
                </w:p>
              </w:tc>
              <w:tc>
                <w:tcPr>
                  <w:tcW w:w="503" w:type="pct"/>
                  <w:tcBorders>
                    <w:tl2br w:val="nil"/>
                    <w:tr2bl w:val="nil"/>
                  </w:tcBorders>
                  <w:vAlign w:val="center"/>
                </w:tcPr>
                <w:p w14:paraId="13A3832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排气筒</w:t>
                  </w:r>
                </w:p>
                <w:p w14:paraId="3E87F72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高度</w:t>
                  </w:r>
                </w:p>
              </w:tc>
              <w:tc>
                <w:tcPr>
                  <w:tcW w:w="1776" w:type="pct"/>
                  <w:tcBorders>
                    <w:tl2br w:val="nil"/>
                    <w:tr2bl w:val="nil"/>
                  </w:tcBorders>
                  <w:vAlign w:val="center"/>
                </w:tcPr>
                <w:p w14:paraId="24D7741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执行标准</w:t>
                  </w:r>
                </w:p>
              </w:tc>
            </w:tr>
            <w:tr w14:paraId="19BD9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595" w:hRule="atLeast"/>
                <w:jc w:val="center"/>
              </w:trPr>
              <w:tc>
                <w:tcPr>
                  <w:tcW w:w="681" w:type="pct"/>
                  <w:tcBorders>
                    <w:tl2br w:val="nil"/>
                    <w:tr2bl w:val="nil"/>
                  </w:tcBorders>
                  <w:vAlign w:val="center"/>
                </w:tcPr>
                <w:p w14:paraId="37E3738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558" w:type="pct"/>
                  <w:tcBorders>
                    <w:tl2br w:val="nil"/>
                    <w:tr2bl w:val="nil"/>
                  </w:tcBorders>
                  <w:vAlign w:val="center"/>
                </w:tcPr>
                <w:p w14:paraId="73D5C4F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w:t>
                  </w:r>
                </w:p>
              </w:tc>
              <w:tc>
                <w:tcPr>
                  <w:tcW w:w="1985" w:type="pct"/>
                  <w:gridSpan w:val="3"/>
                  <w:tcBorders>
                    <w:tl2br w:val="nil"/>
                    <w:tr2bl w:val="nil"/>
                  </w:tcBorders>
                  <w:vAlign w:val="center"/>
                </w:tcPr>
                <w:p w14:paraId="2BDB366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周界外浓度最高点：1.0mg/m</w:t>
                  </w:r>
                  <w:r>
                    <w:rPr>
                      <w:rFonts w:hint="default" w:ascii="Times New Roman" w:hAnsi="Times New Roman" w:eastAsia="宋体" w:cs="Times New Roman"/>
                      <w:color w:val="auto"/>
                      <w:sz w:val="21"/>
                      <w:szCs w:val="21"/>
                      <w:highlight w:val="none"/>
                      <w:vertAlign w:val="superscript"/>
                    </w:rPr>
                    <w:t>3</w:t>
                  </w:r>
                </w:p>
              </w:tc>
              <w:tc>
                <w:tcPr>
                  <w:tcW w:w="1776" w:type="pct"/>
                  <w:tcBorders>
                    <w:tl2br w:val="nil"/>
                    <w:tr2bl w:val="nil"/>
                  </w:tcBorders>
                  <w:vAlign w:val="center"/>
                </w:tcPr>
                <w:p w14:paraId="2280AE5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《大气污染物综合排放标准》（GB16297-1996）无组织排放监控浓度限值</w:t>
                  </w:r>
                </w:p>
              </w:tc>
            </w:tr>
          </w:tbl>
          <w:p w14:paraId="7F42ADA2">
            <w:pPr>
              <w:numPr>
                <w:ilvl w:val="0"/>
                <w:numId w:val="12"/>
              </w:numPr>
              <w:bidi w:val="0"/>
              <w:spacing w:line="360" w:lineRule="auto"/>
              <w:ind w:left="0" w:leftChars="0" w:firstLine="480" w:firstLineChars="200"/>
              <w:rPr>
                <w:rFonts w:hint="default"/>
                <w:sz w:val="24"/>
                <w:szCs w:val="24"/>
                <w:highlight w:val="none"/>
                <w:lang w:val="en-US" w:eastAsia="zh-CN"/>
              </w:rPr>
            </w:pPr>
            <w:r>
              <w:rPr>
                <w:rFonts w:hint="eastAsia"/>
                <w:sz w:val="24"/>
                <w:szCs w:val="24"/>
                <w:highlight w:val="none"/>
                <w:lang w:val="en-US" w:eastAsia="zh-CN"/>
              </w:rPr>
              <w:t>噪声</w:t>
            </w:r>
          </w:p>
          <w:p w14:paraId="4F3A27BD">
            <w:pPr>
              <w:tabs>
                <w:tab w:val="left" w:pos="180"/>
              </w:tabs>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本项目施工期噪声执行《建筑施工场界环境噪声排放标准》（GB12523-2011）中的标准要求</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详见表3-5。</w:t>
            </w:r>
          </w:p>
          <w:p w14:paraId="452BD7EA">
            <w:pPr>
              <w:ind w:firstLine="482"/>
              <w:jc w:val="center"/>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eastAsia="宋体" w:cs="Times New Roman"/>
                <w:b/>
                <w:color w:val="auto"/>
                <w:sz w:val="24"/>
                <w:szCs w:val="24"/>
                <w:highlight w:val="none"/>
                <w:lang w:val="en-US" w:eastAsia="zh-CN"/>
              </w:rPr>
              <w:t>表3-</w:t>
            </w:r>
            <w:r>
              <w:rPr>
                <w:rFonts w:hint="eastAsia" w:cs="Times New Roman"/>
                <w:b/>
                <w:color w:val="auto"/>
                <w:sz w:val="24"/>
                <w:szCs w:val="24"/>
                <w:highlight w:val="none"/>
                <w:lang w:val="en-US" w:eastAsia="zh-CN"/>
              </w:rPr>
              <w:t>5</w:t>
            </w:r>
            <w:r>
              <w:rPr>
                <w:rFonts w:hint="eastAsia" w:ascii="Times New Roman" w:hAnsi="Times New Roman" w:eastAsia="宋体" w:cs="Times New Roman"/>
                <w:b/>
                <w:color w:val="auto"/>
                <w:sz w:val="24"/>
                <w:szCs w:val="24"/>
                <w:highlight w:val="none"/>
                <w:lang w:val="en-US" w:eastAsia="zh-CN"/>
              </w:rPr>
              <w:t xml:space="preserve"> 建筑施工场界环境噪声排放标准</w:t>
            </w:r>
          </w:p>
          <w:tbl>
            <w:tblPr>
              <w:tblStyle w:val="31"/>
              <w:tblW w:w="498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6" w:type="dxa"/>
                <w:bottom w:w="0" w:type="dxa"/>
                <w:right w:w="56" w:type="dxa"/>
              </w:tblCellMar>
            </w:tblPr>
            <w:tblGrid>
              <w:gridCol w:w="5813"/>
              <w:gridCol w:w="1367"/>
              <w:gridCol w:w="1216"/>
            </w:tblGrid>
            <w:tr w14:paraId="22BB6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309" w:hRule="exact"/>
                <w:jc w:val="center"/>
              </w:trPr>
              <w:tc>
                <w:tcPr>
                  <w:tcW w:w="3461" w:type="pct"/>
                  <w:tcBorders>
                    <w:tl2br w:val="nil"/>
                    <w:tr2bl w:val="nil"/>
                  </w:tcBorders>
                </w:tcPr>
                <w:p w14:paraId="04625A0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标准名称</w:t>
                  </w:r>
                </w:p>
              </w:tc>
              <w:tc>
                <w:tcPr>
                  <w:tcW w:w="814" w:type="pct"/>
                  <w:tcBorders>
                    <w:tl2br w:val="nil"/>
                    <w:tr2bl w:val="nil"/>
                  </w:tcBorders>
                  <w:vAlign w:val="center"/>
                </w:tcPr>
                <w:p w14:paraId="5E2EB4F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724" w:type="pct"/>
                  <w:tcBorders>
                    <w:tl2br w:val="nil"/>
                    <w:tr2bl w:val="nil"/>
                  </w:tcBorders>
                  <w:vAlign w:val="center"/>
                </w:tcPr>
                <w:p w14:paraId="30693E0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r>
            <w:tr w14:paraId="3F4574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715" w:hRule="exact"/>
                <w:jc w:val="center"/>
              </w:trPr>
              <w:tc>
                <w:tcPr>
                  <w:tcW w:w="3461" w:type="pct"/>
                  <w:tcBorders>
                    <w:tl2br w:val="nil"/>
                    <w:tr2bl w:val="nil"/>
                  </w:tcBorders>
                  <w:vAlign w:val="center"/>
                </w:tcPr>
                <w:p w14:paraId="0AE94D1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《建筑施工场界环境噪声排放标准》（GB12523-2011）</w:t>
                  </w:r>
                </w:p>
              </w:tc>
              <w:tc>
                <w:tcPr>
                  <w:tcW w:w="814" w:type="pct"/>
                  <w:tcBorders>
                    <w:tl2br w:val="nil"/>
                    <w:tr2bl w:val="nil"/>
                  </w:tcBorders>
                  <w:vAlign w:val="center"/>
                </w:tcPr>
                <w:p w14:paraId="239F7A1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 dB（A）</w:t>
                  </w:r>
                </w:p>
              </w:tc>
              <w:tc>
                <w:tcPr>
                  <w:tcW w:w="724" w:type="pct"/>
                  <w:tcBorders>
                    <w:tl2br w:val="nil"/>
                    <w:tr2bl w:val="nil"/>
                  </w:tcBorders>
                  <w:vAlign w:val="center"/>
                </w:tcPr>
                <w:p w14:paraId="72E5734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 dB（A）</w:t>
                  </w:r>
                </w:p>
              </w:tc>
            </w:tr>
          </w:tbl>
          <w:p w14:paraId="2C5F6FEB">
            <w:pPr>
              <w:numPr>
                <w:ilvl w:val="0"/>
                <w:numId w:val="11"/>
              </w:num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运营期</w:t>
            </w:r>
          </w:p>
          <w:p w14:paraId="46BC7BDE">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废气</w:t>
            </w:r>
          </w:p>
          <w:p w14:paraId="3FF521D0">
            <w:pPr>
              <w:spacing w:line="360" w:lineRule="auto"/>
              <w:ind w:firstLine="480" w:firstLineChars="200"/>
              <w:rPr>
                <w:rFonts w:hint="default" w:ascii="Times New Roman" w:hAnsi="Times New Roman" w:eastAsia="宋体" w:cs="Times New Roman"/>
                <w:color w:val="auto"/>
                <w:sz w:val="24"/>
                <w:szCs w:val="24"/>
                <w:highlight w:val="yellow"/>
              </w:rPr>
            </w:pPr>
            <w:r>
              <w:rPr>
                <w:rFonts w:hint="eastAsia" w:ascii="Times New Roman" w:hAnsi="Times New Roman" w:eastAsia="宋体" w:cs="Times New Roman"/>
                <w:color w:val="auto"/>
                <w:sz w:val="24"/>
                <w:szCs w:val="24"/>
                <w:highlight w:val="none"/>
                <w:lang w:val="en-US" w:eastAsia="zh-CN"/>
              </w:rPr>
              <w:t>运营期颗粒物执行《水泥工业大气污染物排放标准》（</w:t>
            </w:r>
            <w:r>
              <w:rPr>
                <w:rFonts w:hint="default" w:ascii="Times New Roman" w:hAnsi="Times New Roman" w:eastAsia="宋体" w:cs="Times New Roman"/>
                <w:color w:val="auto"/>
                <w:sz w:val="24"/>
                <w:szCs w:val="24"/>
                <w:highlight w:val="none"/>
                <w:lang w:val="en-US" w:eastAsia="zh-CN"/>
              </w:rPr>
              <w:t>GB4915-2013</w:t>
            </w:r>
            <w:r>
              <w:rPr>
                <w:rFonts w:hint="eastAsia" w:ascii="Times New Roman" w:hAnsi="Times New Roman" w:eastAsia="宋体" w:cs="Times New Roman"/>
                <w:color w:val="auto"/>
                <w:sz w:val="24"/>
                <w:szCs w:val="24"/>
                <w:highlight w:val="none"/>
                <w:lang w:val="en-US" w:eastAsia="zh-CN"/>
              </w:rPr>
              <w:t>）中的标准</w:t>
            </w:r>
            <w:r>
              <w:rPr>
                <w:rFonts w:hint="eastAsia"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rPr>
              <w:t>详见</w:t>
            </w:r>
            <w:r>
              <w:rPr>
                <w:rFonts w:hint="eastAsia" w:ascii="Times New Roman" w:hAnsi="Times New Roman" w:eastAsia="宋体" w:cs="Times New Roman"/>
                <w:color w:val="auto"/>
                <w:sz w:val="24"/>
                <w:szCs w:val="24"/>
                <w:highlight w:val="none"/>
              </w:rPr>
              <w:t>表</w:t>
            </w:r>
            <w:r>
              <w:rPr>
                <w:rFonts w:hint="eastAsia" w:ascii="Times New Roman" w:hAnsi="Times New Roman" w:eastAsia="宋体" w:cs="Times New Roman"/>
                <w:color w:val="auto"/>
                <w:sz w:val="24"/>
                <w:szCs w:val="24"/>
                <w:highlight w:val="none"/>
                <w:lang w:val="en-US" w:eastAsia="zh-CN"/>
              </w:rPr>
              <w:t>3-6</w:t>
            </w:r>
            <w:r>
              <w:rPr>
                <w:rFonts w:hint="default" w:ascii="Times New Roman" w:hAnsi="Times New Roman" w:eastAsia="宋体" w:cs="Times New Roman"/>
                <w:color w:val="auto"/>
                <w:sz w:val="24"/>
                <w:szCs w:val="24"/>
                <w:highlight w:val="none"/>
              </w:rPr>
              <w:t>。</w:t>
            </w:r>
          </w:p>
          <w:p w14:paraId="5A306627">
            <w:pPr>
              <w:pStyle w:val="10"/>
              <w:widowControl w:val="0"/>
              <w:tabs>
                <w:tab w:val="left" w:pos="0"/>
              </w:tabs>
              <w:snapToGrid/>
              <w:spacing w:before="0" w:after="0" w:line="360" w:lineRule="auto"/>
              <w:ind w:right="0"/>
              <w:jc w:val="center"/>
              <w:rPr>
                <w:b/>
                <w:bCs/>
                <w:sz w:val="24"/>
                <w:szCs w:val="24"/>
                <w:highlight w:val="none"/>
              </w:rPr>
            </w:pPr>
            <w:r>
              <w:rPr>
                <w:rFonts w:hint="default" w:ascii="Times New Roman" w:hAnsi="Times New Roman" w:eastAsia="宋体" w:cs="Times New Roman"/>
                <w:b/>
                <w:color w:val="auto"/>
                <w:kern w:val="2"/>
                <w:sz w:val="24"/>
                <w:szCs w:val="24"/>
                <w:highlight w:val="none"/>
                <w:lang w:val="en-US" w:eastAsia="zh-CN" w:bidi="ar-SA"/>
              </w:rPr>
              <w:t>表3-</w:t>
            </w:r>
            <w:r>
              <w:rPr>
                <w:rFonts w:hint="eastAsia" w:ascii="Times New Roman" w:hAnsi="Times New Roman" w:cs="Times New Roman"/>
                <w:b/>
                <w:color w:val="auto"/>
                <w:kern w:val="2"/>
                <w:sz w:val="24"/>
                <w:szCs w:val="24"/>
                <w:highlight w:val="none"/>
                <w:lang w:val="en-US" w:eastAsia="zh-CN" w:bidi="ar-SA"/>
              </w:rPr>
              <w:t>6</w:t>
            </w:r>
            <w:r>
              <w:rPr>
                <w:rFonts w:hint="eastAsia" w:ascii="Times New Roman" w:hAnsi="Times New Roman" w:eastAsia="宋体" w:cs="Times New Roman"/>
                <w:b/>
                <w:color w:val="auto"/>
                <w:kern w:val="2"/>
                <w:sz w:val="24"/>
                <w:szCs w:val="24"/>
                <w:highlight w:val="none"/>
                <w:lang w:val="en-US" w:eastAsia="zh-CN" w:bidi="ar-SA"/>
              </w:rPr>
              <w:t xml:space="preserve"> </w:t>
            </w:r>
            <w:r>
              <w:rPr>
                <w:rFonts w:hint="eastAsia" w:ascii="Times New Roman" w:hAnsi="Times New Roman" w:cs="Times New Roman"/>
                <w:b/>
                <w:color w:val="auto"/>
                <w:kern w:val="2"/>
                <w:sz w:val="24"/>
                <w:szCs w:val="24"/>
                <w:highlight w:val="none"/>
                <w:lang w:val="en-US" w:eastAsia="zh-CN" w:bidi="ar-SA"/>
              </w:rPr>
              <w:t>水泥工业大气污染物</w:t>
            </w:r>
            <w:r>
              <w:rPr>
                <w:rFonts w:hint="eastAsia" w:ascii="Times New Roman" w:hAnsi="Times New Roman" w:eastAsia="宋体" w:cs="Times New Roman"/>
                <w:b/>
                <w:color w:val="auto"/>
                <w:kern w:val="2"/>
                <w:sz w:val="24"/>
                <w:szCs w:val="24"/>
                <w:highlight w:val="none"/>
                <w:lang w:val="en-US" w:eastAsia="zh-CN" w:bidi="ar-SA"/>
              </w:rPr>
              <w:t xml:space="preserve">排放标准   </w:t>
            </w:r>
            <w:r>
              <w:rPr>
                <w:rFonts w:hint="default" w:ascii="Times New Roman" w:hAnsi="Times New Roman" w:eastAsia="宋体" w:cs="Times New Roman"/>
                <w:b/>
                <w:color w:val="auto"/>
                <w:kern w:val="2"/>
                <w:sz w:val="24"/>
                <w:szCs w:val="24"/>
                <w:highlight w:val="none"/>
                <w:lang w:val="en-US" w:eastAsia="zh-CN" w:bidi="ar-SA"/>
              </w:rPr>
              <w:t>单位：</w:t>
            </w:r>
            <w:r>
              <w:rPr>
                <w:rFonts w:hint="eastAsia" w:ascii="Times New Roman" w:hAnsi="Times New Roman" w:cs="Times New Roman"/>
                <w:b/>
                <w:color w:val="auto"/>
                <w:kern w:val="2"/>
                <w:sz w:val="24"/>
                <w:szCs w:val="24"/>
                <w:highlight w:val="none"/>
                <w:lang w:val="en-US" w:eastAsia="zh-CN" w:bidi="ar-SA"/>
              </w:rPr>
              <w:t>mg/m</w:t>
            </w:r>
            <w:r>
              <w:rPr>
                <w:rFonts w:hint="eastAsia" w:ascii="Times New Roman" w:hAnsi="Times New Roman" w:cs="Times New Roman"/>
                <w:b/>
                <w:color w:val="auto"/>
                <w:kern w:val="2"/>
                <w:sz w:val="24"/>
                <w:szCs w:val="24"/>
                <w:highlight w:val="none"/>
                <w:vertAlign w:val="superscript"/>
                <w:lang w:val="en-US" w:eastAsia="zh-CN" w:bidi="ar-SA"/>
              </w:rPr>
              <w:t>3</w:t>
            </w:r>
            <w:r>
              <w:rPr>
                <w:rFonts w:hint="default" w:ascii="Times New Roman" w:hAnsi="Times New Roman" w:eastAsia="宋体" w:cs="Times New Roman"/>
                <w:b/>
                <w:color w:val="auto"/>
                <w:kern w:val="2"/>
                <w:sz w:val="24"/>
                <w:szCs w:val="24"/>
                <w:highlight w:val="none"/>
                <w:lang w:val="en-US" w:eastAsia="zh-CN" w:bidi="ar-SA"/>
              </w:rPr>
              <w:t>(A)</w:t>
            </w:r>
          </w:p>
          <w:tbl>
            <w:tblPr>
              <w:tblStyle w:val="31"/>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86"/>
              <w:gridCol w:w="1143"/>
              <w:gridCol w:w="2"/>
              <w:gridCol w:w="2678"/>
              <w:gridCol w:w="951"/>
              <w:gridCol w:w="944"/>
            </w:tblGrid>
            <w:tr w14:paraId="4628F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786" w:type="dxa"/>
                  <w:tcBorders>
                    <w:tl2br w:val="nil"/>
                    <w:tr2bl w:val="nil"/>
                  </w:tcBorders>
                  <w:vAlign w:val="center"/>
                </w:tcPr>
                <w:p w14:paraId="1A9DC86F">
                  <w:pPr>
                    <w:pStyle w:val="117"/>
                    <w:autoSpaceDE w:val="0"/>
                    <w:autoSpaceDN w:val="0"/>
                    <w:spacing w:line="360" w:lineRule="auto"/>
                    <w:contextualSpacing/>
                    <w:jc w:val="center"/>
                    <w:textAlignment w:val="bottom"/>
                    <w:rPr>
                      <w:rFonts w:ascii="Times New Roman" w:hAnsi="Times New Roman"/>
                      <w:bCs/>
                      <w:i w:val="0"/>
                      <w:iCs w:val="0"/>
                      <w:sz w:val="21"/>
                      <w:szCs w:val="21"/>
                      <w:highlight w:val="none"/>
                    </w:rPr>
                  </w:pPr>
                  <w:r>
                    <w:rPr>
                      <w:rFonts w:ascii="Times New Roman" w:hAnsi="Times New Roman"/>
                      <w:bCs/>
                      <w:i w:val="0"/>
                      <w:iCs w:val="0"/>
                      <w:sz w:val="21"/>
                      <w:szCs w:val="21"/>
                      <w:highlight w:val="none"/>
                    </w:rPr>
                    <w:t>标准名称及级（类）别</w:t>
                  </w:r>
                </w:p>
              </w:tc>
              <w:tc>
                <w:tcPr>
                  <w:tcW w:w="3823" w:type="dxa"/>
                  <w:gridSpan w:val="3"/>
                  <w:tcBorders>
                    <w:tl2br w:val="nil"/>
                    <w:tr2bl w:val="nil"/>
                  </w:tcBorders>
                  <w:vAlign w:val="center"/>
                </w:tcPr>
                <w:p w14:paraId="14F8810A">
                  <w:pPr>
                    <w:pStyle w:val="117"/>
                    <w:autoSpaceDE w:val="0"/>
                    <w:autoSpaceDN w:val="0"/>
                    <w:spacing w:line="360" w:lineRule="auto"/>
                    <w:contextualSpacing/>
                    <w:jc w:val="center"/>
                    <w:textAlignment w:val="bottom"/>
                    <w:rPr>
                      <w:rFonts w:ascii="Times New Roman" w:hAnsi="Times New Roman"/>
                      <w:bCs/>
                      <w:sz w:val="21"/>
                      <w:szCs w:val="21"/>
                      <w:highlight w:val="none"/>
                    </w:rPr>
                  </w:pPr>
                  <w:r>
                    <w:rPr>
                      <w:rFonts w:ascii="Times New Roman" w:hAnsi="Times New Roman"/>
                      <w:bCs/>
                      <w:sz w:val="21"/>
                      <w:szCs w:val="21"/>
                      <w:highlight w:val="none"/>
                    </w:rPr>
                    <w:t>项目</w:t>
                  </w:r>
                </w:p>
              </w:tc>
              <w:tc>
                <w:tcPr>
                  <w:tcW w:w="951" w:type="dxa"/>
                  <w:tcBorders>
                    <w:tl2br w:val="nil"/>
                    <w:tr2bl w:val="nil"/>
                  </w:tcBorders>
                  <w:vAlign w:val="center"/>
                </w:tcPr>
                <w:p w14:paraId="7741800F">
                  <w:pPr>
                    <w:pStyle w:val="117"/>
                    <w:autoSpaceDE w:val="0"/>
                    <w:autoSpaceDN w:val="0"/>
                    <w:spacing w:line="360" w:lineRule="auto"/>
                    <w:contextualSpacing/>
                    <w:jc w:val="center"/>
                    <w:textAlignment w:val="bottom"/>
                    <w:rPr>
                      <w:rFonts w:ascii="Times New Roman" w:hAnsi="Times New Roman"/>
                      <w:bCs/>
                      <w:sz w:val="21"/>
                      <w:szCs w:val="21"/>
                      <w:highlight w:val="none"/>
                    </w:rPr>
                  </w:pPr>
                  <w:r>
                    <w:rPr>
                      <w:rFonts w:ascii="Times New Roman" w:hAnsi="Times New Roman"/>
                      <w:bCs/>
                      <w:sz w:val="21"/>
                      <w:szCs w:val="21"/>
                      <w:highlight w:val="none"/>
                    </w:rPr>
                    <w:t>单位</w:t>
                  </w:r>
                </w:p>
              </w:tc>
              <w:tc>
                <w:tcPr>
                  <w:tcW w:w="944" w:type="dxa"/>
                  <w:tcBorders>
                    <w:tl2br w:val="nil"/>
                    <w:tr2bl w:val="nil"/>
                  </w:tcBorders>
                  <w:vAlign w:val="center"/>
                </w:tcPr>
                <w:p w14:paraId="47AD8BE1">
                  <w:pPr>
                    <w:pStyle w:val="117"/>
                    <w:autoSpaceDE w:val="0"/>
                    <w:autoSpaceDN w:val="0"/>
                    <w:spacing w:line="360" w:lineRule="auto"/>
                    <w:contextualSpacing/>
                    <w:jc w:val="center"/>
                    <w:textAlignment w:val="bottom"/>
                    <w:rPr>
                      <w:rFonts w:ascii="Times New Roman" w:hAnsi="Times New Roman"/>
                      <w:bCs/>
                      <w:sz w:val="21"/>
                      <w:szCs w:val="21"/>
                      <w:highlight w:val="none"/>
                    </w:rPr>
                  </w:pPr>
                  <w:r>
                    <w:rPr>
                      <w:rFonts w:ascii="Times New Roman" w:hAnsi="Times New Roman"/>
                      <w:bCs/>
                      <w:sz w:val="21"/>
                      <w:szCs w:val="21"/>
                      <w:highlight w:val="none"/>
                    </w:rPr>
                    <w:t>限值</w:t>
                  </w:r>
                </w:p>
              </w:tc>
            </w:tr>
            <w:tr w14:paraId="182039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786" w:type="dxa"/>
                  <w:vMerge w:val="restart"/>
                  <w:tcBorders>
                    <w:tl2br w:val="nil"/>
                    <w:tr2bl w:val="nil"/>
                  </w:tcBorders>
                  <w:vAlign w:val="center"/>
                </w:tcPr>
                <w:p w14:paraId="1402ADFB">
                  <w:pPr>
                    <w:pStyle w:val="117"/>
                    <w:autoSpaceDE w:val="0"/>
                    <w:autoSpaceDN w:val="0"/>
                    <w:spacing w:line="360" w:lineRule="auto"/>
                    <w:contextualSpacing/>
                    <w:jc w:val="center"/>
                    <w:textAlignment w:val="bottom"/>
                    <w:rPr>
                      <w:rFonts w:ascii="Times New Roman" w:hAnsi="Times New Roman"/>
                      <w:bCs/>
                      <w:i w:val="0"/>
                      <w:iCs w:val="0"/>
                      <w:sz w:val="21"/>
                      <w:szCs w:val="21"/>
                      <w:highlight w:val="none"/>
                    </w:rPr>
                  </w:pPr>
                  <w:r>
                    <w:rPr>
                      <w:rFonts w:hint="eastAsia" w:ascii="Times New Roman" w:hAnsi="Times New Roman"/>
                      <w:bCs/>
                      <w:i w:val="0"/>
                      <w:iCs w:val="0"/>
                      <w:sz w:val="21"/>
                      <w:szCs w:val="21"/>
                      <w:highlight w:val="none"/>
                      <w:lang w:val="en-US" w:eastAsia="zh-CN"/>
                    </w:rPr>
                    <w:t>《水泥工业大气污染物排放标准》（</w:t>
                  </w:r>
                  <w:r>
                    <w:rPr>
                      <w:rFonts w:hint="default" w:ascii="Times New Roman" w:hAnsi="Times New Roman"/>
                      <w:bCs/>
                      <w:i w:val="0"/>
                      <w:iCs w:val="0"/>
                      <w:sz w:val="21"/>
                      <w:szCs w:val="21"/>
                      <w:highlight w:val="none"/>
                      <w:lang w:val="en-US" w:eastAsia="zh-CN"/>
                    </w:rPr>
                    <w:t>GB4915-2013</w:t>
                  </w:r>
                  <w:r>
                    <w:rPr>
                      <w:rFonts w:hint="eastAsia" w:ascii="Times New Roman" w:hAnsi="Times New Roman"/>
                      <w:bCs/>
                      <w:i w:val="0"/>
                      <w:iCs w:val="0"/>
                      <w:sz w:val="21"/>
                      <w:szCs w:val="21"/>
                      <w:highlight w:val="none"/>
                      <w:lang w:val="en-US" w:eastAsia="zh-CN"/>
                    </w:rPr>
                    <w:t>）</w:t>
                  </w:r>
                </w:p>
              </w:tc>
              <w:tc>
                <w:tcPr>
                  <w:tcW w:w="1145" w:type="dxa"/>
                  <w:gridSpan w:val="2"/>
                  <w:tcBorders>
                    <w:tl2br w:val="nil"/>
                    <w:tr2bl w:val="nil"/>
                  </w:tcBorders>
                  <w:vAlign w:val="center"/>
                </w:tcPr>
                <w:p w14:paraId="3F8602CA">
                  <w:pPr>
                    <w:pStyle w:val="117"/>
                    <w:autoSpaceDE w:val="0"/>
                    <w:autoSpaceDN w:val="0"/>
                    <w:spacing w:line="360" w:lineRule="auto"/>
                    <w:contextualSpacing/>
                    <w:jc w:val="center"/>
                    <w:textAlignment w:val="bottom"/>
                    <w:rPr>
                      <w:rFonts w:hint="eastAsia" w:ascii="Times New Roman" w:hAnsi="Times New Roman" w:eastAsia="宋体"/>
                      <w:bCs/>
                      <w:sz w:val="21"/>
                      <w:szCs w:val="21"/>
                      <w:highlight w:val="none"/>
                      <w:lang w:val="en-US" w:eastAsia="zh-CN"/>
                    </w:rPr>
                  </w:pPr>
                  <w:r>
                    <w:rPr>
                      <w:rFonts w:hint="eastAsia" w:ascii="Times New Roman" w:hAnsi="Times New Roman"/>
                      <w:bCs/>
                      <w:sz w:val="21"/>
                      <w:szCs w:val="21"/>
                      <w:highlight w:val="none"/>
                      <w:lang w:val="en-US" w:eastAsia="zh-CN"/>
                    </w:rPr>
                    <w:t>颗粒物</w:t>
                  </w:r>
                </w:p>
              </w:tc>
              <w:tc>
                <w:tcPr>
                  <w:tcW w:w="2678" w:type="dxa"/>
                  <w:tcBorders>
                    <w:tl2br w:val="nil"/>
                    <w:tr2bl w:val="nil"/>
                  </w:tcBorders>
                  <w:vAlign w:val="center"/>
                </w:tcPr>
                <w:p w14:paraId="53FD78CB">
                  <w:pPr>
                    <w:pStyle w:val="117"/>
                    <w:autoSpaceDE w:val="0"/>
                    <w:autoSpaceDN w:val="0"/>
                    <w:spacing w:line="360" w:lineRule="auto"/>
                    <w:contextualSpacing/>
                    <w:jc w:val="center"/>
                    <w:textAlignment w:val="bottom"/>
                    <w:rPr>
                      <w:rFonts w:hint="eastAsia" w:ascii="Times New Roman" w:hAnsi="Times New Roman" w:eastAsia="宋体"/>
                      <w:bCs/>
                      <w:sz w:val="21"/>
                      <w:szCs w:val="21"/>
                      <w:highlight w:val="none"/>
                      <w:lang w:val="en-US" w:eastAsia="zh-CN"/>
                    </w:rPr>
                  </w:pPr>
                  <w:r>
                    <w:rPr>
                      <w:rFonts w:hint="eastAsia" w:ascii="Times New Roman" w:hAnsi="Times New Roman"/>
                      <w:bCs/>
                      <w:sz w:val="21"/>
                      <w:szCs w:val="21"/>
                      <w:highlight w:val="none"/>
                      <w:lang w:val="en-US" w:eastAsia="zh-CN"/>
                    </w:rPr>
                    <w:t>有组织</w:t>
                  </w:r>
                </w:p>
              </w:tc>
              <w:tc>
                <w:tcPr>
                  <w:tcW w:w="951" w:type="dxa"/>
                  <w:tcBorders>
                    <w:tl2br w:val="nil"/>
                    <w:tr2bl w:val="nil"/>
                  </w:tcBorders>
                  <w:vAlign w:val="center"/>
                </w:tcPr>
                <w:p w14:paraId="3CF67831">
                  <w:pPr>
                    <w:pStyle w:val="117"/>
                    <w:autoSpaceDE w:val="0"/>
                    <w:autoSpaceDN w:val="0"/>
                    <w:spacing w:line="360" w:lineRule="auto"/>
                    <w:contextualSpacing/>
                    <w:jc w:val="center"/>
                    <w:textAlignment w:val="bottom"/>
                    <w:rPr>
                      <w:rFonts w:ascii="Times New Roman" w:hAnsi="Times New Roman"/>
                      <w:bCs/>
                      <w:sz w:val="21"/>
                      <w:szCs w:val="21"/>
                      <w:highlight w:val="none"/>
                    </w:rPr>
                  </w:pPr>
                  <w:r>
                    <w:rPr>
                      <w:rFonts w:hint="eastAsia" w:ascii="Times New Roman" w:hAnsi="Times New Roman"/>
                      <w:bCs/>
                      <w:sz w:val="21"/>
                      <w:szCs w:val="21"/>
                      <w:highlight w:val="none"/>
                      <w:lang w:val="en-US" w:eastAsia="zh-CN"/>
                    </w:rPr>
                    <w:t>mg/m</w:t>
                  </w:r>
                  <w:r>
                    <w:rPr>
                      <w:rFonts w:hint="eastAsia" w:ascii="Times New Roman" w:hAnsi="Times New Roman"/>
                      <w:bCs/>
                      <w:sz w:val="21"/>
                      <w:szCs w:val="21"/>
                      <w:highlight w:val="none"/>
                      <w:vertAlign w:val="superscript"/>
                      <w:lang w:val="en-US" w:eastAsia="zh-CN"/>
                    </w:rPr>
                    <w:t>3</w:t>
                  </w:r>
                </w:p>
              </w:tc>
              <w:tc>
                <w:tcPr>
                  <w:tcW w:w="944" w:type="dxa"/>
                  <w:tcBorders>
                    <w:tl2br w:val="nil"/>
                    <w:tr2bl w:val="nil"/>
                  </w:tcBorders>
                  <w:vAlign w:val="center"/>
                </w:tcPr>
                <w:p w14:paraId="5DA3A923">
                  <w:pPr>
                    <w:pStyle w:val="117"/>
                    <w:autoSpaceDE w:val="0"/>
                    <w:autoSpaceDN w:val="0"/>
                    <w:spacing w:line="360" w:lineRule="auto"/>
                    <w:contextualSpacing/>
                    <w:jc w:val="center"/>
                    <w:textAlignment w:val="bottom"/>
                    <w:rPr>
                      <w:rFonts w:hint="default" w:ascii="Times New Roman" w:hAnsi="Times New Roman" w:eastAsia="宋体"/>
                      <w:bCs/>
                      <w:sz w:val="21"/>
                      <w:szCs w:val="21"/>
                      <w:highlight w:val="none"/>
                      <w:lang w:val="en-US" w:eastAsia="zh-CN"/>
                    </w:rPr>
                  </w:pPr>
                  <w:r>
                    <w:rPr>
                      <w:rFonts w:hint="eastAsia" w:ascii="Times New Roman" w:hAnsi="Times New Roman"/>
                      <w:bCs/>
                      <w:sz w:val="21"/>
                      <w:szCs w:val="21"/>
                      <w:highlight w:val="none"/>
                      <w:lang w:val="en-US" w:eastAsia="zh-CN"/>
                    </w:rPr>
                    <w:t>20</w:t>
                  </w:r>
                </w:p>
              </w:tc>
            </w:tr>
            <w:tr w14:paraId="75F6E5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786" w:type="dxa"/>
                  <w:vMerge w:val="continue"/>
                  <w:tcBorders>
                    <w:tl2br w:val="nil"/>
                    <w:tr2bl w:val="nil"/>
                  </w:tcBorders>
                  <w:vAlign w:val="center"/>
                </w:tcPr>
                <w:p w14:paraId="3E490729">
                  <w:pPr>
                    <w:pStyle w:val="117"/>
                    <w:autoSpaceDE w:val="0"/>
                    <w:autoSpaceDN w:val="0"/>
                    <w:spacing w:line="360" w:lineRule="auto"/>
                    <w:contextualSpacing/>
                    <w:jc w:val="center"/>
                    <w:textAlignment w:val="bottom"/>
                    <w:rPr>
                      <w:rFonts w:ascii="Times New Roman" w:hAnsi="Times New Roman"/>
                      <w:bCs/>
                      <w:i w:val="0"/>
                      <w:iCs w:val="0"/>
                      <w:sz w:val="21"/>
                      <w:szCs w:val="21"/>
                      <w:highlight w:val="none"/>
                    </w:rPr>
                  </w:pPr>
                </w:p>
              </w:tc>
              <w:tc>
                <w:tcPr>
                  <w:tcW w:w="1143" w:type="dxa"/>
                  <w:tcBorders>
                    <w:tl2br w:val="nil"/>
                    <w:tr2bl w:val="nil"/>
                  </w:tcBorders>
                  <w:vAlign w:val="center"/>
                </w:tcPr>
                <w:p w14:paraId="0526D9F1">
                  <w:pPr>
                    <w:pStyle w:val="117"/>
                    <w:autoSpaceDE w:val="0"/>
                    <w:autoSpaceDN w:val="0"/>
                    <w:spacing w:line="360" w:lineRule="auto"/>
                    <w:contextualSpacing/>
                    <w:jc w:val="center"/>
                    <w:textAlignment w:val="bottom"/>
                    <w:rPr>
                      <w:rFonts w:hint="eastAsia" w:ascii="Times New Roman" w:hAnsi="Times New Roman" w:eastAsia="宋体"/>
                      <w:bCs/>
                      <w:sz w:val="21"/>
                      <w:szCs w:val="21"/>
                      <w:highlight w:val="none"/>
                      <w:lang w:eastAsia="zh-CN"/>
                    </w:rPr>
                  </w:pPr>
                  <w:r>
                    <w:rPr>
                      <w:rFonts w:hint="eastAsia" w:ascii="Times New Roman" w:hAnsi="Times New Roman"/>
                      <w:bCs/>
                      <w:sz w:val="21"/>
                      <w:szCs w:val="21"/>
                      <w:highlight w:val="none"/>
                      <w:lang w:val="en-US" w:eastAsia="zh-CN"/>
                    </w:rPr>
                    <w:t>颗粒物</w:t>
                  </w:r>
                </w:p>
              </w:tc>
              <w:tc>
                <w:tcPr>
                  <w:tcW w:w="2680" w:type="dxa"/>
                  <w:gridSpan w:val="2"/>
                  <w:tcBorders>
                    <w:tl2br w:val="nil"/>
                    <w:tr2bl w:val="nil"/>
                  </w:tcBorders>
                  <w:vAlign w:val="center"/>
                </w:tcPr>
                <w:p w14:paraId="06BB2685">
                  <w:pPr>
                    <w:pStyle w:val="117"/>
                    <w:autoSpaceDE w:val="0"/>
                    <w:autoSpaceDN w:val="0"/>
                    <w:spacing w:line="360" w:lineRule="auto"/>
                    <w:contextualSpacing/>
                    <w:jc w:val="center"/>
                    <w:textAlignment w:val="bottom"/>
                    <w:rPr>
                      <w:rFonts w:ascii="Times New Roman" w:hAnsi="Times New Roman"/>
                      <w:bCs/>
                      <w:sz w:val="21"/>
                      <w:szCs w:val="21"/>
                      <w:highlight w:val="none"/>
                    </w:rPr>
                  </w:pPr>
                  <w:r>
                    <w:rPr>
                      <w:rFonts w:ascii="Times New Roman" w:hAnsi="Times New Roman"/>
                      <w:bCs/>
                      <w:sz w:val="21"/>
                      <w:szCs w:val="21"/>
                      <w:highlight w:val="none"/>
                    </w:rPr>
                    <w:t>厂界标准值</w:t>
                  </w:r>
                </w:p>
              </w:tc>
              <w:tc>
                <w:tcPr>
                  <w:tcW w:w="951" w:type="dxa"/>
                  <w:tcBorders>
                    <w:tl2br w:val="nil"/>
                    <w:tr2bl w:val="nil"/>
                  </w:tcBorders>
                  <w:vAlign w:val="center"/>
                </w:tcPr>
                <w:p w14:paraId="5F11F3D5">
                  <w:pPr>
                    <w:pStyle w:val="117"/>
                    <w:autoSpaceDE w:val="0"/>
                    <w:autoSpaceDN w:val="0"/>
                    <w:spacing w:line="360" w:lineRule="auto"/>
                    <w:contextualSpacing/>
                    <w:jc w:val="center"/>
                    <w:textAlignment w:val="bottom"/>
                    <w:rPr>
                      <w:rFonts w:hint="default" w:ascii="Times New Roman" w:hAnsi="Times New Roman" w:eastAsia="宋体"/>
                      <w:bCs/>
                      <w:sz w:val="21"/>
                      <w:szCs w:val="21"/>
                      <w:highlight w:val="none"/>
                      <w:lang w:val="en-US" w:eastAsia="zh-CN"/>
                    </w:rPr>
                  </w:pPr>
                  <w:r>
                    <w:rPr>
                      <w:rFonts w:hint="eastAsia" w:ascii="Times New Roman" w:hAnsi="Times New Roman"/>
                      <w:bCs/>
                      <w:sz w:val="21"/>
                      <w:szCs w:val="21"/>
                      <w:highlight w:val="none"/>
                      <w:lang w:val="en-US" w:eastAsia="zh-CN"/>
                    </w:rPr>
                    <w:t>mg/m</w:t>
                  </w:r>
                  <w:r>
                    <w:rPr>
                      <w:rFonts w:hint="eastAsia" w:ascii="Times New Roman" w:hAnsi="Times New Roman"/>
                      <w:bCs/>
                      <w:sz w:val="21"/>
                      <w:szCs w:val="21"/>
                      <w:highlight w:val="none"/>
                      <w:vertAlign w:val="superscript"/>
                      <w:lang w:val="en-US" w:eastAsia="zh-CN"/>
                    </w:rPr>
                    <w:t>3</w:t>
                  </w:r>
                </w:p>
              </w:tc>
              <w:tc>
                <w:tcPr>
                  <w:tcW w:w="944" w:type="dxa"/>
                  <w:tcBorders>
                    <w:tl2br w:val="nil"/>
                    <w:tr2bl w:val="nil"/>
                  </w:tcBorders>
                  <w:vAlign w:val="center"/>
                </w:tcPr>
                <w:p w14:paraId="239E45F1">
                  <w:pPr>
                    <w:pStyle w:val="117"/>
                    <w:autoSpaceDE w:val="0"/>
                    <w:autoSpaceDN w:val="0"/>
                    <w:spacing w:line="360" w:lineRule="auto"/>
                    <w:contextualSpacing/>
                    <w:jc w:val="center"/>
                    <w:textAlignment w:val="bottom"/>
                    <w:rPr>
                      <w:rFonts w:hint="default" w:ascii="Times New Roman" w:hAnsi="Times New Roman" w:eastAsia="宋体"/>
                      <w:bCs/>
                      <w:sz w:val="21"/>
                      <w:szCs w:val="21"/>
                      <w:highlight w:val="none"/>
                      <w:lang w:val="en-US" w:eastAsia="zh-CN"/>
                    </w:rPr>
                  </w:pPr>
                  <w:r>
                    <w:rPr>
                      <w:rFonts w:hint="eastAsia" w:ascii="Times New Roman" w:hAnsi="Times New Roman"/>
                      <w:bCs/>
                      <w:sz w:val="21"/>
                      <w:szCs w:val="21"/>
                      <w:highlight w:val="none"/>
                      <w:lang w:val="en-US" w:eastAsia="zh-CN"/>
                    </w:rPr>
                    <w:t>0.5</w:t>
                  </w:r>
                </w:p>
              </w:tc>
            </w:tr>
          </w:tbl>
          <w:p w14:paraId="13854858">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w:t>
            </w:r>
            <w:r>
              <w:rPr>
                <w:rFonts w:hint="eastAsia" w:cs="Times New Roman"/>
                <w:color w:val="auto"/>
                <w:sz w:val="24"/>
                <w:szCs w:val="24"/>
                <w:highlight w:val="none"/>
                <w:lang w:val="en-US" w:eastAsia="zh-CN"/>
              </w:rPr>
              <w:t>燃生物质蒸汽发生器烟气</w:t>
            </w:r>
            <w:r>
              <w:rPr>
                <w:rFonts w:hint="default" w:ascii="Times New Roman" w:hAnsi="Times New Roman" w:cs="Times New Roman"/>
                <w:color w:val="auto"/>
                <w:sz w:val="24"/>
                <w:szCs w:val="24"/>
                <w:highlight w:val="none"/>
              </w:rPr>
              <w:t>执行《锅炉大气污染物排放标准》（GB13271-2014）表</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中</w:t>
            </w:r>
            <w:r>
              <w:rPr>
                <w:rFonts w:hint="eastAsia" w:cs="Times New Roman"/>
                <w:color w:val="auto"/>
                <w:sz w:val="24"/>
                <w:szCs w:val="24"/>
                <w:highlight w:val="none"/>
                <w:lang w:val="en-US" w:eastAsia="zh-CN"/>
              </w:rPr>
              <w:t>新建燃燃煤锅炉大气污染区排放限值</w:t>
            </w:r>
            <w:r>
              <w:rPr>
                <w:rFonts w:hint="default" w:ascii="Times New Roman" w:hAnsi="Times New Roman" w:cs="Times New Roman"/>
                <w:color w:val="auto"/>
                <w:sz w:val="24"/>
                <w:szCs w:val="24"/>
                <w:highlight w:val="none"/>
              </w:rPr>
              <w:t>，具体标准浓度限值见表3-</w:t>
            </w: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w:t>
            </w:r>
          </w:p>
          <w:p w14:paraId="06394EA8">
            <w:pPr>
              <w:ind w:firstLine="482"/>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表3-</w:t>
            </w:r>
            <w:r>
              <w:rPr>
                <w:rFonts w:hint="eastAsia" w:cs="Times New Roman"/>
                <w:b/>
                <w:color w:val="auto"/>
                <w:sz w:val="24"/>
                <w:szCs w:val="24"/>
                <w:highlight w:val="none"/>
                <w:lang w:val="en-US" w:eastAsia="zh-CN"/>
              </w:rPr>
              <w:t>7</w:t>
            </w:r>
            <w:r>
              <w:rPr>
                <w:rFonts w:hint="default" w:ascii="Times New Roman" w:hAnsi="Times New Roman" w:cs="Times New Roman"/>
                <w:b/>
                <w:color w:val="auto"/>
                <w:sz w:val="24"/>
                <w:szCs w:val="24"/>
                <w:highlight w:val="none"/>
              </w:rPr>
              <w:t xml:space="preserve"> 锅炉大气污染物排放标准  单位：mg/m</w:t>
            </w:r>
            <w:r>
              <w:rPr>
                <w:rFonts w:hint="default" w:ascii="Times New Roman" w:hAnsi="Times New Roman" w:cs="Times New Roman"/>
                <w:b/>
                <w:color w:val="auto"/>
                <w:sz w:val="24"/>
                <w:szCs w:val="24"/>
                <w:highlight w:val="none"/>
                <w:vertAlign w:val="superscript"/>
              </w:rPr>
              <w:t>3</w:t>
            </w:r>
          </w:p>
          <w:tbl>
            <w:tblPr>
              <w:tblStyle w:val="31"/>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6" w:type="dxa"/>
                <w:bottom w:w="0" w:type="dxa"/>
                <w:right w:w="56" w:type="dxa"/>
              </w:tblCellMar>
            </w:tblPr>
            <w:tblGrid>
              <w:gridCol w:w="1309"/>
              <w:gridCol w:w="900"/>
              <w:gridCol w:w="1162"/>
              <w:gridCol w:w="1336"/>
              <w:gridCol w:w="1849"/>
              <w:gridCol w:w="1850"/>
            </w:tblGrid>
            <w:tr w14:paraId="47E9D5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09" w:hRule="exact"/>
                <w:jc w:val="center"/>
              </w:trPr>
              <w:tc>
                <w:tcPr>
                  <w:tcW w:w="778" w:type="pct"/>
                  <w:tcBorders>
                    <w:tl2br w:val="nil"/>
                    <w:tr2bl w:val="nil"/>
                  </w:tcBorders>
                </w:tcPr>
                <w:p w14:paraId="586057CA">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污染物项目</w:t>
                  </w:r>
                </w:p>
              </w:tc>
              <w:tc>
                <w:tcPr>
                  <w:tcW w:w="535" w:type="pct"/>
                  <w:tcBorders>
                    <w:tl2br w:val="nil"/>
                    <w:tr2bl w:val="nil"/>
                  </w:tcBorders>
                  <w:vAlign w:val="center"/>
                </w:tcPr>
                <w:p w14:paraId="3D0766D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691" w:type="pct"/>
                  <w:tcBorders>
                    <w:tl2br w:val="nil"/>
                    <w:tr2bl w:val="nil"/>
                  </w:tcBorders>
                  <w:vAlign w:val="center"/>
                </w:tcPr>
                <w:p w14:paraId="5DC9CD0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二氧化硫</w:t>
                  </w:r>
                </w:p>
              </w:tc>
              <w:tc>
                <w:tcPr>
                  <w:tcW w:w="794" w:type="pct"/>
                  <w:tcBorders>
                    <w:tl2br w:val="nil"/>
                    <w:tr2bl w:val="nil"/>
                  </w:tcBorders>
                  <w:vAlign w:val="center"/>
                </w:tcPr>
                <w:p w14:paraId="740D73A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氮氧化物</w:t>
                  </w:r>
                </w:p>
              </w:tc>
              <w:tc>
                <w:tcPr>
                  <w:tcW w:w="1099" w:type="pct"/>
                  <w:tcBorders>
                    <w:tl2br w:val="nil"/>
                    <w:tr2bl w:val="nil"/>
                  </w:tcBorders>
                  <w:vAlign w:val="center"/>
                </w:tcPr>
                <w:p w14:paraId="45F5B7A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烟气黑度</w:t>
                  </w:r>
                </w:p>
              </w:tc>
              <w:tc>
                <w:tcPr>
                  <w:tcW w:w="1100" w:type="pct"/>
                  <w:tcBorders>
                    <w:tl2br w:val="nil"/>
                    <w:tr2bl w:val="nil"/>
                  </w:tcBorders>
                  <w:vAlign w:val="center"/>
                </w:tcPr>
                <w:p w14:paraId="0CBEFBAA">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汞及其化合物</w:t>
                  </w:r>
                </w:p>
              </w:tc>
            </w:tr>
            <w:tr w14:paraId="0BAD3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715" w:hRule="exact"/>
                <w:jc w:val="center"/>
              </w:trPr>
              <w:tc>
                <w:tcPr>
                  <w:tcW w:w="778" w:type="pct"/>
                  <w:tcBorders>
                    <w:tl2br w:val="nil"/>
                    <w:tr2bl w:val="nil"/>
                  </w:tcBorders>
                  <w:vAlign w:val="center"/>
                </w:tcPr>
                <w:p w14:paraId="3BE4A9FF">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限值</w:t>
                  </w:r>
                </w:p>
              </w:tc>
              <w:tc>
                <w:tcPr>
                  <w:tcW w:w="535" w:type="pct"/>
                  <w:tcBorders>
                    <w:tl2br w:val="nil"/>
                    <w:tr2bl w:val="nil"/>
                  </w:tcBorders>
                  <w:vAlign w:val="center"/>
                </w:tcPr>
                <w:p w14:paraId="553A2ED0">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w:t>
                  </w:r>
                </w:p>
              </w:tc>
              <w:tc>
                <w:tcPr>
                  <w:tcW w:w="691" w:type="pct"/>
                  <w:tcBorders>
                    <w:tl2br w:val="nil"/>
                    <w:tr2bl w:val="nil"/>
                  </w:tcBorders>
                  <w:vAlign w:val="center"/>
                </w:tcPr>
                <w:p w14:paraId="5717E0F4">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300</w:t>
                  </w:r>
                </w:p>
              </w:tc>
              <w:tc>
                <w:tcPr>
                  <w:tcW w:w="794" w:type="pct"/>
                  <w:tcBorders>
                    <w:tl2br w:val="nil"/>
                    <w:tr2bl w:val="nil"/>
                  </w:tcBorders>
                  <w:vAlign w:val="center"/>
                </w:tcPr>
                <w:p w14:paraId="05013464">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300</w:t>
                  </w:r>
                </w:p>
              </w:tc>
              <w:tc>
                <w:tcPr>
                  <w:tcW w:w="1099" w:type="pct"/>
                  <w:tcBorders>
                    <w:tl2br w:val="nil"/>
                    <w:tr2bl w:val="nil"/>
                  </w:tcBorders>
                  <w:vAlign w:val="center"/>
                </w:tcPr>
                <w:p w14:paraId="48A3929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≤1级</w:t>
                  </w:r>
                </w:p>
              </w:tc>
              <w:tc>
                <w:tcPr>
                  <w:tcW w:w="1100" w:type="pct"/>
                  <w:tcBorders>
                    <w:tl2br w:val="nil"/>
                    <w:tr2bl w:val="nil"/>
                  </w:tcBorders>
                  <w:vAlign w:val="center"/>
                </w:tcPr>
                <w:p w14:paraId="5871AA5B">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0.05</w:t>
                  </w:r>
                </w:p>
              </w:tc>
            </w:tr>
          </w:tbl>
          <w:p w14:paraId="7F7A2E46">
            <w:pPr>
              <w:numPr>
                <w:ilvl w:val="0"/>
                <w:numId w:val="13"/>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废水</w:t>
            </w:r>
          </w:p>
          <w:p w14:paraId="4893DB8A">
            <w:pPr>
              <w:numPr>
                <w:ilvl w:val="0"/>
                <w:numId w:val="0"/>
              </w:numPr>
              <w:adjustRightInd w:val="0"/>
              <w:snapToGrid w:val="0"/>
              <w:spacing w:line="360" w:lineRule="auto"/>
              <w:ind w:firstLine="480" w:firstLineChars="200"/>
              <w:rPr>
                <w:rFonts w:hint="eastAsia"/>
                <w:sz w:val="24"/>
                <w:highlight w:val="none"/>
                <w:lang w:val="en-US" w:eastAsia="zh-CN"/>
              </w:rPr>
            </w:pPr>
            <w:r>
              <w:rPr>
                <w:rFonts w:hint="eastAsia"/>
                <w:sz w:val="24"/>
                <w:highlight w:val="none"/>
                <w:lang w:eastAsia="zh-CN"/>
              </w:rPr>
              <w:t>本项目生活污水排入防渗旱厕，定期清掏堆肥。</w:t>
            </w:r>
            <w:r>
              <w:rPr>
                <w:rFonts w:hint="eastAsia"/>
                <w:sz w:val="24"/>
                <w:highlight w:val="none"/>
                <w:lang w:val="en-US" w:eastAsia="zh-CN"/>
              </w:rPr>
              <w:t>初期雨水收集池收集15分钟内的初期雨水，用于厂区降尘用水，其余雨水沉淀后排入厂区外，间断较密集暴雨天气，初期雨水收集池贮存不下的初期雨水沉淀后排出厂区外</w:t>
            </w:r>
            <w:r>
              <w:rPr>
                <w:rFonts w:hint="eastAsia"/>
                <w:sz w:val="24"/>
                <w:highlight w:val="none"/>
                <w:lang w:eastAsia="zh-CN"/>
              </w:rPr>
              <w:t>。本项目</w:t>
            </w:r>
            <w:r>
              <w:rPr>
                <w:rFonts w:hint="eastAsia"/>
                <w:sz w:val="24"/>
                <w:highlight w:val="none"/>
                <w:lang w:val="en-US" w:eastAsia="zh-CN"/>
              </w:rPr>
              <w:t>搅拌机清洗废水、养护废水和初期雨水均排入沉淀池回用，不外排。</w:t>
            </w:r>
          </w:p>
          <w:p w14:paraId="7A9E3FE2">
            <w:pPr>
              <w:numPr>
                <w:ilvl w:val="0"/>
                <w:numId w:val="13"/>
              </w:numPr>
              <w:adjustRightInd w:val="0"/>
              <w:snapToGrid w:val="0"/>
              <w:spacing w:line="360" w:lineRule="auto"/>
              <w:ind w:left="0" w:leftChars="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噪声</w:t>
            </w:r>
          </w:p>
          <w:p w14:paraId="6E64B572">
            <w:pPr>
              <w:numPr>
                <w:ilvl w:val="0"/>
                <w:numId w:val="0"/>
              </w:numPr>
              <w:adjustRightInd w:val="0"/>
              <w:snapToGrid w:val="0"/>
              <w:spacing w:line="360" w:lineRule="auto"/>
              <w:ind w:firstLine="480" w:firstLineChars="200"/>
              <w:rPr>
                <w:rFonts w:hint="default" w:ascii="Times New Roman" w:hAnsi="Times New Roman" w:eastAsia="宋体" w:cs="Times New Roman"/>
                <w:sz w:val="24"/>
                <w:highlight w:val="none"/>
                <w:lang w:eastAsia="zh-CN"/>
              </w:rPr>
            </w:pPr>
            <w:r>
              <w:rPr>
                <w:rFonts w:hint="eastAsia" w:ascii="Times New Roman" w:hAnsi="Times New Roman" w:eastAsia="宋体" w:cs="Times New Roman"/>
                <w:sz w:val="24"/>
                <w:highlight w:val="yellow"/>
                <w:lang w:val="en-US" w:eastAsia="zh-CN"/>
              </w:rPr>
              <w:t>本项目东西南三侧均为农田，北侧为G501国道。根据《声环境功能区划分技术规范》（</w:t>
            </w:r>
            <w:r>
              <w:rPr>
                <w:rFonts w:hint="default" w:ascii="Times New Roman" w:hAnsi="Times New Roman" w:eastAsia="宋体" w:cs="Times New Roman"/>
                <w:sz w:val="24"/>
                <w:highlight w:val="yellow"/>
                <w:lang w:val="en-US" w:eastAsia="zh-CN"/>
              </w:rPr>
              <w:t>GB/T15190</w:t>
            </w:r>
            <w:r>
              <w:rPr>
                <w:rFonts w:hint="eastAsia" w:ascii="Times New Roman" w:hAnsi="Times New Roman" w:eastAsia="宋体" w:cs="Times New Roman"/>
                <w:sz w:val="24"/>
                <w:highlight w:val="yellow"/>
                <w:lang w:val="en-US" w:eastAsia="zh-CN"/>
              </w:rPr>
              <w:t>–</w:t>
            </w:r>
            <w:r>
              <w:rPr>
                <w:rFonts w:hint="default" w:ascii="Times New Roman" w:hAnsi="Times New Roman" w:eastAsia="宋体" w:cs="Times New Roman"/>
                <w:sz w:val="24"/>
                <w:highlight w:val="yellow"/>
                <w:lang w:val="en-US" w:eastAsia="zh-CN"/>
              </w:rPr>
              <w:t>2014</w:t>
            </w:r>
            <w:r>
              <w:rPr>
                <w:rFonts w:hint="eastAsia" w:ascii="Times New Roman" w:hAnsi="Times New Roman" w:eastAsia="宋体" w:cs="Times New Roman"/>
                <w:sz w:val="24"/>
                <w:highlight w:val="yellow"/>
                <w:lang w:val="en-US" w:eastAsia="zh-CN"/>
              </w:rPr>
              <w:t>）相关规定进行校核功能区类别：相邻区域为</w:t>
            </w:r>
            <w:r>
              <w:rPr>
                <w:rFonts w:hint="default" w:ascii="Times New Roman" w:hAnsi="Times New Roman" w:eastAsia="宋体" w:cs="Times New Roman"/>
                <w:sz w:val="24"/>
                <w:highlight w:val="yellow"/>
                <w:lang w:val="en-US" w:eastAsia="zh-CN"/>
              </w:rPr>
              <w:t>2</w:t>
            </w:r>
            <w:r>
              <w:rPr>
                <w:rFonts w:hint="eastAsia" w:ascii="Times New Roman" w:hAnsi="Times New Roman" w:eastAsia="宋体" w:cs="Times New Roman"/>
                <w:sz w:val="24"/>
                <w:highlight w:val="yellow"/>
                <w:lang w:val="en-US" w:eastAsia="zh-CN"/>
              </w:rPr>
              <w:t>类声环境功能区，公路边界线外</w:t>
            </w:r>
            <w:r>
              <w:rPr>
                <w:rFonts w:hint="default" w:ascii="Times New Roman" w:hAnsi="Times New Roman" w:eastAsia="宋体" w:cs="Times New Roman"/>
                <w:sz w:val="24"/>
                <w:highlight w:val="yellow"/>
                <w:lang w:val="en-US" w:eastAsia="zh-CN"/>
              </w:rPr>
              <w:t>35m</w:t>
            </w:r>
            <w:r>
              <w:rPr>
                <w:rFonts w:hint="eastAsia" w:cs="Times New Roman"/>
                <w:sz w:val="24"/>
                <w:highlight w:val="yellow"/>
                <w:lang w:val="en-US" w:eastAsia="zh-CN"/>
              </w:rPr>
              <w:t>±5m</w:t>
            </w:r>
            <w:r>
              <w:rPr>
                <w:rFonts w:hint="eastAsia" w:ascii="Times New Roman" w:hAnsi="Times New Roman" w:eastAsia="宋体" w:cs="Times New Roman"/>
                <w:sz w:val="24"/>
                <w:highlight w:val="yellow"/>
                <w:lang w:val="en-US" w:eastAsia="zh-CN"/>
              </w:rPr>
              <w:t>内的区域为</w:t>
            </w:r>
            <w:r>
              <w:rPr>
                <w:rFonts w:hint="default" w:ascii="Times New Roman" w:hAnsi="Times New Roman" w:eastAsia="宋体" w:cs="Times New Roman"/>
                <w:sz w:val="24"/>
                <w:highlight w:val="yellow"/>
                <w:lang w:val="en-US" w:eastAsia="zh-CN"/>
              </w:rPr>
              <w:t>4a</w:t>
            </w:r>
            <w:r>
              <w:rPr>
                <w:rFonts w:hint="eastAsia" w:ascii="Times New Roman" w:hAnsi="Times New Roman" w:eastAsia="宋体" w:cs="Times New Roman"/>
                <w:sz w:val="24"/>
                <w:highlight w:val="yellow"/>
                <w:lang w:val="en-US" w:eastAsia="zh-CN"/>
              </w:rPr>
              <w:t>类声环境功能区，执行《声环境质量标准》（</w:t>
            </w:r>
            <w:r>
              <w:rPr>
                <w:rFonts w:hint="default" w:ascii="Times New Roman" w:hAnsi="Times New Roman" w:eastAsia="宋体" w:cs="Times New Roman"/>
                <w:sz w:val="24"/>
                <w:highlight w:val="yellow"/>
                <w:lang w:val="en-US" w:eastAsia="zh-CN"/>
              </w:rPr>
              <w:t>GB3096-2008</w:t>
            </w:r>
            <w:r>
              <w:rPr>
                <w:rFonts w:hint="eastAsia" w:ascii="Times New Roman" w:hAnsi="Times New Roman" w:eastAsia="宋体" w:cs="Times New Roman"/>
                <w:sz w:val="24"/>
                <w:highlight w:val="yellow"/>
                <w:lang w:val="en-US" w:eastAsia="zh-CN"/>
              </w:rPr>
              <w:t>）</w:t>
            </w:r>
            <w:r>
              <w:rPr>
                <w:rFonts w:hint="default" w:ascii="Times New Roman" w:hAnsi="Times New Roman" w:eastAsia="宋体" w:cs="Times New Roman"/>
                <w:sz w:val="24"/>
                <w:highlight w:val="yellow"/>
                <w:lang w:val="en-US" w:eastAsia="zh-CN"/>
              </w:rPr>
              <w:t xml:space="preserve">4a </w:t>
            </w:r>
            <w:r>
              <w:rPr>
                <w:rFonts w:hint="eastAsia" w:ascii="Times New Roman" w:hAnsi="Times New Roman" w:eastAsia="宋体" w:cs="Times New Roman"/>
                <w:sz w:val="24"/>
                <w:highlight w:val="yellow"/>
                <w:lang w:val="en-US" w:eastAsia="zh-CN"/>
              </w:rPr>
              <w:t>类标准限值，道路边界线外</w:t>
            </w:r>
            <w:r>
              <w:rPr>
                <w:rFonts w:hint="default" w:ascii="Times New Roman" w:hAnsi="Times New Roman" w:eastAsia="宋体" w:cs="Times New Roman"/>
                <w:sz w:val="24"/>
                <w:highlight w:val="yellow"/>
                <w:lang w:val="en-US" w:eastAsia="zh-CN"/>
              </w:rPr>
              <w:t>35m</w:t>
            </w:r>
            <w:r>
              <w:rPr>
                <w:rFonts w:hint="eastAsia" w:cs="Times New Roman"/>
                <w:sz w:val="24"/>
                <w:highlight w:val="yellow"/>
                <w:lang w:val="en-US" w:eastAsia="zh-CN"/>
              </w:rPr>
              <w:t>±5m</w:t>
            </w:r>
            <w:r>
              <w:rPr>
                <w:rFonts w:hint="eastAsia" w:ascii="Times New Roman" w:hAnsi="Times New Roman" w:eastAsia="宋体" w:cs="Times New Roman"/>
                <w:sz w:val="24"/>
                <w:highlight w:val="yellow"/>
                <w:lang w:val="en-US" w:eastAsia="zh-CN"/>
              </w:rPr>
              <w:t>以外区域，执行《声环境质量标准》（</w:t>
            </w:r>
            <w:r>
              <w:rPr>
                <w:rFonts w:hint="default" w:ascii="Times New Roman" w:hAnsi="Times New Roman" w:eastAsia="宋体" w:cs="Times New Roman"/>
                <w:sz w:val="24"/>
                <w:highlight w:val="yellow"/>
                <w:lang w:val="en-US" w:eastAsia="zh-CN"/>
              </w:rPr>
              <w:t>GB3096-2008</w:t>
            </w:r>
            <w:r>
              <w:rPr>
                <w:rFonts w:hint="eastAsia" w:ascii="Times New Roman" w:hAnsi="Times New Roman" w:eastAsia="宋体" w:cs="Times New Roman"/>
                <w:sz w:val="24"/>
                <w:highlight w:val="yellow"/>
                <w:lang w:val="en-US" w:eastAsia="zh-CN"/>
              </w:rPr>
              <w:t>）中</w:t>
            </w:r>
            <w:r>
              <w:rPr>
                <w:rFonts w:hint="default" w:ascii="Times New Roman" w:hAnsi="Times New Roman" w:eastAsia="宋体" w:cs="Times New Roman"/>
                <w:sz w:val="24"/>
                <w:highlight w:val="yellow"/>
                <w:lang w:val="en-US" w:eastAsia="zh-CN"/>
              </w:rPr>
              <w:t>2</w:t>
            </w:r>
            <w:r>
              <w:rPr>
                <w:rFonts w:hint="eastAsia" w:ascii="Times New Roman" w:hAnsi="Times New Roman" w:eastAsia="宋体" w:cs="Times New Roman"/>
                <w:sz w:val="24"/>
                <w:highlight w:val="yellow"/>
                <w:lang w:val="en-US" w:eastAsia="zh-CN"/>
              </w:rPr>
              <w:t>类标准，本项目距离G501国道约为50m，因此</w:t>
            </w:r>
            <w:r>
              <w:rPr>
                <w:rFonts w:hint="eastAsia" w:ascii="Times New Roman" w:hAnsi="Times New Roman" w:eastAsia="宋体" w:cs="Times New Roman"/>
                <w:sz w:val="24"/>
                <w:highlight w:val="yellow"/>
                <w:lang w:eastAsia="zh-CN"/>
              </w:rPr>
              <w:t>营运期企业厂界噪声排放标准</w:t>
            </w:r>
            <w:r>
              <w:rPr>
                <w:rFonts w:hint="eastAsia" w:ascii="Times New Roman" w:hAnsi="Times New Roman" w:eastAsia="宋体" w:cs="Times New Roman"/>
                <w:sz w:val="24"/>
                <w:highlight w:val="yellow"/>
                <w:lang w:val="en-US" w:eastAsia="zh-CN"/>
              </w:rPr>
              <w:t>均</w:t>
            </w:r>
            <w:r>
              <w:rPr>
                <w:rFonts w:hint="eastAsia" w:ascii="Times New Roman" w:hAnsi="Times New Roman" w:eastAsia="宋体" w:cs="Times New Roman"/>
                <w:sz w:val="24"/>
                <w:highlight w:val="yellow"/>
                <w:lang w:eastAsia="zh-CN"/>
              </w:rPr>
              <w:t>执行《工业企业厂界环境噪声排放标准》（GB12348-2008）中2类标准。运营期西侧、</w:t>
            </w:r>
            <w:r>
              <w:rPr>
                <w:rFonts w:hint="eastAsia" w:ascii="Times New Roman" w:hAnsi="Times New Roman" w:eastAsia="宋体" w:cs="Times New Roman"/>
                <w:sz w:val="24"/>
                <w:highlight w:val="yellow"/>
                <w:lang w:val="en-US" w:eastAsia="zh-CN"/>
              </w:rPr>
              <w:t>东</w:t>
            </w:r>
            <w:r>
              <w:rPr>
                <w:rFonts w:hint="eastAsia" w:ascii="Times New Roman" w:hAnsi="Times New Roman" w:eastAsia="宋体" w:cs="Times New Roman"/>
                <w:sz w:val="24"/>
                <w:highlight w:val="yellow"/>
                <w:lang w:eastAsia="zh-CN"/>
              </w:rPr>
              <w:t>侧、南侧</w:t>
            </w:r>
            <w:r>
              <w:rPr>
                <w:rFonts w:hint="eastAsia" w:ascii="Times New Roman" w:hAnsi="Times New Roman" w:eastAsia="宋体" w:cs="Times New Roman"/>
                <w:sz w:val="24"/>
                <w:highlight w:val="yellow"/>
                <w:lang w:val="en-US" w:eastAsia="zh-CN"/>
              </w:rPr>
              <w:t>和北侧均</w:t>
            </w:r>
            <w:r>
              <w:rPr>
                <w:rFonts w:hint="eastAsia" w:ascii="Times New Roman" w:hAnsi="Times New Roman" w:eastAsia="宋体" w:cs="Times New Roman"/>
                <w:sz w:val="24"/>
                <w:highlight w:val="yellow"/>
                <w:lang w:eastAsia="zh-CN"/>
              </w:rPr>
              <w:t>执行《工业企业厂界环境噪声排放标准》（GB12348-2008）2类标准要求具体标准值见表</w:t>
            </w:r>
            <w:r>
              <w:rPr>
                <w:rFonts w:hint="eastAsia" w:ascii="Times New Roman" w:hAnsi="Times New Roman" w:eastAsia="宋体" w:cs="Times New Roman"/>
                <w:sz w:val="24"/>
                <w:highlight w:val="yellow"/>
                <w:lang w:val="en-US" w:eastAsia="zh-CN"/>
              </w:rPr>
              <w:t>详</w:t>
            </w:r>
            <w:r>
              <w:rPr>
                <w:rFonts w:hint="default" w:ascii="Times New Roman" w:hAnsi="Times New Roman" w:eastAsia="宋体" w:cs="Times New Roman"/>
                <w:sz w:val="24"/>
                <w:highlight w:val="yellow"/>
                <w:lang w:eastAsia="zh-CN"/>
              </w:rPr>
              <w:t>见表3-</w:t>
            </w:r>
            <w:r>
              <w:rPr>
                <w:rFonts w:hint="eastAsia" w:ascii="Times New Roman" w:hAnsi="Times New Roman" w:eastAsia="宋体" w:cs="Times New Roman"/>
                <w:sz w:val="24"/>
                <w:highlight w:val="yellow"/>
                <w:lang w:val="en-US" w:eastAsia="zh-CN"/>
              </w:rPr>
              <w:t>9</w:t>
            </w:r>
            <w:r>
              <w:rPr>
                <w:rFonts w:hint="default" w:ascii="Times New Roman" w:hAnsi="Times New Roman" w:eastAsia="宋体" w:cs="Times New Roman"/>
                <w:sz w:val="24"/>
                <w:highlight w:val="yellow"/>
                <w:lang w:eastAsia="zh-CN"/>
              </w:rPr>
              <w:t>。</w:t>
            </w:r>
          </w:p>
          <w:p w14:paraId="37B2E356">
            <w:pPr>
              <w:pStyle w:val="10"/>
              <w:widowControl w:val="0"/>
              <w:tabs>
                <w:tab w:val="left" w:pos="0"/>
              </w:tabs>
              <w:snapToGrid/>
              <w:spacing w:before="0" w:after="0" w:line="240" w:lineRule="auto"/>
              <w:ind w:right="0"/>
              <w:jc w:val="center"/>
              <w:rPr>
                <w:rFonts w:hint="default" w:ascii="宋体" w:hAnsi="宋体" w:eastAsia="宋体" w:cs="宋体"/>
                <w:b/>
                <w:bCs/>
                <w:sz w:val="24"/>
                <w:szCs w:val="24"/>
                <w:highlight w:val="none"/>
              </w:rPr>
            </w:pPr>
            <w:r>
              <w:rPr>
                <w:rFonts w:hint="default" w:ascii="宋体" w:hAnsi="宋体" w:eastAsia="宋体" w:cs="宋体"/>
                <w:b/>
                <w:bCs/>
                <w:sz w:val="24"/>
                <w:szCs w:val="24"/>
                <w:highlight w:val="none"/>
              </w:rPr>
              <w:t>表3</w:t>
            </w:r>
            <w:r>
              <w:rPr>
                <w:rFonts w:hint="default" w:ascii="宋体" w:hAnsi="宋体" w:eastAsia="宋体" w:cs="宋体"/>
                <w:b/>
                <w:bCs/>
                <w:sz w:val="24"/>
                <w:szCs w:val="24"/>
                <w:highlight w:val="none"/>
                <w:lang w:val="en-US" w:eastAsia="zh-CN"/>
              </w:rPr>
              <w:t>-</w:t>
            </w:r>
            <w:r>
              <w:rPr>
                <w:rFonts w:hint="eastAsia" w:cs="宋体"/>
                <w:b/>
                <w:bCs/>
                <w:sz w:val="24"/>
                <w:szCs w:val="24"/>
                <w:highlight w:val="none"/>
                <w:lang w:val="en-US" w:eastAsia="zh-CN"/>
              </w:rPr>
              <w:t>9</w:t>
            </w:r>
            <w:r>
              <w:rPr>
                <w:rFonts w:hint="default" w:ascii="宋体" w:hAnsi="宋体" w:eastAsia="宋体" w:cs="宋体"/>
                <w:b/>
                <w:bCs/>
                <w:sz w:val="24"/>
                <w:szCs w:val="24"/>
                <w:highlight w:val="none"/>
              </w:rPr>
              <w:t xml:space="preserve"> 噪声排放标准限值    单位：dB(A)</w:t>
            </w:r>
          </w:p>
          <w:tbl>
            <w:tblPr>
              <w:tblStyle w:val="3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94"/>
              <w:gridCol w:w="2795"/>
              <w:gridCol w:w="2795"/>
            </w:tblGrid>
            <w:tr w14:paraId="37A63B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94" w:type="dxa"/>
                  <w:tcBorders>
                    <w:tl2br w:val="nil"/>
                    <w:tr2bl w:val="nil"/>
                  </w:tcBorders>
                  <w:noWrap w:val="0"/>
                  <w:vAlign w:val="center"/>
                </w:tcPr>
                <w:p w14:paraId="1790A254">
                  <w:pPr>
                    <w:bidi w:val="0"/>
                    <w:jc w:val="center"/>
                    <w:rPr>
                      <w:rFonts w:hint="default"/>
                      <w:highlight w:val="none"/>
                    </w:rPr>
                  </w:pPr>
                  <w:r>
                    <w:rPr>
                      <w:rFonts w:hint="default"/>
                      <w:highlight w:val="none"/>
                    </w:rPr>
                    <w:t>类别</w:t>
                  </w:r>
                </w:p>
              </w:tc>
              <w:tc>
                <w:tcPr>
                  <w:tcW w:w="2795" w:type="dxa"/>
                  <w:tcBorders>
                    <w:tl2br w:val="nil"/>
                    <w:tr2bl w:val="nil"/>
                  </w:tcBorders>
                  <w:noWrap w:val="0"/>
                  <w:vAlign w:val="center"/>
                </w:tcPr>
                <w:p w14:paraId="4BEC392F">
                  <w:pPr>
                    <w:bidi w:val="0"/>
                    <w:jc w:val="center"/>
                    <w:rPr>
                      <w:rFonts w:hint="default"/>
                      <w:highlight w:val="none"/>
                    </w:rPr>
                  </w:pPr>
                  <w:r>
                    <w:rPr>
                      <w:rFonts w:hint="default"/>
                      <w:highlight w:val="none"/>
                    </w:rPr>
                    <w:t>昼间</w:t>
                  </w:r>
                </w:p>
              </w:tc>
              <w:tc>
                <w:tcPr>
                  <w:tcW w:w="2795" w:type="dxa"/>
                  <w:tcBorders>
                    <w:tl2br w:val="nil"/>
                    <w:tr2bl w:val="nil"/>
                  </w:tcBorders>
                  <w:noWrap w:val="0"/>
                  <w:vAlign w:val="center"/>
                </w:tcPr>
                <w:p w14:paraId="7CD0DF09">
                  <w:pPr>
                    <w:bidi w:val="0"/>
                    <w:jc w:val="center"/>
                    <w:rPr>
                      <w:rFonts w:hint="default"/>
                      <w:highlight w:val="none"/>
                    </w:rPr>
                  </w:pPr>
                  <w:r>
                    <w:rPr>
                      <w:rFonts w:hint="default"/>
                      <w:highlight w:val="none"/>
                    </w:rPr>
                    <w:t>夜间</w:t>
                  </w:r>
                </w:p>
              </w:tc>
            </w:tr>
            <w:tr w14:paraId="6B4392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2794" w:type="dxa"/>
                  <w:tcBorders>
                    <w:tl2br w:val="nil"/>
                    <w:tr2bl w:val="nil"/>
                  </w:tcBorders>
                  <w:noWrap w:val="0"/>
                  <w:vAlign w:val="center"/>
                </w:tcPr>
                <w:p w14:paraId="1ADF4B6E">
                  <w:pPr>
                    <w:bidi w:val="0"/>
                    <w:jc w:val="center"/>
                    <w:rPr>
                      <w:rFonts w:hint="default" w:eastAsia="宋体"/>
                      <w:highlight w:val="none"/>
                      <w:lang w:val="en-US" w:eastAsia="zh-CN"/>
                    </w:rPr>
                  </w:pPr>
                  <w:r>
                    <w:rPr>
                      <w:rFonts w:hint="eastAsia"/>
                      <w:highlight w:val="none"/>
                      <w:lang w:val="en-US" w:eastAsia="zh-CN"/>
                    </w:rPr>
                    <w:t>2类</w:t>
                  </w:r>
                </w:p>
              </w:tc>
              <w:tc>
                <w:tcPr>
                  <w:tcW w:w="2795" w:type="dxa"/>
                  <w:tcBorders>
                    <w:tl2br w:val="nil"/>
                    <w:tr2bl w:val="nil"/>
                  </w:tcBorders>
                  <w:noWrap w:val="0"/>
                  <w:vAlign w:val="center"/>
                </w:tcPr>
                <w:p w14:paraId="37985D97">
                  <w:pPr>
                    <w:bidi w:val="0"/>
                    <w:jc w:val="center"/>
                    <w:rPr>
                      <w:rFonts w:hint="default" w:eastAsia="宋体"/>
                      <w:highlight w:val="none"/>
                      <w:lang w:val="en-US" w:eastAsia="zh-CN"/>
                    </w:rPr>
                  </w:pPr>
                  <w:r>
                    <w:rPr>
                      <w:rFonts w:hint="eastAsia"/>
                      <w:highlight w:val="none"/>
                      <w:lang w:val="en-US" w:eastAsia="zh-CN"/>
                    </w:rPr>
                    <w:t>60</w:t>
                  </w:r>
                </w:p>
              </w:tc>
              <w:tc>
                <w:tcPr>
                  <w:tcW w:w="2795" w:type="dxa"/>
                  <w:tcBorders>
                    <w:tl2br w:val="nil"/>
                    <w:tr2bl w:val="nil"/>
                  </w:tcBorders>
                  <w:noWrap w:val="0"/>
                  <w:vAlign w:val="center"/>
                </w:tcPr>
                <w:p w14:paraId="680BC2FA">
                  <w:pPr>
                    <w:bidi w:val="0"/>
                    <w:jc w:val="center"/>
                    <w:rPr>
                      <w:rFonts w:hint="eastAsia" w:eastAsia="宋体"/>
                      <w:highlight w:val="none"/>
                      <w:lang w:val="en-US" w:eastAsia="zh-CN"/>
                    </w:rPr>
                  </w:pPr>
                  <w:r>
                    <w:rPr>
                      <w:rFonts w:hint="default"/>
                      <w:highlight w:val="none"/>
                    </w:rPr>
                    <w:t>5</w:t>
                  </w:r>
                  <w:r>
                    <w:rPr>
                      <w:rFonts w:hint="eastAsia"/>
                      <w:highlight w:val="none"/>
                      <w:lang w:val="en-US" w:eastAsia="zh-CN"/>
                    </w:rPr>
                    <w:t>0</w:t>
                  </w:r>
                </w:p>
              </w:tc>
            </w:tr>
          </w:tbl>
          <w:p w14:paraId="412A2381">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4.固体废物</w:t>
            </w:r>
          </w:p>
          <w:p w14:paraId="71A47E93">
            <w:pPr>
              <w:adjustRightInd w:val="0"/>
              <w:snapToGrid w:val="0"/>
              <w:spacing w:line="360" w:lineRule="auto"/>
              <w:ind w:firstLine="480" w:firstLineChars="200"/>
              <w:rPr>
                <w:rFonts w:hint="eastAsia" w:cs="Times New Roman"/>
                <w:color w:val="auto"/>
                <w:sz w:val="24"/>
                <w:szCs w:val="24"/>
                <w:highlight w:val="yellow"/>
                <w:lang w:val="en-US" w:eastAsia="zh-CN"/>
              </w:rPr>
            </w:pPr>
            <w:r>
              <w:rPr>
                <w:rFonts w:hint="eastAsia" w:cs="Times New Roman"/>
                <w:color w:val="auto"/>
                <w:sz w:val="24"/>
                <w:szCs w:val="24"/>
                <w:highlight w:val="none"/>
                <w:lang w:val="en-US" w:eastAsia="zh-CN"/>
              </w:rPr>
              <w:t>一般固体废物执行</w:t>
            </w:r>
            <w:r>
              <w:rPr>
                <w:rFonts w:hint="default" w:ascii="Times New Roman" w:hAnsi="Times New Roman" w:cs="Times New Roman"/>
                <w:color w:val="auto"/>
                <w:sz w:val="24"/>
                <w:szCs w:val="24"/>
                <w:highlight w:val="none"/>
              </w:rPr>
              <w:t>《一般工业固体废物贮存和填埋污染控制标准》（GB18599-2020）</w:t>
            </w:r>
            <w:r>
              <w:rPr>
                <w:rFonts w:hint="default" w:ascii="Times New Roman" w:hAnsi="Times New Roman" w:cs="Times New Roman"/>
                <w:color w:val="auto"/>
                <w:szCs w:val="21"/>
                <w:highlight w:val="none"/>
                <w:lang w:bidi="ar"/>
              </w:rPr>
              <w:t>。</w:t>
            </w:r>
            <w:r>
              <w:rPr>
                <w:rFonts w:hint="eastAsia" w:cs="Times New Roman"/>
                <w:color w:val="auto"/>
                <w:sz w:val="24"/>
                <w:szCs w:val="24"/>
                <w:highlight w:val="none"/>
                <w:lang w:val="en-US" w:eastAsia="zh-CN"/>
              </w:rPr>
              <w:t>危险废物执行《危险废物贮存污染控制标准》（GB18597-2023）。</w:t>
            </w:r>
          </w:p>
          <w:p w14:paraId="154AD439">
            <w:pPr>
              <w:adjustRightInd w:val="0"/>
              <w:snapToGrid w:val="0"/>
              <w:spacing w:line="360" w:lineRule="auto"/>
              <w:ind w:firstLine="480" w:firstLineChars="200"/>
              <w:rPr>
                <w:rFonts w:hint="eastAsia" w:cs="Times New Roman"/>
                <w:color w:val="auto"/>
                <w:sz w:val="24"/>
                <w:szCs w:val="24"/>
                <w:highlight w:val="yellow"/>
                <w:lang w:val="en-US" w:eastAsia="zh-CN"/>
              </w:rPr>
            </w:pPr>
          </w:p>
          <w:p w14:paraId="093B3A24">
            <w:pPr>
              <w:adjustRightInd w:val="0"/>
              <w:snapToGrid w:val="0"/>
              <w:spacing w:line="360" w:lineRule="auto"/>
              <w:ind w:firstLine="480" w:firstLineChars="200"/>
              <w:rPr>
                <w:rFonts w:hint="eastAsia" w:cs="Times New Roman"/>
                <w:color w:val="auto"/>
                <w:sz w:val="24"/>
                <w:szCs w:val="24"/>
                <w:highlight w:val="yellow"/>
                <w:lang w:val="en-US" w:eastAsia="zh-CN"/>
              </w:rPr>
            </w:pPr>
          </w:p>
          <w:p w14:paraId="69CA3DCB">
            <w:pPr>
              <w:adjustRightInd w:val="0"/>
              <w:snapToGrid w:val="0"/>
              <w:spacing w:line="360" w:lineRule="auto"/>
              <w:rPr>
                <w:rFonts w:hint="default" w:cs="Times New Roman"/>
                <w:color w:val="auto"/>
                <w:sz w:val="24"/>
                <w:szCs w:val="24"/>
                <w:highlight w:val="yellow"/>
                <w:lang w:val="en-US" w:eastAsia="zh-CN"/>
              </w:rPr>
            </w:pPr>
          </w:p>
        </w:tc>
      </w:tr>
      <w:tr w14:paraId="38CBCE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82" w:hRule="atLeast"/>
          <w:jc w:val="center"/>
        </w:trPr>
        <w:tc>
          <w:tcPr>
            <w:tcW w:w="800" w:type="dxa"/>
            <w:noWrap w:val="0"/>
            <w:vAlign w:val="center"/>
          </w:tcPr>
          <w:p w14:paraId="1388CE92">
            <w:pPr>
              <w:adjustRightInd w:val="0"/>
              <w:snapToGrid w:val="0"/>
              <w:jc w:val="center"/>
              <w:rPr>
                <w:rFonts w:hint="default" w:ascii="Times New Roman" w:hAnsi="Times New Roman" w:cs="Times New Roman"/>
                <w:color w:val="auto"/>
                <w:kern w:val="0"/>
                <w:szCs w:val="21"/>
                <w:highlight w:val="yellow"/>
              </w:rPr>
            </w:pPr>
            <w:r>
              <w:rPr>
                <w:rFonts w:hint="default" w:ascii="Times New Roman" w:hAnsi="Times New Roman" w:cs="Times New Roman"/>
                <w:color w:val="auto"/>
                <w:kern w:val="0"/>
                <w:szCs w:val="21"/>
                <w:highlight w:val="none"/>
              </w:rPr>
              <w:t>总量控制指标</w:t>
            </w:r>
          </w:p>
        </w:tc>
        <w:tc>
          <w:tcPr>
            <w:tcW w:w="8190" w:type="dxa"/>
            <w:noWrap w:val="0"/>
            <w:vAlign w:val="center"/>
          </w:tcPr>
          <w:p w14:paraId="0F710DB6">
            <w:pPr>
              <w:shd w:val="clear"/>
              <w:bidi w:val="0"/>
              <w:jc w:val="center"/>
              <w:rPr>
                <w:rFonts w:hint="default" w:ascii="宋体" w:hAnsi="宋体" w:eastAsia="宋体" w:cs="宋体"/>
                <w:b/>
                <w:bCs/>
                <w:kern w:val="2"/>
                <w:sz w:val="21"/>
                <w:szCs w:val="21"/>
                <w:highlight w:val="none"/>
                <w:lang w:val="zh-CN" w:eastAsia="zh-CN" w:bidi="zh-CN"/>
              </w:rPr>
            </w:pPr>
            <w:r>
              <w:rPr>
                <w:rFonts w:hint="default" w:ascii="宋体" w:hAnsi="宋体" w:eastAsia="宋体" w:cs="宋体"/>
                <w:b/>
                <w:bCs/>
                <w:kern w:val="2"/>
                <w:sz w:val="24"/>
                <w:szCs w:val="24"/>
                <w:highlight w:val="none"/>
                <w:lang w:val="zh-CN" w:eastAsia="zh-CN" w:bidi="zh-CN"/>
              </w:rPr>
              <w:t>表3-</w:t>
            </w:r>
            <w:r>
              <w:rPr>
                <w:rFonts w:hint="eastAsia" w:ascii="宋体" w:hAnsi="宋体" w:cs="宋体"/>
                <w:b/>
                <w:bCs/>
                <w:kern w:val="2"/>
                <w:sz w:val="24"/>
                <w:szCs w:val="24"/>
                <w:highlight w:val="none"/>
                <w:lang w:val="en-US" w:eastAsia="zh-CN" w:bidi="zh-CN"/>
              </w:rPr>
              <w:t>10</w:t>
            </w:r>
            <w:r>
              <w:rPr>
                <w:rFonts w:hint="default" w:ascii="宋体" w:hAnsi="宋体" w:eastAsia="宋体" w:cs="宋体"/>
                <w:b/>
                <w:bCs/>
                <w:kern w:val="2"/>
                <w:sz w:val="24"/>
                <w:szCs w:val="24"/>
                <w:highlight w:val="none"/>
                <w:lang w:val="zh-CN" w:eastAsia="zh-CN" w:bidi="zh-CN"/>
              </w:rPr>
              <w:t xml:space="preserve"> 本工程总量指标</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01"/>
              <w:gridCol w:w="2806"/>
              <w:gridCol w:w="2814"/>
            </w:tblGrid>
            <w:tr w14:paraId="7E7E03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663" w:type="pct"/>
                  <w:tcBorders>
                    <w:tl2br w:val="nil"/>
                    <w:tr2bl w:val="nil"/>
                  </w:tcBorders>
                  <w:noWrap w:val="0"/>
                  <w:vAlign w:val="center"/>
                </w:tcPr>
                <w:p w14:paraId="559DA9DD">
                  <w:pPr>
                    <w:shd w:val="clear"/>
                    <w:jc w:val="center"/>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污染物</w:t>
                  </w:r>
                </w:p>
              </w:tc>
              <w:tc>
                <w:tcPr>
                  <w:tcW w:w="1666" w:type="pct"/>
                  <w:tcBorders>
                    <w:tl2br w:val="nil"/>
                    <w:tr2bl w:val="nil"/>
                  </w:tcBorders>
                  <w:noWrap w:val="0"/>
                  <w:vAlign w:val="center"/>
                </w:tcPr>
                <w:p w14:paraId="1CBE1FA8">
                  <w:pPr>
                    <w:shd w:val="clear"/>
                    <w:jc w:val="center"/>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预测排放量t/a</w:t>
                  </w:r>
                </w:p>
              </w:tc>
              <w:tc>
                <w:tcPr>
                  <w:tcW w:w="1670" w:type="pct"/>
                  <w:tcBorders>
                    <w:tl2br w:val="nil"/>
                    <w:tr2bl w:val="nil"/>
                  </w:tcBorders>
                  <w:noWrap w:val="0"/>
                  <w:vAlign w:val="center"/>
                </w:tcPr>
                <w:p w14:paraId="0F7A330F">
                  <w:pPr>
                    <w:shd w:val="clear"/>
                    <w:jc w:val="center"/>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核定排放量t/a</w:t>
                  </w:r>
                </w:p>
              </w:tc>
            </w:tr>
            <w:tr w14:paraId="327E85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3"/>
                  <w:tcBorders>
                    <w:tl2br w:val="nil"/>
                    <w:tr2bl w:val="nil"/>
                  </w:tcBorders>
                  <w:noWrap w:val="0"/>
                  <w:vAlign w:val="center"/>
                </w:tcPr>
                <w:p w14:paraId="50D65DCD">
                  <w:pPr>
                    <w:shd w:val="clear"/>
                    <w:jc w:val="center"/>
                    <w:rPr>
                      <w:rFonts w:hint="eastAsia" w:ascii="Times New Roman" w:hAnsi="Times New Roman" w:eastAsia="宋体" w:cs="Times New Roman"/>
                      <w:snapToGrid w:val="0"/>
                      <w:color w:val="auto"/>
                      <w:kern w:val="0"/>
                      <w:sz w:val="18"/>
                      <w:szCs w:val="18"/>
                      <w:highlight w:val="none"/>
                      <w:lang w:val="en-US" w:eastAsia="zh-CN"/>
                    </w:rPr>
                  </w:pPr>
                  <w:r>
                    <w:rPr>
                      <w:rFonts w:hint="eastAsia" w:cs="Times New Roman"/>
                      <w:snapToGrid w:val="0"/>
                      <w:color w:val="auto"/>
                      <w:kern w:val="0"/>
                      <w:sz w:val="18"/>
                      <w:szCs w:val="18"/>
                      <w:highlight w:val="none"/>
                      <w:lang w:val="en-US" w:eastAsia="zh-CN"/>
                    </w:rPr>
                    <w:t>废气</w:t>
                  </w:r>
                </w:p>
              </w:tc>
            </w:tr>
            <w:tr w14:paraId="2FFC4F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63" w:type="pct"/>
                  <w:tcBorders>
                    <w:tl2br w:val="nil"/>
                    <w:tr2bl w:val="nil"/>
                  </w:tcBorders>
                  <w:noWrap w:val="0"/>
                  <w:vAlign w:val="center"/>
                </w:tcPr>
                <w:p w14:paraId="2957C1CC">
                  <w:pPr>
                    <w:shd w:val="clear"/>
                    <w:jc w:val="center"/>
                    <w:rPr>
                      <w:rFonts w:hint="default" w:ascii="Times New Roman" w:hAnsi="Times New Roman" w:cs="Times New Roman"/>
                      <w:snapToGrid w:val="0"/>
                      <w:color w:val="auto"/>
                      <w:kern w:val="0"/>
                      <w:sz w:val="18"/>
                      <w:szCs w:val="18"/>
                      <w:highlight w:val="none"/>
                      <w:lang w:val="en-US" w:eastAsia="zh-CN" w:bidi="ar-SA"/>
                    </w:rPr>
                  </w:pPr>
                  <w:r>
                    <w:rPr>
                      <w:rFonts w:hint="default" w:ascii="Times New Roman" w:hAnsi="Times New Roman" w:cs="Times New Roman"/>
                      <w:snapToGrid w:val="0"/>
                      <w:color w:val="auto"/>
                      <w:kern w:val="0"/>
                      <w:sz w:val="18"/>
                      <w:szCs w:val="18"/>
                      <w:highlight w:val="none"/>
                    </w:rPr>
                    <w:t>颗粒物</w:t>
                  </w:r>
                </w:p>
              </w:tc>
              <w:tc>
                <w:tcPr>
                  <w:tcW w:w="1666" w:type="pct"/>
                  <w:tcBorders>
                    <w:tl2br w:val="nil"/>
                    <w:tr2bl w:val="nil"/>
                  </w:tcBorders>
                  <w:noWrap w:val="0"/>
                  <w:vAlign w:val="center"/>
                </w:tcPr>
                <w:p w14:paraId="5B6A3040">
                  <w:pPr>
                    <w:shd w:val="clear"/>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21"/>
                      <w:szCs w:val="21"/>
                      <w:highlight w:val="none"/>
                      <w:lang w:val="en-US" w:eastAsia="zh-CN"/>
                    </w:rPr>
                    <w:t>0.217</w:t>
                  </w:r>
                </w:p>
              </w:tc>
              <w:tc>
                <w:tcPr>
                  <w:tcW w:w="1670" w:type="pct"/>
                  <w:tcBorders>
                    <w:tl2br w:val="nil"/>
                    <w:tr2bl w:val="nil"/>
                  </w:tcBorders>
                  <w:noWrap w:val="0"/>
                  <w:vAlign w:val="center"/>
                </w:tcPr>
                <w:p w14:paraId="7C45F6C9">
                  <w:pPr>
                    <w:shd w:val="clea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21"/>
                      <w:szCs w:val="21"/>
                      <w:highlight w:val="none"/>
                      <w:lang w:val="en-US" w:eastAsia="zh-CN"/>
                    </w:rPr>
                    <w:t>0.336</w:t>
                  </w:r>
                </w:p>
              </w:tc>
            </w:tr>
            <w:tr w14:paraId="272061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63" w:type="pct"/>
                  <w:tcBorders>
                    <w:tl2br w:val="nil"/>
                    <w:tr2bl w:val="nil"/>
                  </w:tcBorders>
                  <w:noWrap w:val="0"/>
                  <w:vAlign w:val="center"/>
                </w:tcPr>
                <w:p w14:paraId="6E78DC4E">
                  <w:pPr>
                    <w:shd w:val="clear"/>
                    <w:jc w:val="center"/>
                    <w:rPr>
                      <w:rFonts w:hint="default" w:ascii="Times New Roman" w:hAnsi="Times New Roman" w:eastAsia="宋体" w:cs="Times New Roman"/>
                      <w:snapToGrid w:val="0"/>
                      <w:color w:val="auto"/>
                      <w:kern w:val="0"/>
                      <w:sz w:val="18"/>
                      <w:szCs w:val="18"/>
                      <w:highlight w:val="none"/>
                      <w:lang w:eastAsia="zh-CN"/>
                    </w:rPr>
                  </w:pPr>
                  <w:r>
                    <w:rPr>
                      <w:rFonts w:hint="default" w:ascii="Times New Roman" w:hAnsi="Times New Roman" w:cs="Times New Roman"/>
                      <w:snapToGrid w:val="0"/>
                      <w:color w:val="auto"/>
                      <w:kern w:val="0"/>
                      <w:sz w:val="18"/>
                      <w:szCs w:val="18"/>
                      <w:highlight w:val="none"/>
                      <w:lang w:eastAsia="zh-CN"/>
                    </w:rPr>
                    <w:t>二氧化硫</w:t>
                  </w:r>
                </w:p>
              </w:tc>
              <w:tc>
                <w:tcPr>
                  <w:tcW w:w="1666" w:type="pct"/>
                  <w:tcBorders>
                    <w:tl2br w:val="nil"/>
                    <w:tr2bl w:val="nil"/>
                  </w:tcBorders>
                  <w:noWrap w:val="0"/>
                  <w:vAlign w:val="center"/>
                </w:tcPr>
                <w:p w14:paraId="2A7AC3FE">
                  <w:pPr>
                    <w:shd w:val="clear"/>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sz w:val="21"/>
                      <w:szCs w:val="21"/>
                      <w:highlight w:val="none"/>
                      <w:lang w:val="en-US" w:eastAsia="zh-CN"/>
                    </w:rPr>
                    <w:t>0.3788</w:t>
                  </w:r>
                </w:p>
              </w:tc>
              <w:tc>
                <w:tcPr>
                  <w:tcW w:w="1670" w:type="pct"/>
                  <w:tcBorders>
                    <w:tl2br w:val="nil"/>
                    <w:tr2bl w:val="nil"/>
                  </w:tcBorders>
                  <w:noWrap w:val="0"/>
                  <w:vAlign w:val="center"/>
                </w:tcPr>
                <w:p w14:paraId="0B7282C7">
                  <w:pPr>
                    <w:shd w:val="clea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21"/>
                      <w:szCs w:val="21"/>
                      <w:highlight w:val="none"/>
                      <w:lang w:val="en-US" w:eastAsia="zh-CN"/>
                    </w:rPr>
                    <w:t>1.6112</w:t>
                  </w:r>
                </w:p>
              </w:tc>
            </w:tr>
            <w:tr w14:paraId="69D23D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63" w:type="pct"/>
                  <w:tcBorders>
                    <w:tl2br w:val="nil"/>
                    <w:tr2bl w:val="nil"/>
                  </w:tcBorders>
                  <w:noWrap w:val="0"/>
                  <w:vAlign w:val="center"/>
                </w:tcPr>
                <w:p w14:paraId="029FCD2F">
                  <w:pPr>
                    <w:shd w:val="clear"/>
                    <w:jc w:val="center"/>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氮氧化物</w:t>
                  </w:r>
                </w:p>
              </w:tc>
              <w:tc>
                <w:tcPr>
                  <w:tcW w:w="1666" w:type="pct"/>
                  <w:tcBorders>
                    <w:tl2br w:val="nil"/>
                    <w:tr2bl w:val="nil"/>
                  </w:tcBorders>
                  <w:noWrap w:val="0"/>
                  <w:vAlign w:val="center"/>
                </w:tcPr>
                <w:p w14:paraId="42E953F9">
                  <w:pPr>
                    <w:shd w:val="clear"/>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sz w:val="21"/>
                      <w:szCs w:val="21"/>
                      <w:highlight w:val="none"/>
                      <w:lang w:val="en-US" w:eastAsia="zh-CN"/>
                    </w:rPr>
                    <w:t>1.007</w:t>
                  </w:r>
                </w:p>
              </w:tc>
              <w:tc>
                <w:tcPr>
                  <w:tcW w:w="1670" w:type="pct"/>
                  <w:tcBorders>
                    <w:tl2br w:val="nil"/>
                    <w:tr2bl w:val="nil"/>
                  </w:tcBorders>
                  <w:noWrap w:val="0"/>
                  <w:vAlign w:val="center"/>
                </w:tcPr>
                <w:p w14:paraId="6D0594E6">
                  <w:pPr>
                    <w:shd w:val="clea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21"/>
                      <w:szCs w:val="21"/>
                      <w:highlight w:val="none"/>
                      <w:lang w:val="en-US" w:eastAsia="zh-CN"/>
                    </w:rPr>
                    <w:t>2.014</w:t>
                  </w:r>
                </w:p>
              </w:tc>
            </w:tr>
          </w:tbl>
          <w:p w14:paraId="7D875F8D">
            <w:pPr>
              <w:pStyle w:val="85"/>
              <w:ind w:firstLine="0" w:firstLineChars="0"/>
              <w:rPr>
                <w:rFonts w:hint="default" w:ascii="Times New Roman" w:hAnsi="Times New Roman" w:eastAsia="宋体" w:cs="Times New Roman"/>
                <w:color w:val="auto"/>
                <w:highlight w:val="none"/>
                <w:lang w:val="en-US" w:eastAsia="zh-CN"/>
              </w:rPr>
            </w:pPr>
          </w:p>
        </w:tc>
      </w:tr>
    </w:tbl>
    <w:p w14:paraId="3A6317ED">
      <w:pPr>
        <w:pStyle w:val="26"/>
        <w:jc w:val="center"/>
        <w:outlineLvl w:val="0"/>
        <w:rPr>
          <w:rFonts w:hint="default" w:ascii="Times New Roman" w:hAnsi="Times New Roman" w:eastAsia="黑体" w:cs="Times New Roman"/>
          <w:snapToGrid w:val="0"/>
          <w:color w:val="auto"/>
          <w:sz w:val="30"/>
          <w:szCs w:val="30"/>
          <w:highlight w:val="yellow"/>
        </w:rPr>
      </w:pPr>
      <w:r>
        <w:rPr>
          <w:rFonts w:hint="default" w:ascii="Times New Roman" w:hAnsi="Times New Roman" w:eastAsia="黑体" w:cs="Times New Roman"/>
          <w:snapToGrid w:val="0"/>
          <w:color w:val="auto"/>
          <w:sz w:val="36"/>
          <w:szCs w:val="36"/>
          <w:highlight w:val="yellow"/>
        </w:rPr>
        <w:br w:type="page"/>
      </w:r>
      <w:bookmarkStart w:id="32" w:name="_Toc29316"/>
      <w:r>
        <w:rPr>
          <w:rFonts w:hint="default" w:ascii="Times New Roman" w:hAnsi="Times New Roman" w:eastAsia="黑体" w:cs="Times New Roman"/>
          <w:snapToGrid w:val="0"/>
          <w:color w:val="auto"/>
          <w:sz w:val="30"/>
          <w:szCs w:val="30"/>
          <w:highlight w:val="none"/>
        </w:rPr>
        <w:t>四、主要环境影响和保护措施</w:t>
      </w:r>
      <w:bookmarkEnd w:id="32"/>
    </w:p>
    <w:tbl>
      <w:tblPr>
        <w:tblStyle w:val="31"/>
        <w:tblW w:w="0" w:type="auto"/>
        <w:tblInd w:w="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0CD0B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82" w:hRule="atLeast"/>
        </w:trPr>
        <w:tc>
          <w:tcPr>
            <w:tcW w:w="746" w:type="dxa"/>
            <w:noWrap w:val="0"/>
            <w:vAlign w:val="center"/>
          </w:tcPr>
          <w:p w14:paraId="566441F4">
            <w:pPr>
              <w:pStyle w:val="26"/>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施工</w:t>
            </w:r>
          </w:p>
          <w:p w14:paraId="05370900">
            <w:pPr>
              <w:pStyle w:val="26"/>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期环</w:t>
            </w:r>
          </w:p>
          <w:p w14:paraId="5C04B7F2">
            <w:pPr>
              <w:pStyle w:val="26"/>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境保</w:t>
            </w:r>
          </w:p>
          <w:p w14:paraId="47BCAA02">
            <w:pPr>
              <w:pStyle w:val="26"/>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护措</w:t>
            </w:r>
          </w:p>
          <w:p w14:paraId="62FC767A">
            <w:pPr>
              <w:pStyle w:val="26"/>
              <w:adjustRightInd w:val="0"/>
              <w:snapToGrid w:val="0"/>
              <w:spacing w:before="0" w:beforeAutospacing="0" w:after="0" w:afterAutospacing="0"/>
              <w:jc w:val="center"/>
              <w:rPr>
                <w:rFonts w:hint="default" w:ascii="Times New Roman" w:hAnsi="Times New Roman" w:cs="Times New Roman"/>
                <w:bCs/>
                <w:color w:val="auto"/>
                <w:kern w:val="2"/>
                <w:sz w:val="21"/>
                <w:szCs w:val="21"/>
                <w:highlight w:val="yellow"/>
              </w:rPr>
            </w:pPr>
            <w:r>
              <w:rPr>
                <w:rFonts w:hint="default" w:ascii="Times New Roman" w:hAnsi="Times New Roman" w:cs="Times New Roman"/>
                <w:color w:val="auto"/>
                <w:kern w:val="2"/>
                <w:sz w:val="21"/>
                <w:szCs w:val="21"/>
                <w:highlight w:val="none"/>
              </w:rPr>
              <w:t>施</w:t>
            </w:r>
          </w:p>
        </w:tc>
        <w:tc>
          <w:tcPr>
            <w:tcW w:w="8162" w:type="dxa"/>
            <w:noWrap w:val="0"/>
            <w:vAlign w:val="top"/>
          </w:tcPr>
          <w:p w14:paraId="642EBCB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b/>
                <w:bCs/>
                <w:sz w:val="24"/>
                <w:szCs w:val="24"/>
                <w:highlight w:val="none"/>
              </w:rPr>
            </w:pPr>
            <w:r>
              <w:rPr>
                <w:rFonts w:hint="eastAsia"/>
                <w:b/>
                <w:bCs/>
                <w:sz w:val="24"/>
                <w:szCs w:val="24"/>
                <w:highlight w:val="none"/>
                <w:lang w:val="en-US" w:eastAsia="zh-CN"/>
              </w:rPr>
              <w:t>1.</w:t>
            </w:r>
            <w:r>
              <w:rPr>
                <w:rFonts w:hint="default"/>
                <w:b/>
                <w:bCs/>
                <w:sz w:val="24"/>
                <w:szCs w:val="24"/>
                <w:highlight w:val="none"/>
              </w:rPr>
              <w:t>废水</w:t>
            </w:r>
          </w:p>
          <w:p w14:paraId="282D2F2E">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工程施工期间</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严禁将施工污水散排。生活污水排入</w:t>
            </w:r>
            <w:r>
              <w:rPr>
                <w:rFonts w:hint="eastAsia" w:cs="Times New Roman"/>
                <w:color w:val="auto"/>
                <w:sz w:val="24"/>
                <w:szCs w:val="24"/>
                <w:highlight w:val="none"/>
                <w:lang w:val="en-US" w:eastAsia="zh-CN"/>
              </w:rPr>
              <w:t>防渗污水贮池</w:t>
            </w:r>
            <w:r>
              <w:rPr>
                <w:rFonts w:hint="default" w:ascii="Times New Roman" w:hAnsi="Times New Roman" w:cs="Times New Roman"/>
                <w:color w:val="auto"/>
                <w:sz w:val="24"/>
                <w:szCs w:val="24"/>
                <w:highlight w:val="none"/>
                <w:lang w:val="en-US" w:eastAsia="zh-CN"/>
              </w:rPr>
              <w:t>，定期清掏外运堆肥。在认真落实上述措施的基础上，施工废水对施工现场周围的环境影响较小，伴随施工期的结束也将结束</w:t>
            </w:r>
            <w:r>
              <w:rPr>
                <w:rFonts w:hint="default" w:ascii="Times New Roman" w:hAnsi="Times New Roman" w:cs="Times New Roman"/>
                <w:color w:val="auto"/>
                <w:sz w:val="24"/>
                <w:szCs w:val="24"/>
                <w:highlight w:val="none"/>
              </w:rPr>
              <w:t>。</w:t>
            </w:r>
          </w:p>
          <w:p w14:paraId="5D90A9D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highlight w:val="none"/>
                <w:lang w:val="en-US" w:eastAsia="zh-CN"/>
              </w:rPr>
            </w:pPr>
            <w:r>
              <w:rPr>
                <w:rFonts w:hint="eastAsia"/>
                <w:b/>
                <w:bCs/>
                <w:sz w:val="24"/>
                <w:szCs w:val="24"/>
                <w:highlight w:val="none"/>
                <w:lang w:val="en-US" w:eastAsia="zh-CN"/>
              </w:rPr>
              <w:t>2.废气</w:t>
            </w:r>
          </w:p>
          <w:p w14:paraId="2481445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施工期</w:t>
            </w:r>
            <w:r>
              <w:rPr>
                <w:rFonts w:hint="eastAsia" w:ascii="Times New Roman" w:hAnsi="Times New Roman" w:eastAsia="宋体" w:cs="Times New Roman"/>
                <w:color w:val="auto"/>
                <w:sz w:val="24"/>
                <w:szCs w:val="24"/>
                <w:highlight w:val="none"/>
              </w:rPr>
              <w:t>主要是</w:t>
            </w:r>
            <w:r>
              <w:rPr>
                <w:rFonts w:hint="eastAsia" w:cs="Times New Roman"/>
                <w:color w:val="auto"/>
                <w:sz w:val="24"/>
                <w:szCs w:val="24"/>
                <w:highlight w:val="none"/>
                <w:lang w:val="en-US" w:eastAsia="zh-CN"/>
              </w:rPr>
              <w:t>生产设备及环保设施安装</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因此，施工期无大型土建施工作业，对外环境影响较小。主要环境影响来自于营运期。</w:t>
            </w:r>
          </w:p>
          <w:p w14:paraId="2560C99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b/>
                <w:bCs/>
                <w:sz w:val="24"/>
                <w:szCs w:val="24"/>
                <w:highlight w:val="none"/>
                <w:lang w:val="en-US" w:eastAsia="zh-CN"/>
              </w:rPr>
            </w:pPr>
            <w:r>
              <w:rPr>
                <w:rFonts w:hint="eastAsia"/>
                <w:b/>
                <w:bCs/>
                <w:sz w:val="24"/>
                <w:szCs w:val="24"/>
                <w:highlight w:val="none"/>
                <w:lang w:val="en-US" w:eastAsia="zh-CN"/>
              </w:rPr>
              <w:t>3.</w:t>
            </w:r>
            <w:r>
              <w:rPr>
                <w:rFonts w:hint="default"/>
                <w:b/>
                <w:bCs/>
                <w:sz w:val="24"/>
                <w:szCs w:val="24"/>
                <w:highlight w:val="none"/>
                <w:lang w:val="en-US" w:eastAsia="zh-CN"/>
              </w:rPr>
              <w:t>噪声</w:t>
            </w:r>
          </w:p>
          <w:p w14:paraId="304724DC">
            <w:pPr>
              <w:adjustRightInd w:val="0"/>
              <w:snapToGrid w:val="0"/>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施工期噪声主要是施工现场的各类机械设备噪声、运输车辆的交通噪声，声功率级在75～105dB(A)之间。</w:t>
            </w:r>
          </w:p>
          <w:p w14:paraId="06AB2B23">
            <w:pPr>
              <w:adjustRightInd w:val="0"/>
              <w:snapToGrid w:val="0"/>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（1）加强施工管理，合理安排作业时间，严格按照施工噪声管理的有关规定；</w:t>
            </w:r>
          </w:p>
          <w:p w14:paraId="3E8D46D1">
            <w:pPr>
              <w:adjustRightInd w:val="0"/>
              <w:snapToGrid w:val="0"/>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（2）尽量采用低噪声施工设备和噪声低的施工方法；</w:t>
            </w:r>
          </w:p>
          <w:p w14:paraId="308D7F99">
            <w:pPr>
              <w:adjustRightInd w:val="0"/>
              <w:snapToGrid w:val="0"/>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（3）作业时在高噪声设备周围设置屏蔽；</w:t>
            </w:r>
          </w:p>
          <w:p w14:paraId="58BDBB7A">
            <w:pPr>
              <w:adjustRightInd w:val="0"/>
              <w:snapToGrid w:val="0"/>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（4）加强运输车辆的管理，运输在白天进行，并控制车辆鸣笛，禁止22:00-6:00时间段内运输和施工。</w:t>
            </w:r>
          </w:p>
          <w:p w14:paraId="44250D3D">
            <w:pPr>
              <w:adjustRightInd w:val="0"/>
              <w:snapToGrid w:val="0"/>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采取以上措施噪声可满足《建筑施工场界环境噪声排放标准》（GB12523-2011），即昼间70dB（A），夜间55dB（A）。</w:t>
            </w:r>
          </w:p>
          <w:p w14:paraId="0E3669B4">
            <w:pPr>
              <w:numPr>
                <w:ilvl w:val="0"/>
                <w:numId w:val="0"/>
              </w:numPr>
              <w:adjustRightInd w:val="0"/>
              <w:snapToGrid w:val="0"/>
              <w:spacing w:line="360" w:lineRule="auto"/>
              <w:ind w:firstLine="482" w:firstLineChars="200"/>
              <w:rPr>
                <w:rFonts w:hint="default" w:ascii="Times New Roman" w:hAnsi="Times New Roman"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lang w:val="en-US" w:eastAsia="zh-CN"/>
              </w:rPr>
              <w:t>固体废物</w:t>
            </w:r>
          </w:p>
          <w:p w14:paraId="641F9E01">
            <w:pPr>
              <w:adjustRightInd w:val="0"/>
              <w:snapToGrid w:val="0"/>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本项目施工期产生的固体废物主要是</w:t>
            </w:r>
            <w:r>
              <w:rPr>
                <w:rFonts w:hint="eastAsia" w:cs="Times New Roman"/>
                <w:color w:val="auto"/>
                <w:sz w:val="24"/>
                <w:szCs w:val="24"/>
                <w:highlight w:val="none"/>
                <w:lang w:val="en-US" w:eastAsia="zh-CN"/>
              </w:rPr>
              <w:t>废包装</w:t>
            </w:r>
            <w:r>
              <w:rPr>
                <w:rFonts w:hint="default" w:ascii="Times New Roman" w:hAnsi="Times New Roman" w:cs="Times New Roman"/>
                <w:color w:val="auto"/>
                <w:sz w:val="24"/>
                <w:szCs w:val="24"/>
                <w:highlight w:val="none"/>
                <w:lang w:val="en-US" w:eastAsia="zh-CN"/>
              </w:rPr>
              <w:t>、施工人员生活垃圾。</w:t>
            </w:r>
          </w:p>
          <w:p w14:paraId="6646E031">
            <w:pPr>
              <w:adjustRightInd w:val="0"/>
              <w:snapToGrid w:val="0"/>
              <w:spacing w:line="360" w:lineRule="auto"/>
              <w:ind w:firstLine="480" w:firstLineChars="200"/>
              <w:rPr>
                <w:rFonts w:hint="default" w:ascii="Times New Roman" w:hAnsi="Times New Roman" w:eastAsia="宋体" w:cs="Times New Roman"/>
                <w:color w:val="auto"/>
                <w:highlight w:val="yellow"/>
                <w:lang w:val="en-US" w:eastAsia="zh-CN"/>
              </w:rPr>
            </w:pPr>
            <w:r>
              <w:rPr>
                <w:rFonts w:hint="default" w:ascii="Times New Roman" w:hAnsi="Times New Roman" w:cs="Times New Roman"/>
                <w:color w:val="auto"/>
                <w:sz w:val="24"/>
                <w:szCs w:val="24"/>
                <w:highlight w:val="none"/>
                <w:lang w:val="en-US" w:eastAsia="zh-CN"/>
              </w:rPr>
              <w:t>施工人员产生的生活垃圾</w:t>
            </w:r>
            <w:r>
              <w:rPr>
                <w:rFonts w:hint="eastAsia" w:cs="Times New Roman"/>
                <w:color w:val="auto"/>
                <w:sz w:val="24"/>
                <w:szCs w:val="24"/>
                <w:highlight w:val="none"/>
                <w:lang w:val="en-US" w:eastAsia="zh-CN"/>
              </w:rPr>
              <w:t>及废包装</w:t>
            </w:r>
            <w:r>
              <w:rPr>
                <w:rFonts w:hint="default" w:ascii="Times New Roman" w:hAnsi="Times New Roman" w:cs="Times New Roman"/>
                <w:color w:val="auto"/>
                <w:sz w:val="24"/>
                <w:szCs w:val="24"/>
                <w:highlight w:val="none"/>
                <w:lang w:val="en-US" w:eastAsia="zh-CN"/>
              </w:rPr>
              <w:t>若随意堆放，不仅影响施工区环境景观，而且影响施工区环境卫生，夏秋季易造成蚊、蝇孽生或鼠类繁殖，导致疾病流行，进而威胁施工人员身体健康。</w:t>
            </w:r>
            <w:r>
              <w:rPr>
                <w:rFonts w:hint="eastAsia" w:ascii="Times New Roman" w:hAnsi="Times New Roman" w:cs="Times New Roman"/>
                <w:color w:val="auto"/>
                <w:sz w:val="24"/>
                <w:szCs w:val="24"/>
                <w:highlight w:val="none"/>
                <w:lang w:val="en-US" w:eastAsia="zh-CN"/>
              </w:rPr>
              <w:t>生活垃圾集中收集，</w:t>
            </w:r>
            <w:r>
              <w:rPr>
                <w:rFonts w:hint="eastAsia" w:cs="Times New Roman"/>
                <w:color w:val="auto"/>
                <w:sz w:val="24"/>
                <w:szCs w:val="24"/>
                <w:highlight w:val="none"/>
                <w:lang w:val="en-US" w:eastAsia="zh-CN"/>
              </w:rPr>
              <w:t>由环卫部门</w:t>
            </w:r>
            <w:r>
              <w:rPr>
                <w:rFonts w:hint="eastAsia" w:ascii="Times New Roman" w:hAnsi="Times New Roman" w:cs="Times New Roman"/>
                <w:color w:val="auto"/>
                <w:sz w:val="24"/>
                <w:szCs w:val="24"/>
                <w:highlight w:val="none"/>
                <w:lang w:val="en-US" w:eastAsia="zh-CN"/>
              </w:rPr>
              <w:t>送垃圾填埋场填埋。</w:t>
            </w:r>
            <w:r>
              <w:rPr>
                <w:rFonts w:hint="default" w:ascii="Times New Roman" w:hAnsi="Times New Roman" w:cs="Times New Roman"/>
                <w:color w:val="auto"/>
                <w:sz w:val="24"/>
                <w:szCs w:val="24"/>
                <w:highlight w:val="none"/>
                <w:lang w:val="en-US" w:eastAsia="zh-CN"/>
              </w:rPr>
              <w:t>综上所述，本项目施工期产生的固体废物均能无害化处</w:t>
            </w:r>
            <w:r>
              <w:rPr>
                <w:rFonts w:hint="eastAsia" w:cs="Times New Roman"/>
                <w:color w:val="auto"/>
                <w:sz w:val="24"/>
                <w:szCs w:val="24"/>
                <w:highlight w:val="none"/>
                <w:lang w:val="en-US" w:eastAsia="zh-CN"/>
              </w:rPr>
              <w:t>理。</w:t>
            </w:r>
          </w:p>
        </w:tc>
      </w:tr>
      <w:tr w14:paraId="1E71A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37" w:hRule="atLeast"/>
        </w:trPr>
        <w:tc>
          <w:tcPr>
            <w:tcW w:w="746" w:type="dxa"/>
            <w:noWrap w:val="0"/>
            <w:vAlign w:val="center"/>
          </w:tcPr>
          <w:p w14:paraId="6A60E1C1">
            <w:pPr>
              <w:adjustRightInd w:val="0"/>
              <w:snapToGrid w:val="0"/>
              <w:jc w:val="center"/>
              <w:rPr>
                <w:rFonts w:hint="default" w:ascii="Times New Roman" w:hAnsi="Times New Roman" w:cs="Times New Roman"/>
                <w:bCs/>
                <w:i w:val="0"/>
                <w:iCs w:val="0"/>
                <w:color w:val="auto"/>
                <w:szCs w:val="21"/>
                <w:highlight w:val="none"/>
              </w:rPr>
            </w:pPr>
            <w:r>
              <w:rPr>
                <w:rFonts w:hint="default" w:ascii="Times New Roman" w:hAnsi="Times New Roman" w:cs="Times New Roman"/>
                <w:bCs/>
                <w:i w:val="0"/>
                <w:iCs w:val="0"/>
                <w:color w:val="auto"/>
                <w:szCs w:val="21"/>
                <w:highlight w:val="none"/>
              </w:rPr>
              <w:t>运营</w:t>
            </w:r>
          </w:p>
          <w:p w14:paraId="65F06DEB">
            <w:pPr>
              <w:adjustRightInd w:val="0"/>
              <w:snapToGrid w:val="0"/>
              <w:jc w:val="center"/>
              <w:rPr>
                <w:rFonts w:hint="default" w:ascii="Times New Roman" w:hAnsi="Times New Roman" w:cs="Times New Roman"/>
                <w:bCs/>
                <w:i w:val="0"/>
                <w:iCs w:val="0"/>
                <w:color w:val="auto"/>
                <w:szCs w:val="21"/>
                <w:highlight w:val="none"/>
              </w:rPr>
            </w:pPr>
            <w:r>
              <w:rPr>
                <w:rFonts w:hint="default" w:ascii="Times New Roman" w:hAnsi="Times New Roman" w:cs="Times New Roman"/>
                <w:bCs/>
                <w:i w:val="0"/>
                <w:iCs w:val="0"/>
                <w:color w:val="auto"/>
                <w:szCs w:val="21"/>
                <w:highlight w:val="none"/>
              </w:rPr>
              <w:t>期环</w:t>
            </w:r>
          </w:p>
          <w:p w14:paraId="27782580">
            <w:pPr>
              <w:adjustRightInd w:val="0"/>
              <w:snapToGrid w:val="0"/>
              <w:jc w:val="center"/>
              <w:rPr>
                <w:rFonts w:hint="default" w:ascii="Times New Roman" w:hAnsi="Times New Roman" w:cs="Times New Roman"/>
                <w:bCs/>
                <w:i w:val="0"/>
                <w:iCs w:val="0"/>
                <w:color w:val="auto"/>
                <w:szCs w:val="21"/>
                <w:highlight w:val="none"/>
              </w:rPr>
            </w:pPr>
            <w:r>
              <w:rPr>
                <w:rFonts w:hint="default" w:ascii="Times New Roman" w:hAnsi="Times New Roman" w:cs="Times New Roman"/>
                <w:bCs/>
                <w:i w:val="0"/>
                <w:iCs w:val="0"/>
                <w:color w:val="auto"/>
                <w:szCs w:val="21"/>
                <w:highlight w:val="none"/>
              </w:rPr>
              <w:t>境影</w:t>
            </w:r>
          </w:p>
          <w:p w14:paraId="6C3A18FF">
            <w:pPr>
              <w:adjustRightInd w:val="0"/>
              <w:snapToGrid w:val="0"/>
              <w:jc w:val="center"/>
              <w:rPr>
                <w:rFonts w:hint="default" w:ascii="Times New Roman" w:hAnsi="Times New Roman" w:cs="Times New Roman"/>
                <w:bCs/>
                <w:i w:val="0"/>
                <w:iCs w:val="0"/>
                <w:color w:val="auto"/>
                <w:szCs w:val="21"/>
                <w:highlight w:val="none"/>
              </w:rPr>
            </w:pPr>
            <w:r>
              <w:rPr>
                <w:rFonts w:hint="default" w:ascii="Times New Roman" w:hAnsi="Times New Roman" w:cs="Times New Roman"/>
                <w:bCs/>
                <w:i w:val="0"/>
                <w:iCs w:val="0"/>
                <w:color w:val="auto"/>
                <w:szCs w:val="21"/>
                <w:highlight w:val="none"/>
              </w:rPr>
              <w:t>响和</w:t>
            </w:r>
          </w:p>
          <w:p w14:paraId="54B7B0E0">
            <w:pPr>
              <w:adjustRightInd w:val="0"/>
              <w:snapToGrid w:val="0"/>
              <w:jc w:val="center"/>
              <w:rPr>
                <w:rFonts w:hint="default" w:ascii="Times New Roman" w:hAnsi="Times New Roman" w:cs="Times New Roman"/>
                <w:bCs/>
                <w:i w:val="0"/>
                <w:iCs w:val="0"/>
                <w:color w:val="auto"/>
                <w:szCs w:val="21"/>
                <w:highlight w:val="none"/>
              </w:rPr>
            </w:pPr>
            <w:r>
              <w:rPr>
                <w:rFonts w:hint="default" w:ascii="Times New Roman" w:hAnsi="Times New Roman" w:cs="Times New Roman"/>
                <w:bCs/>
                <w:i w:val="0"/>
                <w:iCs w:val="0"/>
                <w:color w:val="auto"/>
                <w:szCs w:val="21"/>
                <w:highlight w:val="none"/>
              </w:rPr>
              <w:t>保护</w:t>
            </w:r>
          </w:p>
          <w:p w14:paraId="41DB7760">
            <w:pPr>
              <w:adjustRightInd w:val="0"/>
              <w:snapToGrid w:val="0"/>
              <w:jc w:val="center"/>
              <w:rPr>
                <w:rFonts w:hint="default" w:ascii="Times New Roman" w:hAnsi="Times New Roman" w:cs="Times New Roman"/>
                <w:bCs/>
                <w:color w:val="auto"/>
                <w:szCs w:val="21"/>
                <w:highlight w:val="yellow"/>
              </w:rPr>
            </w:pPr>
            <w:r>
              <w:rPr>
                <w:rFonts w:hint="default" w:ascii="Times New Roman" w:hAnsi="Times New Roman" w:cs="Times New Roman"/>
                <w:bCs/>
                <w:i w:val="0"/>
                <w:iCs w:val="0"/>
                <w:color w:val="auto"/>
                <w:szCs w:val="21"/>
                <w:highlight w:val="none"/>
              </w:rPr>
              <w:t>措施</w:t>
            </w:r>
          </w:p>
        </w:tc>
        <w:tc>
          <w:tcPr>
            <w:tcW w:w="8162" w:type="dxa"/>
            <w:tcBorders>
              <w:bottom w:val="single" w:color="auto" w:sz="4" w:space="0"/>
            </w:tcBorders>
            <w:noWrap w:val="0"/>
            <w:vAlign w:val="top"/>
          </w:tcPr>
          <w:p w14:paraId="790F33D2">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2" w:firstLineChars="200"/>
              <w:textAlignment w:val="auto"/>
              <w:rPr>
                <w:rFonts w:hint="default"/>
                <w:b/>
                <w:bCs/>
                <w:sz w:val="24"/>
                <w:szCs w:val="24"/>
                <w:highlight w:val="none"/>
              </w:rPr>
            </w:pPr>
            <w:r>
              <w:rPr>
                <w:rFonts w:hint="default"/>
                <w:b/>
                <w:bCs/>
                <w:sz w:val="24"/>
                <w:szCs w:val="24"/>
                <w:highlight w:val="none"/>
              </w:rPr>
              <w:t>废气</w:t>
            </w:r>
          </w:p>
          <w:p w14:paraId="6A8F5596">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bidi="ar-SA"/>
              </w:rPr>
            </w:pPr>
            <w:r>
              <w:rPr>
                <w:rFonts w:hint="eastAsia" w:ascii="Times New Roman" w:hAnsi="Times New Roman" w:cs="Times New Roman"/>
                <w:color w:val="auto"/>
                <w:sz w:val="24"/>
                <w:szCs w:val="24"/>
                <w:highlight w:val="none"/>
                <w:lang w:val="en-US" w:eastAsia="zh-CN"/>
              </w:rPr>
              <w:t>（一）源强核算及达标排放情况</w:t>
            </w:r>
          </w:p>
          <w:p w14:paraId="313D3834">
            <w:pPr>
              <w:adjustRightInd w:val="0"/>
              <w:snapToGrid w:val="0"/>
              <w:spacing w:line="360" w:lineRule="auto"/>
              <w:ind w:firstLine="482" w:firstLineChars="200"/>
              <w:rPr>
                <w:rFonts w:hint="default" w:ascii="Times New Roman" w:hAnsi="Times New Roman" w:eastAsia="宋体" w:cs="Times New Roman"/>
                <w:color w:val="auto"/>
                <w:sz w:val="24"/>
                <w:szCs w:val="24"/>
                <w:highlight w:val="none"/>
                <w:lang w:val="en-US" w:eastAsia="zh-CN" w:bidi="ar-SA"/>
              </w:rPr>
            </w:pPr>
            <w:r>
              <w:rPr>
                <w:rFonts w:hint="eastAsia" w:cs="Times New Roman"/>
                <w:b/>
                <w:bCs/>
                <w:color w:val="auto"/>
                <w:sz w:val="24"/>
                <w:szCs w:val="24"/>
                <w:highlight w:val="none"/>
                <w:lang w:val="en-US" w:eastAsia="zh-CN"/>
              </w:rPr>
              <w:t>（1）</w:t>
            </w:r>
            <w:r>
              <w:rPr>
                <w:rFonts w:hint="eastAsia" w:ascii="Times New Roman" w:hAnsi="Times New Roman" w:cs="Times New Roman"/>
                <w:b/>
                <w:bCs/>
                <w:color w:val="auto"/>
                <w:sz w:val="24"/>
                <w:szCs w:val="24"/>
                <w:highlight w:val="none"/>
                <w:lang w:val="en-US" w:eastAsia="zh-CN"/>
              </w:rPr>
              <w:t>正常工况</w:t>
            </w:r>
          </w:p>
          <w:p w14:paraId="1366E324">
            <w:pPr>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①生物质装卸和储运扬尘</w:t>
            </w:r>
          </w:p>
          <w:p w14:paraId="25D15D49">
            <w:pPr>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生物质颗粒料为袋装，经汽车运至厂内，卸载并储存于蒸汽发生器房内，并用苫布苫盖。生物质颗粒在储运过程中均为包装袋内，不易起尘，储存于蒸汽发生器房内并通过苫盖防止表面起尘。参照《污染源源强核算技术指南锅炉》（HJ991—2018）中4.4.2.1中的要求，“料/堆场采用全封闭型式、储罐采用密闭容器的，废气无组织源强可忽略不计。”因此，生物质燃料存储期间无组织粉尘排放量忽略不计。</w:t>
            </w:r>
          </w:p>
          <w:p w14:paraId="13FEF7C7">
            <w:pPr>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②蒸汽发生器灰渣储运扬尘</w:t>
            </w:r>
          </w:p>
          <w:p w14:paraId="0167FAB9">
            <w:pPr>
              <w:spacing w:line="360" w:lineRule="auto"/>
              <w:ind w:firstLine="480" w:firstLineChars="200"/>
              <w:rPr>
                <w:rFonts w:hint="default"/>
                <w:lang w:val="en-US" w:eastAsia="zh-CN"/>
              </w:rPr>
            </w:pPr>
            <w:r>
              <w:rPr>
                <w:rFonts w:hint="eastAsia" w:ascii="Times New Roman" w:hAnsi="Times New Roman" w:eastAsia="宋体" w:cs="Times New Roman"/>
                <w:color w:val="auto"/>
                <w:kern w:val="2"/>
                <w:sz w:val="24"/>
                <w:szCs w:val="24"/>
                <w:highlight w:val="none"/>
                <w:lang w:val="en-US" w:eastAsia="zh-CN" w:bidi="ar-SA"/>
              </w:rPr>
              <w:t>本项目蒸汽发生器产生的生物质炉渣和除尘器产生的除尘灰，经加湿后存放在灰渣间，通过人工装载同时洒水降尘，采用汽车运至综合利用单位。灰渣在储运过程中保持一定湿度，可防止扬尘产生。外运车辆采取苫盖措施防止在运输过程中产生扬尘和洒落。</w:t>
            </w:r>
          </w:p>
          <w:p w14:paraId="24E41FFD">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③蒸汽发生器</w:t>
            </w:r>
            <w:r>
              <w:rPr>
                <w:rFonts w:hint="default" w:ascii="Times New Roman" w:hAnsi="Times New Roman" w:eastAsia="宋体" w:cs="Times New Roman"/>
                <w:color w:val="auto"/>
                <w:kern w:val="2"/>
                <w:sz w:val="24"/>
                <w:szCs w:val="24"/>
                <w:highlight w:val="none"/>
                <w:lang w:val="en-US" w:eastAsia="zh-CN" w:bidi="ar-SA"/>
              </w:rPr>
              <w:t>烟气</w:t>
            </w:r>
          </w:p>
          <w:p w14:paraId="49C5B3CB">
            <w:pPr>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本项目年燃生物质成型燃料的量为</w:t>
            </w:r>
            <w:r>
              <w:rPr>
                <w:rFonts w:hint="eastAsia" w:cs="Times New Roman"/>
                <w:color w:val="auto"/>
                <w:kern w:val="2"/>
                <w:sz w:val="24"/>
                <w:szCs w:val="24"/>
                <w:highlight w:val="none"/>
                <w:lang w:val="en-US" w:eastAsia="zh-CN" w:bidi="ar-SA"/>
              </w:rPr>
              <w:t>1018.3131</w:t>
            </w:r>
            <w:r>
              <w:rPr>
                <w:rFonts w:hint="eastAsia" w:ascii="Times New Roman" w:hAnsi="Times New Roman" w:eastAsia="宋体" w:cs="Times New Roman"/>
                <w:color w:val="auto"/>
                <w:kern w:val="2"/>
                <w:sz w:val="24"/>
                <w:szCs w:val="24"/>
                <w:highlight w:val="none"/>
                <w:lang w:val="en-US" w:eastAsia="zh-CN" w:bidi="ar-SA"/>
              </w:rPr>
              <w:t>t/a。本项目蒸汽发生器大气污染物核算方法是产污系数法和类比法。</w:t>
            </w:r>
          </w:p>
          <w:p w14:paraId="23C5B22E">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a烟气排放量按下式计算</w:t>
            </w:r>
          </w:p>
          <w:p w14:paraId="0E50E8FD">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根据《污染源源强核算技术指南 锅炉》（HJ991-2018）附录C烟气量计算C.5没有元素分析时，干烟气排放量的经验公式计算参照HJ953。</w:t>
            </w:r>
            <w:r>
              <w:rPr>
                <w:rFonts w:hint="eastAsia" w:cs="Times New Roman"/>
                <w:color w:val="auto"/>
                <w:kern w:val="2"/>
                <w:sz w:val="24"/>
                <w:szCs w:val="24"/>
                <w:highlight w:val="yellow"/>
                <w:lang w:val="en-US" w:eastAsia="zh-CN" w:bidi="ar-SA"/>
              </w:rPr>
              <w:t>本项目生物质分析报告缺少元素分析，因此选用</w:t>
            </w:r>
            <w:r>
              <w:rPr>
                <w:rFonts w:hint="default" w:ascii="Times New Roman" w:hAnsi="Times New Roman" w:eastAsia="宋体" w:cs="Times New Roman"/>
                <w:color w:val="auto"/>
                <w:kern w:val="2"/>
                <w:sz w:val="24"/>
                <w:szCs w:val="24"/>
                <w:highlight w:val="yellow"/>
                <w:lang w:val="en-US" w:eastAsia="zh-CN" w:bidi="ar-SA"/>
              </w:rPr>
              <w:t>C.5</w:t>
            </w:r>
            <w:r>
              <w:rPr>
                <w:rFonts w:hint="eastAsia" w:cs="Times New Roman"/>
                <w:color w:val="auto"/>
                <w:kern w:val="2"/>
                <w:sz w:val="24"/>
                <w:szCs w:val="24"/>
                <w:highlight w:val="yellow"/>
                <w:lang w:val="en-US" w:eastAsia="zh-CN" w:bidi="ar-SA"/>
              </w:rPr>
              <w:t>进行烟气量计算。</w:t>
            </w:r>
            <w:r>
              <w:rPr>
                <w:rFonts w:hint="default" w:ascii="Times New Roman" w:hAnsi="Times New Roman" w:eastAsia="宋体" w:cs="Times New Roman"/>
                <w:color w:val="auto"/>
                <w:kern w:val="2"/>
                <w:sz w:val="24"/>
                <w:szCs w:val="24"/>
                <w:highlight w:val="yellow"/>
                <w:lang w:val="en-US" w:eastAsia="zh-CN" w:bidi="ar-SA"/>
              </w:rPr>
              <w:t>计算公示如下：</w:t>
            </w:r>
          </w:p>
          <w:p w14:paraId="6AC03F87">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Vgy=0.393Qnet,ar+0.876</w:t>
            </w:r>
          </w:p>
          <w:p w14:paraId="78FC05C6">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则本项目的基准烟气量为Vgy=（0.393×</w:t>
            </w:r>
            <w:r>
              <w:rPr>
                <w:rFonts w:hint="eastAsia" w:ascii="Times New Roman" w:hAnsi="Times New Roman" w:eastAsia="宋体" w:cs="Times New Roman"/>
                <w:color w:val="auto"/>
                <w:kern w:val="2"/>
                <w:sz w:val="24"/>
                <w:szCs w:val="24"/>
                <w:highlight w:val="none"/>
                <w:lang w:val="en-US" w:eastAsia="zh-CN" w:bidi="ar-SA"/>
              </w:rPr>
              <w:t>14.55</w:t>
            </w:r>
            <w:r>
              <w:rPr>
                <w:rFonts w:hint="default" w:ascii="Times New Roman" w:hAnsi="Times New Roman" w:eastAsia="宋体" w:cs="Times New Roman"/>
                <w:color w:val="auto"/>
                <w:kern w:val="2"/>
                <w:sz w:val="24"/>
                <w:szCs w:val="24"/>
                <w:highlight w:val="none"/>
                <w:lang w:val="en-US" w:eastAsia="zh-CN" w:bidi="ar-SA"/>
              </w:rPr>
              <w:t>+0.876）Nm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/kg×10</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6594.15</w:t>
            </w:r>
            <w:r>
              <w:rPr>
                <w:rFonts w:hint="default" w:ascii="Times New Roman" w:hAnsi="Times New Roman" w:eastAsia="宋体" w:cs="Times New Roman"/>
                <w:color w:val="auto"/>
                <w:kern w:val="2"/>
                <w:sz w:val="24"/>
                <w:szCs w:val="24"/>
                <w:highlight w:val="none"/>
                <w:lang w:val="en-US" w:eastAsia="zh-CN" w:bidi="ar-SA"/>
              </w:rPr>
              <w:t>Nm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/t</w:t>
            </w:r>
          </w:p>
          <w:p w14:paraId="3D195E1A">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 2 \* alphabetic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color w:val="auto"/>
                <w:kern w:val="2"/>
                <w:sz w:val="24"/>
                <w:szCs w:val="24"/>
                <w:highlight w:val="none"/>
                <w:lang w:val="en-US" w:eastAsia="zh-CN" w:bidi="ar-SA"/>
              </w:rPr>
              <w:t>b</w:t>
            </w:r>
            <w:r>
              <w:rPr>
                <w:rFonts w:hint="default" w:ascii="Times New Roman" w:hAnsi="Times New Roman" w:eastAsia="宋体" w:cs="Times New Roman"/>
                <w:color w:val="auto"/>
                <w:kern w:val="2"/>
                <w:sz w:val="24"/>
                <w:szCs w:val="24"/>
                <w:highlight w:val="none"/>
                <w:lang w:val="en-US" w:eastAsia="zh-CN" w:bidi="ar-SA"/>
              </w:rPr>
              <w:fldChar w:fldCharType="end"/>
            </w:r>
            <w:r>
              <w:rPr>
                <w:rFonts w:hint="default" w:ascii="Times New Roman" w:hAnsi="Times New Roman" w:eastAsia="宋体" w:cs="Times New Roman"/>
                <w:color w:val="auto"/>
                <w:kern w:val="2"/>
                <w:sz w:val="24"/>
                <w:szCs w:val="24"/>
                <w:highlight w:val="none"/>
                <w:lang w:val="en-US" w:eastAsia="zh-CN" w:bidi="ar-SA"/>
              </w:rPr>
              <w:t>颗粒物排放量按下式计算：</w:t>
            </w:r>
          </w:p>
          <w:p w14:paraId="40A09753">
            <w:pPr>
              <w:adjustRightInd w:val="0"/>
              <w:snapToGrid w:val="0"/>
              <w:spacing w:line="360" w:lineRule="auto"/>
              <w:ind w:firstLine="420" w:firstLineChars="20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drawing>
                <wp:inline distT="0" distB="0" distL="114300" distR="114300">
                  <wp:extent cx="1705610" cy="839470"/>
                  <wp:effectExtent l="0" t="0" r="8890" b="17780"/>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16"/>
                          <a:stretch>
                            <a:fillRect/>
                          </a:stretch>
                        </pic:blipFill>
                        <pic:spPr>
                          <a:xfrm>
                            <a:off x="0" y="0"/>
                            <a:ext cx="1705610" cy="839470"/>
                          </a:xfrm>
                          <a:prstGeom prst="rect">
                            <a:avLst/>
                          </a:prstGeom>
                          <a:noFill/>
                          <a:ln>
                            <a:noFill/>
                          </a:ln>
                        </pic:spPr>
                      </pic:pic>
                    </a:graphicData>
                  </a:graphic>
                </wp:inline>
              </w:drawing>
            </w:r>
          </w:p>
          <w:p w14:paraId="775C7953">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式中：</w:t>
            </w:r>
          </w:p>
          <w:p w14:paraId="07DE7231">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EA——核算时段内颗粒物（烟囱）排放量，t；</w:t>
            </w:r>
          </w:p>
          <w:p w14:paraId="3A0CBD53">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R——核算时段内</w:t>
            </w:r>
            <w:r>
              <w:rPr>
                <w:rFonts w:hint="eastAsia" w:ascii="Times New Roman" w:hAnsi="Times New Roman" w:eastAsia="宋体" w:cs="Times New Roman"/>
                <w:color w:val="auto"/>
                <w:kern w:val="2"/>
                <w:sz w:val="24"/>
                <w:szCs w:val="24"/>
                <w:highlight w:val="none"/>
                <w:lang w:val="en-US" w:eastAsia="zh-CN" w:bidi="ar-SA"/>
              </w:rPr>
              <w:t>蒸汽发生器</w:t>
            </w:r>
            <w:r>
              <w:rPr>
                <w:rFonts w:hint="default" w:ascii="Times New Roman" w:hAnsi="Times New Roman" w:eastAsia="宋体" w:cs="Times New Roman"/>
                <w:color w:val="auto"/>
                <w:kern w:val="2"/>
                <w:sz w:val="24"/>
                <w:szCs w:val="24"/>
                <w:highlight w:val="none"/>
                <w:lang w:val="en-US" w:eastAsia="zh-CN" w:bidi="ar-SA"/>
              </w:rPr>
              <w:t>燃料耗量，t，为</w:t>
            </w:r>
            <w:r>
              <w:rPr>
                <w:rFonts w:hint="eastAsia" w:cs="Times New Roman"/>
                <w:color w:val="auto"/>
                <w:kern w:val="2"/>
                <w:sz w:val="24"/>
                <w:szCs w:val="24"/>
                <w:highlight w:val="none"/>
                <w:lang w:val="en-US" w:eastAsia="zh-CN" w:bidi="ar-SA"/>
              </w:rPr>
              <w:t>1018.3131</w:t>
            </w:r>
            <w:r>
              <w:rPr>
                <w:rFonts w:hint="default" w:ascii="Times New Roman" w:hAnsi="Times New Roman" w:eastAsia="宋体" w:cs="Times New Roman"/>
                <w:color w:val="auto"/>
                <w:kern w:val="2"/>
                <w:sz w:val="24"/>
                <w:szCs w:val="24"/>
                <w:highlight w:val="none"/>
                <w:lang w:val="en-US" w:eastAsia="zh-CN" w:bidi="ar-SA"/>
              </w:rPr>
              <w:t>t；</w:t>
            </w:r>
          </w:p>
          <w:p w14:paraId="53AE4B35">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Aar——收到基灰分质量分数（根据生物质成分分析报告换算得出：Aar=</w:t>
            </w:r>
            <w:r>
              <w:rPr>
                <w:rFonts w:hint="eastAsia" w:cs="Times New Roman"/>
                <w:color w:val="auto"/>
                <w:kern w:val="2"/>
                <w:sz w:val="24"/>
                <w:szCs w:val="24"/>
                <w:highlight w:val="none"/>
                <w:lang w:val="en-US" w:eastAsia="zh-CN" w:bidi="ar-SA"/>
              </w:rPr>
              <w:t>干燥基</w:t>
            </w:r>
            <w:r>
              <w:rPr>
                <w:rFonts w:hint="default" w:ascii="Times New Roman" w:hAnsi="Times New Roman" w:eastAsia="宋体" w:cs="Times New Roman"/>
                <w:color w:val="auto"/>
                <w:kern w:val="2"/>
                <w:sz w:val="24"/>
                <w:szCs w:val="24"/>
                <w:highlight w:val="none"/>
                <w:lang w:val="en-US" w:eastAsia="zh-CN" w:bidi="ar-SA"/>
              </w:rPr>
              <w:t>（100-</w:t>
            </w:r>
            <w:r>
              <w:rPr>
                <w:rFonts w:hint="eastAsia" w:cs="Times New Roman"/>
                <w:color w:val="auto"/>
                <w:kern w:val="2"/>
                <w:sz w:val="24"/>
                <w:szCs w:val="24"/>
                <w:highlight w:val="none"/>
                <w:lang w:val="en-US" w:eastAsia="zh-CN" w:bidi="ar-SA"/>
              </w:rPr>
              <w:t>全水分质量分数</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100</w:t>
            </w:r>
            <w:r>
              <w:rPr>
                <w:rFonts w:hint="eastAsia" w:cs="Times New Roman"/>
                <w:color w:val="auto"/>
                <w:kern w:val="2"/>
                <w:sz w:val="24"/>
                <w:szCs w:val="24"/>
                <w:highlight w:val="none"/>
                <w:lang w:val="en-US" w:eastAsia="zh-CN" w:bidi="ar-SA"/>
              </w:rPr>
              <w:t>-空气干燥基水分）</w:t>
            </w:r>
            <w:r>
              <w:rPr>
                <w:rFonts w:hint="default" w:ascii="Times New Roman" w:hAnsi="Times New Roman" w:eastAsia="宋体" w:cs="Times New Roman"/>
                <w:color w:val="auto"/>
                <w:kern w:val="2"/>
                <w:sz w:val="24"/>
                <w:szCs w:val="24"/>
                <w:highlight w:val="none"/>
                <w:lang w:val="en-US" w:eastAsia="zh-CN" w:bidi="ar-SA"/>
              </w:rPr>
              <w:t>），%，收到基灰分质量分数为</w:t>
            </w:r>
            <w:r>
              <w:rPr>
                <w:rFonts w:hint="eastAsia" w:cs="Times New Roman"/>
                <w:color w:val="auto"/>
                <w:kern w:val="2"/>
                <w:sz w:val="24"/>
                <w:szCs w:val="24"/>
                <w:highlight w:val="none"/>
                <w:lang w:val="en-US" w:eastAsia="zh-CN" w:bidi="ar-SA"/>
              </w:rPr>
              <w:t>12.36</w:t>
            </w:r>
            <w:r>
              <w:rPr>
                <w:rFonts w:hint="default" w:ascii="Times New Roman" w:hAnsi="Times New Roman" w:eastAsia="宋体" w:cs="Times New Roman"/>
                <w:color w:val="auto"/>
                <w:kern w:val="2"/>
                <w:sz w:val="24"/>
                <w:szCs w:val="24"/>
                <w:highlight w:val="none"/>
                <w:lang w:val="en-US" w:eastAsia="zh-CN" w:bidi="ar-SA"/>
              </w:rPr>
              <w:t>%；</w:t>
            </w:r>
          </w:p>
          <w:p w14:paraId="1075EA96">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dfh——</w:t>
            </w:r>
            <w:r>
              <w:rPr>
                <w:rFonts w:hint="eastAsia" w:ascii="Times New Roman" w:hAnsi="Times New Roman" w:eastAsia="宋体" w:cs="Times New Roman"/>
                <w:color w:val="auto"/>
                <w:kern w:val="2"/>
                <w:sz w:val="24"/>
                <w:szCs w:val="24"/>
                <w:highlight w:val="yellow"/>
                <w:lang w:val="en-US" w:eastAsia="zh-CN" w:bidi="ar-SA"/>
              </w:rPr>
              <w:t>蒸汽发生器</w:t>
            </w:r>
            <w:r>
              <w:rPr>
                <w:rFonts w:hint="default" w:ascii="Times New Roman" w:hAnsi="Times New Roman" w:eastAsia="宋体" w:cs="Times New Roman"/>
                <w:color w:val="auto"/>
                <w:kern w:val="2"/>
                <w:sz w:val="24"/>
                <w:szCs w:val="24"/>
                <w:highlight w:val="yellow"/>
                <w:lang w:val="en-US" w:eastAsia="zh-CN" w:bidi="ar-SA"/>
              </w:rPr>
              <w:t>烟气带出的飞灰份额，%，（本项目为生物质常压蒸汽锅炉，飞灰份额为</w:t>
            </w:r>
            <w:r>
              <w:rPr>
                <w:rFonts w:hint="eastAsia" w:cs="Times New Roman"/>
                <w:color w:val="auto"/>
                <w:kern w:val="2"/>
                <w:sz w:val="24"/>
                <w:szCs w:val="24"/>
                <w:highlight w:val="yellow"/>
                <w:lang w:val="en-US" w:eastAsia="zh-CN" w:bidi="ar-SA"/>
              </w:rPr>
              <w:t>50</w:t>
            </w:r>
            <w:r>
              <w:rPr>
                <w:rFonts w:hint="default" w:ascii="Times New Roman" w:hAnsi="Times New Roman" w:eastAsia="宋体" w:cs="Times New Roman"/>
                <w:color w:val="auto"/>
                <w:kern w:val="2"/>
                <w:sz w:val="24"/>
                <w:szCs w:val="24"/>
                <w:highlight w:val="yellow"/>
                <w:lang w:val="en-US" w:eastAsia="zh-CN" w:bidi="ar-SA"/>
              </w:rPr>
              <w:t>%；</w:t>
            </w:r>
          </w:p>
          <w:p w14:paraId="3460099B">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ηc——综合除尘效率，%，为99</w:t>
            </w:r>
            <w:r>
              <w:rPr>
                <w:rFonts w:hint="eastAsia" w:ascii="Times New Roman" w:hAnsi="Times New Roman" w:eastAsia="宋体" w:cs="Times New Roman"/>
                <w:color w:val="auto"/>
                <w:kern w:val="2"/>
                <w:sz w:val="24"/>
                <w:szCs w:val="24"/>
                <w:highlight w:val="none"/>
                <w:lang w:val="en-US" w:eastAsia="zh-CN" w:bidi="ar-SA"/>
              </w:rPr>
              <w:t>.7</w:t>
            </w:r>
            <w:r>
              <w:rPr>
                <w:rFonts w:hint="default" w:ascii="Times New Roman" w:hAnsi="Times New Roman" w:eastAsia="宋体" w:cs="Times New Roman"/>
                <w:color w:val="auto"/>
                <w:kern w:val="2"/>
                <w:sz w:val="24"/>
                <w:szCs w:val="24"/>
                <w:highlight w:val="none"/>
                <w:lang w:val="en-US" w:eastAsia="zh-CN" w:bidi="ar-SA"/>
              </w:rPr>
              <w:t>%；</w:t>
            </w:r>
          </w:p>
          <w:p w14:paraId="7122D755">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Cfh——飞灰中的可燃物含量，%，项目使用生物质燃料</w:t>
            </w:r>
            <w:r>
              <w:rPr>
                <w:rFonts w:hint="eastAsia" w:ascii="Times New Roman" w:hAnsi="Times New Roman" w:eastAsia="宋体" w:cs="Times New Roman"/>
                <w:color w:val="auto"/>
                <w:kern w:val="2"/>
                <w:sz w:val="24"/>
                <w:szCs w:val="24"/>
                <w:highlight w:val="none"/>
                <w:lang w:val="en-US" w:eastAsia="zh-CN" w:bidi="ar-SA"/>
              </w:rPr>
              <w:t>颗粒</w:t>
            </w:r>
            <w:r>
              <w:rPr>
                <w:rFonts w:hint="default" w:ascii="Times New Roman" w:hAnsi="Times New Roman" w:eastAsia="宋体" w:cs="Times New Roman"/>
                <w:color w:val="auto"/>
                <w:kern w:val="2"/>
                <w:sz w:val="24"/>
                <w:szCs w:val="24"/>
                <w:highlight w:val="none"/>
                <w:lang w:val="en-US" w:eastAsia="zh-CN" w:bidi="ar-SA"/>
              </w:rPr>
              <w:t>，飞灰中可燃物含量类比烟煤II类，根据《工业锅炉经济运行》（GB/T17954-2007），取13%）。</w:t>
            </w:r>
          </w:p>
          <w:p w14:paraId="75FF9976">
            <w:pPr>
              <w:spacing w:line="360" w:lineRule="auto"/>
              <w:ind w:firstLine="480" w:firstLineChars="20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2"/>
                <w:sz w:val="24"/>
                <w:szCs w:val="24"/>
                <w:highlight w:val="none"/>
                <w:lang w:val="en-US" w:eastAsia="zh-CN" w:bidi="ar-SA"/>
              </w:rPr>
              <w:t>经计算本项目</w:t>
            </w:r>
            <w:r>
              <w:rPr>
                <w:rFonts w:hint="eastAsia" w:ascii="Times New Roman" w:hAnsi="Times New Roman" w:eastAsia="宋体" w:cs="Times New Roman"/>
                <w:color w:val="auto"/>
                <w:kern w:val="2"/>
                <w:sz w:val="24"/>
                <w:szCs w:val="24"/>
                <w:highlight w:val="none"/>
                <w:lang w:val="en-US" w:eastAsia="zh-CN" w:bidi="ar-SA"/>
              </w:rPr>
              <w:t>蒸汽发生器</w:t>
            </w:r>
            <w:r>
              <w:rPr>
                <w:rFonts w:hint="default" w:ascii="Times New Roman" w:hAnsi="Times New Roman" w:eastAsia="宋体" w:cs="Times New Roman"/>
                <w:color w:val="auto"/>
                <w:kern w:val="2"/>
                <w:sz w:val="24"/>
                <w:szCs w:val="24"/>
                <w:highlight w:val="none"/>
                <w:lang w:val="en-US" w:eastAsia="zh-CN" w:bidi="ar-SA"/>
              </w:rPr>
              <w:t>烟气颗粒物排放量为</w:t>
            </w:r>
            <w:r>
              <w:rPr>
                <w:rFonts w:hint="eastAsia" w:cs="Times New Roman"/>
                <w:color w:val="auto"/>
                <w:kern w:val="2"/>
                <w:sz w:val="24"/>
                <w:szCs w:val="24"/>
                <w:highlight w:val="none"/>
                <w:lang w:val="en-US" w:eastAsia="zh-CN" w:bidi="ar-SA"/>
              </w:rPr>
              <w:t>0.217</w:t>
            </w:r>
            <w:r>
              <w:rPr>
                <w:rFonts w:hint="default" w:ascii="Times New Roman" w:hAnsi="Times New Roman" w:eastAsia="宋体" w:cs="Times New Roman"/>
                <w:color w:val="auto"/>
                <w:kern w:val="2"/>
                <w:sz w:val="24"/>
                <w:szCs w:val="24"/>
                <w:highlight w:val="none"/>
                <w:lang w:val="en-US" w:eastAsia="zh-CN" w:bidi="ar-SA"/>
              </w:rPr>
              <w:t>t/a</w:t>
            </w:r>
            <w:r>
              <w:rPr>
                <w:rFonts w:hint="eastAsia" w:cs="Times New Roman"/>
                <w:color w:val="auto"/>
                <w:kern w:val="2"/>
                <w:sz w:val="24"/>
                <w:szCs w:val="24"/>
                <w:highlight w:val="none"/>
                <w:lang w:val="en-US" w:eastAsia="zh-CN" w:bidi="ar-SA"/>
              </w:rPr>
              <w:t>（0.115kg/h）</w:t>
            </w:r>
            <w:r>
              <w:rPr>
                <w:rFonts w:hint="default" w:ascii="Times New Roman" w:hAnsi="Times New Roman" w:eastAsia="宋体" w:cs="Times New Roman"/>
                <w:color w:val="auto"/>
                <w:kern w:val="2"/>
                <w:sz w:val="24"/>
                <w:szCs w:val="24"/>
                <w:highlight w:val="none"/>
                <w:lang w:val="en-US" w:eastAsia="zh-CN" w:bidi="ar-SA"/>
              </w:rPr>
              <w:t>；</w:t>
            </w:r>
          </w:p>
          <w:p w14:paraId="5F1C69DB">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c</w:t>
            </w:r>
            <w:r>
              <w:rPr>
                <w:rFonts w:hint="default" w:ascii="Times New Roman" w:hAnsi="Times New Roman" w:eastAsia="宋体" w:cs="Times New Roman"/>
                <w:color w:val="auto"/>
                <w:kern w:val="2"/>
                <w:sz w:val="24"/>
                <w:szCs w:val="24"/>
                <w:highlight w:val="none"/>
                <w:lang w:val="en-US" w:eastAsia="zh-CN" w:bidi="ar-SA"/>
              </w:rPr>
              <w:t>二氧化硫排放量按下式计算：</w:t>
            </w:r>
          </w:p>
          <w:p w14:paraId="1654587F">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drawing>
                <wp:inline distT="0" distB="0" distL="114300" distR="114300">
                  <wp:extent cx="3286125" cy="571500"/>
                  <wp:effectExtent l="0" t="0" r="9525" b="0"/>
                  <wp:docPr id="59" name="图片 59" descr="169698940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696989403643"/>
                          <pic:cNvPicPr>
                            <a:picLocks noChangeAspect="1"/>
                          </pic:cNvPicPr>
                        </pic:nvPicPr>
                        <pic:blipFill>
                          <a:blip r:embed="rId17"/>
                          <a:stretch>
                            <a:fillRect/>
                          </a:stretch>
                        </pic:blipFill>
                        <pic:spPr>
                          <a:xfrm>
                            <a:off x="0" y="0"/>
                            <a:ext cx="3286125" cy="571500"/>
                          </a:xfrm>
                          <a:prstGeom prst="rect">
                            <a:avLst/>
                          </a:prstGeom>
                        </pic:spPr>
                      </pic:pic>
                    </a:graphicData>
                  </a:graphic>
                </wp:inline>
              </w:drawing>
            </w:r>
          </w:p>
          <w:p w14:paraId="70403F1A">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式中：</w:t>
            </w:r>
          </w:p>
          <w:p w14:paraId="10DF3CA4">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ESO</w:t>
            </w:r>
            <w:r>
              <w:rPr>
                <w:rFonts w:hint="default" w:ascii="Times New Roman" w:hAnsi="Times New Roman" w:eastAsia="宋体" w:cs="Times New Roman"/>
                <w:color w:val="auto"/>
                <w:kern w:val="2"/>
                <w:sz w:val="24"/>
                <w:szCs w:val="24"/>
                <w:highlight w:val="none"/>
                <w:vertAlign w:val="sub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——核算时段内二氧化硫排放量，t；</w:t>
            </w:r>
          </w:p>
          <w:p w14:paraId="37A47DF0">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R——核算时段内</w:t>
            </w:r>
            <w:r>
              <w:rPr>
                <w:rFonts w:hint="eastAsia" w:ascii="Times New Roman" w:hAnsi="Times New Roman" w:eastAsia="宋体" w:cs="Times New Roman"/>
                <w:color w:val="auto"/>
                <w:kern w:val="2"/>
                <w:sz w:val="24"/>
                <w:szCs w:val="24"/>
                <w:highlight w:val="none"/>
                <w:lang w:val="en-US" w:eastAsia="zh-CN" w:bidi="ar-SA"/>
              </w:rPr>
              <w:t>蒸汽发生器</w:t>
            </w:r>
            <w:r>
              <w:rPr>
                <w:rFonts w:hint="default" w:ascii="Times New Roman" w:hAnsi="Times New Roman" w:eastAsia="宋体" w:cs="Times New Roman"/>
                <w:color w:val="auto"/>
                <w:kern w:val="2"/>
                <w:sz w:val="24"/>
                <w:szCs w:val="24"/>
                <w:highlight w:val="none"/>
                <w:lang w:val="en-US" w:eastAsia="zh-CN" w:bidi="ar-SA"/>
              </w:rPr>
              <w:t>燃料耗量，t，为</w:t>
            </w:r>
            <w:r>
              <w:rPr>
                <w:rFonts w:hint="eastAsia" w:cs="Times New Roman"/>
                <w:color w:val="auto"/>
                <w:kern w:val="2"/>
                <w:sz w:val="24"/>
                <w:szCs w:val="24"/>
                <w:highlight w:val="none"/>
                <w:lang w:val="en-US" w:eastAsia="zh-CN" w:bidi="ar-SA"/>
              </w:rPr>
              <w:t>1018.3131</w:t>
            </w:r>
            <w:r>
              <w:rPr>
                <w:rFonts w:hint="default" w:ascii="Times New Roman" w:hAnsi="Times New Roman" w:eastAsia="宋体" w:cs="Times New Roman"/>
                <w:color w:val="auto"/>
                <w:kern w:val="2"/>
                <w:sz w:val="24"/>
                <w:szCs w:val="24"/>
                <w:highlight w:val="none"/>
                <w:lang w:val="en-US" w:eastAsia="zh-CN" w:bidi="ar-SA"/>
              </w:rPr>
              <w:t>；</w:t>
            </w:r>
          </w:p>
          <w:p w14:paraId="568D30A0">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yellow"/>
                <w:lang w:val="en-US" w:eastAsia="zh-CN" w:bidi="ar-SA"/>
              </w:rPr>
              <w:t>Sar——收到基硫的质量分数，%，根据生物质成分分析报告换算得出：</w:t>
            </w:r>
            <w:r>
              <w:rPr>
                <w:rFonts w:hint="eastAsia" w:cs="Times New Roman"/>
                <w:color w:val="auto"/>
                <w:kern w:val="2"/>
                <w:sz w:val="24"/>
                <w:szCs w:val="24"/>
                <w:highlight w:val="yellow"/>
                <w:lang w:val="en-US" w:eastAsia="zh-CN" w:bidi="ar-SA"/>
              </w:rPr>
              <w:t>收到基硫</w:t>
            </w:r>
            <w:r>
              <w:rPr>
                <w:rFonts w:hint="default" w:ascii="Times New Roman" w:hAnsi="Times New Roman" w:eastAsia="宋体" w:cs="Times New Roman"/>
                <w:color w:val="auto"/>
                <w:kern w:val="2"/>
                <w:sz w:val="24"/>
                <w:szCs w:val="24"/>
                <w:highlight w:val="yellow"/>
                <w:lang w:val="en-US" w:eastAsia="zh-CN" w:bidi="ar-SA"/>
              </w:rPr>
              <w:t>=</w:t>
            </w:r>
            <w:r>
              <w:rPr>
                <w:rFonts w:hint="eastAsia" w:cs="Times New Roman"/>
                <w:color w:val="auto"/>
                <w:kern w:val="2"/>
                <w:sz w:val="24"/>
                <w:szCs w:val="24"/>
                <w:highlight w:val="yellow"/>
                <w:lang w:val="en-US" w:eastAsia="zh-CN" w:bidi="ar-SA"/>
              </w:rPr>
              <w:t>干燥基</w:t>
            </w:r>
            <w:r>
              <w:rPr>
                <w:rFonts w:hint="default" w:ascii="Times New Roman" w:hAnsi="Times New Roman" w:eastAsia="宋体" w:cs="Times New Roman"/>
                <w:color w:val="auto"/>
                <w:kern w:val="2"/>
                <w:sz w:val="24"/>
                <w:szCs w:val="24"/>
                <w:highlight w:val="yellow"/>
                <w:lang w:val="en-US" w:eastAsia="zh-CN" w:bidi="ar-SA"/>
              </w:rPr>
              <w:t>（100-</w:t>
            </w:r>
            <w:r>
              <w:rPr>
                <w:rFonts w:hint="eastAsia" w:cs="Times New Roman"/>
                <w:color w:val="auto"/>
                <w:kern w:val="2"/>
                <w:sz w:val="24"/>
                <w:szCs w:val="24"/>
                <w:highlight w:val="yellow"/>
                <w:lang w:val="en-US" w:eastAsia="zh-CN" w:bidi="ar-SA"/>
              </w:rPr>
              <w:t>全水分质量分数</w:t>
            </w:r>
            <w:r>
              <w:rPr>
                <w:rFonts w:hint="default" w:ascii="Times New Roman" w:hAnsi="Times New Roman" w:eastAsia="宋体" w:cs="Times New Roman"/>
                <w:color w:val="auto"/>
                <w:kern w:val="2"/>
                <w:sz w:val="24"/>
                <w:szCs w:val="24"/>
                <w:highlight w:val="yellow"/>
                <w:lang w:val="en-US" w:eastAsia="zh-CN" w:bidi="ar-SA"/>
              </w:rPr>
              <w:t>）/</w:t>
            </w:r>
            <w:r>
              <w:rPr>
                <w:rFonts w:hint="eastAsia" w:cs="Times New Roman"/>
                <w:color w:val="auto"/>
                <w:kern w:val="2"/>
                <w:sz w:val="24"/>
                <w:szCs w:val="24"/>
                <w:highlight w:val="yellow"/>
                <w:lang w:val="en-US" w:eastAsia="zh-CN" w:bidi="ar-SA"/>
              </w:rPr>
              <w:t>（</w:t>
            </w:r>
            <w:r>
              <w:rPr>
                <w:rFonts w:hint="default" w:ascii="Times New Roman" w:hAnsi="Times New Roman" w:eastAsia="宋体" w:cs="Times New Roman"/>
                <w:color w:val="auto"/>
                <w:kern w:val="2"/>
                <w:sz w:val="24"/>
                <w:szCs w:val="24"/>
                <w:highlight w:val="yellow"/>
                <w:lang w:val="en-US" w:eastAsia="zh-CN" w:bidi="ar-SA"/>
              </w:rPr>
              <w:t>100</w:t>
            </w:r>
            <w:r>
              <w:rPr>
                <w:rFonts w:hint="eastAsia" w:cs="Times New Roman"/>
                <w:color w:val="auto"/>
                <w:kern w:val="2"/>
                <w:sz w:val="24"/>
                <w:szCs w:val="24"/>
                <w:highlight w:val="yellow"/>
                <w:lang w:val="en-US" w:eastAsia="zh-CN" w:bidi="ar-SA"/>
              </w:rPr>
              <w:t>-空气干燥基水分）</w:t>
            </w:r>
            <w:r>
              <w:rPr>
                <w:rFonts w:hint="default" w:ascii="Times New Roman" w:hAnsi="Times New Roman" w:eastAsia="宋体" w:cs="Times New Roman"/>
                <w:color w:val="auto"/>
                <w:kern w:val="2"/>
                <w:sz w:val="24"/>
                <w:szCs w:val="24"/>
                <w:highlight w:val="yellow"/>
                <w:lang w:val="en-US" w:eastAsia="zh-CN" w:bidi="ar-SA"/>
              </w:rPr>
              <w:t>，%，收到基灰分质量分数为</w:t>
            </w:r>
            <w:r>
              <w:rPr>
                <w:rFonts w:hint="eastAsia" w:cs="Times New Roman"/>
                <w:color w:val="auto"/>
                <w:kern w:val="2"/>
                <w:sz w:val="24"/>
                <w:szCs w:val="24"/>
                <w:highlight w:val="yellow"/>
                <w:lang w:val="en-US" w:eastAsia="zh-CN" w:bidi="ar-SA"/>
              </w:rPr>
              <w:t>0.04</w:t>
            </w:r>
            <w:r>
              <w:rPr>
                <w:rFonts w:hint="default" w:ascii="Times New Roman" w:hAnsi="Times New Roman" w:eastAsia="宋体" w:cs="Times New Roman"/>
                <w:color w:val="auto"/>
                <w:kern w:val="2"/>
                <w:sz w:val="24"/>
                <w:szCs w:val="24"/>
                <w:highlight w:val="yellow"/>
                <w:lang w:val="en-US" w:eastAsia="zh-CN" w:bidi="ar-SA"/>
              </w:rPr>
              <w:t>%；</w:t>
            </w:r>
          </w:p>
          <w:p w14:paraId="479D6356">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q4——机械不完全燃烧热损失，%，本项目取7；</w:t>
            </w:r>
          </w:p>
          <w:p w14:paraId="1079C8E7">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ηs——脱硫效率，%，为0；</w:t>
            </w:r>
          </w:p>
          <w:p w14:paraId="1E027861">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K——燃料中的硫燃烧后氧化成而二氧化硫的份额，量纲一的量，生物质锅炉为0.3-0.5，取值</w:t>
            </w:r>
            <w:r>
              <w:rPr>
                <w:rFonts w:hint="eastAsia" w:cs="Times New Roman"/>
                <w:color w:val="auto"/>
                <w:kern w:val="2"/>
                <w:sz w:val="24"/>
                <w:szCs w:val="24"/>
                <w:highlight w:val="yellow"/>
                <w:lang w:val="en-US" w:eastAsia="zh-CN" w:bidi="ar-SA"/>
              </w:rPr>
              <w:t>0.5</w:t>
            </w:r>
            <w:r>
              <w:rPr>
                <w:rFonts w:hint="default" w:ascii="Times New Roman" w:hAnsi="Times New Roman" w:eastAsia="宋体" w:cs="Times New Roman"/>
                <w:color w:val="auto"/>
                <w:kern w:val="2"/>
                <w:sz w:val="24"/>
                <w:szCs w:val="24"/>
                <w:highlight w:val="yellow"/>
                <w:lang w:val="en-US" w:eastAsia="zh-CN" w:bidi="ar-SA"/>
              </w:rPr>
              <w:t>。</w:t>
            </w:r>
          </w:p>
          <w:p w14:paraId="0F1C75EF">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经计算本项目</w:t>
            </w:r>
            <w:r>
              <w:rPr>
                <w:rFonts w:hint="eastAsia" w:ascii="Times New Roman" w:hAnsi="Times New Roman" w:eastAsia="宋体" w:cs="Times New Roman"/>
                <w:color w:val="auto"/>
                <w:kern w:val="2"/>
                <w:sz w:val="24"/>
                <w:szCs w:val="24"/>
                <w:highlight w:val="none"/>
                <w:lang w:val="en-US" w:eastAsia="zh-CN" w:bidi="ar-SA"/>
              </w:rPr>
              <w:t>蒸汽发生器</w:t>
            </w:r>
            <w:r>
              <w:rPr>
                <w:rFonts w:hint="default" w:ascii="Times New Roman" w:hAnsi="Times New Roman" w:eastAsia="宋体" w:cs="Times New Roman"/>
                <w:color w:val="auto"/>
                <w:kern w:val="2"/>
                <w:sz w:val="24"/>
                <w:szCs w:val="24"/>
                <w:highlight w:val="none"/>
                <w:lang w:val="en-US" w:eastAsia="zh-CN" w:bidi="ar-SA"/>
              </w:rPr>
              <w:t>烟气二氧化硫排放量为</w:t>
            </w:r>
            <w:r>
              <w:rPr>
                <w:rFonts w:hint="eastAsia" w:cs="Times New Roman"/>
                <w:color w:val="auto"/>
                <w:kern w:val="2"/>
                <w:sz w:val="24"/>
                <w:szCs w:val="24"/>
                <w:highlight w:val="none"/>
                <w:lang w:val="en-US" w:eastAsia="zh-CN" w:bidi="ar-SA"/>
              </w:rPr>
              <w:t>0.3788</w:t>
            </w:r>
            <w:r>
              <w:rPr>
                <w:rFonts w:hint="default" w:ascii="Times New Roman" w:hAnsi="Times New Roman" w:eastAsia="宋体" w:cs="Times New Roman"/>
                <w:color w:val="auto"/>
                <w:kern w:val="2"/>
                <w:sz w:val="24"/>
                <w:szCs w:val="24"/>
                <w:highlight w:val="none"/>
                <w:lang w:val="en-US" w:eastAsia="zh-CN" w:bidi="ar-SA"/>
              </w:rPr>
              <w:t>t/a</w:t>
            </w:r>
            <w:r>
              <w:rPr>
                <w:rFonts w:hint="eastAsia" w:cs="Times New Roman"/>
                <w:color w:val="auto"/>
                <w:kern w:val="2"/>
                <w:sz w:val="24"/>
                <w:szCs w:val="24"/>
                <w:highlight w:val="none"/>
                <w:lang w:val="en-US" w:eastAsia="zh-CN" w:bidi="ar-SA"/>
              </w:rPr>
              <w:t>（0.2kg/h）</w:t>
            </w:r>
            <w:r>
              <w:rPr>
                <w:rFonts w:hint="default" w:ascii="Times New Roman" w:hAnsi="Times New Roman" w:eastAsia="宋体" w:cs="Times New Roman"/>
                <w:color w:val="auto"/>
                <w:kern w:val="2"/>
                <w:sz w:val="24"/>
                <w:szCs w:val="24"/>
                <w:highlight w:val="none"/>
                <w:lang w:val="en-US" w:eastAsia="zh-CN" w:bidi="ar-SA"/>
              </w:rPr>
              <w:t>。</w:t>
            </w:r>
          </w:p>
          <w:p w14:paraId="6977BE1F">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 4 \* alphabetic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color w:val="auto"/>
                <w:kern w:val="2"/>
                <w:sz w:val="24"/>
                <w:szCs w:val="24"/>
                <w:highlight w:val="none"/>
                <w:lang w:val="en-US" w:eastAsia="zh-CN" w:bidi="ar-SA"/>
              </w:rPr>
              <w:t>d</w:t>
            </w:r>
            <w:r>
              <w:rPr>
                <w:rFonts w:hint="default" w:ascii="Times New Roman" w:hAnsi="Times New Roman" w:eastAsia="宋体" w:cs="Times New Roman"/>
                <w:color w:val="auto"/>
                <w:kern w:val="2"/>
                <w:sz w:val="24"/>
                <w:szCs w:val="24"/>
                <w:highlight w:val="none"/>
                <w:lang w:val="en-US" w:eastAsia="zh-CN" w:bidi="ar-SA"/>
              </w:rPr>
              <w:fldChar w:fldCharType="end"/>
            </w:r>
            <w:r>
              <w:rPr>
                <w:rFonts w:hint="default" w:ascii="Times New Roman" w:hAnsi="Times New Roman" w:eastAsia="宋体" w:cs="Times New Roman"/>
                <w:color w:val="auto"/>
                <w:kern w:val="2"/>
                <w:sz w:val="24"/>
                <w:szCs w:val="24"/>
                <w:highlight w:val="none"/>
                <w:lang w:val="en-US" w:eastAsia="zh-CN" w:bidi="ar-SA"/>
              </w:rPr>
              <w:t>氮氧化物排放量按下式计算：</w:t>
            </w:r>
          </w:p>
          <w:p w14:paraId="5866DED9">
            <w:pPr>
              <w:pStyle w:val="137"/>
              <w:keepNext w:val="0"/>
              <w:keepLines w:val="0"/>
              <w:pageBreakBefore w:val="0"/>
              <w:kinsoku/>
              <w:wordWrap/>
              <w:overflowPunct/>
              <w:topLinePunct w:val="0"/>
              <w:autoSpaceDE/>
              <w:autoSpaceDN/>
              <w:bidi w:val="0"/>
              <w:spacing w:line="360" w:lineRule="auto"/>
              <w:ind w:firstLine="464"/>
              <w:jc w:val="both"/>
              <w:textAlignment w:val="auto"/>
              <w:rPr>
                <w:rFonts w:hint="default" w:ascii="Times New Roman" w:hAnsi="Times New Roman" w:eastAsia="宋体" w:cs="Times New Roman"/>
                <w:color w:val="000000" w:themeColor="text1"/>
                <w:spacing w:val="-4"/>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4"/>
                <w:sz w:val="24"/>
                <w:szCs w:val="24"/>
                <w:highlight w:val="none"/>
                <w14:textFill>
                  <w14:solidFill>
                    <w14:schemeClr w14:val="tx1"/>
                  </w14:solidFill>
                </w14:textFill>
              </w:rPr>
              <w:t>燃生物质氮氧化物产生量参照</w:t>
            </w:r>
            <w:r>
              <w:rPr>
                <w:rFonts w:hint="default" w:ascii="Times New Roman" w:hAnsi="Times New Roman" w:eastAsia="宋体" w:cs="Times New Roman"/>
                <w:color w:val="000000" w:themeColor="text1"/>
                <w:sz w:val="24"/>
                <w:szCs w:val="24"/>
                <w:highlight w:val="none"/>
                <w14:textFill>
                  <w14:solidFill>
                    <w14:schemeClr w14:val="tx1"/>
                  </w14:solidFill>
                </w14:textFill>
              </w:rPr>
              <w:t>《污染源源强核算技术指南 锅炉》（HJ991-2018）中</w:t>
            </w:r>
            <w:r>
              <w:rPr>
                <w:rFonts w:hint="default" w:ascii="Times New Roman" w:hAnsi="Times New Roman" w:eastAsia="宋体" w:cs="Times New Roman"/>
                <w:color w:val="000000" w:themeColor="text1"/>
                <w:spacing w:val="-4"/>
                <w:sz w:val="24"/>
                <w:szCs w:val="24"/>
                <w:highlight w:val="none"/>
                <w14:textFill>
                  <w14:solidFill>
                    <w14:schemeClr w14:val="tx1"/>
                  </w14:solidFill>
                </w14:textFill>
              </w:rPr>
              <w:t>式（5）计算。</w:t>
            </w:r>
          </w:p>
          <w:p w14:paraId="0EE20856">
            <w:pPr>
              <w:keepNext w:val="0"/>
              <w:keepLines w:val="0"/>
              <w:pageBreakBefore w:val="0"/>
              <w:kinsoku/>
              <w:wordWrap/>
              <w:overflowPunct/>
              <w:topLinePunct w:val="0"/>
              <w:autoSpaceDE/>
              <w:autoSpaceDN/>
              <w:bidi w:val="0"/>
              <w:spacing w:line="360" w:lineRule="auto"/>
              <w:ind w:firstLine="720" w:firstLineChars="3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sz w:val="24"/>
                <w:szCs w:val="24"/>
                <w:highlight w:val="none"/>
              </w:rPr>
              <w:drawing>
                <wp:inline distT="0" distB="0" distL="114300" distR="114300">
                  <wp:extent cx="3328035" cy="955675"/>
                  <wp:effectExtent l="0" t="0" r="5715" b="15875"/>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18"/>
                          <a:stretch>
                            <a:fillRect/>
                          </a:stretch>
                        </pic:blipFill>
                        <pic:spPr>
                          <a:xfrm>
                            <a:off x="0" y="0"/>
                            <a:ext cx="3328035" cy="955675"/>
                          </a:xfrm>
                          <a:prstGeom prst="rect">
                            <a:avLst/>
                          </a:prstGeom>
                          <a:noFill/>
                          <a:ln>
                            <a:noFill/>
                          </a:ln>
                        </pic:spPr>
                      </pic:pic>
                    </a:graphicData>
                  </a:graphic>
                </wp:inline>
              </w:drawing>
            </w:r>
          </w:p>
          <w:p w14:paraId="69EE7802">
            <w:pPr>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式中：E</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NOx</w:t>
            </w:r>
            <w:r>
              <w:rPr>
                <w:rFonts w:hint="default" w:ascii="Times New Roman" w:hAnsi="Times New Roman" w:eastAsia="宋体" w:cs="Times New Roman"/>
                <w:color w:val="000000" w:themeColor="text1"/>
                <w:sz w:val="24"/>
                <w:szCs w:val="24"/>
                <w:highlight w:val="none"/>
                <w14:textFill>
                  <w14:solidFill>
                    <w14:schemeClr w14:val="tx1"/>
                  </w14:solidFill>
                </w14:textFill>
              </w:rPr>
              <w:t>——氮氧化物</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排放</w:t>
            </w:r>
            <w:r>
              <w:rPr>
                <w:rFonts w:hint="default" w:ascii="Times New Roman" w:hAnsi="Times New Roman" w:eastAsia="宋体" w:cs="Times New Roman"/>
                <w:color w:val="000000" w:themeColor="text1"/>
                <w:sz w:val="24"/>
                <w:szCs w:val="24"/>
                <w:highlight w:val="none"/>
                <w14:textFill>
                  <w14:solidFill>
                    <w14:schemeClr w14:val="tx1"/>
                  </w14:solidFill>
                </w14:textFill>
              </w:rPr>
              <w:t>量，t；</w:t>
            </w:r>
          </w:p>
          <w:p w14:paraId="4F26B03E">
            <w:pPr>
              <w:keepNext w:val="0"/>
              <w:keepLines w:val="0"/>
              <w:pageBreakBefore w:val="0"/>
              <w:kinsoku/>
              <w:wordWrap/>
              <w:overflowPunct/>
              <w:topLinePunct w:val="0"/>
              <w:autoSpaceDE/>
              <w:autoSpaceDN/>
              <w:bidi w:val="0"/>
              <w:spacing w:line="360" w:lineRule="auto"/>
              <w:ind w:firstLine="1134"/>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i/>
                <w:color w:val="000000" w:themeColor="text1"/>
                <w:sz w:val="24"/>
                <w:szCs w:val="24"/>
                <w:highlight w:val="none"/>
                <w14:textFill>
                  <w14:solidFill>
                    <w14:schemeClr w14:val="tx1"/>
                  </w14:solidFill>
                </w14:textFill>
              </w:rPr>
              <w:t>ρ</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NOx</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燃生物质</w:t>
            </w:r>
            <w:r>
              <w:rPr>
                <w:rFonts w:hint="default" w:ascii="Times New Roman" w:hAnsi="Times New Roman" w:eastAsia="宋体" w:cs="Times New Roman"/>
                <w:color w:val="000000" w:themeColor="text1"/>
                <w:sz w:val="24"/>
                <w:szCs w:val="24"/>
                <w:highlight w:val="none"/>
                <w14:textFill>
                  <w14:solidFill>
                    <w14:schemeClr w14:val="tx1"/>
                  </w14:solidFill>
                </w14:textFill>
              </w:rPr>
              <w:t>锅炉炉膛出口氮氧化物质量浓度</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范围为100~600</w:t>
            </w:r>
            <w:r>
              <w:rPr>
                <w:rFonts w:hint="default" w:ascii="Times New Roman" w:hAnsi="Times New Roman" w:eastAsia="宋体" w:cs="Times New Roman"/>
                <w:color w:val="000000" w:themeColor="text1"/>
                <w:sz w:val="24"/>
                <w:szCs w:val="24"/>
                <w:highlight w:val="none"/>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pacing w:val="-4"/>
                <w:sz w:val="24"/>
                <w:szCs w:val="24"/>
                <w:highlight w:val="none"/>
                <w14:textFill>
                  <w14:solidFill>
                    <w14:schemeClr w14:val="tx1"/>
                  </w14:solidFill>
                </w14:textFill>
              </w:rPr>
              <w:t>取</w:t>
            </w:r>
            <w:r>
              <w:rPr>
                <w:rFonts w:hint="eastAsia" w:cs="Times New Roman"/>
                <w:color w:val="000000" w:themeColor="text1"/>
                <w:spacing w:val="-4"/>
                <w:sz w:val="24"/>
                <w:szCs w:val="24"/>
                <w:highlight w:val="none"/>
                <w:lang w:val="en-US" w:eastAsia="zh-CN"/>
                <w14:textFill>
                  <w14:solidFill>
                    <w14:schemeClr w14:val="tx1"/>
                  </w14:solidFill>
                </w14:textFill>
              </w:rPr>
              <w:t>300</w:t>
            </w:r>
            <w:r>
              <w:rPr>
                <w:rFonts w:hint="default" w:ascii="Times New Roman" w:hAnsi="Times New Roman" w:eastAsia="宋体" w:cs="Times New Roman"/>
                <w:color w:val="000000" w:themeColor="text1"/>
                <w:sz w:val="24"/>
                <w:szCs w:val="24"/>
                <w:highlight w:val="none"/>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pacing w:val="-4"/>
                <w:sz w:val="24"/>
                <w:szCs w:val="24"/>
                <w:highlight w:val="none"/>
                <w14:textFill>
                  <w14:solidFill>
                    <w14:schemeClr w14:val="tx1"/>
                  </w14:solidFill>
                </w14:textFill>
              </w:rPr>
              <w:t>。</w:t>
            </w:r>
          </w:p>
          <w:p w14:paraId="561325B2">
            <w:pPr>
              <w:keepNext w:val="0"/>
              <w:keepLines w:val="0"/>
              <w:pageBreakBefore w:val="0"/>
              <w:kinsoku/>
              <w:wordWrap/>
              <w:overflowPunct/>
              <w:topLinePunct w:val="0"/>
              <w:autoSpaceDE/>
              <w:autoSpaceDN/>
              <w:bidi w:val="0"/>
              <w:spacing w:line="360" w:lineRule="auto"/>
              <w:ind w:firstLine="1134"/>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Q——标态干烟气</w:t>
            </w:r>
            <w:r>
              <w:rPr>
                <w:rFonts w:hint="default" w:ascii="Times New Roman" w:hAnsi="Times New Roman" w:eastAsia="宋体" w:cs="Times New Roman"/>
                <w:color w:val="000000" w:themeColor="text1"/>
                <w:spacing w:val="-4"/>
                <w:sz w:val="24"/>
                <w:szCs w:val="24"/>
                <w:highlight w:val="none"/>
                <w14:textFill>
                  <w14:solidFill>
                    <w14:schemeClr w14:val="tx1"/>
                  </w14:solidFill>
                </w14:textFill>
              </w:rPr>
              <w:t>产生</w:t>
            </w:r>
            <w:r>
              <w:rPr>
                <w:rFonts w:hint="default" w:ascii="Times New Roman" w:hAnsi="Times New Roman" w:eastAsia="宋体" w:cs="Times New Roman"/>
                <w:color w:val="000000" w:themeColor="text1"/>
                <w:sz w:val="24"/>
                <w:szCs w:val="24"/>
                <w:highlight w:val="none"/>
                <w14:textFill>
                  <w14:solidFill>
                    <w14:schemeClr w14:val="tx1"/>
                  </w14:solidFill>
                </w14:textFill>
              </w:rPr>
              <w:t>量，m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3552.86</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eastAsia"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/h</w:t>
            </w:r>
          </w:p>
          <w:p w14:paraId="044F8F32">
            <w:pPr>
              <w:keepNext w:val="0"/>
              <w:keepLines w:val="0"/>
              <w:pageBreakBefore w:val="0"/>
              <w:kinsoku/>
              <w:wordWrap/>
              <w:overflowPunct/>
              <w:topLinePunct w:val="0"/>
              <w:autoSpaceDE/>
              <w:autoSpaceDN/>
              <w:bidi w:val="0"/>
              <w:spacing w:line="360" w:lineRule="auto"/>
              <w:ind w:firstLine="1134"/>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i/>
                <w:iCs/>
                <w:color w:val="000000" w:themeColor="text1"/>
                <w:sz w:val="24"/>
                <w:szCs w:val="24"/>
                <w:highlight w:val="none"/>
                <w14:textFill>
                  <w14:solidFill>
                    <w14:schemeClr w14:val="tx1"/>
                  </w14:solidFill>
                </w14:textFill>
              </w:rPr>
              <w:t>η</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NOx</w:t>
            </w:r>
            <w:r>
              <w:rPr>
                <w:rFonts w:hint="default" w:ascii="Times New Roman" w:hAnsi="Times New Roman" w:eastAsia="宋体" w:cs="Times New Roman"/>
                <w:color w:val="000000" w:themeColor="text1"/>
                <w:sz w:val="24"/>
                <w:szCs w:val="24"/>
                <w:highlight w:val="none"/>
                <w14:textFill>
                  <w14:solidFill>
                    <w14:schemeClr w14:val="tx1"/>
                  </w14:solidFill>
                </w14:textFill>
              </w:rPr>
              <w:t>——脱硝效率，</w:t>
            </w:r>
            <w:r>
              <w:rPr>
                <w:rFonts w:hint="eastAsia" w:cs="Times New Roman"/>
                <w:color w:val="000000" w:themeColor="text1"/>
                <w:sz w:val="24"/>
                <w:szCs w:val="24"/>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317A4323">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经计算，本项目锅炉烟气中</w:t>
            </w:r>
            <w:r>
              <w:rPr>
                <w:rFonts w:hint="default" w:ascii="Times New Roman" w:hAnsi="Times New Roman" w:eastAsia="宋体" w:cs="Times New Roman"/>
                <w:color w:val="auto"/>
                <w:sz w:val="24"/>
                <w:szCs w:val="24"/>
                <w:highlight w:val="none"/>
                <w:lang w:val="en-US" w:eastAsia="zh-CN"/>
              </w:rPr>
              <w:t>氮氧化物</w:t>
            </w:r>
            <w:r>
              <w:rPr>
                <w:rFonts w:hint="default" w:ascii="Times New Roman" w:hAnsi="Times New Roman" w:eastAsia="宋体" w:cs="Times New Roman"/>
                <w:color w:val="auto"/>
                <w:sz w:val="24"/>
                <w:szCs w:val="24"/>
                <w:highlight w:val="none"/>
              </w:rPr>
              <w:t>排放量为</w:t>
            </w:r>
            <w:r>
              <w:rPr>
                <w:rFonts w:hint="eastAsia" w:cs="Times New Roman"/>
                <w:color w:val="auto"/>
                <w:sz w:val="24"/>
                <w:szCs w:val="24"/>
                <w:highlight w:val="none"/>
                <w:lang w:val="en-US" w:eastAsia="zh-CN"/>
              </w:rPr>
              <w:t>0.533kg</w:t>
            </w:r>
            <w:r>
              <w:rPr>
                <w:rFonts w:hint="default" w:ascii="Times New Roman" w:hAnsi="Times New Roman" w:eastAsia="宋体" w:cs="Times New Roman"/>
                <w:color w:val="auto"/>
                <w:sz w:val="24"/>
                <w:szCs w:val="24"/>
                <w:highlight w:val="none"/>
              </w:rPr>
              <w:t>/h</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1.007t/a</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，排放浓度</w:t>
            </w:r>
            <w:r>
              <w:rPr>
                <w:rFonts w:hint="eastAsia" w:cs="Times New Roman"/>
                <w:color w:val="auto"/>
                <w:sz w:val="24"/>
                <w:szCs w:val="24"/>
                <w:highlight w:val="none"/>
                <w:lang w:val="en-US" w:eastAsia="zh-CN"/>
              </w:rPr>
              <w:t>150.02</w:t>
            </w:r>
            <w:r>
              <w:rPr>
                <w:rFonts w:hint="default" w:ascii="Times New Roman" w:hAnsi="Times New Roman" w:eastAsia="宋体" w:cs="Times New Roman"/>
                <w:color w:val="auto"/>
                <w:sz w:val="24"/>
                <w:szCs w:val="24"/>
                <w:highlight w:val="none"/>
              </w:rPr>
              <w:t>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39916A1F">
            <w:pPr>
              <w:adjustRightInd w:val="0"/>
              <w:snapToGrid w:val="0"/>
              <w:spacing w:line="360" w:lineRule="auto"/>
              <w:ind w:firstLine="480" w:firstLineChars="200"/>
              <w:rPr>
                <w:rFonts w:hint="eastAsia" w:cs="Times New Roman"/>
                <w:color w:val="auto"/>
                <w:sz w:val="24"/>
                <w:szCs w:val="24"/>
                <w:highlight w:val="yellow"/>
                <w:lang w:val="en-US" w:eastAsia="zh-CN"/>
              </w:rPr>
            </w:pPr>
            <w:r>
              <w:rPr>
                <w:rFonts w:hint="eastAsia" w:cs="Times New Roman"/>
                <w:color w:val="auto"/>
                <w:sz w:val="24"/>
                <w:szCs w:val="24"/>
                <w:highlight w:val="yellow"/>
                <w:lang w:val="en-US" w:eastAsia="zh-CN"/>
              </w:rPr>
              <w:t>④砂石原料装卸、运输无组织粉尘</w:t>
            </w:r>
          </w:p>
          <w:p w14:paraId="3867FA86">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原料采用汽车运输至厂区后，直接卸至原料</w:t>
            </w:r>
            <w:r>
              <w:rPr>
                <w:rFonts w:hint="eastAsia" w:cs="Times New Roman"/>
                <w:color w:val="auto"/>
                <w:kern w:val="2"/>
                <w:sz w:val="24"/>
                <w:szCs w:val="24"/>
                <w:highlight w:val="yellow"/>
                <w:lang w:val="en-US" w:eastAsia="zh-CN" w:bidi="ar-SA"/>
              </w:rPr>
              <w:t>堆场</w:t>
            </w:r>
            <w:r>
              <w:rPr>
                <w:rFonts w:hint="eastAsia" w:ascii="Times New Roman" w:hAnsi="Times New Roman" w:eastAsia="宋体" w:cs="Times New Roman"/>
                <w:color w:val="auto"/>
                <w:kern w:val="2"/>
                <w:sz w:val="24"/>
                <w:szCs w:val="24"/>
                <w:highlight w:val="yellow"/>
                <w:lang w:val="en-US" w:eastAsia="zh-CN" w:bidi="ar-SA"/>
              </w:rPr>
              <w:t>，</w:t>
            </w:r>
            <w:r>
              <w:rPr>
                <w:rFonts w:hint="eastAsia" w:cs="Times New Roman"/>
                <w:color w:val="auto"/>
                <w:kern w:val="2"/>
                <w:sz w:val="24"/>
                <w:szCs w:val="24"/>
                <w:highlight w:val="yellow"/>
                <w:lang w:val="en-US" w:eastAsia="zh-CN" w:bidi="ar-SA"/>
              </w:rPr>
              <w:t>堆场四周设置防风抑尘网</w:t>
            </w:r>
            <w:r>
              <w:rPr>
                <w:rFonts w:hint="eastAsia" w:ascii="Times New Roman" w:hAnsi="Times New Roman" w:eastAsia="宋体" w:cs="Times New Roman"/>
                <w:color w:val="auto"/>
                <w:kern w:val="2"/>
                <w:sz w:val="24"/>
                <w:szCs w:val="24"/>
                <w:highlight w:val="yellow"/>
                <w:lang w:val="en-US" w:eastAsia="zh-CN" w:bidi="ar-SA"/>
              </w:rPr>
              <w:t>，卸料时会产生粉尘，主要成分为颗粒物。根据《扬尘源颗粒物排放清单编制技术指南（试行）》要求，采取</w:t>
            </w:r>
            <w:r>
              <w:rPr>
                <w:rFonts w:hint="eastAsia" w:cs="Times New Roman"/>
                <w:color w:val="auto"/>
                <w:kern w:val="2"/>
                <w:sz w:val="24"/>
                <w:szCs w:val="24"/>
                <w:highlight w:val="yellow"/>
                <w:lang w:val="en-US" w:eastAsia="zh-CN" w:bidi="ar-SA"/>
              </w:rPr>
              <w:t>物料衡算</w:t>
            </w:r>
            <w:r>
              <w:rPr>
                <w:rFonts w:hint="eastAsia" w:ascii="Times New Roman" w:hAnsi="Times New Roman" w:eastAsia="宋体" w:cs="Times New Roman"/>
                <w:color w:val="auto"/>
                <w:kern w:val="2"/>
                <w:sz w:val="24"/>
                <w:szCs w:val="24"/>
                <w:highlight w:val="yellow"/>
                <w:lang w:val="en-US" w:eastAsia="zh-CN" w:bidi="ar-SA"/>
              </w:rPr>
              <w:t>法计算废气污染物源强。</w:t>
            </w:r>
          </w:p>
          <w:p w14:paraId="2DF440F7">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堆场的扬尘源排放量是装卸、运输引起的扬尘与堆积存放期间风蚀扬尘的加和，计算公式如下:</w:t>
            </w:r>
          </w:p>
          <w:p w14:paraId="17ABA2F2">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W</w:t>
            </w:r>
            <w:r>
              <w:rPr>
                <w:rFonts w:hint="eastAsia" w:cs="Times New Roman"/>
                <w:color w:val="auto"/>
                <w:kern w:val="2"/>
                <w:sz w:val="24"/>
                <w:szCs w:val="24"/>
                <w:highlight w:val="yellow"/>
                <w:vertAlign w:val="subscript"/>
                <w:lang w:val="en-US" w:eastAsia="zh-CN" w:bidi="ar-SA"/>
              </w:rPr>
              <w:t>Y</w:t>
            </w:r>
            <m:oMath>
              <m:r>
                <m:rPr/>
                <w:rPr>
                  <w:rFonts w:ascii="Cambria Math" w:hAnsi="Cambria Math" w:cs="Times New Roman"/>
                  <w:color w:val="auto"/>
                  <w:kern w:val="2"/>
                  <w:sz w:val="24"/>
                  <w:szCs w:val="24"/>
                  <w:highlight w:val="yellow"/>
                  <w:lang w:val="en-US" w:bidi="ar-SA"/>
                </w:rPr>
                <m:t>=</m:t>
              </m:r>
              <m:nary>
                <m:naryPr>
                  <m:chr m:val="∑"/>
                  <m:grow m:val="1"/>
                  <m:limLoc m:val="undOvr"/>
                  <m:ctrlPr>
                    <w:rPr>
                      <w:rFonts w:ascii="Cambria Math" w:hAnsi="Cambria Math" w:cs="Times New Roman"/>
                      <w:i/>
                      <w:color w:val="auto"/>
                      <w:kern w:val="2"/>
                      <w:sz w:val="24"/>
                      <w:szCs w:val="24"/>
                      <w:highlight w:val="yellow"/>
                      <w:lang w:val="en-US" w:bidi="ar-SA"/>
                    </w:rPr>
                  </m:ctrlPr>
                </m:naryPr>
                <m:sub>
                  <m:r>
                    <m:rPr/>
                    <w:rPr>
                      <w:rFonts w:hint="default" w:ascii="Cambria Math" w:hAnsi="Cambria Math" w:cs="Times New Roman"/>
                      <w:color w:val="auto"/>
                      <w:kern w:val="2"/>
                      <w:sz w:val="24"/>
                      <w:szCs w:val="24"/>
                      <w:highlight w:val="yellow"/>
                      <w:lang w:val="en-US" w:eastAsia="zh-CN" w:bidi="ar-SA"/>
                    </w:rPr>
                    <m:t>i=1</m:t>
                  </m:r>
                  <m:ctrlPr>
                    <w:rPr>
                      <w:rFonts w:ascii="Cambria Math" w:hAnsi="Cambria Math" w:cs="Times New Roman"/>
                      <w:i/>
                      <w:color w:val="auto"/>
                      <w:kern w:val="2"/>
                      <w:sz w:val="24"/>
                      <w:szCs w:val="24"/>
                      <w:highlight w:val="yellow"/>
                      <w:lang w:val="en-US" w:bidi="ar-SA"/>
                    </w:rPr>
                  </m:ctrlPr>
                </m:sub>
                <m:sup>
                  <m:r>
                    <m:rPr/>
                    <w:rPr>
                      <w:rFonts w:hint="default" w:ascii="Cambria Math" w:hAnsi="Cambria Math" w:cs="Times New Roman"/>
                      <w:color w:val="auto"/>
                      <w:kern w:val="2"/>
                      <w:sz w:val="24"/>
                      <w:szCs w:val="24"/>
                      <w:highlight w:val="yellow"/>
                      <w:lang w:val="en-US" w:eastAsia="zh-CN" w:bidi="ar-SA"/>
                    </w:rPr>
                    <m:t>m</m:t>
                  </m:r>
                  <m:ctrlPr>
                    <w:rPr>
                      <w:rFonts w:ascii="Cambria Math" w:hAnsi="Cambria Math" w:cs="Times New Roman"/>
                      <w:i/>
                      <w:color w:val="auto"/>
                      <w:kern w:val="2"/>
                      <w:sz w:val="24"/>
                      <w:szCs w:val="24"/>
                      <w:highlight w:val="yellow"/>
                      <w:lang w:val="en-US" w:bidi="ar-SA"/>
                    </w:rPr>
                  </m:ctrlPr>
                </m:sup>
                <m:e>
                  <m:ctrlPr>
                    <w:rPr>
                      <w:rFonts w:ascii="Cambria Math" w:hAnsi="Cambria Math" w:cs="Times New Roman"/>
                      <w:i/>
                      <w:color w:val="auto"/>
                      <w:kern w:val="2"/>
                      <w:sz w:val="24"/>
                      <w:szCs w:val="24"/>
                      <w:highlight w:val="yellow"/>
                      <w:lang w:val="en-US" w:bidi="ar-SA"/>
                    </w:rPr>
                  </m:ctrlPr>
                </m:e>
              </m:nary>
            </m:oMath>
            <w:r>
              <w:rPr>
                <w:rFonts w:hint="eastAsia" w:ascii="Times New Roman" w:hAnsi="Times New Roman" w:eastAsia="宋体" w:cs="Times New Roman"/>
                <w:color w:val="auto"/>
                <w:kern w:val="2"/>
                <w:sz w:val="24"/>
                <w:szCs w:val="24"/>
                <w:highlight w:val="yellow"/>
                <w:lang w:val="en-US" w:eastAsia="zh-CN" w:bidi="ar-SA"/>
              </w:rPr>
              <w:t>E</w:t>
            </w:r>
            <w:r>
              <w:rPr>
                <w:rFonts w:hint="eastAsia" w:cs="Times New Roman"/>
                <w:color w:val="auto"/>
                <w:kern w:val="2"/>
                <w:sz w:val="24"/>
                <w:szCs w:val="24"/>
                <w:highlight w:val="yellow"/>
                <w:vertAlign w:val="subscript"/>
                <w:lang w:val="en-US" w:eastAsia="zh-CN" w:bidi="ar-SA"/>
              </w:rPr>
              <w:t>h×</w:t>
            </w:r>
            <w:r>
              <w:rPr>
                <w:rFonts w:hint="eastAsia" w:ascii="Times New Roman" w:hAnsi="Times New Roman" w:eastAsia="宋体" w:cs="Times New Roman"/>
                <w:color w:val="auto"/>
                <w:kern w:val="2"/>
                <w:sz w:val="24"/>
                <w:szCs w:val="24"/>
                <w:highlight w:val="yellow"/>
                <w:lang w:val="en-US" w:eastAsia="zh-CN" w:bidi="ar-SA"/>
              </w:rPr>
              <w:t>G</w:t>
            </w:r>
            <w:r>
              <w:rPr>
                <w:rFonts w:hint="eastAsia" w:cs="Times New Roman"/>
                <w:color w:val="auto"/>
                <w:kern w:val="2"/>
                <w:sz w:val="24"/>
                <w:szCs w:val="24"/>
                <w:highlight w:val="yellow"/>
                <w:vertAlign w:val="subscript"/>
                <w:lang w:val="en-US" w:eastAsia="zh-CN" w:bidi="ar-SA"/>
              </w:rPr>
              <w:t>Yi</w:t>
            </w:r>
            <w:r>
              <w:rPr>
                <w:rFonts w:hint="eastAsia" w:cs="Times New Roman"/>
                <w:color w:val="auto"/>
                <w:kern w:val="2"/>
                <w:sz w:val="24"/>
                <w:szCs w:val="24"/>
                <w:highlight w:val="yellow"/>
                <w:lang w:val="en-US" w:eastAsia="zh-CN" w:bidi="ar-SA"/>
              </w:rPr>
              <w:t>×</w:t>
            </w:r>
            <w:r>
              <w:rPr>
                <w:rFonts w:hint="eastAsia" w:ascii="Times New Roman" w:hAnsi="Times New Roman" w:eastAsia="宋体" w:cs="Times New Roman"/>
                <w:color w:val="auto"/>
                <w:kern w:val="2"/>
                <w:sz w:val="24"/>
                <w:szCs w:val="24"/>
                <w:highlight w:val="yellow"/>
                <w:lang w:val="en-US" w:eastAsia="zh-CN" w:bidi="ar-SA"/>
              </w:rPr>
              <w:t>10</w:t>
            </w:r>
            <w:r>
              <w:rPr>
                <w:rFonts w:hint="eastAsia" w:cs="Times New Roman"/>
                <w:color w:val="auto"/>
                <w:kern w:val="2"/>
                <w:sz w:val="24"/>
                <w:szCs w:val="24"/>
                <w:highlight w:val="yellow"/>
                <w:vertAlign w:val="superscript"/>
                <w:lang w:val="en-US" w:eastAsia="zh-CN" w:bidi="ar-SA"/>
              </w:rPr>
              <w:t>-3</w:t>
            </w:r>
            <w:r>
              <w:rPr>
                <w:rFonts w:hint="eastAsia" w:ascii="Times New Roman" w:hAnsi="Times New Roman" w:eastAsia="宋体" w:cs="Times New Roman"/>
                <w:color w:val="auto"/>
                <w:kern w:val="2"/>
                <w:sz w:val="24"/>
                <w:szCs w:val="24"/>
                <w:highlight w:val="yellow"/>
                <w:lang w:val="en-US" w:eastAsia="zh-CN" w:bidi="ar-SA"/>
              </w:rPr>
              <w:t>+E</w:t>
            </w:r>
            <w:r>
              <w:rPr>
                <w:rFonts w:hint="eastAsia" w:cs="Times New Roman"/>
                <w:color w:val="auto"/>
                <w:kern w:val="2"/>
                <w:sz w:val="24"/>
                <w:szCs w:val="24"/>
                <w:highlight w:val="yellow"/>
                <w:lang w:val="en-US" w:eastAsia="zh-CN" w:bidi="ar-SA"/>
              </w:rPr>
              <w:t>w×</w:t>
            </w:r>
            <w:r>
              <w:rPr>
                <w:rFonts w:hint="eastAsia" w:ascii="Times New Roman" w:hAnsi="Times New Roman" w:eastAsia="宋体" w:cs="Times New Roman"/>
                <w:color w:val="auto"/>
                <w:kern w:val="2"/>
                <w:sz w:val="24"/>
                <w:szCs w:val="24"/>
                <w:highlight w:val="yellow"/>
                <w:lang w:val="en-US" w:eastAsia="zh-CN" w:bidi="ar-SA"/>
              </w:rPr>
              <w:t>A</w:t>
            </w:r>
            <w:r>
              <w:rPr>
                <w:rFonts w:hint="eastAsia" w:cs="Times New Roman"/>
                <w:color w:val="auto"/>
                <w:kern w:val="2"/>
                <w:sz w:val="24"/>
                <w:szCs w:val="24"/>
                <w:highlight w:val="yellow"/>
                <w:vertAlign w:val="subscript"/>
                <w:lang w:val="en-US" w:eastAsia="zh-CN" w:bidi="ar-SA"/>
              </w:rPr>
              <w:t>Y</w:t>
            </w:r>
            <w:r>
              <w:rPr>
                <w:rFonts w:hint="eastAsia" w:cs="Times New Roman"/>
                <w:color w:val="auto"/>
                <w:kern w:val="2"/>
                <w:sz w:val="24"/>
                <w:szCs w:val="24"/>
                <w:highlight w:val="yellow"/>
                <w:vertAlign w:val="baseline"/>
                <w:lang w:val="en-US" w:eastAsia="zh-CN" w:bidi="ar-SA"/>
              </w:rPr>
              <w:t>×</w:t>
            </w:r>
            <w:r>
              <w:rPr>
                <w:rFonts w:hint="eastAsia" w:ascii="Times New Roman" w:hAnsi="Times New Roman" w:eastAsia="宋体" w:cs="Times New Roman"/>
                <w:color w:val="auto"/>
                <w:kern w:val="2"/>
                <w:sz w:val="24"/>
                <w:szCs w:val="24"/>
                <w:highlight w:val="yellow"/>
                <w:lang w:val="en-US" w:eastAsia="zh-CN" w:bidi="ar-SA"/>
              </w:rPr>
              <w:t>10</w:t>
            </w:r>
            <w:r>
              <w:rPr>
                <w:rFonts w:hint="eastAsia" w:cs="Times New Roman"/>
                <w:color w:val="auto"/>
                <w:kern w:val="2"/>
                <w:sz w:val="24"/>
                <w:szCs w:val="24"/>
                <w:highlight w:val="yellow"/>
                <w:vertAlign w:val="superscript"/>
                <w:lang w:val="en-US" w:eastAsia="zh-CN" w:bidi="ar-SA"/>
              </w:rPr>
              <w:t>-3</w:t>
            </w:r>
            <w:r>
              <w:rPr>
                <w:rFonts w:hint="eastAsia" w:cs="Times New Roman"/>
                <w:color w:val="auto"/>
                <w:kern w:val="2"/>
                <w:sz w:val="24"/>
                <w:szCs w:val="24"/>
                <w:highlight w:val="yellow"/>
                <w:vertAlign w:val="baseline"/>
                <w:lang w:val="en-US" w:eastAsia="zh-CN" w:bidi="ar-SA"/>
              </w:rPr>
              <w:t>（15）</w:t>
            </w:r>
          </w:p>
          <w:p w14:paraId="71EC528F">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式中:</w:t>
            </w:r>
          </w:p>
          <w:p w14:paraId="6EB209D8">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1)W</w:t>
            </w:r>
            <w:r>
              <w:rPr>
                <w:rFonts w:hint="eastAsia" w:cs="Times New Roman"/>
                <w:color w:val="auto"/>
                <w:kern w:val="2"/>
                <w:sz w:val="24"/>
                <w:szCs w:val="24"/>
                <w:highlight w:val="yellow"/>
                <w:vertAlign w:val="subscript"/>
                <w:lang w:val="en-US" w:eastAsia="zh-CN" w:bidi="ar-SA"/>
              </w:rPr>
              <w:t>Y</w:t>
            </w:r>
            <w:r>
              <w:rPr>
                <w:rFonts w:hint="eastAsia" w:ascii="Times New Roman" w:hAnsi="Times New Roman" w:eastAsia="宋体" w:cs="Times New Roman"/>
                <w:color w:val="auto"/>
                <w:kern w:val="2"/>
                <w:sz w:val="24"/>
                <w:szCs w:val="24"/>
                <w:highlight w:val="yellow"/>
                <w:lang w:val="en-US" w:eastAsia="zh-CN" w:bidi="ar-SA"/>
              </w:rPr>
              <w:t>为堆场扬尘源中颗粒物总排放量，t/a。</w:t>
            </w:r>
          </w:p>
          <w:p w14:paraId="76AE817A">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2)E</w:t>
            </w:r>
            <w:r>
              <w:rPr>
                <w:rFonts w:hint="eastAsia" w:cs="Times New Roman"/>
                <w:color w:val="auto"/>
                <w:kern w:val="2"/>
                <w:sz w:val="24"/>
                <w:szCs w:val="24"/>
                <w:highlight w:val="yellow"/>
                <w:vertAlign w:val="subscript"/>
                <w:lang w:val="en-US" w:eastAsia="zh-CN" w:bidi="ar-SA"/>
              </w:rPr>
              <w:t>h</w:t>
            </w:r>
            <w:r>
              <w:rPr>
                <w:rFonts w:hint="eastAsia" w:ascii="Times New Roman" w:hAnsi="Times New Roman" w:eastAsia="宋体" w:cs="Times New Roman"/>
                <w:color w:val="auto"/>
                <w:kern w:val="2"/>
                <w:sz w:val="24"/>
                <w:szCs w:val="24"/>
                <w:highlight w:val="yellow"/>
                <w:lang w:val="en-US" w:eastAsia="zh-CN" w:bidi="ar-SA"/>
              </w:rPr>
              <w:t>为堆场装卸运输过程的扬尘颗粒物排放系数，kg/t,其估算公式见(16)。</w:t>
            </w:r>
            <w:r>
              <w:rPr>
                <w:rFonts w:hint="eastAsia" w:cs="Times New Roman"/>
                <w:color w:val="auto"/>
                <w:kern w:val="2"/>
                <w:sz w:val="24"/>
                <w:szCs w:val="24"/>
                <w:highlight w:val="yellow"/>
                <w:lang w:val="en-US" w:eastAsia="zh-CN" w:bidi="ar-SA"/>
              </w:rPr>
              <w:t>（经计算为0.076）</w:t>
            </w:r>
          </w:p>
          <w:p w14:paraId="5F86BF98">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3)m为每年料堆物料装卸总次数</w:t>
            </w:r>
            <w:r>
              <w:rPr>
                <w:rFonts w:hint="eastAsia" w:cs="Times New Roman"/>
                <w:color w:val="auto"/>
                <w:kern w:val="2"/>
                <w:sz w:val="24"/>
                <w:szCs w:val="24"/>
                <w:highlight w:val="yellow"/>
                <w:lang w:val="en-US" w:eastAsia="zh-CN" w:bidi="ar-SA"/>
              </w:rPr>
              <w:t>（本项目500次）</w:t>
            </w:r>
            <w:r>
              <w:rPr>
                <w:rFonts w:hint="eastAsia" w:ascii="Times New Roman" w:hAnsi="Times New Roman" w:eastAsia="宋体" w:cs="Times New Roman"/>
                <w:color w:val="auto"/>
                <w:kern w:val="2"/>
                <w:sz w:val="24"/>
                <w:szCs w:val="24"/>
                <w:highlight w:val="yellow"/>
                <w:lang w:val="en-US" w:eastAsia="zh-CN" w:bidi="ar-SA"/>
              </w:rPr>
              <w:t>。</w:t>
            </w:r>
          </w:p>
          <w:p w14:paraId="6C0DBAD5">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4) G</w:t>
            </w:r>
            <w:r>
              <w:rPr>
                <w:rFonts w:hint="eastAsia" w:cs="Times New Roman"/>
                <w:color w:val="auto"/>
                <w:kern w:val="2"/>
                <w:sz w:val="24"/>
                <w:szCs w:val="24"/>
                <w:highlight w:val="yellow"/>
                <w:vertAlign w:val="subscript"/>
                <w:lang w:val="en-US" w:eastAsia="zh-CN" w:bidi="ar-SA"/>
              </w:rPr>
              <w:t>Yi</w:t>
            </w:r>
            <w:r>
              <w:rPr>
                <w:rFonts w:hint="eastAsia" w:ascii="Times New Roman" w:hAnsi="Times New Roman" w:eastAsia="宋体" w:cs="Times New Roman"/>
                <w:color w:val="auto"/>
                <w:kern w:val="2"/>
                <w:sz w:val="24"/>
                <w:szCs w:val="24"/>
                <w:highlight w:val="yellow"/>
                <w:lang w:val="en-US" w:eastAsia="zh-CN" w:bidi="ar-SA"/>
              </w:rPr>
              <w:t>为第i次装卸过程的物料装卸量，t。</w:t>
            </w:r>
            <w:r>
              <w:rPr>
                <w:rFonts w:hint="eastAsia" w:cs="Times New Roman"/>
                <w:color w:val="auto"/>
                <w:kern w:val="2"/>
                <w:sz w:val="24"/>
                <w:szCs w:val="24"/>
                <w:highlight w:val="yellow"/>
                <w:lang w:val="en-US" w:eastAsia="zh-CN" w:bidi="ar-SA"/>
              </w:rPr>
              <w:t>（每次卸料20t）</w:t>
            </w:r>
          </w:p>
          <w:p w14:paraId="76B8F8E2">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5)E</w:t>
            </w:r>
            <w:r>
              <w:rPr>
                <w:rFonts w:hint="eastAsia" w:cs="Times New Roman"/>
                <w:color w:val="auto"/>
                <w:kern w:val="2"/>
                <w:sz w:val="24"/>
                <w:szCs w:val="24"/>
                <w:highlight w:val="yellow"/>
                <w:lang w:val="en-US" w:eastAsia="zh-CN" w:bidi="ar-SA"/>
              </w:rPr>
              <w:t>w</w:t>
            </w:r>
            <w:r>
              <w:rPr>
                <w:rFonts w:hint="eastAsia" w:ascii="Times New Roman" w:hAnsi="Times New Roman" w:eastAsia="宋体" w:cs="Times New Roman"/>
                <w:color w:val="auto"/>
                <w:kern w:val="2"/>
                <w:sz w:val="24"/>
                <w:szCs w:val="24"/>
                <w:highlight w:val="yellow"/>
                <w:lang w:val="en-US" w:eastAsia="zh-CN" w:bidi="ar-SA"/>
              </w:rPr>
              <w:t>为料堆受到风蚀作用的颗粒物排放系数，kg/m</w:t>
            </w:r>
            <w:r>
              <w:rPr>
                <w:rFonts w:hint="eastAsia" w:cs="Times New Roman"/>
                <w:color w:val="auto"/>
                <w:kern w:val="2"/>
                <w:sz w:val="24"/>
                <w:szCs w:val="24"/>
                <w:highlight w:val="yellow"/>
                <w:vertAlign w:val="superscript"/>
                <w:lang w:val="en-US" w:eastAsia="zh-CN" w:bidi="ar-SA"/>
              </w:rPr>
              <w:t>2</w:t>
            </w:r>
            <w:r>
              <w:rPr>
                <w:rFonts w:hint="eastAsia" w:ascii="Times New Roman" w:hAnsi="Times New Roman" w:eastAsia="宋体" w:cs="Times New Roman"/>
                <w:color w:val="auto"/>
                <w:kern w:val="2"/>
                <w:sz w:val="24"/>
                <w:szCs w:val="24"/>
                <w:highlight w:val="yellow"/>
                <w:lang w:val="en-US" w:eastAsia="zh-CN" w:bidi="ar-SA"/>
              </w:rPr>
              <w:t>其估算公式见(17)。</w:t>
            </w:r>
            <w:r>
              <w:rPr>
                <w:rFonts w:hint="eastAsia" w:cs="Times New Roman"/>
                <w:color w:val="auto"/>
                <w:kern w:val="2"/>
                <w:sz w:val="24"/>
                <w:szCs w:val="24"/>
                <w:highlight w:val="yellow"/>
                <w:lang w:val="en-US" w:eastAsia="zh-CN" w:bidi="ar-SA"/>
              </w:rPr>
              <w:t>（本项目为0）</w:t>
            </w:r>
          </w:p>
          <w:p w14:paraId="3DFB459A">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6)A</w:t>
            </w:r>
            <w:r>
              <w:rPr>
                <w:rFonts w:hint="eastAsia" w:cs="Times New Roman"/>
                <w:color w:val="auto"/>
                <w:kern w:val="2"/>
                <w:sz w:val="24"/>
                <w:szCs w:val="24"/>
                <w:highlight w:val="yellow"/>
                <w:vertAlign w:val="subscript"/>
                <w:lang w:val="en-US" w:eastAsia="zh-CN" w:bidi="ar-SA"/>
              </w:rPr>
              <w:t>Y</w:t>
            </w:r>
            <w:r>
              <w:rPr>
                <w:rFonts w:hint="eastAsia" w:ascii="Times New Roman" w:hAnsi="Times New Roman" w:eastAsia="宋体" w:cs="Times New Roman"/>
                <w:color w:val="auto"/>
                <w:kern w:val="2"/>
                <w:sz w:val="24"/>
                <w:szCs w:val="24"/>
                <w:highlight w:val="yellow"/>
                <w:lang w:val="en-US" w:eastAsia="zh-CN" w:bidi="ar-SA"/>
              </w:rPr>
              <w:t>为料堆表面积，m</w:t>
            </w:r>
            <w:r>
              <w:rPr>
                <w:rFonts w:hint="eastAsia" w:cs="Times New Roman"/>
                <w:color w:val="auto"/>
                <w:kern w:val="2"/>
                <w:sz w:val="24"/>
                <w:szCs w:val="24"/>
                <w:highlight w:val="yellow"/>
                <w:vertAlign w:val="superscript"/>
                <w:lang w:val="en-US" w:eastAsia="zh-CN" w:bidi="ar-SA"/>
              </w:rPr>
              <w:t>2</w:t>
            </w:r>
            <w:r>
              <w:rPr>
                <w:rFonts w:hint="eastAsia" w:cs="Times New Roman"/>
                <w:color w:val="auto"/>
                <w:kern w:val="2"/>
                <w:sz w:val="24"/>
                <w:szCs w:val="24"/>
                <w:highlight w:val="yellow"/>
                <w:vertAlign w:val="baseline"/>
                <w:lang w:val="en-US" w:eastAsia="zh-CN" w:bidi="ar-SA"/>
              </w:rPr>
              <w:t>（表面积为2000㎡）</w:t>
            </w:r>
          </w:p>
          <w:p w14:paraId="57B4039A">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装卸、运输物料过程扬尘排放系数的估算</w:t>
            </w:r>
          </w:p>
          <w:p w14:paraId="677E3E2A">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drawing>
                <wp:inline distT="0" distB="0" distL="114300" distR="114300">
                  <wp:extent cx="2725420" cy="923925"/>
                  <wp:effectExtent l="0" t="0" r="17780" b="9525"/>
                  <wp:docPr id="30" name="图片 30" descr="8e2346308d1492ae41d4cbe3d9815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8e2346308d1492ae41d4cbe3d9815c7"/>
                          <pic:cNvPicPr>
                            <a:picLocks noChangeAspect="1"/>
                          </pic:cNvPicPr>
                        </pic:nvPicPr>
                        <pic:blipFill>
                          <a:blip r:embed="rId19"/>
                          <a:stretch>
                            <a:fillRect/>
                          </a:stretch>
                        </pic:blipFill>
                        <pic:spPr>
                          <a:xfrm>
                            <a:off x="0" y="0"/>
                            <a:ext cx="2725420" cy="923925"/>
                          </a:xfrm>
                          <a:prstGeom prst="rect">
                            <a:avLst/>
                          </a:prstGeom>
                        </pic:spPr>
                      </pic:pic>
                    </a:graphicData>
                  </a:graphic>
                </wp:inline>
              </w:drawing>
            </w:r>
            <w:r>
              <w:rPr>
                <w:rFonts w:hint="eastAsia" w:cs="Times New Roman"/>
                <w:color w:val="auto"/>
                <w:kern w:val="2"/>
                <w:sz w:val="24"/>
                <w:szCs w:val="24"/>
                <w:highlight w:val="yellow"/>
                <w:lang w:val="en-US" w:eastAsia="zh-CN" w:bidi="ar-SA"/>
              </w:rPr>
              <w:t>（16）</w:t>
            </w:r>
          </w:p>
          <w:p w14:paraId="6056E377">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1)E</w:t>
            </w:r>
            <w:r>
              <w:rPr>
                <w:rFonts w:hint="eastAsia" w:cs="Times New Roman"/>
                <w:color w:val="auto"/>
                <w:kern w:val="2"/>
                <w:sz w:val="24"/>
                <w:szCs w:val="24"/>
                <w:highlight w:val="yellow"/>
                <w:vertAlign w:val="subscript"/>
                <w:lang w:val="en-US" w:eastAsia="zh-CN" w:bidi="ar-SA"/>
              </w:rPr>
              <w:t>h</w:t>
            </w:r>
            <w:r>
              <w:rPr>
                <w:rFonts w:hint="eastAsia" w:ascii="Times New Roman" w:hAnsi="Times New Roman" w:eastAsia="宋体" w:cs="Times New Roman"/>
                <w:color w:val="auto"/>
                <w:kern w:val="2"/>
                <w:sz w:val="24"/>
                <w:szCs w:val="24"/>
                <w:highlight w:val="yellow"/>
                <w:lang w:val="en-US" w:eastAsia="zh-CN" w:bidi="ar-SA"/>
              </w:rPr>
              <w:t>为堆场装卸扬尘的排放系数，</w:t>
            </w:r>
            <w:r>
              <w:rPr>
                <w:rFonts w:hint="eastAsia" w:cs="Times New Roman"/>
                <w:color w:val="auto"/>
                <w:kern w:val="2"/>
                <w:sz w:val="24"/>
                <w:szCs w:val="24"/>
                <w:highlight w:val="yellow"/>
                <w:lang w:val="en-US" w:eastAsia="zh-CN" w:bidi="ar-SA"/>
              </w:rPr>
              <w:t>0.076</w:t>
            </w:r>
            <w:r>
              <w:rPr>
                <w:rFonts w:hint="eastAsia" w:ascii="Times New Roman" w:hAnsi="Times New Roman" w:eastAsia="宋体" w:cs="Times New Roman"/>
                <w:color w:val="auto"/>
                <w:kern w:val="2"/>
                <w:sz w:val="24"/>
                <w:szCs w:val="24"/>
                <w:highlight w:val="yellow"/>
                <w:lang w:val="en-US" w:eastAsia="zh-CN" w:bidi="ar-SA"/>
              </w:rPr>
              <w:t>kg/t。</w:t>
            </w:r>
          </w:p>
          <w:p w14:paraId="36860440">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2)</w:t>
            </w:r>
            <w:r>
              <w:rPr>
                <w:rFonts w:hint="eastAsia" w:cs="Times New Roman"/>
                <w:color w:val="auto"/>
                <w:kern w:val="2"/>
                <w:sz w:val="24"/>
                <w:szCs w:val="24"/>
                <w:highlight w:val="yellow"/>
                <w:lang w:val="en-US" w:eastAsia="zh-CN" w:bidi="ar-SA"/>
              </w:rPr>
              <w:t>ki</w:t>
            </w:r>
            <w:r>
              <w:rPr>
                <w:rFonts w:hint="eastAsia" w:ascii="Times New Roman" w:hAnsi="Times New Roman" w:eastAsia="宋体" w:cs="Times New Roman"/>
                <w:color w:val="auto"/>
                <w:kern w:val="2"/>
                <w:sz w:val="24"/>
                <w:szCs w:val="24"/>
                <w:highlight w:val="yellow"/>
                <w:lang w:val="en-US" w:eastAsia="zh-CN" w:bidi="ar-SA"/>
              </w:rPr>
              <w:t>为物料的粒度乘数，见表10</w:t>
            </w:r>
            <w:r>
              <w:rPr>
                <w:rFonts w:hint="eastAsia" w:cs="Times New Roman"/>
                <w:color w:val="auto"/>
                <w:kern w:val="2"/>
                <w:sz w:val="24"/>
                <w:szCs w:val="24"/>
                <w:highlight w:val="yellow"/>
                <w:lang w:val="en-US" w:eastAsia="zh-CN" w:bidi="ar-SA"/>
              </w:rPr>
              <w:t>（本项目取0.74）</w:t>
            </w:r>
            <w:r>
              <w:rPr>
                <w:rFonts w:hint="eastAsia" w:ascii="Times New Roman" w:hAnsi="Times New Roman" w:eastAsia="宋体" w:cs="Times New Roman"/>
                <w:color w:val="auto"/>
                <w:kern w:val="2"/>
                <w:sz w:val="24"/>
                <w:szCs w:val="24"/>
                <w:highlight w:val="yellow"/>
                <w:lang w:val="en-US" w:eastAsia="zh-CN" w:bidi="ar-SA"/>
              </w:rPr>
              <w:t>。</w:t>
            </w:r>
          </w:p>
          <w:p w14:paraId="5D56C504">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3)u为地面平均风速，m/s</w:t>
            </w:r>
            <w:r>
              <w:rPr>
                <w:rFonts w:hint="eastAsia" w:cs="Times New Roman"/>
                <w:color w:val="auto"/>
                <w:kern w:val="2"/>
                <w:sz w:val="24"/>
                <w:szCs w:val="24"/>
                <w:highlight w:val="yellow"/>
                <w:lang w:val="en-US" w:eastAsia="zh-CN" w:bidi="ar-SA"/>
              </w:rPr>
              <w:t>（本项目取3.5）</w:t>
            </w:r>
            <w:r>
              <w:rPr>
                <w:rFonts w:hint="eastAsia" w:ascii="Times New Roman" w:hAnsi="Times New Roman" w:eastAsia="宋体" w:cs="Times New Roman"/>
                <w:color w:val="auto"/>
                <w:kern w:val="2"/>
                <w:sz w:val="24"/>
                <w:szCs w:val="24"/>
                <w:highlight w:val="yellow"/>
                <w:lang w:val="en-US" w:eastAsia="zh-CN" w:bidi="ar-SA"/>
              </w:rPr>
              <w:t>。</w:t>
            </w:r>
          </w:p>
          <w:p w14:paraId="4660B586">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4)M为物料含水率，%，推荐实测，方法同道路积尘含水率测定方法;条件不具备的，可参考表11</w:t>
            </w:r>
            <w:r>
              <w:rPr>
                <w:rFonts w:hint="eastAsia" w:cs="Times New Roman"/>
                <w:color w:val="auto"/>
                <w:kern w:val="2"/>
                <w:sz w:val="24"/>
                <w:szCs w:val="24"/>
                <w:highlight w:val="yellow"/>
                <w:lang w:val="en-US" w:eastAsia="zh-CN" w:bidi="ar-SA"/>
              </w:rPr>
              <w:t>（本项目取5%）</w:t>
            </w:r>
            <w:r>
              <w:rPr>
                <w:rFonts w:hint="eastAsia" w:ascii="Times New Roman" w:hAnsi="Times New Roman" w:eastAsia="宋体" w:cs="Times New Roman"/>
                <w:color w:val="auto"/>
                <w:kern w:val="2"/>
                <w:sz w:val="24"/>
                <w:szCs w:val="24"/>
                <w:highlight w:val="yellow"/>
                <w:lang w:val="en-US" w:eastAsia="zh-CN" w:bidi="ar-SA"/>
              </w:rPr>
              <w:t>。</w:t>
            </w:r>
          </w:p>
          <w:p w14:paraId="26B155B1">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堆场风蚀扬尘排放系数的计算方法</w:t>
            </w:r>
          </w:p>
          <w:p w14:paraId="1E4A4B53">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料堆表面遭受风扰动后引起颗粒物排放的排放系数可以用下式计算:</w:t>
            </w:r>
          </w:p>
          <w:p w14:paraId="39333C38">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drawing>
                <wp:inline distT="0" distB="0" distL="114300" distR="114300">
                  <wp:extent cx="4192905" cy="1261110"/>
                  <wp:effectExtent l="0" t="0" r="0" b="0"/>
                  <wp:docPr id="40" name="图片 40" descr="ab1f07d25ef4f7b5e492ef5c330cd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ab1f07d25ef4f7b5e492ef5c330cd5f"/>
                          <pic:cNvPicPr>
                            <a:picLocks noChangeAspect="1"/>
                          </pic:cNvPicPr>
                        </pic:nvPicPr>
                        <pic:blipFill>
                          <a:blip r:embed="rId20"/>
                          <a:srcRect l="12485" t="-303"/>
                          <a:stretch>
                            <a:fillRect/>
                          </a:stretch>
                        </pic:blipFill>
                        <pic:spPr>
                          <a:xfrm>
                            <a:off x="0" y="0"/>
                            <a:ext cx="4192905" cy="1261110"/>
                          </a:xfrm>
                          <a:prstGeom prst="rect">
                            <a:avLst/>
                          </a:prstGeom>
                        </pic:spPr>
                      </pic:pic>
                    </a:graphicData>
                  </a:graphic>
                </wp:inline>
              </w:drawing>
            </w:r>
          </w:p>
          <w:p w14:paraId="22C090DD">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1)E</w:t>
            </w:r>
            <w:r>
              <w:rPr>
                <w:rFonts w:hint="eastAsia" w:cs="Times New Roman"/>
                <w:color w:val="auto"/>
                <w:kern w:val="2"/>
                <w:sz w:val="24"/>
                <w:szCs w:val="24"/>
                <w:highlight w:val="yellow"/>
                <w:lang w:val="en-US" w:eastAsia="zh-CN" w:bidi="ar-SA"/>
              </w:rPr>
              <w:t>w</w:t>
            </w:r>
            <w:r>
              <w:rPr>
                <w:rFonts w:hint="default" w:ascii="Times New Roman" w:hAnsi="Times New Roman" w:eastAsia="宋体" w:cs="Times New Roman"/>
                <w:color w:val="auto"/>
                <w:kern w:val="2"/>
                <w:sz w:val="24"/>
                <w:szCs w:val="24"/>
                <w:highlight w:val="yellow"/>
                <w:lang w:val="en-US" w:eastAsia="zh-CN" w:bidi="ar-SA"/>
              </w:rPr>
              <w:t>为堆场风蚀扬尘的排放系数，kg/m</w:t>
            </w:r>
            <w:r>
              <w:rPr>
                <w:rFonts w:hint="eastAsia" w:cs="Times New Roman"/>
                <w:color w:val="auto"/>
                <w:kern w:val="2"/>
                <w:sz w:val="24"/>
                <w:szCs w:val="24"/>
                <w:highlight w:val="yellow"/>
                <w:vertAlign w:val="superscript"/>
                <w:lang w:val="en-US" w:eastAsia="zh-CN" w:bidi="ar-SA"/>
              </w:rPr>
              <w:t>2</w:t>
            </w:r>
            <w:r>
              <w:rPr>
                <w:rFonts w:hint="default" w:ascii="Times New Roman" w:hAnsi="Times New Roman" w:eastAsia="宋体" w:cs="Times New Roman"/>
                <w:color w:val="auto"/>
                <w:kern w:val="2"/>
                <w:sz w:val="24"/>
                <w:szCs w:val="24"/>
                <w:highlight w:val="yellow"/>
                <w:lang w:val="en-US" w:eastAsia="zh-CN" w:bidi="ar-SA"/>
              </w:rPr>
              <w:t>。</w:t>
            </w:r>
          </w:p>
          <w:p w14:paraId="0A78F033">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2)</w:t>
            </w:r>
            <w:r>
              <w:rPr>
                <w:rFonts w:hint="eastAsia" w:cs="Times New Roman"/>
                <w:color w:val="auto"/>
                <w:kern w:val="2"/>
                <w:sz w:val="24"/>
                <w:szCs w:val="24"/>
                <w:highlight w:val="yellow"/>
                <w:lang w:val="en-US" w:eastAsia="zh-CN" w:bidi="ar-SA"/>
              </w:rPr>
              <w:t>ki</w:t>
            </w:r>
            <w:r>
              <w:rPr>
                <w:rFonts w:hint="default" w:ascii="Times New Roman" w:hAnsi="Times New Roman" w:eastAsia="宋体" w:cs="Times New Roman"/>
                <w:color w:val="auto"/>
                <w:kern w:val="2"/>
                <w:sz w:val="24"/>
                <w:szCs w:val="24"/>
                <w:highlight w:val="yellow"/>
                <w:lang w:val="en-US" w:eastAsia="zh-CN" w:bidi="ar-SA"/>
              </w:rPr>
              <w:t>为物料的粒度乘数，见表 13</w:t>
            </w:r>
            <w:r>
              <w:rPr>
                <w:rFonts w:hint="eastAsia" w:cs="Times New Roman"/>
                <w:color w:val="auto"/>
                <w:kern w:val="2"/>
                <w:sz w:val="24"/>
                <w:szCs w:val="24"/>
                <w:highlight w:val="yellow"/>
                <w:lang w:val="en-US" w:eastAsia="zh-CN" w:bidi="ar-SA"/>
              </w:rPr>
              <w:t>（本项目取1.0）</w:t>
            </w:r>
            <w:r>
              <w:rPr>
                <w:rFonts w:hint="default" w:ascii="Times New Roman" w:hAnsi="Times New Roman" w:eastAsia="宋体" w:cs="Times New Roman"/>
                <w:color w:val="auto"/>
                <w:kern w:val="2"/>
                <w:sz w:val="24"/>
                <w:szCs w:val="24"/>
                <w:highlight w:val="yellow"/>
                <w:lang w:val="en-US" w:eastAsia="zh-CN" w:bidi="ar-SA"/>
              </w:rPr>
              <w:t>。</w:t>
            </w:r>
          </w:p>
          <w:p w14:paraId="0115EC1D">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3)n为料堆每年受扰动的次数</w:t>
            </w:r>
            <w:r>
              <w:rPr>
                <w:rFonts w:hint="eastAsia" w:cs="Times New Roman"/>
                <w:color w:val="auto"/>
                <w:kern w:val="2"/>
                <w:sz w:val="24"/>
                <w:szCs w:val="24"/>
                <w:highlight w:val="yellow"/>
                <w:lang w:val="en-US" w:eastAsia="zh-CN" w:bidi="ar-SA"/>
              </w:rPr>
              <w:t>（本次项目取500）</w:t>
            </w:r>
            <w:r>
              <w:rPr>
                <w:rFonts w:hint="default" w:ascii="Times New Roman" w:hAnsi="Times New Roman" w:eastAsia="宋体" w:cs="Times New Roman"/>
                <w:color w:val="auto"/>
                <w:kern w:val="2"/>
                <w:sz w:val="24"/>
                <w:szCs w:val="24"/>
                <w:highlight w:val="yellow"/>
                <w:lang w:val="en-US" w:eastAsia="zh-CN" w:bidi="ar-SA"/>
              </w:rPr>
              <w:t>。</w:t>
            </w:r>
          </w:p>
          <w:p w14:paraId="2B265D66">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4)P</w:t>
            </w:r>
            <w:r>
              <w:rPr>
                <w:rFonts w:hint="eastAsia" w:cs="Times New Roman"/>
                <w:color w:val="auto"/>
                <w:kern w:val="2"/>
                <w:sz w:val="24"/>
                <w:szCs w:val="24"/>
                <w:highlight w:val="yellow"/>
                <w:lang w:val="en-US" w:eastAsia="zh-CN" w:bidi="ar-SA"/>
              </w:rPr>
              <w:t>i</w:t>
            </w:r>
            <w:r>
              <w:rPr>
                <w:rFonts w:hint="default" w:ascii="Times New Roman" w:hAnsi="Times New Roman" w:eastAsia="宋体" w:cs="Times New Roman"/>
                <w:color w:val="auto"/>
                <w:kern w:val="2"/>
                <w:sz w:val="24"/>
                <w:szCs w:val="24"/>
                <w:highlight w:val="yellow"/>
                <w:lang w:val="en-US" w:eastAsia="zh-CN" w:bidi="ar-SA"/>
              </w:rPr>
              <w:t>为第i次扰动中观测的最大风速的风蚀潜势，</w:t>
            </w:r>
            <w:r>
              <w:rPr>
                <w:rFonts w:hint="eastAsia" w:cs="Times New Roman"/>
                <w:color w:val="auto"/>
                <w:kern w:val="2"/>
                <w:sz w:val="24"/>
                <w:szCs w:val="24"/>
                <w:highlight w:val="yellow"/>
                <w:lang w:val="en-US" w:eastAsia="zh-CN" w:bidi="ar-SA"/>
              </w:rPr>
              <w:t>g/m</w:t>
            </w:r>
            <w:r>
              <w:rPr>
                <w:rFonts w:hint="eastAsia" w:cs="Times New Roman"/>
                <w:color w:val="auto"/>
                <w:kern w:val="2"/>
                <w:sz w:val="24"/>
                <w:szCs w:val="24"/>
                <w:highlight w:val="yellow"/>
                <w:vertAlign w:val="superscript"/>
                <w:lang w:val="en-US" w:eastAsia="zh-CN" w:bidi="ar-SA"/>
              </w:rPr>
              <w:t>2</w:t>
            </w:r>
            <w:r>
              <w:rPr>
                <w:rFonts w:hint="default" w:ascii="Times New Roman" w:hAnsi="Times New Roman" w:eastAsia="宋体" w:cs="Times New Roman"/>
                <w:color w:val="auto"/>
                <w:kern w:val="2"/>
                <w:sz w:val="24"/>
                <w:szCs w:val="24"/>
                <w:highlight w:val="yellow"/>
                <w:lang w:val="en-US" w:eastAsia="zh-CN" w:bidi="ar-SA"/>
              </w:rPr>
              <w:t>通过公式(18)求得。</w:t>
            </w:r>
          </w:p>
          <w:p w14:paraId="02619F90">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5)为污染控制技术对扬尘的去除效率，%。各种控制措施的效率推荐值见表14。多种措施同时开展的，取控制效率最大值</w:t>
            </w:r>
            <w:r>
              <w:rPr>
                <w:rFonts w:hint="eastAsia" w:cs="Times New Roman"/>
                <w:color w:val="auto"/>
                <w:kern w:val="2"/>
                <w:sz w:val="24"/>
                <w:szCs w:val="24"/>
                <w:highlight w:val="yellow"/>
                <w:lang w:val="en-US" w:eastAsia="zh-CN" w:bidi="ar-SA"/>
              </w:rPr>
              <w:t>（本项目取85%）</w:t>
            </w:r>
            <w:r>
              <w:rPr>
                <w:rFonts w:hint="default" w:ascii="Times New Roman" w:hAnsi="Times New Roman" w:eastAsia="宋体" w:cs="Times New Roman"/>
                <w:color w:val="auto"/>
                <w:kern w:val="2"/>
                <w:sz w:val="24"/>
                <w:szCs w:val="24"/>
                <w:highlight w:val="yellow"/>
                <w:lang w:val="en-US" w:eastAsia="zh-CN" w:bidi="ar-SA"/>
              </w:rPr>
              <w:t>。</w:t>
            </w:r>
          </w:p>
          <w:p w14:paraId="39DA4BB6">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6)u*为摩擦风速，m</w:t>
            </w:r>
            <w:r>
              <w:rPr>
                <w:rFonts w:hint="eastAsia" w:cs="Times New Roman"/>
                <w:color w:val="auto"/>
                <w:kern w:val="2"/>
                <w:sz w:val="24"/>
                <w:szCs w:val="24"/>
                <w:highlight w:val="yellow"/>
                <w:lang w:val="en-US" w:eastAsia="zh-CN" w:bidi="ar-SA"/>
              </w:rPr>
              <w:t>/</w:t>
            </w:r>
            <w:r>
              <w:rPr>
                <w:rFonts w:hint="default" w:ascii="Times New Roman" w:hAnsi="Times New Roman" w:eastAsia="宋体" w:cs="Times New Roman"/>
                <w:color w:val="auto"/>
                <w:kern w:val="2"/>
                <w:sz w:val="24"/>
                <w:szCs w:val="24"/>
                <w:highlight w:val="yellow"/>
                <w:lang w:val="en-US" w:eastAsia="zh-CN" w:bidi="ar-SA"/>
              </w:rPr>
              <w:t>s。计算方法见公式(19)</w:t>
            </w:r>
            <w:r>
              <w:rPr>
                <w:rFonts w:hint="eastAsia" w:cs="Times New Roman"/>
                <w:color w:val="auto"/>
                <w:kern w:val="2"/>
                <w:sz w:val="24"/>
                <w:szCs w:val="24"/>
                <w:highlight w:val="yellow"/>
                <w:lang w:val="en-US" w:eastAsia="zh-CN" w:bidi="ar-SA"/>
              </w:rPr>
              <w:t>（0.43m/s）</w:t>
            </w:r>
            <w:r>
              <w:rPr>
                <w:rFonts w:hint="default" w:ascii="Times New Roman" w:hAnsi="Times New Roman" w:eastAsia="宋体" w:cs="Times New Roman"/>
                <w:color w:val="auto"/>
                <w:kern w:val="2"/>
                <w:sz w:val="24"/>
                <w:szCs w:val="24"/>
                <w:highlight w:val="yellow"/>
                <w:lang w:val="en-US" w:eastAsia="zh-CN" w:bidi="ar-SA"/>
              </w:rPr>
              <w:t>。</w:t>
            </w:r>
          </w:p>
          <w:p w14:paraId="6F26B3DB">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7) u</w:t>
            </w:r>
            <w:r>
              <w:rPr>
                <w:rFonts w:hint="eastAsia" w:cs="Times New Roman"/>
                <w:color w:val="auto"/>
                <w:kern w:val="2"/>
                <w:sz w:val="24"/>
                <w:szCs w:val="24"/>
                <w:highlight w:val="yellow"/>
                <w:vertAlign w:val="subscript"/>
                <w:lang w:val="en-US" w:eastAsia="zh-CN" w:bidi="ar-SA"/>
              </w:rPr>
              <w:t>t</w:t>
            </w:r>
            <w:r>
              <w:rPr>
                <w:rFonts w:hint="default" w:ascii="Times New Roman" w:hAnsi="Times New Roman" w:eastAsia="宋体" w:cs="Times New Roman"/>
                <w:color w:val="auto"/>
                <w:kern w:val="2"/>
                <w:sz w:val="24"/>
                <w:szCs w:val="24"/>
                <w:highlight w:val="yellow"/>
                <w:lang w:val="en-US" w:eastAsia="zh-CN" w:bidi="ar-SA"/>
              </w:rPr>
              <w:t>*为阈值摩擦风速，即起尘的临界摩擦风速，m/s，参考值见表15。</w:t>
            </w:r>
            <w:r>
              <w:rPr>
                <w:rFonts w:hint="eastAsia" w:cs="Times New Roman"/>
                <w:color w:val="auto"/>
                <w:kern w:val="2"/>
                <w:sz w:val="24"/>
                <w:szCs w:val="24"/>
                <w:highlight w:val="yellow"/>
                <w:lang w:val="en-US" w:eastAsia="zh-CN" w:bidi="ar-SA"/>
              </w:rPr>
              <w:t>（本项目取5.5m/s）</w:t>
            </w:r>
          </w:p>
          <w:p w14:paraId="295834DE">
            <w:pPr>
              <w:spacing w:line="360" w:lineRule="auto"/>
              <w:ind w:firstLine="420" w:firstLineChars="200"/>
              <w:rPr>
                <w:rFonts w:hint="default" w:ascii="Times New Roman" w:hAnsi="Times New Roman" w:eastAsia="宋体" w:cs="Times New Roman"/>
                <w:color w:val="auto"/>
                <w:kern w:val="2"/>
                <w:sz w:val="24"/>
                <w:szCs w:val="24"/>
                <w:highlight w:val="yellow"/>
                <w:lang w:val="en-US" w:eastAsia="zh-CN" w:bidi="ar-SA"/>
              </w:rPr>
            </w:pPr>
            <w:r>
              <w:rPr>
                <w:highlight w:val="yellow"/>
              </w:rPr>
              <w:drawing>
                <wp:inline distT="0" distB="0" distL="114300" distR="114300">
                  <wp:extent cx="3667125" cy="400050"/>
                  <wp:effectExtent l="0" t="0" r="9525" b="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21"/>
                          <a:stretch>
                            <a:fillRect/>
                          </a:stretch>
                        </pic:blipFill>
                        <pic:spPr>
                          <a:xfrm>
                            <a:off x="0" y="0"/>
                            <a:ext cx="3667125" cy="400050"/>
                          </a:xfrm>
                          <a:prstGeom prst="rect">
                            <a:avLst/>
                          </a:prstGeom>
                          <a:noFill/>
                          <a:ln>
                            <a:noFill/>
                          </a:ln>
                        </pic:spPr>
                      </pic:pic>
                    </a:graphicData>
                  </a:graphic>
                </wp:inline>
              </w:drawing>
            </w:r>
          </w:p>
          <w:p w14:paraId="500C8E70">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1) u(z)为地面风速，m/s</w:t>
            </w:r>
            <w:r>
              <w:rPr>
                <w:rFonts w:hint="eastAsia" w:cs="Times New Roman"/>
                <w:color w:val="auto"/>
                <w:kern w:val="2"/>
                <w:sz w:val="24"/>
                <w:szCs w:val="24"/>
                <w:highlight w:val="yellow"/>
                <w:lang w:val="en-US" w:eastAsia="zh-CN" w:bidi="ar-SA"/>
              </w:rPr>
              <w:t>（本项目取3.5）</w:t>
            </w:r>
            <w:r>
              <w:rPr>
                <w:rFonts w:hint="default" w:ascii="Times New Roman" w:hAnsi="Times New Roman" w:eastAsia="宋体" w:cs="Times New Roman"/>
                <w:color w:val="auto"/>
                <w:kern w:val="2"/>
                <w:sz w:val="24"/>
                <w:szCs w:val="24"/>
                <w:highlight w:val="yellow"/>
                <w:lang w:val="en-US" w:eastAsia="zh-CN" w:bidi="ar-SA"/>
              </w:rPr>
              <w:t>。</w:t>
            </w:r>
          </w:p>
          <w:p w14:paraId="2D2AFEB7">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2)z为地面风速检测高度，m</w:t>
            </w:r>
            <w:r>
              <w:rPr>
                <w:rFonts w:hint="eastAsia" w:cs="Times New Roman"/>
                <w:color w:val="auto"/>
                <w:kern w:val="2"/>
                <w:sz w:val="24"/>
                <w:szCs w:val="24"/>
                <w:highlight w:val="yellow"/>
                <w:lang w:val="en-US" w:eastAsia="zh-CN" w:bidi="ar-SA"/>
              </w:rPr>
              <w:t>（本项目取5）</w:t>
            </w:r>
            <w:r>
              <w:rPr>
                <w:rFonts w:hint="default" w:ascii="Times New Roman" w:hAnsi="Times New Roman" w:eastAsia="宋体" w:cs="Times New Roman"/>
                <w:color w:val="auto"/>
                <w:kern w:val="2"/>
                <w:sz w:val="24"/>
                <w:szCs w:val="24"/>
                <w:highlight w:val="yellow"/>
                <w:lang w:val="en-US" w:eastAsia="zh-CN" w:bidi="ar-SA"/>
              </w:rPr>
              <w:t>。</w:t>
            </w:r>
          </w:p>
          <w:p w14:paraId="0B8238E8">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3）</w:t>
            </w:r>
            <w:r>
              <w:rPr>
                <w:rFonts w:hint="default" w:ascii="Times New Roman" w:hAnsi="Times New Roman" w:eastAsia="宋体" w:cs="Times New Roman"/>
                <w:color w:val="auto"/>
                <w:kern w:val="2"/>
                <w:sz w:val="24"/>
                <w:szCs w:val="24"/>
                <w:highlight w:val="yellow"/>
                <w:lang w:val="en-US" w:eastAsia="zh-CN" w:bidi="ar-SA"/>
              </w:rPr>
              <w:t>zo为地面粗糙度，m，城市取值0.6，郊区取值0.2</w:t>
            </w:r>
            <w:r>
              <w:rPr>
                <w:rFonts w:hint="eastAsia" w:cs="Times New Roman"/>
                <w:color w:val="auto"/>
                <w:kern w:val="2"/>
                <w:sz w:val="24"/>
                <w:szCs w:val="24"/>
                <w:highlight w:val="yellow"/>
                <w:lang w:val="en-US" w:eastAsia="zh-CN" w:bidi="ar-SA"/>
              </w:rPr>
              <w:t>（本项目取0.2）</w:t>
            </w:r>
          </w:p>
          <w:p w14:paraId="4FBB2B32">
            <w:pPr>
              <w:spacing w:line="360" w:lineRule="auto"/>
              <w:ind w:firstLine="480" w:firstLineChars="200"/>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4) 0.4为冯卡门常数，无量纲。</w:t>
            </w:r>
          </w:p>
          <w:p w14:paraId="1B866C40">
            <w:pPr>
              <w:spacing w:line="360" w:lineRule="auto"/>
              <w:ind w:firstLine="480" w:firstLineChars="200"/>
              <w:rPr>
                <w:highlight w:val="yellow"/>
              </w:rPr>
            </w:pPr>
            <w:r>
              <w:rPr>
                <w:rFonts w:hint="eastAsia" w:ascii="Times New Roman" w:hAnsi="Times New Roman" w:eastAsia="宋体" w:cs="Times New Roman"/>
                <w:color w:val="auto"/>
                <w:kern w:val="2"/>
                <w:sz w:val="24"/>
                <w:szCs w:val="24"/>
                <w:highlight w:val="yellow"/>
                <w:lang w:val="en-US" w:eastAsia="zh-CN" w:bidi="ar-SA"/>
              </w:rPr>
              <w:t>采取</w:t>
            </w:r>
            <w:r>
              <w:rPr>
                <w:rFonts w:hint="eastAsia" w:cs="Times New Roman"/>
                <w:color w:val="auto"/>
                <w:kern w:val="2"/>
                <w:sz w:val="24"/>
                <w:szCs w:val="24"/>
                <w:highlight w:val="yellow"/>
                <w:lang w:val="en-US" w:eastAsia="zh-CN" w:bidi="ar-SA"/>
              </w:rPr>
              <w:t>料堆防尘布苫盖，定时洒水抑尘，堆场四周设置防风抑尘网。</w:t>
            </w:r>
            <w:r>
              <w:rPr>
                <w:rFonts w:hint="eastAsia" w:ascii="Times New Roman" w:hAnsi="Times New Roman" w:eastAsia="宋体" w:cs="Times New Roman"/>
                <w:color w:val="auto"/>
                <w:kern w:val="2"/>
                <w:sz w:val="24"/>
                <w:szCs w:val="24"/>
                <w:highlight w:val="yellow"/>
                <w:lang w:val="en-US" w:eastAsia="zh-CN" w:bidi="ar-SA"/>
              </w:rPr>
              <w:t>经治理后降尘效果可达到</w:t>
            </w:r>
            <w:r>
              <w:rPr>
                <w:rFonts w:hint="eastAsia" w:cs="Times New Roman"/>
                <w:color w:val="auto"/>
                <w:kern w:val="2"/>
                <w:sz w:val="24"/>
                <w:szCs w:val="24"/>
                <w:highlight w:val="yellow"/>
                <w:lang w:val="en-US" w:eastAsia="zh-CN" w:bidi="ar-SA"/>
              </w:rPr>
              <w:t>85</w:t>
            </w:r>
            <w:r>
              <w:rPr>
                <w:rFonts w:hint="default" w:ascii="Times New Roman" w:hAnsi="Times New Roman" w:eastAsia="宋体" w:cs="Times New Roman"/>
                <w:color w:val="auto"/>
                <w:kern w:val="2"/>
                <w:sz w:val="24"/>
                <w:szCs w:val="24"/>
                <w:highlight w:val="yellow"/>
                <w:lang w:val="en-US" w:eastAsia="zh-CN" w:bidi="ar-SA"/>
              </w:rPr>
              <w:t>%</w:t>
            </w:r>
            <w:r>
              <w:rPr>
                <w:rFonts w:hint="eastAsia" w:ascii="Times New Roman" w:hAnsi="Times New Roman" w:eastAsia="宋体" w:cs="Times New Roman"/>
                <w:color w:val="auto"/>
                <w:kern w:val="2"/>
                <w:sz w:val="24"/>
                <w:szCs w:val="24"/>
                <w:highlight w:val="yellow"/>
                <w:lang w:val="en-US" w:eastAsia="zh-CN" w:bidi="ar-SA"/>
              </w:rPr>
              <w:t>，经计算</w:t>
            </w:r>
            <w:r>
              <w:rPr>
                <w:rFonts w:hint="eastAsia" w:cs="Times New Roman"/>
                <w:color w:val="auto"/>
                <w:kern w:val="2"/>
                <w:sz w:val="24"/>
                <w:szCs w:val="24"/>
                <w:highlight w:val="yellow"/>
                <w:lang w:val="en-US" w:eastAsia="zh-CN" w:bidi="ar-SA"/>
              </w:rPr>
              <w:t>堆场粉尘产生量为0.76t/a，</w:t>
            </w:r>
            <w:r>
              <w:rPr>
                <w:rFonts w:hint="eastAsia" w:ascii="Times New Roman" w:hAnsi="Times New Roman" w:eastAsia="宋体" w:cs="Times New Roman"/>
                <w:color w:val="auto"/>
                <w:kern w:val="2"/>
                <w:sz w:val="24"/>
                <w:szCs w:val="24"/>
                <w:highlight w:val="yellow"/>
                <w:lang w:val="en-US" w:eastAsia="zh-CN" w:bidi="ar-SA"/>
              </w:rPr>
              <w:t xml:space="preserve">粉尘废气排放量为 </w:t>
            </w:r>
            <w:r>
              <w:rPr>
                <w:rFonts w:hint="eastAsia" w:cs="Times New Roman"/>
                <w:color w:val="auto"/>
                <w:kern w:val="2"/>
                <w:sz w:val="24"/>
                <w:szCs w:val="24"/>
                <w:highlight w:val="yellow"/>
                <w:lang w:val="en-US" w:eastAsia="zh-CN" w:bidi="ar-SA"/>
              </w:rPr>
              <w:t>0.114</w:t>
            </w:r>
            <w:r>
              <w:rPr>
                <w:rFonts w:hint="default" w:ascii="Times New Roman" w:hAnsi="Times New Roman" w:eastAsia="宋体" w:cs="Times New Roman"/>
                <w:color w:val="auto"/>
                <w:kern w:val="2"/>
                <w:sz w:val="24"/>
                <w:szCs w:val="24"/>
                <w:highlight w:val="yellow"/>
                <w:lang w:val="en-US" w:eastAsia="zh-CN" w:bidi="ar-SA"/>
              </w:rPr>
              <w:t>t/a</w:t>
            </w:r>
            <w:r>
              <w:rPr>
                <w:rFonts w:hint="eastAsia" w:cs="Times New Roman"/>
                <w:color w:val="auto"/>
                <w:kern w:val="2"/>
                <w:sz w:val="24"/>
                <w:szCs w:val="24"/>
                <w:highlight w:val="yellow"/>
                <w:lang w:val="en-US" w:eastAsia="zh-CN" w:bidi="ar-SA"/>
              </w:rPr>
              <w:t>（0.06kg/h）</w:t>
            </w:r>
            <w:r>
              <w:rPr>
                <w:rFonts w:hint="eastAsia" w:ascii="Times New Roman" w:hAnsi="Times New Roman" w:eastAsia="宋体" w:cs="Times New Roman"/>
                <w:color w:val="auto"/>
                <w:kern w:val="2"/>
                <w:sz w:val="24"/>
                <w:szCs w:val="24"/>
                <w:highlight w:val="yellow"/>
                <w:lang w:val="en-US" w:eastAsia="zh-CN" w:bidi="ar-SA"/>
              </w:rPr>
              <w:t>。</w:t>
            </w:r>
          </w:p>
          <w:p w14:paraId="0E73BCCE">
            <w:pPr>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⑤水泥筒仓和粉煤灰筒仓</w:t>
            </w:r>
            <w:r>
              <w:rPr>
                <w:rFonts w:hint="eastAsia" w:cs="Times New Roman"/>
                <w:color w:val="auto"/>
                <w:kern w:val="2"/>
                <w:sz w:val="24"/>
                <w:szCs w:val="24"/>
                <w:highlight w:val="none"/>
                <w:lang w:val="en-US" w:eastAsia="zh-CN" w:bidi="ar-SA"/>
              </w:rPr>
              <w:t>有</w:t>
            </w:r>
            <w:r>
              <w:rPr>
                <w:rFonts w:hint="eastAsia" w:ascii="Times New Roman" w:hAnsi="Times New Roman" w:eastAsia="宋体" w:cs="Times New Roman"/>
                <w:color w:val="auto"/>
                <w:kern w:val="2"/>
                <w:sz w:val="24"/>
                <w:szCs w:val="24"/>
                <w:highlight w:val="none"/>
                <w:lang w:val="en-US" w:eastAsia="zh-CN" w:bidi="ar-SA"/>
              </w:rPr>
              <w:t>组织粉尘</w:t>
            </w:r>
          </w:p>
          <w:p w14:paraId="2D47ABB4">
            <w:pPr>
              <w:spacing w:line="360" w:lineRule="auto"/>
              <w:ind w:firstLine="480" w:firstLineChars="200"/>
              <w:rPr>
                <w:rFonts w:hint="eastAsia"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本项目原料水泥和粉煤灰均采用筒仓储存，设置了</w:t>
            </w:r>
            <w:r>
              <w:rPr>
                <w:rFonts w:hint="default" w:ascii="Times New Roman" w:hAnsi="Times New Roman" w:eastAsia="宋体"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座水泥筒仓和1座粉煤灰筒仓，水泥通过罐车自带的气动系统打入筒仓内部储存，筒仓在仓顶安装仓顶收尘器，水泥储存、进料过程中会产生一定量的粉尘，粉尘以</w:t>
            </w:r>
            <w:r>
              <w:rPr>
                <w:rFonts w:hint="eastAsia" w:cs="Times New Roman"/>
                <w:color w:val="auto"/>
                <w:kern w:val="2"/>
                <w:sz w:val="24"/>
                <w:szCs w:val="24"/>
                <w:highlight w:val="none"/>
                <w:lang w:val="en-US" w:eastAsia="zh-CN" w:bidi="ar-SA"/>
              </w:rPr>
              <w:t>有</w:t>
            </w:r>
            <w:r>
              <w:rPr>
                <w:rFonts w:hint="eastAsia" w:ascii="Times New Roman" w:hAnsi="Times New Roman" w:eastAsia="宋体" w:cs="Times New Roman"/>
                <w:color w:val="auto"/>
                <w:kern w:val="2"/>
                <w:sz w:val="24"/>
                <w:szCs w:val="24"/>
                <w:highlight w:val="none"/>
                <w:lang w:val="en-US" w:eastAsia="zh-CN" w:bidi="ar-SA"/>
              </w:rPr>
              <w:t xml:space="preserve">组织形式排放；根据《排放源统计调查产排污核算方法和系数手册》（生态环境部公告 </w:t>
            </w:r>
            <w:r>
              <w:rPr>
                <w:rFonts w:hint="default" w:ascii="Times New Roman" w:hAnsi="Times New Roman" w:eastAsia="宋体" w:cs="Times New Roman"/>
                <w:color w:val="auto"/>
                <w:kern w:val="2"/>
                <w:sz w:val="24"/>
                <w:szCs w:val="24"/>
                <w:highlight w:val="none"/>
                <w:lang w:val="en-US" w:eastAsia="zh-CN" w:bidi="ar-SA"/>
              </w:rPr>
              <w:t xml:space="preserve">2021 </w:t>
            </w:r>
            <w:r>
              <w:rPr>
                <w:rFonts w:hint="eastAsia" w:ascii="Times New Roman" w:hAnsi="Times New Roman" w:eastAsia="宋体" w:cs="Times New Roman"/>
                <w:color w:val="auto"/>
                <w:kern w:val="2"/>
                <w:sz w:val="24"/>
                <w:szCs w:val="24"/>
                <w:highlight w:val="none"/>
                <w:lang w:val="en-US" w:eastAsia="zh-CN" w:bidi="ar-SA"/>
              </w:rPr>
              <w:t xml:space="preserve">年第 </w:t>
            </w:r>
            <w:r>
              <w:rPr>
                <w:rFonts w:hint="default" w:ascii="Times New Roman" w:hAnsi="Times New Roman" w:eastAsia="宋体" w:cs="Times New Roman"/>
                <w:color w:val="auto"/>
                <w:kern w:val="2"/>
                <w:sz w:val="24"/>
                <w:szCs w:val="24"/>
                <w:highlight w:val="none"/>
                <w:lang w:val="en-US" w:eastAsia="zh-CN" w:bidi="ar-SA"/>
              </w:rPr>
              <w:t xml:space="preserve">24 </w:t>
            </w:r>
            <w:r>
              <w:rPr>
                <w:rFonts w:hint="eastAsia" w:ascii="Times New Roman" w:hAnsi="Times New Roman" w:eastAsia="宋体" w:cs="Times New Roman"/>
                <w:color w:val="auto"/>
                <w:kern w:val="2"/>
                <w:sz w:val="24"/>
                <w:szCs w:val="24"/>
                <w:highlight w:val="none"/>
                <w:lang w:val="en-US" w:eastAsia="zh-CN" w:bidi="ar-SA"/>
              </w:rPr>
              <w:t>号）中</w:t>
            </w:r>
            <w:r>
              <w:rPr>
                <w:rFonts w:hint="default" w:ascii="Times New Roman" w:hAnsi="Times New Roman" w:eastAsia="宋体" w:cs="Times New Roman"/>
                <w:color w:val="auto"/>
                <w:kern w:val="2"/>
                <w:sz w:val="24"/>
                <w:szCs w:val="24"/>
                <w:highlight w:val="none"/>
                <w:lang w:val="en-US" w:eastAsia="zh-CN" w:bidi="ar-SA"/>
              </w:rPr>
              <w:t>37</w:t>
            </w:r>
            <w:r>
              <w:rPr>
                <w:rFonts w:hint="eastAsia" w:ascii="Times New Roman" w:hAnsi="Times New Roman" w:eastAsia="宋体" w:cs="Times New Roman"/>
                <w:color w:val="auto"/>
                <w:kern w:val="2"/>
                <w:sz w:val="24"/>
                <w:szCs w:val="24"/>
                <w:highlight w:val="none"/>
                <w:lang w:val="en-US" w:eastAsia="zh-CN" w:bidi="ar-SA"/>
              </w:rPr>
              <w:t>《水泥制品制造行业系数手册》：</w:t>
            </w:r>
            <w:r>
              <w:rPr>
                <w:rFonts w:hint="eastAsia" w:ascii="Times New Roman" w:hAnsi="Times New Roman" w:eastAsia="宋体" w:cs="Times New Roman"/>
                <w:color w:val="auto"/>
                <w:kern w:val="2"/>
                <w:sz w:val="24"/>
                <w:szCs w:val="24"/>
                <w:highlight w:val="yellow"/>
                <w:lang w:val="en-US" w:eastAsia="zh-CN" w:bidi="ar-SA"/>
              </w:rPr>
              <w:t xml:space="preserve">物料储存过程产污系数：颗粒物 </w:t>
            </w:r>
            <w:r>
              <w:rPr>
                <w:rFonts w:hint="default" w:ascii="Times New Roman" w:hAnsi="Times New Roman" w:eastAsia="宋体" w:cs="Times New Roman"/>
                <w:color w:val="auto"/>
                <w:kern w:val="2"/>
                <w:sz w:val="24"/>
                <w:szCs w:val="24"/>
                <w:highlight w:val="yellow"/>
                <w:lang w:val="en-US" w:eastAsia="zh-CN" w:bidi="ar-SA"/>
              </w:rPr>
              <w:t>0.19 kg/t-</w:t>
            </w:r>
            <w:r>
              <w:rPr>
                <w:rFonts w:hint="eastAsia" w:cs="Times New Roman"/>
                <w:color w:val="auto"/>
                <w:kern w:val="2"/>
                <w:sz w:val="24"/>
                <w:szCs w:val="24"/>
                <w:highlight w:val="yellow"/>
                <w:lang w:val="en-US" w:eastAsia="zh-CN" w:bidi="ar-SA"/>
              </w:rPr>
              <w:t>产品</w:t>
            </w:r>
            <w:r>
              <w:rPr>
                <w:rFonts w:hint="eastAsia" w:ascii="Times New Roman" w:hAnsi="Times New Roman" w:eastAsia="宋体" w:cs="Times New Roman"/>
                <w:color w:val="auto"/>
                <w:kern w:val="2"/>
                <w:sz w:val="24"/>
                <w:szCs w:val="24"/>
                <w:highlight w:val="yellow"/>
                <w:lang w:val="en-US" w:eastAsia="zh-CN" w:bidi="ar-SA"/>
              </w:rPr>
              <w:t>，</w:t>
            </w:r>
            <w:r>
              <w:rPr>
                <w:rFonts w:hint="eastAsia" w:cs="Times New Roman"/>
                <w:color w:val="auto"/>
                <w:kern w:val="2"/>
                <w:sz w:val="24"/>
                <w:szCs w:val="24"/>
                <w:highlight w:val="yellow"/>
                <w:lang w:val="en-US" w:eastAsia="zh-CN" w:bidi="ar-SA"/>
              </w:rPr>
              <w:t>废气量 41.8标立方米/吨-产品。本项目年产能水泥预制件7万吨，则</w:t>
            </w:r>
            <w:r>
              <w:rPr>
                <w:rFonts w:hint="eastAsia" w:ascii="Times New Roman" w:hAnsi="Times New Roman" w:eastAsia="宋体" w:cs="Times New Roman"/>
                <w:color w:val="auto"/>
                <w:kern w:val="2"/>
                <w:sz w:val="24"/>
                <w:szCs w:val="24"/>
                <w:highlight w:val="yellow"/>
                <w:lang w:val="en-US" w:eastAsia="zh-CN" w:bidi="ar-SA"/>
              </w:rPr>
              <w:t>水泥筒仓和粉煤灰筒仓颗粒物产生量为</w:t>
            </w:r>
            <w:r>
              <w:rPr>
                <w:rFonts w:hint="eastAsia" w:cs="Times New Roman"/>
                <w:color w:val="auto"/>
                <w:kern w:val="2"/>
                <w:sz w:val="24"/>
                <w:szCs w:val="24"/>
                <w:highlight w:val="yellow"/>
                <w:lang w:val="en-US" w:eastAsia="zh-CN" w:bidi="ar-SA"/>
              </w:rPr>
              <w:t>13.3</w:t>
            </w:r>
            <w:r>
              <w:rPr>
                <w:rFonts w:hint="default" w:ascii="Times New Roman" w:hAnsi="Times New Roman" w:eastAsia="宋体" w:cs="Times New Roman"/>
                <w:color w:val="auto"/>
                <w:kern w:val="2"/>
                <w:sz w:val="24"/>
                <w:szCs w:val="24"/>
                <w:highlight w:val="yellow"/>
                <w:lang w:val="en-US" w:eastAsia="zh-CN" w:bidi="ar-SA"/>
              </w:rPr>
              <w:t>t/a</w:t>
            </w:r>
            <w:r>
              <w:rPr>
                <w:rFonts w:hint="eastAsia" w:cs="Times New Roman"/>
                <w:color w:val="auto"/>
                <w:kern w:val="2"/>
                <w:sz w:val="24"/>
                <w:szCs w:val="24"/>
                <w:highlight w:val="yellow"/>
                <w:lang w:val="en-US" w:eastAsia="zh-CN" w:bidi="ar-SA"/>
              </w:rPr>
              <w:t>（7.04kg/h）</w:t>
            </w:r>
            <w:r>
              <w:rPr>
                <w:rFonts w:hint="eastAsia" w:ascii="Times New Roman" w:hAnsi="Times New Roman" w:eastAsia="宋体" w:cs="Times New Roman"/>
                <w:color w:val="auto"/>
                <w:kern w:val="2"/>
                <w:sz w:val="24"/>
                <w:szCs w:val="24"/>
                <w:highlight w:val="yellow"/>
                <w:lang w:val="en-US" w:eastAsia="zh-CN" w:bidi="ar-SA"/>
              </w:rPr>
              <w:t>，脉冲布袋除尘器的处理效率可达99.7</w:t>
            </w:r>
            <w:r>
              <w:rPr>
                <w:rFonts w:hint="default" w:ascii="Times New Roman" w:hAnsi="Times New Roman" w:eastAsia="宋体" w:cs="Times New Roman"/>
                <w:color w:val="auto"/>
                <w:kern w:val="2"/>
                <w:sz w:val="24"/>
                <w:szCs w:val="24"/>
                <w:highlight w:val="yellow"/>
                <w:lang w:val="en-US" w:eastAsia="zh-CN" w:bidi="ar-SA"/>
              </w:rPr>
              <w:t>%</w:t>
            </w:r>
            <w:r>
              <w:rPr>
                <w:rFonts w:hint="eastAsia" w:ascii="Times New Roman" w:hAnsi="Times New Roman" w:eastAsia="宋体" w:cs="Times New Roman"/>
                <w:color w:val="auto"/>
                <w:kern w:val="2"/>
                <w:sz w:val="24"/>
                <w:szCs w:val="24"/>
                <w:highlight w:val="yellow"/>
                <w:lang w:val="en-US" w:eastAsia="zh-CN" w:bidi="ar-SA"/>
              </w:rPr>
              <w:t>，则水泥筒仓</w:t>
            </w:r>
            <w:r>
              <w:rPr>
                <w:rFonts w:hint="eastAsia" w:cs="Times New Roman"/>
                <w:color w:val="auto"/>
                <w:kern w:val="2"/>
                <w:sz w:val="24"/>
                <w:szCs w:val="24"/>
                <w:highlight w:val="yellow"/>
                <w:lang w:val="en-US" w:eastAsia="zh-CN" w:bidi="ar-SA"/>
              </w:rPr>
              <w:t>和粉煤灰筒仓有</w:t>
            </w:r>
            <w:r>
              <w:rPr>
                <w:rFonts w:hint="eastAsia" w:ascii="Times New Roman" w:hAnsi="Times New Roman" w:eastAsia="宋体" w:cs="Times New Roman"/>
                <w:color w:val="auto"/>
                <w:kern w:val="2"/>
                <w:sz w:val="24"/>
                <w:szCs w:val="24"/>
                <w:highlight w:val="yellow"/>
                <w:lang w:val="en-US" w:eastAsia="zh-CN" w:bidi="ar-SA"/>
              </w:rPr>
              <w:t>组织粉尘排放量为</w:t>
            </w:r>
            <w:r>
              <w:rPr>
                <w:rFonts w:hint="eastAsia" w:cs="Times New Roman"/>
                <w:color w:val="auto"/>
                <w:kern w:val="2"/>
                <w:sz w:val="24"/>
                <w:szCs w:val="24"/>
                <w:highlight w:val="yellow"/>
                <w:lang w:val="en-US" w:eastAsia="zh-CN" w:bidi="ar-SA"/>
              </w:rPr>
              <w:t>0.0399</w:t>
            </w:r>
            <w:r>
              <w:rPr>
                <w:rFonts w:hint="default" w:ascii="Times New Roman" w:hAnsi="Times New Roman" w:eastAsia="宋体" w:cs="Times New Roman"/>
                <w:color w:val="auto"/>
                <w:kern w:val="2"/>
                <w:sz w:val="24"/>
                <w:szCs w:val="24"/>
                <w:highlight w:val="yellow"/>
                <w:lang w:val="en-US" w:eastAsia="zh-CN" w:bidi="ar-SA"/>
              </w:rPr>
              <w:t>t/a</w:t>
            </w:r>
            <w:r>
              <w:rPr>
                <w:rFonts w:hint="eastAsia" w:cs="Times New Roman"/>
                <w:color w:val="auto"/>
                <w:kern w:val="2"/>
                <w:sz w:val="24"/>
                <w:szCs w:val="24"/>
                <w:highlight w:val="yellow"/>
                <w:lang w:val="en-US" w:eastAsia="zh-CN" w:bidi="ar-SA"/>
              </w:rPr>
              <w:t>（0.021kg/h）</w:t>
            </w:r>
            <w:r>
              <w:rPr>
                <w:rFonts w:hint="eastAsia" w:ascii="Times New Roman" w:hAnsi="Times New Roman" w:eastAsia="宋体" w:cs="Times New Roman"/>
                <w:color w:val="auto"/>
                <w:kern w:val="2"/>
                <w:sz w:val="24"/>
                <w:szCs w:val="24"/>
                <w:highlight w:val="yellow"/>
                <w:lang w:val="en-US" w:eastAsia="zh-CN" w:bidi="ar-SA"/>
              </w:rPr>
              <w:t>。</w:t>
            </w:r>
            <w:r>
              <w:rPr>
                <w:rFonts w:hint="eastAsia" w:cs="Times New Roman"/>
                <w:color w:val="auto"/>
                <w:kern w:val="2"/>
                <w:sz w:val="24"/>
                <w:szCs w:val="24"/>
                <w:highlight w:val="yellow"/>
                <w:lang w:val="en-US" w:eastAsia="zh-CN" w:bidi="ar-SA"/>
              </w:rPr>
              <w:t>风机风量均为2000</w:t>
            </w:r>
          </w:p>
          <w:p w14:paraId="524A0364">
            <w:pPr>
              <w:spacing w:line="360" w:lineRule="auto"/>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yellow"/>
                <w:lang w:val="en-US" w:eastAsia="zh-CN" w:bidi="ar-SA"/>
              </w:rPr>
              <w:t>m³/h，则筒仓有组织排放浓度均为3.5mg/m³</w:t>
            </w:r>
            <w:r>
              <w:rPr>
                <w:rFonts w:hint="eastAsia" w:cs="Times New Roman"/>
                <w:color w:val="auto"/>
                <w:kern w:val="2"/>
                <w:sz w:val="24"/>
                <w:szCs w:val="24"/>
                <w:highlight w:val="none"/>
                <w:lang w:val="en-US" w:eastAsia="zh-CN" w:bidi="ar-SA"/>
              </w:rPr>
              <w:t>。</w:t>
            </w:r>
          </w:p>
          <w:p w14:paraId="2D354333">
            <w:pPr>
              <w:spacing w:line="360" w:lineRule="auto"/>
              <w:ind w:firstLine="480" w:firstLineChars="200"/>
              <w:rPr>
                <w:rFonts w:hint="eastAsia" w:cs="Times New Roman"/>
                <w:color w:val="auto"/>
                <w:kern w:val="2"/>
                <w:sz w:val="24"/>
                <w:szCs w:val="24"/>
                <w:highlight w:val="yellow"/>
                <w:lang w:val="en-US" w:eastAsia="zh-CN" w:bidi="ar-SA"/>
              </w:rPr>
            </w:pPr>
            <w:r>
              <w:rPr>
                <w:rFonts w:hint="eastAsia" w:cs="Times New Roman"/>
                <w:color w:val="auto"/>
                <w:kern w:val="2"/>
                <w:sz w:val="24"/>
                <w:szCs w:val="24"/>
                <w:highlight w:val="yellow"/>
                <w:lang w:val="en-US" w:eastAsia="zh-CN" w:bidi="ar-SA"/>
              </w:rPr>
              <w:t>⑥搅拌工序</w:t>
            </w:r>
          </w:p>
          <w:p w14:paraId="6F4F0015">
            <w:pPr>
              <w:spacing w:line="360" w:lineRule="auto"/>
              <w:ind w:firstLine="480" w:firstLineChars="200"/>
              <w:rPr>
                <w:rFonts w:hint="default" w:cs="Times New Roman"/>
                <w:color w:val="auto"/>
                <w:kern w:val="2"/>
                <w:sz w:val="24"/>
                <w:szCs w:val="24"/>
                <w:highlight w:val="yellow"/>
                <w:lang w:val="en-US" w:eastAsia="zh-CN" w:bidi="ar-SA"/>
              </w:rPr>
            </w:pPr>
            <w:r>
              <w:rPr>
                <w:rFonts w:hint="default" w:cs="Times New Roman"/>
                <w:color w:val="auto"/>
                <w:kern w:val="2"/>
                <w:sz w:val="24"/>
                <w:szCs w:val="24"/>
                <w:highlight w:val="yellow"/>
                <w:lang w:val="en-US" w:eastAsia="zh-CN" w:bidi="ar-SA"/>
              </w:rPr>
              <w:t>搅拌过程是将砂石原料、水泥及新鲜水等一并混入搅拌机内并连续搅拌的过程。搅拌机在搅拌过程中虽然有水加入，但物料混合搅拌工序还是会产生一定量的工业粉尘。搅拌机搅拌过程中为密闭状态。根据《排放源统计调查产排污核算方法和系数手册》C3021水泥制品制造（含3022砼结构构件制造）行业系数物料搅拌过程颗粒物产污系数为</w:t>
            </w:r>
            <w:r>
              <w:rPr>
                <w:rFonts w:hint="eastAsia" w:cs="Times New Roman"/>
                <w:color w:val="auto"/>
                <w:kern w:val="2"/>
                <w:sz w:val="24"/>
                <w:szCs w:val="24"/>
                <w:highlight w:val="yellow"/>
                <w:lang w:val="en-US" w:eastAsia="zh-CN" w:bidi="ar-SA"/>
              </w:rPr>
              <w:t>0.523</w:t>
            </w:r>
            <w:r>
              <w:rPr>
                <w:rFonts w:hint="default" w:cs="Times New Roman"/>
                <w:color w:val="auto"/>
                <w:kern w:val="2"/>
                <w:sz w:val="24"/>
                <w:szCs w:val="24"/>
                <w:highlight w:val="yellow"/>
                <w:lang w:val="en-US" w:eastAsia="zh-CN" w:bidi="ar-SA"/>
              </w:rPr>
              <w:t>kg/t-产品</w:t>
            </w:r>
            <w:r>
              <w:rPr>
                <w:rFonts w:hint="eastAsia" w:cs="Times New Roman"/>
                <w:color w:val="auto"/>
                <w:kern w:val="2"/>
                <w:sz w:val="24"/>
                <w:szCs w:val="24"/>
                <w:highlight w:val="yellow"/>
                <w:lang w:val="en-US" w:eastAsia="zh-CN" w:bidi="ar-SA"/>
              </w:rPr>
              <w:t>。</w:t>
            </w:r>
            <w:r>
              <w:rPr>
                <w:rFonts w:hint="default" w:cs="Times New Roman"/>
                <w:color w:val="auto"/>
                <w:kern w:val="2"/>
                <w:sz w:val="24"/>
                <w:szCs w:val="24"/>
                <w:highlight w:val="yellow"/>
                <w:lang w:val="en-US" w:eastAsia="zh-CN" w:bidi="ar-SA"/>
              </w:rPr>
              <w:t>则项目投料、搅拌过程粉尘产生量为</w:t>
            </w:r>
            <w:r>
              <w:rPr>
                <w:rFonts w:hint="eastAsia" w:cs="Times New Roman"/>
                <w:color w:val="auto"/>
                <w:kern w:val="2"/>
                <w:sz w:val="24"/>
                <w:szCs w:val="24"/>
                <w:highlight w:val="yellow"/>
                <w:lang w:val="en-US" w:eastAsia="zh-CN" w:bidi="ar-SA"/>
              </w:rPr>
              <w:t>36.61</w:t>
            </w:r>
            <w:r>
              <w:rPr>
                <w:rFonts w:hint="default" w:cs="Times New Roman"/>
                <w:color w:val="auto"/>
                <w:kern w:val="2"/>
                <w:sz w:val="24"/>
                <w:szCs w:val="24"/>
                <w:highlight w:val="yellow"/>
                <w:lang w:val="en-US" w:eastAsia="zh-CN" w:bidi="ar-SA"/>
              </w:rPr>
              <w:t>t/a、</w:t>
            </w:r>
            <w:r>
              <w:rPr>
                <w:rFonts w:hint="eastAsia" w:cs="Times New Roman"/>
                <w:color w:val="auto"/>
                <w:kern w:val="2"/>
                <w:sz w:val="24"/>
                <w:szCs w:val="24"/>
                <w:highlight w:val="yellow"/>
                <w:lang w:val="en-US" w:eastAsia="zh-CN" w:bidi="ar-SA"/>
              </w:rPr>
              <w:t>19.37</w:t>
            </w:r>
            <w:r>
              <w:rPr>
                <w:rFonts w:hint="default" w:cs="Times New Roman"/>
                <w:color w:val="auto"/>
                <w:kern w:val="2"/>
                <w:sz w:val="24"/>
                <w:szCs w:val="24"/>
                <w:highlight w:val="yellow"/>
                <w:lang w:val="en-US" w:eastAsia="zh-CN" w:bidi="ar-SA"/>
              </w:rPr>
              <w:t>kg/h，本项目设置1台搅拌机，搅拌机位于全封闭搅拌车间内，项目搅拌机组为成套设备，配套有袋式除尘器，项目产生的粉尘全部收集后由搅拌机顶部自带的袋式除尘器（去除效率99.7%，风量为</w:t>
            </w:r>
            <w:r>
              <w:rPr>
                <w:rFonts w:hint="eastAsia" w:cs="Times New Roman"/>
                <w:color w:val="auto"/>
                <w:kern w:val="2"/>
                <w:sz w:val="24"/>
                <w:szCs w:val="24"/>
                <w:highlight w:val="yellow"/>
                <w:lang w:val="en-US" w:eastAsia="zh-CN" w:bidi="ar-SA"/>
              </w:rPr>
              <w:t>5000</w:t>
            </w:r>
            <w:r>
              <w:rPr>
                <w:rFonts w:hint="default" w:cs="Times New Roman"/>
                <w:color w:val="auto"/>
                <w:kern w:val="2"/>
                <w:sz w:val="24"/>
                <w:szCs w:val="24"/>
                <w:highlight w:val="yellow"/>
                <w:lang w:val="en-US" w:eastAsia="zh-CN" w:bidi="ar-SA"/>
              </w:rPr>
              <w:t>m</w:t>
            </w:r>
            <w:r>
              <w:rPr>
                <w:rFonts w:hint="default" w:cs="Times New Roman"/>
                <w:color w:val="auto"/>
                <w:kern w:val="2"/>
                <w:sz w:val="24"/>
                <w:szCs w:val="24"/>
                <w:highlight w:val="yellow"/>
                <w:vertAlign w:val="superscript"/>
                <w:lang w:val="en-US" w:eastAsia="zh-CN" w:bidi="ar-SA"/>
              </w:rPr>
              <w:t>3</w:t>
            </w:r>
            <w:r>
              <w:rPr>
                <w:rFonts w:hint="default" w:cs="Times New Roman"/>
                <w:color w:val="auto"/>
                <w:kern w:val="2"/>
                <w:sz w:val="24"/>
                <w:szCs w:val="24"/>
                <w:highlight w:val="yellow"/>
                <w:lang w:val="en-US" w:eastAsia="zh-CN" w:bidi="ar-SA"/>
              </w:rPr>
              <w:t>/h）处理后搅拌楼内无组织排放。粉尘经袋式除尘器处理后，排放浓度</w:t>
            </w:r>
            <w:r>
              <w:rPr>
                <w:rFonts w:hint="eastAsia" w:cs="Times New Roman"/>
                <w:color w:val="auto"/>
                <w:kern w:val="2"/>
                <w:sz w:val="24"/>
                <w:szCs w:val="24"/>
                <w:highlight w:val="yellow"/>
                <w:lang w:val="en-US" w:eastAsia="zh-CN" w:bidi="ar-SA"/>
              </w:rPr>
              <w:t>11.6</w:t>
            </w:r>
            <w:r>
              <w:rPr>
                <w:rFonts w:hint="default" w:cs="Times New Roman"/>
                <w:color w:val="auto"/>
                <w:kern w:val="2"/>
                <w:sz w:val="24"/>
                <w:szCs w:val="24"/>
                <w:highlight w:val="yellow"/>
                <w:lang w:val="en-US" w:eastAsia="zh-CN" w:bidi="ar-SA"/>
              </w:rPr>
              <w:t>mg/m</w:t>
            </w:r>
            <w:r>
              <w:rPr>
                <w:rFonts w:hint="default" w:cs="Times New Roman"/>
                <w:color w:val="auto"/>
                <w:kern w:val="2"/>
                <w:sz w:val="24"/>
                <w:szCs w:val="24"/>
                <w:highlight w:val="yellow"/>
                <w:vertAlign w:val="superscript"/>
                <w:lang w:val="en-US" w:eastAsia="zh-CN" w:bidi="ar-SA"/>
              </w:rPr>
              <w:t>3</w:t>
            </w:r>
            <w:r>
              <w:rPr>
                <w:rFonts w:hint="default" w:cs="Times New Roman"/>
                <w:color w:val="auto"/>
                <w:kern w:val="2"/>
                <w:sz w:val="24"/>
                <w:szCs w:val="24"/>
                <w:highlight w:val="yellow"/>
                <w:lang w:val="en-US" w:eastAsia="zh-CN" w:bidi="ar-SA"/>
              </w:rPr>
              <w:t>，粉尘排放量为</w:t>
            </w:r>
            <w:r>
              <w:rPr>
                <w:rFonts w:hint="eastAsia" w:cs="Times New Roman"/>
                <w:color w:val="auto"/>
                <w:kern w:val="2"/>
                <w:sz w:val="24"/>
                <w:szCs w:val="24"/>
                <w:highlight w:val="yellow"/>
                <w:lang w:val="en-US" w:eastAsia="zh-CN" w:bidi="ar-SA"/>
              </w:rPr>
              <w:t>0.11</w:t>
            </w:r>
            <w:r>
              <w:rPr>
                <w:rFonts w:hint="default" w:cs="Times New Roman"/>
                <w:color w:val="auto"/>
                <w:kern w:val="2"/>
                <w:sz w:val="24"/>
                <w:szCs w:val="24"/>
                <w:highlight w:val="yellow"/>
                <w:lang w:val="en-US" w:eastAsia="zh-CN" w:bidi="ar-SA"/>
              </w:rPr>
              <w:t>t/a，排放速率</w:t>
            </w:r>
            <w:r>
              <w:rPr>
                <w:rFonts w:hint="eastAsia" w:cs="Times New Roman"/>
                <w:color w:val="auto"/>
                <w:kern w:val="2"/>
                <w:sz w:val="24"/>
                <w:szCs w:val="24"/>
                <w:highlight w:val="yellow"/>
                <w:lang w:val="en-US" w:eastAsia="zh-CN" w:bidi="ar-SA"/>
              </w:rPr>
              <w:t>0.058</w:t>
            </w:r>
            <w:r>
              <w:rPr>
                <w:rFonts w:hint="default" w:cs="Times New Roman"/>
                <w:color w:val="auto"/>
                <w:kern w:val="2"/>
                <w:sz w:val="24"/>
                <w:szCs w:val="24"/>
                <w:highlight w:val="yellow"/>
                <w:lang w:val="en-US" w:eastAsia="zh-CN" w:bidi="ar-SA"/>
              </w:rPr>
              <w:t>kg/h。</w:t>
            </w:r>
          </w:p>
          <w:p w14:paraId="036A2550">
            <w:pPr>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⑦</w:t>
            </w:r>
            <w:r>
              <w:rPr>
                <w:rFonts w:hint="eastAsia" w:ascii="Times New Roman" w:hAnsi="Times New Roman" w:eastAsia="宋体" w:cs="Times New Roman"/>
                <w:color w:val="auto"/>
                <w:kern w:val="2"/>
                <w:sz w:val="24"/>
                <w:szCs w:val="24"/>
                <w:highlight w:val="none"/>
                <w:lang w:val="en-US" w:eastAsia="zh-CN" w:bidi="ar-SA"/>
              </w:rPr>
              <w:t>原料砂石上料无组织粉尘</w:t>
            </w:r>
          </w:p>
          <w:p w14:paraId="0283861F">
            <w:pPr>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本项目原料上料在全封闭的钢结构原料库内进行，同时原料通过铲车向配料站上料，本次评价根据《排放源统计调查产排污核算方法和系数手册》（生态环境部公告 </w:t>
            </w:r>
            <w:r>
              <w:rPr>
                <w:rFonts w:hint="default" w:ascii="Times New Roman" w:hAnsi="Times New Roman" w:eastAsia="宋体" w:cs="Times New Roman"/>
                <w:color w:val="auto"/>
                <w:kern w:val="2"/>
                <w:sz w:val="24"/>
                <w:szCs w:val="24"/>
                <w:highlight w:val="none"/>
                <w:lang w:val="en-US" w:eastAsia="zh-CN" w:bidi="ar-SA"/>
              </w:rPr>
              <w:t xml:space="preserve">2021 </w:t>
            </w:r>
            <w:r>
              <w:rPr>
                <w:rFonts w:hint="eastAsia" w:ascii="Times New Roman" w:hAnsi="Times New Roman" w:eastAsia="宋体" w:cs="Times New Roman"/>
                <w:color w:val="auto"/>
                <w:kern w:val="2"/>
                <w:sz w:val="24"/>
                <w:szCs w:val="24"/>
                <w:highlight w:val="none"/>
                <w:lang w:val="en-US" w:eastAsia="zh-CN" w:bidi="ar-SA"/>
              </w:rPr>
              <w:t xml:space="preserve">年第 </w:t>
            </w:r>
            <w:r>
              <w:rPr>
                <w:rFonts w:hint="default" w:ascii="Times New Roman" w:hAnsi="Times New Roman" w:eastAsia="宋体" w:cs="Times New Roman"/>
                <w:color w:val="auto"/>
                <w:kern w:val="2"/>
                <w:sz w:val="24"/>
                <w:szCs w:val="24"/>
                <w:highlight w:val="none"/>
                <w:lang w:val="en-US" w:eastAsia="zh-CN" w:bidi="ar-SA"/>
              </w:rPr>
              <w:t xml:space="preserve">24 </w:t>
            </w:r>
            <w:r>
              <w:rPr>
                <w:rFonts w:hint="eastAsia" w:ascii="Times New Roman" w:hAnsi="Times New Roman" w:eastAsia="宋体" w:cs="Times New Roman"/>
                <w:color w:val="auto"/>
                <w:kern w:val="2"/>
                <w:sz w:val="24"/>
                <w:szCs w:val="24"/>
                <w:highlight w:val="none"/>
                <w:lang w:val="en-US" w:eastAsia="zh-CN" w:bidi="ar-SA"/>
              </w:rPr>
              <w:t>号）中</w:t>
            </w:r>
            <w:r>
              <w:rPr>
                <w:rFonts w:hint="default" w:ascii="Times New Roman" w:hAnsi="Times New Roman" w:eastAsia="宋体" w:cs="Times New Roman"/>
                <w:color w:val="auto"/>
                <w:kern w:val="2"/>
                <w:sz w:val="24"/>
                <w:szCs w:val="24"/>
                <w:highlight w:val="none"/>
                <w:lang w:val="en-US" w:eastAsia="zh-CN" w:bidi="ar-SA"/>
              </w:rPr>
              <w:t>37</w:t>
            </w:r>
            <w:r>
              <w:rPr>
                <w:rFonts w:hint="eastAsia" w:ascii="Times New Roman" w:hAnsi="Times New Roman" w:eastAsia="宋体" w:cs="Times New Roman"/>
                <w:color w:val="auto"/>
                <w:kern w:val="2"/>
                <w:sz w:val="24"/>
                <w:szCs w:val="24"/>
                <w:highlight w:val="none"/>
                <w:lang w:val="en-US" w:eastAsia="zh-CN" w:bidi="ar-SA"/>
              </w:rPr>
              <w:t>《水泥制品制造行业系数手册》：</w:t>
            </w:r>
            <w:r>
              <w:rPr>
                <w:rFonts w:hint="eastAsia" w:ascii="Times New Roman" w:hAnsi="Times New Roman" w:eastAsia="宋体" w:cs="Times New Roman"/>
                <w:color w:val="auto"/>
                <w:kern w:val="2"/>
                <w:sz w:val="24"/>
                <w:szCs w:val="24"/>
                <w:highlight w:val="yellow"/>
                <w:lang w:val="en-US" w:eastAsia="zh-CN" w:bidi="ar-SA"/>
              </w:rPr>
              <w:t xml:space="preserve">物料输送过程产污系数：颗粒物 </w:t>
            </w:r>
            <w:r>
              <w:rPr>
                <w:rFonts w:hint="default" w:ascii="Times New Roman" w:hAnsi="Times New Roman" w:eastAsia="宋体" w:cs="Times New Roman"/>
                <w:color w:val="auto"/>
                <w:kern w:val="2"/>
                <w:sz w:val="24"/>
                <w:szCs w:val="24"/>
                <w:highlight w:val="yellow"/>
                <w:lang w:val="en-US" w:eastAsia="zh-CN" w:bidi="ar-SA"/>
              </w:rPr>
              <w:t>0.19 kg/t-</w:t>
            </w:r>
            <w:r>
              <w:rPr>
                <w:rFonts w:hint="eastAsia" w:cs="Times New Roman"/>
                <w:color w:val="auto"/>
                <w:kern w:val="2"/>
                <w:sz w:val="24"/>
                <w:szCs w:val="24"/>
                <w:highlight w:val="yellow"/>
                <w:lang w:val="en-US" w:eastAsia="zh-CN" w:bidi="ar-SA"/>
              </w:rPr>
              <w:t>产品</w:t>
            </w:r>
            <w:r>
              <w:rPr>
                <w:rFonts w:hint="eastAsia" w:ascii="Times New Roman" w:hAnsi="Times New Roman" w:eastAsia="宋体" w:cs="Times New Roman"/>
                <w:color w:val="auto"/>
                <w:kern w:val="2"/>
                <w:sz w:val="24"/>
                <w:szCs w:val="24"/>
                <w:highlight w:val="yellow"/>
                <w:lang w:val="en-US" w:eastAsia="zh-CN" w:bidi="ar-SA"/>
              </w:rPr>
              <w:t>，</w:t>
            </w:r>
            <w:r>
              <w:rPr>
                <w:rFonts w:hint="eastAsia" w:cs="Times New Roman"/>
                <w:color w:val="auto"/>
                <w:kern w:val="2"/>
                <w:sz w:val="24"/>
                <w:szCs w:val="24"/>
                <w:highlight w:val="yellow"/>
                <w:lang w:val="en-US" w:eastAsia="zh-CN" w:bidi="ar-SA"/>
              </w:rPr>
              <w:t>本项目年产能水泥预制件7万吨，</w:t>
            </w:r>
            <w:r>
              <w:rPr>
                <w:rFonts w:hint="eastAsia" w:ascii="Times New Roman" w:hAnsi="Times New Roman" w:eastAsia="宋体" w:cs="Times New Roman"/>
                <w:color w:val="auto"/>
                <w:kern w:val="2"/>
                <w:sz w:val="24"/>
                <w:szCs w:val="24"/>
                <w:highlight w:val="yellow"/>
                <w:lang w:val="en-US" w:eastAsia="zh-CN" w:bidi="ar-SA"/>
              </w:rPr>
              <w:t>则上料颗粒物产生量为</w:t>
            </w:r>
            <w:r>
              <w:rPr>
                <w:rFonts w:hint="eastAsia" w:cs="Times New Roman"/>
                <w:color w:val="auto"/>
                <w:kern w:val="2"/>
                <w:sz w:val="24"/>
                <w:szCs w:val="24"/>
                <w:highlight w:val="yellow"/>
                <w:lang w:val="en-US" w:eastAsia="zh-CN" w:bidi="ar-SA"/>
              </w:rPr>
              <w:t>13.3</w:t>
            </w:r>
            <w:r>
              <w:rPr>
                <w:rFonts w:hint="default" w:ascii="Times New Roman" w:hAnsi="Times New Roman" w:eastAsia="宋体" w:cs="Times New Roman"/>
                <w:color w:val="auto"/>
                <w:kern w:val="2"/>
                <w:sz w:val="24"/>
                <w:szCs w:val="24"/>
                <w:highlight w:val="yellow"/>
                <w:lang w:val="en-US" w:eastAsia="zh-CN" w:bidi="ar-SA"/>
              </w:rPr>
              <w:t>t/a</w:t>
            </w:r>
            <w:r>
              <w:rPr>
                <w:rFonts w:hint="eastAsia" w:cs="Times New Roman"/>
                <w:color w:val="auto"/>
                <w:kern w:val="2"/>
                <w:sz w:val="24"/>
                <w:szCs w:val="24"/>
                <w:highlight w:val="yellow"/>
                <w:lang w:val="en-US" w:eastAsia="zh-CN" w:bidi="ar-SA"/>
              </w:rPr>
              <w:t>（7.04kg/h），</w:t>
            </w:r>
            <w:r>
              <w:rPr>
                <w:rFonts w:hint="eastAsia" w:ascii="Times New Roman" w:hAnsi="Times New Roman" w:eastAsia="宋体" w:cs="Times New Roman"/>
                <w:color w:val="auto"/>
                <w:kern w:val="2"/>
                <w:sz w:val="24"/>
                <w:szCs w:val="24"/>
                <w:highlight w:val="yellow"/>
                <w:lang w:val="en-US" w:eastAsia="zh-CN" w:bidi="ar-SA"/>
              </w:rPr>
              <w:t>采取</w:t>
            </w:r>
            <w:r>
              <w:rPr>
                <w:rFonts w:hint="eastAsia" w:cs="Times New Roman"/>
                <w:color w:val="auto"/>
                <w:kern w:val="2"/>
                <w:sz w:val="24"/>
                <w:szCs w:val="24"/>
                <w:highlight w:val="yellow"/>
                <w:lang w:val="en-US" w:eastAsia="zh-CN" w:bidi="ar-SA"/>
              </w:rPr>
              <w:t>料堆防尘布苫盖，定时洒水抑尘，堆场四周设置防风抑尘网，</w:t>
            </w:r>
            <w:r>
              <w:rPr>
                <w:rFonts w:hint="eastAsia" w:ascii="Times New Roman" w:hAnsi="Times New Roman" w:eastAsia="宋体" w:cs="Times New Roman"/>
                <w:color w:val="auto"/>
                <w:kern w:val="2"/>
                <w:sz w:val="24"/>
                <w:szCs w:val="24"/>
                <w:highlight w:val="yellow"/>
                <w:lang w:val="en-US" w:eastAsia="zh-CN" w:bidi="ar-SA"/>
              </w:rPr>
              <w:t>经治理后降尘效果可达到</w:t>
            </w:r>
            <w:r>
              <w:rPr>
                <w:rFonts w:hint="eastAsia" w:cs="Times New Roman"/>
                <w:color w:val="auto"/>
                <w:kern w:val="2"/>
                <w:sz w:val="24"/>
                <w:szCs w:val="24"/>
                <w:highlight w:val="yellow"/>
                <w:lang w:val="en-US" w:eastAsia="zh-CN" w:bidi="ar-SA"/>
              </w:rPr>
              <w:t>85</w:t>
            </w:r>
            <w:r>
              <w:rPr>
                <w:rFonts w:hint="default" w:ascii="Times New Roman" w:hAnsi="Times New Roman" w:eastAsia="宋体" w:cs="Times New Roman"/>
                <w:color w:val="auto"/>
                <w:kern w:val="2"/>
                <w:sz w:val="24"/>
                <w:szCs w:val="24"/>
                <w:highlight w:val="yellow"/>
                <w:lang w:val="en-US" w:eastAsia="zh-CN" w:bidi="ar-SA"/>
              </w:rPr>
              <w:t>%</w:t>
            </w:r>
            <w:r>
              <w:rPr>
                <w:rFonts w:hint="eastAsia" w:ascii="Times New Roman" w:hAnsi="Times New Roman" w:eastAsia="宋体" w:cs="Times New Roman"/>
                <w:color w:val="auto"/>
                <w:kern w:val="2"/>
                <w:sz w:val="24"/>
                <w:szCs w:val="24"/>
                <w:highlight w:val="yellow"/>
                <w:lang w:val="en-US" w:eastAsia="zh-CN" w:bidi="ar-SA"/>
              </w:rPr>
              <w:t>，无组织排放。经计算</w:t>
            </w:r>
            <w:r>
              <w:rPr>
                <w:rFonts w:hint="eastAsia" w:cs="Times New Roman"/>
                <w:color w:val="auto"/>
                <w:kern w:val="2"/>
                <w:sz w:val="24"/>
                <w:szCs w:val="24"/>
                <w:highlight w:val="yellow"/>
                <w:lang w:val="en-US" w:eastAsia="zh-CN" w:bidi="ar-SA"/>
              </w:rPr>
              <w:t>上料颗粒物排放量为1.995t/a（1.06kg/h）</w:t>
            </w:r>
            <w:r>
              <w:rPr>
                <w:rFonts w:hint="eastAsia" w:ascii="Times New Roman" w:hAnsi="Times New Roman" w:eastAsia="宋体" w:cs="Times New Roman"/>
                <w:color w:val="auto"/>
                <w:kern w:val="2"/>
                <w:sz w:val="24"/>
                <w:szCs w:val="24"/>
                <w:highlight w:val="yellow"/>
                <w:lang w:val="en-US" w:eastAsia="zh-CN" w:bidi="ar-SA"/>
              </w:rPr>
              <w:t>。</w:t>
            </w:r>
          </w:p>
          <w:p w14:paraId="62728F83">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⑦钢筋加工废气</w:t>
            </w:r>
          </w:p>
          <w:p w14:paraId="4CDD0C07">
            <w:pPr>
              <w:spacing w:line="360" w:lineRule="auto"/>
              <w:ind w:firstLine="480" w:firstLineChars="200"/>
              <w:rPr>
                <w:rFonts w:hint="default"/>
                <w:highlight w:val="none"/>
                <w:lang w:val="en-US" w:eastAsia="zh-CN"/>
              </w:rPr>
            </w:pPr>
            <w:r>
              <w:rPr>
                <w:rFonts w:hint="eastAsia" w:ascii="Times New Roman" w:hAnsi="Times New Roman" w:eastAsia="宋体" w:cs="Times New Roman"/>
                <w:color w:val="auto"/>
                <w:kern w:val="2"/>
                <w:sz w:val="24"/>
                <w:szCs w:val="24"/>
                <w:highlight w:val="none"/>
                <w:lang w:val="en-US" w:eastAsia="zh-CN" w:bidi="ar-SA"/>
              </w:rPr>
              <w:t>本项目钢筋加工区采用钢筋切断机对钢筋进行简单加工，此过程会产生一定量的废气，参考同类钢结构加工企业，钢筋加工过程中废气产生量按</w:t>
            </w:r>
            <w:r>
              <w:rPr>
                <w:rFonts w:hint="default" w:ascii="Times New Roman" w:hAnsi="Times New Roman" w:eastAsia="宋体" w:cs="Times New Roman"/>
                <w:color w:val="auto"/>
                <w:kern w:val="2"/>
                <w:sz w:val="24"/>
                <w:szCs w:val="24"/>
                <w:highlight w:val="none"/>
                <w:lang w:val="en-US" w:eastAsia="zh-CN" w:bidi="ar-SA"/>
              </w:rPr>
              <w:t>0.01kg/t</w:t>
            </w:r>
            <w:r>
              <w:rPr>
                <w:rFonts w:hint="eastAsia" w:ascii="Times New Roman" w:hAnsi="Times New Roman" w:eastAsia="宋体" w:cs="Times New Roman"/>
                <w:color w:val="auto"/>
                <w:kern w:val="2"/>
                <w:sz w:val="24"/>
                <w:szCs w:val="24"/>
                <w:highlight w:val="none"/>
                <w:lang w:val="en-US" w:eastAsia="zh-CN" w:bidi="ar-SA"/>
              </w:rPr>
              <w:t>计，本项目年加工钢筋</w:t>
            </w:r>
            <w:r>
              <w:rPr>
                <w:rFonts w:hint="eastAsia" w:cs="Times New Roman"/>
                <w:color w:val="auto"/>
                <w:kern w:val="2"/>
                <w:sz w:val="24"/>
                <w:szCs w:val="24"/>
                <w:highlight w:val="none"/>
                <w:lang w:val="en-US" w:eastAsia="zh-CN" w:bidi="ar-SA"/>
              </w:rPr>
              <w:t>4660</w:t>
            </w:r>
            <w:r>
              <w:rPr>
                <w:rFonts w:hint="default" w:ascii="Times New Roman" w:hAnsi="Times New Roman" w:eastAsia="宋体" w:cs="Times New Roman"/>
                <w:color w:val="auto"/>
                <w:kern w:val="2"/>
                <w:sz w:val="24"/>
                <w:szCs w:val="24"/>
                <w:highlight w:val="none"/>
                <w:lang w:val="en-US" w:eastAsia="zh-CN" w:bidi="ar-SA"/>
              </w:rPr>
              <w:t>t</w:t>
            </w:r>
            <w:r>
              <w:rPr>
                <w:rFonts w:hint="eastAsia" w:ascii="Times New Roman" w:hAnsi="Times New Roman" w:eastAsia="宋体" w:cs="Times New Roman"/>
                <w:color w:val="auto"/>
                <w:kern w:val="2"/>
                <w:sz w:val="24"/>
                <w:szCs w:val="24"/>
                <w:highlight w:val="none"/>
                <w:lang w:val="en-US" w:eastAsia="zh-CN" w:bidi="ar-SA"/>
              </w:rPr>
              <w:t xml:space="preserve">，则钢筋加工过程中废气产生量为 </w:t>
            </w:r>
            <w:r>
              <w:rPr>
                <w:rFonts w:hint="default" w:ascii="Times New Roman" w:hAnsi="Times New Roman" w:eastAsia="宋体" w:cs="Times New Roman"/>
                <w:color w:val="auto"/>
                <w:kern w:val="2"/>
                <w:sz w:val="24"/>
                <w:szCs w:val="24"/>
                <w:highlight w:val="none"/>
                <w:lang w:val="en-US" w:eastAsia="zh-CN" w:bidi="ar-SA"/>
              </w:rPr>
              <w:t>0.</w:t>
            </w:r>
            <w:r>
              <w:rPr>
                <w:rFonts w:hint="eastAsia" w:cs="Times New Roman"/>
                <w:color w:val="auto"/>
                <w:kern w:val="2"/>
                <w:sz w:val="24"/>
                <w:szCs w:val="24"/>
                <w:highlight w:val="none"/>
                <w:lang w:val="en-US" w:eastAsia="zh-CN" w:bidi="ar-SA"/>
              </w:rPr>
              <w:t>466</w:t>
            </w:r>
            <w:r>
              <w:rPr>
                <w:rFonts w:hint="default"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eastAsia="宋体" w:cs="Times New Roman"/>
                <w:color w:val="auto"/>
                <w:kern w:val="2"/>
                <w:sz w:val="24"/>
                <w:szCs w:val="24"/>
                <w:highlight w:val="none"/>
                <w:lang w:val="en-US" w:eastAsia="zh-CN" w:bidi="ar-SA"/>
              </w:rPr>
              <w:t>（0.</w:t>
            </w:r>
            <w:r>
              <w:rPr>
                <w:rFonts w:hint="eastAsia" w:cs="Times New Roman"/>
                <w:color w:val="auto"/>
                <w:kern w:val="2"/>
                <w:sz w:val="24"/>
                <w:szCs w:val="24"/>
                <w:highlight w:val="none"/>
                <w:lang w:val="en-US" w:eastAsia="zh-CN" w:bidi="ar-SA"/>
              </w:rPr>
              <w:t>247</w:t>
            </w:r>
            <w:r>
              <w:rPr>
                <w:rFonts w:hint="eastAsia" w:ascii="Times New Roman" w:hAnsi="Times New Roman" w:eastAsia="宋体" w:cs="Times New Roman"/>
                <w:color w:val="auto"/>
                <w:kern w:val="2"/>
                <w:sz w:val="24"/>
                <w:szCs w:val="24"/>
                <w:highlight w:val="none"/>
                <w:lang w:val="en-US" w:eastAsia="zh-CN" w:bidi="ar-SA"/>
              </w:rPr>
              <w:t>kg/h），主要为金属颗粒物，钢筋加工在全封闭式生产车间内进行，颗粒物在车间内自行沉降，逸散到外面环境中的很少，经厂房阻挡，可抑制</w:t>
            </w:r>
            <w:r>
              <w:rPr>
                <w:rFonts w:hint="default" w:ascii="Times New Roman" w:hAnsi="Times New Roman" w:eastAsia="宋体" w:cs="Times New Roman"/>
                <w:color w:val="auto"/>
                <w:kern w:val="2"/>
                <w:sz w:val="24"/>
                <w:szCs w:val="24"/>
                <w:highlight w:val="none"/>
                <w:lang w:val="en-US" w:eastAsia="zh-CN" w:bidi="ar-SA"/>
              </w:rPr>
              <w:t>85%</w:t>
            </w:r>
            <w:r>
              <w:rPr>
                <w:rFonts w:hint="eastAsia" w:ascii="Times New Roman" w:hAnsi="Times New Roman" w:eastAsia="宋体" w:cs="Times New Roman"/>
                <w:color w:val="auto"/>
                <w:kern w:val="2"/>
                <w:sz w:val="24"/>
                <w:szCs w:val="24"/>
                <w:highlight w:val="none"/>
                <w:lang w:val="en-US" w:eastAsia="zh-CN" w:bidi="ar-SA"/>
              </w:rPr>
              <w:t>的废气外散，经采取措施后钢筋加工废气排放量为</w:t>
            </w:r>
            <w:r>
              <w:rPr>
                <w:rFonts w:hint="default" w:ascii="Times New Roman" w:hAnsi="Times New Roman" w:eastAsia="宋体" w:cs="Times New Roman"/>
                <w:color w:val="auto"/>
                <w:kern w:val="2"/>
                <w:sz w:val="24"/>
                <w:szCs w:val="24"/>
                <w:highlight w:val="none"/>
                <w:lang w:val="en-US" w:eastAsia="zh-CN" w:bidi="ar-SA"/>
              </w:rPr>
              <w:t>0.0</w:t>
            </w:r>
            <w:r>
              <w:rPr>
                <w:rFonts w:hint="eastAsia" w:cs="Times New Roman"/>
                <w:color w:val="auto"/>
                <w:kern w:val="2"/>
                <w:sz w:val="24"/>
                <w:szCs w:val="24"/>
                <w:highlight w:val="none"/>
                <w:lang w:val="en-US" w:eastAsia="zh-CN" w:bidi="ar-SA"/>
              </w:rPr>
              <w:t>699</w:t>
            </w:r>
            <w:r>
              <w:rPr>
                <w:rFonts w:hint="default"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eastAsia="宋体" w:cs="Times New Roman"/>
                <w:color w:val="auto"/>
                <w:kern w:val="2"/>
                <w:sz w:val="24"/>
                <w:szCs w:val="24"/>
                <w:highlight w:val="none"/>
                <w:lang w:val="en-US" w:eastAsia="zh-CN" w:bidi="ar-SA"/>
              </w:rPr>
              <w:t>（0.0</w:t>
            </w:r>
            <w:r>
              <w:rPr>
                <w:rFonts w:hint="eastAsia" w:cs="Times New Roman"/>
                <w:color w:val="auto"/>
                <w:kern w:val="2"/>
                <w:sz w:val="24"/>
                <w:szCs w:val="24"/>
                <w:highlight w:val="none"/>
                <w:lang w:val="en-US" w:eastAsia="zh-CN" w:bidi="ar-SA"/>
              </w:rPr>
              <w:t>37</w:t>
            </w:r>
            <w:r>
              <w:rPr>
                <w:rFonts w:hint="eastAsia" w:ascii="Times New Roman" w:hAnsi="Times New Roman" w:eastAsia="宋体" w:cs="Times New Roman"/>
                <w:color w:val="auto"/>
                <w:kern w:val="2"/>
                <w:sz w:val="24"/>
                <w:szCs w:val="24"/>
                <w:highlight w:val="none"/>
                <w:lang w:val="en-US" w:eastAsia="zh-CN" w:bidi="ar-SA"/>
              </w:rPr>
              <w:t>kg/h）。</w:t>
            </w:r>
          </w:p>
          <w:p w14:paraId="6F9E3B4D">
            <w:pPr>
              <w:adjustRightInd w:val="0"/>
              <w:snapToGrid w:val="0"/>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w:t>
            </w:r>
            <w:r>
              <w:rPr>
                <w:rFonts w:hint="eastAsia" w:cs="Times New Roman"/>
                <w:bCs/>
                <w:color w:val="auto"/>
                <w:sz w:val="24"/>
                <w:szCs w:val="24"/>
                <w:highlight w:val="none"/>
                <w:lang w:val="en-US" w:eastAsia="zh-CN"/>
              </w:rPr>
              <w:t>2</w:t>
            </w:r>
            <w:r>
              <w:rPr>
                <w:rFonts w:hint="default" w:ascii="Times New Roman" w:hAnsi="Times New Roman" w:cs="Times New Roman"/>
                <w:bCs/>
                <w:color w:val="auto"/>
                <w:sz w:val="24"/>
                <w:szCs w:val="24"/>
                <w:highlight w:val="none"/>
              </w:rPr>
              <w:t>）本项目废气产污节点及污染治理设施详情见表4-1。</w:t>
            </w:r>
          </w:p>
          <w:p w14:paraId="58B7D6BE">
            <w:pPr>
              <w:adjustRightInd w:val="0"/>
              <w:snapToGrid w:val="0"/>
              <w:jc w:val="center"/>
              <w:rPr>
                <w:rFonts w:hint="default" w:ascii="Times New Roman" w:hAnsi="Times New Roman" w:cs="Times New Roman"/>
                <w:b/>
                <w:color w:val="auto"/>
                <w:sz w:val="24"/>
                <w:szCs w:val="24"/>
                <w:highlight w:val="yellow"/>
              </w:rPr>
            </w:pPr>
            <w:r>
              <w:rPr>
                <w:rFonts w:hint="default" w:ascii="Times New Roman" w:hAnsi="Times New Roman" w:cs="Times New Roman"/>
                <w:b/>
                <w:color w:val="auto"/>
                <w:sz w:val="24"/>
                <w:szCs w:val="24"/>
                <w:highlight w:val="yellow"/>
              </w:rPr>
              <w:t>表4-</w:t>
            </w:r>
            <w:r>
              <w:rPr>
                <w:rFonts w:hint="eastAsia" w:cs="Times New Roman"/>
                <w:b/>
                <w:color w:val="auto"/>
                <w:sz w:val="24"/>
                <w:szCs w:val="24"/>
                <w:highlight w:val="yellow"/>
                <w:lang w:val="en-US" w:eastAsia="zh-CN"/>
              </w:rPr>
              <w:t>1</w:t>
            </w:r>
            <w:r>
              <w:rPr>
                <w:rFonts w:hint="default" w:ascii="Times New Roman" w:hAnsi="Times New Roman" w:cs="Times New Roman"/>
                <w:b/>
                <w:color w:val="auto"/>
                <w:sz w:val="24"/>
                <w:szCs w:val="24"/>
                <w:highlight w:val="yellow"/>
              </w:rPr>
              <w:t xml:space="preserve">  废气源强核算表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3"/>
              <w:gridCol w:w="572"/>
              <w:gridCol w:w="491"/>
              <w:gridCol w:w="655"/>
              <w:gridCol w:w="859"/>
              <w:gridCol w:w="613"/>
              <w:gridCol w:w="641"/>
              <w:gridCol w:w="546"/>
              <w:gridCol w:w="463"/>
              <w:gridCol w:w="729"/>
              <w:gridCol w:w="579"/>
              <w:gridCol w:w="689"/>
              <w:gridCol w:w="436"/>
            </w:tblGrid>
            <w:tr w14:paraId="428EA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3" w:type="pct"/>
                  <w:vMerge w:val="restart"/>
                  <w:tcBorders>
                    <w:tl2br w:val="nil"/>
                    <w:tr2bl w:val="nil"/>
                  </w:tcBorders>
                  <w:noWrap w:val="0"/>
                  <w:vAlign w:val="center"/>
                </w:tcPr>
                <w:p w14:paraId="10B17AB2">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排放源</w:t>
                  </w:r>
                </w:p>
              </w:tc>
              <w:tc>
                <w:tcPr>
                  <w:tcW w:w="359" w:type="pct"/>
                  <w:vMerge w:val="restart"/>
                  <w:tcBorders>
                    <w:tl2br w:val="nil"/>
                    <w:tr2bl w:val="nil"/>
                  </w:tcBorders>
                  <w:noWrap w:val="0"/>
                  <w:vAlign w:val="center"/>
                </w:tcPr>
                <w:p w14:paraId="7804D9D7">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污染物</w:t>
                  </w:r>
                </w:p>
              </w:tc>
              <w:tc>
                <w:tcPr>
                  <w:tcW w:w="1647" w:type="pct"/>
                  <w:gridSpan w:val="4"/>
                  <w:tcBorders>
                    <w:tl2br w:val="nil"/>
                    <w:tr2bl w:val="nil"/>
                  </w:tcBorders>
                  <w:noWrap w:val="0"/>
                  <w:vAlign w:val="center"/>
                </w:tcPr>
                <w:p w14:paraId="702E7B4A">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污染物产生</w:t>
                  </w:r>
                </w:p>
              </w:tc>
              <w:tc>
                <w:tcPr>
                  <w:tcW w:w="746" w:type="pct"/>
                  <w:gridSpan w:val="2"/>
                  <w:tcBorders>
                    <w:tl2br w:val="nil"/>
                    <w:tr2bl w:val="nil"/>
                  </w:tcBorders>
                  <w:noWrap w:val="0"/>
                  <w:vAlign w:val="center"/>
                </w:tcPr>
                <w:p w14:paraId="33AF9D9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治理措施</w:t>
                  </w:r>
                </w:p>
              </w:tc>
              <w:tc>
                <w:tcPr>
                  <w:tcW w:w="1547" w:type="pct"/>
                  <w:gridSpan w:val="4"/>
                  <w:tcBorders>
                    <w:tl2br w:val="nil"/>
                    <w:tr2bl w:val="nil"/>
                  </w:tcBorders>
                  <w:noWrap w:val="0"/>
                  <w:vAlign w:val="center"/>
                </w:tcPr>
                <w:p w14:paraId="0C665677">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污染物排放</w:t>
                  </w:r>
                </w:p>
              </w:tc>
              <w:tc>
                <w:tcPr>
                  <w:tcW w:w="274" w:type="pct"/>
                  <w:vMerge w:val="restart"/>
                  <w:tcBorders>
                    <w:tl2br w:val="nil"/>
                    <w:tr2bl w:val="nil"/>
                  </w:tcBorders>
                  <w:noWrap w:val="0"/>
                  <w:vAlign w:val="center"/>
                </w:tcPr>
                <w:p w14:paraId="2E911B23">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排放时间/h</w:t>
                  </w:r>
                </w:p>
              </w:tc>
            </w:tr>
            <w:tr w14:paraId="0D8820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3" w:type="pct"/>
                  <w:vMerge w:val="continue"/>
                  <w:tcBorders>
                    <w:tl2br w:val="nil"/>
                    <w:tr2bl w:val="nil"/>
                  </w:tcBorders>
                  <w:noWrap w:val="0"/>
                  <w:vAlign w:val="center"/>
                </w:tcPr>
                <w:p w14:paraId="42636AC8">
                  <w:pPr>
                    <w:jc w:val="center"/>
                    <w:rPr>
                      <w:rFonts w:hint="default" w:ascii="Times New Roman" w:hAnsi="Times New Roman" w:cs="Times New Roman"/>
                      <w:color w:val="auto"/>
                      <w:sz w:val="21"/>
                      <w:szCs w:val="21"/>
                      <w:highlight w:val="none"/>
                    </w:rPr>
                  </w:pPr>
                </w:p>
              </w:tc>
              <w:tc>
                <w:tcPr>
                  <w:tcW w:w="359" w:type="pct"/>
                  <w:vMerge w:val="continue"/>
                  <w:tcBorders>
                    <w:tl2br w:val="nil"/>
                    <w:tr2bl w:val="nil"/>
                  </w:tcBorders>
                  <w:noWrap w:val="0"/>
                  <w:vAlign w:val="center"/>
                </w:tcPr>
                <w:p w14:paraId="1FE6F8E9">
                  <w:pPr>
                    <w:jc w:val="center"/>
                    <w:rPr>
                      <w:rFonts w:hint="default" w:ascii="Times New Roman" w:hAnsi="Times New Roman" w:cs="Times New Roman"/>
                      <w:color w:val="auto"/>
                      <w:sz w:val="21"/>
                      <w:szCs w:val="21"/>
                      <w:highlight w:val="none"/>
                    </w:rPr>
                  </w:pPr>
                </w:p>
              </w:tc>
              <w:tc>
                <w:tcPr>
                  <w:tcW w:w="308" w:type="pct"/>
                  <w:tcBorders>
                    <w:tl2br w:val="nil"/>
                    <w:tr2bl w:val="nil"/>
                  </w:tcBorders>
                  <w:noWrap w:val="0"/>
                  <w:vAlign w:val="center"/>
                </w:tcPr>
                <w:p w14:paraId="43E04FCE">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核算方法</w:t>
                  </w:r>
                </w:p>
              </w:tc>
              <w:tc>
                <w:tcPr>
                  <w:tcW w:w="412" w:type="pct"/>
                  <w:tcBorders>
                    <w:tl2br w:val="nil"/>
                    <w:tr2bl w:val="nil"/>
                  </w:tcBorders>
                  <w:noWrap w:val="0"/>
                  <w:vAlign w:val="center"/>
                </w:tcPr>
                <w:p w14:paraId="16B37266">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废气量</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p>
              </w:tc>
              <w:tc>
                <w:tcPr>
                  <w:tcW w:w="540" w:type="pct"/>
                  <w:tcBorders>
                    <w:tl2br w:val="nil"/>
                    <w:tr2bl w:val="nil"/>
                  </w:tcBorders>
                  <w:noWrap w:val="0"/>
                  <w:vAlign w:val="center"/>
                </w:tcPr>
                <w:p w14:paraId="22F8BB2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产生浓度mg/m</w:t>
                  </w:r>
                  <w:r>
                    <w:rPr>
                      <w:rFonts w:hint="default" w:ascii="Times New Roman" w:hAnsi="Times New Roman" w:cs="Times New Roman"/>
                      <w:color w:val="auto"/>
                      <w:kern w:val="0"/>
                      <w:sz w:val="21"/>
                      <w:szCs w:val="21"/>
                      <w:highlight w:val="none"/>
                      <w:vertAlign w:val="superscript"/>
                    </w:rPr>
                    <w:t>3</w:t>
                  </w:r>
                </w:p>
              </w:tc>
              <w:tc>
                <w:tcPr>
                  <w:tcW w:w="385" w:type="pct"/>
                  <w:tcBorders>
                    <w:tl2br w:val="nil"/>
                    <w:tr2bl w:val="nil"/>
                  </w:tcBorders>
                  <w:noWrap w:val="0"/>
                  <w:vAlign w:val="center"/>
                </w:tcPr>
                <w:p w14:paraId="32FDB8E2">
                  <w:pPr>
                    <w:jc w:val="center"/>
                    <w:rPr>
                      <w:rFonts w:hint="default" w:ascii="Times New Roman" w:hAnsi="Times New Roman" w:cs="Times New Roman"/>
                      <w:color w:val="auto"/>
                      <w:kern w:val="0"/>
                      <w:sz w:val="21"/>
                      <w:szCs w:val="21"/>
                      <w:highlight w:val="none"/>
                    </w:rPr>
                  </w:pPr>
                  <w:r>
                    <w:rPr>
                      <w:rFonts w:hint="eastAsia" w:cs="Times New Roman"/>
                      <w:color w:val="auto"/>
                      <w:kern w:val="0"/>
                      <w:sz w:val="21"/>
                      <w:szCs w:val="21"/>
                      <w:highlight w:val="none"/>
                      <w:lang w:val="en-US" w:eastAsia="zh-CN"/>
                    </w:rPr>
                    <w:t>产生量</w:t>
                  </w:r>
                  <w:r>
                    <w:rPr>
                      <w:rFonts w:hint="default" w:ascii="Times New Roman" w:hAnsi="Times New Roman" w:cs="Times New Roman"/>
                      <w:color w:val="auto"/>
                      <w:kern w:val="0"/>
                      <w:sz w:val="21"/>
                      <w:szCs w:val="21"/>
                      <w:highlight w:val="none"/>
                    </w:rPr>
                    <w:t>kg/h</w:t>
                  </w:r>
                </w:p>
              </w:tc>
              <w:tc>
                <w:tcPr>
                  <w:tcW w:w="403" w:type="pct"/>
                  <w:tcBorders>
                    <w:tl2br w:val="nil"/>
                    <w:tr2bl w:val="nil"/>
                  </w:tcBorders>
                  <w:noWrap w:val="0"/>
                  <w:vAlign w:val="center"/>
                </w:tcPr>
                <w:p w14:paraId="63E7C2B8">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工艺</w:t>
                  </w:r>
                </w:p>
              </w:tc>
              <w:tc>
                <w:tcPr>
                  <w:tcW w:w="343" w:type="pct"/>
                  <w:tcBorders>
                    <w:tl2br w:val="nil"/>
                    <w:tr2bl w:val="nil"/>
                  </w:tcBorders>
                  <w:noWrap w:val="0"/>
                  <w:vAlign w:val="center"/>
                </w:tcPr>
                <w:p w14:paraId="0FA197D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效率%</w:t>
                  </w:r>
                </w:p>
              </w:tc>
              <w:tc>
                <w:tcPr>
                  <w:tcW w:w="291" w:type="pct"/>
                  <w:tcBorders>
                    <w:tl2br w:val="nil"/>
                    <w:tr2bl w:val="nil"/>
                  </w:tcBorders>
                  <w:noWrap w:val="0"/>
                  <w:vAlign w:val="center"/>
                </w:tcPr>
                <w:p w14:paraId="2907A6D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核算方法</w:t>
                  </w:r>
                </w:p>
              </w:tc>
              <w:tc>
                <w:tcPr>
                  <w:tcW w:w="458" w:type="pct"/>
                  <w:tcBorders>
                    <w:tl2br w:val="nil"/>
                    <w:tr2bl w:val="nil"/>
                  </w:tcBorders>
                  <w:noWrap w:val="0"/>
                  <w:vAlign w:val="center"/>
                </w:tcPr>
                <w:p w14:paraId="665D9E29">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废气量</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p>
              </w:tc>
              <w:tc>
                <w:tcPr>
                  <w:tcW w:w="364" w:type="pct"/>
                  <w:tcBorders>
                    <w:tl2br w:val="nil"/>
                    <w:tr2bl w:val="nil"/>
                  </w:tcBorders>
                  <w:noWrap w:val="0"/>
                  <w:vAlign w:val="center"/>
                </w:tcPr>
                <w:p w14:paraId="0FAF9815">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w:t>
                  </w:r>
                </w:p>
                <w:p w14:paraId="54B475A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浓度mg/m</w:t>
                  </w:r>
                  <w:r>
                    <w:rPr>
                      <w:rFonts w:hint="default" w:ascii="Times New Roman" w:hAnsi="Times New Roman" w:cs="Times New Roman"/>
                      <w:color w:val="auto"/>
                      <w:kern w:val="0"/>
                      <w:sz w:val="21"/>
                      <w:szCs w:val="21"/>
                      <w:highlight w:val="none"/>
                      <w:vertAlign w:val="superscript"/>
                    </w:rPr>
                    <w:t>3</w:t>
                  </w:r>
                </w:p>
              </w:tc>
              <w:tc>
                <w:tcPr>
                  <w:tcW w:w="433" w:type="pct"/>
                  <w:tcBorders>
                    <w:tl2br w:val="nil"/>
                    <w:tr2bl w:val="nil"/>
                  </w:tcBorders>
                  <w:noWrap w:val="0"/>
                  <w:vAlign w:val="center"/>
                </w:tcPr>
                <w:p w14:paraId="401A5ED6">
                  <w:pPr>
                    <w:jc w:val="center"/>
                    <w:rPr>
                      <w:rFonts w:hint="default" w:ascii="Times New Roman" w:hAnsi="Times New Roman" w:cs="Times New Roman"/>
                      <w:color w:val="auto"/>
                      <w:kern w:val="0"/>
                      <w:sz w:val="21"/>
                      <w:szCs w:val="21"/>
                      <w:highlight w:val="none"/>
                    </w:rPr>
                  </w:pPr>
                  <w:r>
                    <w:rPr>
                      <w:rFonts w:hint="eastAsia" w:cs="Times New Roman"/>
                      <w:color w:val="auto"/>
                      <w:kern w:val="0"/>
                      <w:sz w:val="21"/>
                      <w:szCs w:val="21"/>
                      <w:highlight w:val="none"/>
                      <w:lang w:val="en-US" w:eastAsia="zh-CN"/>
                    </w:rPr>
                    <w:t>排放量</w:t>
                  </w:r>
                  <w:r>
                    <w:rPr>
                      <w:rFonts w:hint="default" w:ascii="Times New Roman" w:hAnsi="Times New Roman" w:cs="Times New Roman"/>
                      <w:color w:val="auto"/>
                      <w:kern w:val="0"/>
                      <w:sz w:val="21"/>
                      <w:szCs w:val="21"/>
                      <w:highlight w:val="none"/>
                    </w:rPr>
                    <w:t>kg/h</w:t>
                  </w:r>
                </w:p>
              </w:tc>
              <w:tc>
                <w:tcPr>
                  <w:tcW w:w="274" w:type="pct"/>
                  <w:vMerge w:val="continue"/>
                  <w:tcBorders>
                    <w:tl2br w:val="nil"/>
                    <w:tr2bl w:val="nil"/>
                  </w:tcBorders>
                  <w:noWrap w:val="0"/>
                  <w:vAlign w:val="center"/>
                </w:tcPr>
                <w:p w14:paraId="2A318CB0">
                  <w:pPr>
                    <w:jc w:val="center"/>
                    <w:rPr>
                      <w:rFonts w:hint="default" w:ascii="Times New Roman" w:hAnsi="Times New Roman" w:cs="Times New Roman"/>
                      <w:color w:val="auto"/>
                      <w:kern w:val="0"/>
                      <w:sz w:val="21"/>
                      <w:szCs w:val="21"/>
                      <w:highlight w:val="none"/>
                    </w:rPr>
                  </w:pPr>
                </w:p>
              </w:tc>
            </w:tr>
            <w:tr w14:paraId="3BB212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3" w:type="pct"/>
                  <w:vMerge w:val="restart"/>
                  <w:tcBorders>
                    <w:tl2br w:val="nil"/>
                    <w:tr2bl w:val="nil"/>
                  </w:tcBorders>
                  <w:noWrap w:val="0"/>
                  <w:vAlign w:val="center"/>
                </w:tcPr>
                <w:p w14:paraId="6301FB09">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蒸汽发生器</w:t>
                  </w:r>
                </w:p>
              </w:tc>
              <w:tc>
                <w:tcPr>
                  <w:tcW w:w="359" w:type="pct"/>
                  <w:tcBorders>
                    <w:tl2br w:val="nil"/>
                    <w:tr2bl w:val="nil"/>
                  </w:tcBorders>
                  <w:noWrap w:val="0"/>
                  <w:vAlign w:val="center"/>
                </w:tcPr>
                <w:p w14:paraId="135B7196">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308" w:type="pct"/>
                  <w:vMerge w:val="restart"/>
                  <w:tcBorders>
                    <w:tl2br w:val="nil"/>
                    <w:tr2bl w:val="nil"/>
                  </w:tcBorders>
                  <w:noWrap w:val="0"/>
                  <w:vAlign w:val="center"/>
                </w:tcPr>
                <w:p w14:paraId="37316C09">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物料衡算法</w:t>
                  </w:r>
                </w:p>
              </w:tc>
              <w:tc>
                <w:tcPr>
                  <w:tcW w:w="412" w:type="pct"/>
                  <w:vMerge w:val="restart"/>
                  <w:tcBorders>
                    <w:tl2br w:val="nil"/>
                    <w:tr2bl w:val="nil"/>
                  </w:tcBorders>
                  <w:noWrap w:val="0"/>
                  <w:vAlign w:val="center"/>
                </w:tcPr>
                <w:p w14:paraId="44C80866">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3552.8</w:t>
                  </w:r>
                </w:p>
              </w:tc>
              <w:tc>
                <w:tcPr>
                  <w:tcW w:w="540" w:type="pct"/>
                  <w:tcBorders>
                    <w:tl2br w:val="nil"/>
                    <w:tr2bl w:val="nil"/>
                  </w:tcBorders>
                  <w:noWrap w:val="0"/>
                  <w:vAlign w:val="center"/>
                </w:tcPr>
                <w:p w14:paraId="4757B858">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10790</w:t>
                  </w:r>
                </w:p>
              </w:tc>
              <w:tc>
                <w:tcPr>
                  <w:tcW w:w="385" w:type="pct"/>
                  <w:tcBorders>
                    <w:tl2br w:val="nil"/>
                    <w:tr2bl w:val="nil"/>
                  </w:tcBorders>
                  <w:noWrap w:val="0"/>
                  <w:vAlign w:val="center"/>
                </w:tcPr>
                <w:p w14:paraId="19FD4734">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38.33</w:t>
                  </w:r>
                </w:p>
              </w:tc>
              <w:tc>
                <w:tcPr>
                  <w:tcW w:w="403" w:type="pct"/>
                  <w:vMerge w:val="restart"/>
                  <w:tcBorders>
                    <w:tl2br w:val="nil"/>
                    <w:tr2bl w:val="nil"/>
                  </w:tcBorders>
                  <w:noWrap w:val="0"/>
                  <w:vAlign w:val="center"/>
                </w:tcPr>
                <w:p w14:paraId="24A8FF2A">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低氮燃烧器+旋风除尘+布袋除尘器+30m高烟囱</w:t>
                  </w:r>
                </w:p>
              </w:tc>
              <w:tc>
                <w:tcPr>
                  <w:tcW w:w="343" w:type="pct"/>
                  <w:tcBorders>
                    <w:tl2br w:val="nil"/>
                    <w:tr2bl w:val="nil"/>
                  </w:tcBorders>
                  <w:noWrap w:val="0"/>
                  <w:vAlign w:val="center"/>
                </w:tcPr>
                <w:p w14:paraId="5930A65A">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99.7</w:t>
                  </w:r>
                </w:p>
              </w:tc>
              <w:tc>
                <w:tcPr>
                  <w:tcW w:w="291" w:type="pct"/>
                  <w:vMerge w:val="restart"/>
                  <w:tcBorders>
                    <w:tl2br w:val="nil"/>
                    <w:tr2bl w:val="nil"/>
                  </w:tcBorders>
                  <w:noWrap w:val="0"/>
                  <w:vAlign w:val="center"/>
                </w:tcPr>
                <w:p w14:paraId="169ED32B">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物料衡算法</w:t>
                  </w:r>
                </w:p>
              </w:tc>
              <w:tc>
                <w:tcPr>
                  <w:tcW w:w="458" w:type="pct"/>
                  <w:vMerge w:val="restart"/>
                  <w:tcBorders>
                    <w:tl2br w:val="nil"/>
                    <w:tr2bl w:val="nil"/>
                  </w:tcBorders>
                  <w:noWrap w:val="0"/>
                  <w:vAlign w:val="center"/>
                </w:tcPr>
                <w:p w14:paraId="692E434E">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3552.8</w:t>
                  </w:r>
                </w:p>
              </w:tc>
              <w:tc>
                <w:tcPr>
                  <w:tcW w:w="364" w:type="pct"/>
                  <w:tcBorders>
                    <w:tl2br w:val="nil"/>
                    <w:tr2bl w:val="nil"/>
                  </w:tcBorders>
                  <w:noWrap w:val="0"/>
                  <w:vAlign w:val="center"/>
                </w:tcPr>
                <w:p w14:paraId="4482C416">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32.37</w:t>
                  </w:r>
                </w:p>
              </w:tc>
              <w:tc>
                <w:tcPr>
                  <w:tcW w:w="433" w:type="pct"/>
                  <w:tcBorders>
                    <w:tl2br w:val="nil"/>
                    <w:tr2bl w:val="nil"/>
                  </w:tcBorders>
                  <w:noWrap w:val="0"/>
                  <w:vAlign w:val="center"/>
                </w:tcPr>
                <w:p w14:paraId="425BF9D7">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0.115</w:t>
                  </w:r>
                </w:p>
              </w:tc>
              <w:tc>
                <w:tcPr>
                  <w:tcW w:w="274" w:type="pct"/>
                  <w:vMerge w:val="restart"/>
                  <w:tcBorders>
                    <w:tl2br w:val="nil"/>
                    <w:tr2bl w:val="nil"/>
                  </w:tcBorders>
                  <w:noWrap w:val="0"/>
                  <w:vAlign w:val="center"/>
                </w:tcPr>
                <w:p w14:paraId="1D01D0D2">
                  <w:pPr>
                    <w:jc w:val="both"/>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1890</w:t>
                  </w:r>
                </w:p>
              </w:tc>
            </w:tr>
            <w:tr w14:paraId="59FE77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3" w:type="pct"/>
                  <w:vMerge w:val="continue"/>
                  <w:tcBorders>
                    <w:tl2br w:val="nil"/>
                    <w:tr2bl w:val="nil"/>
                  </w:tcBorders>
                  <w:noWrap w:val="0"/>
                  <w:vAlign w:val="center"/>
                </w:tcPr>
                <w:p w14:paraId="00F2E086">
                  <w:pPr>
                    <w:jc w:val="center"/>
                    <w:rPr>
                      <w:rFonts w:hint="default" w:ascii="Times New Roman" w:hAnsi="Times New Roman" w:cs="Times New Roman"/>
                      <w:color w:val="auto"/>
                      <w:sz w:val="21"/>
                      <w:szCs w:val="21"/>
                      <w:highlight w:val="none"/>
                    </w:rPr>
                  </w:pPr>
                </w:p>
              </w:tc>
              <w:tc>
                <w:tcPr>
                  <w:tcW w:w="359" w:type="pct"/>
                  <w:tcBorders>
                    <w:tl2br w:val="nil"/>
                    <w:tr2bl w:val="nil"/>
                  </w:tcBorders>
                  <w:noWrap w:val="0"/>
                  <w:vAlign w:val="center"/>
                </w:tcPr>
                <w:p w14:paraId="5174595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308" w:type="pct"/>
                  <w:vMerge w:val="continue"/>
                  <w:tcBorders>
                    <w:tl2br w:val="nil"/>
                    <w:tr2bl w:val="nil"/>
                  </w:tcBorders>
                  <w:noWrap w:val="0"/>
                  <w:vAlign w:val="center"/>
                </w:tcPr>
                <w:p w14:paraId="5337522C">
                  <w:pPr>
                    <w:jc w:val="center"/>
                    <w:rPr>
                      <w:rFonts w:hint="default" w:ascii="Times New Roman" w:hAnsi="Times New Roman" w:cs="Times New Roman"/>
                      <w:color w:val="auto"/>
                      <w:kern w:val="0"/>
                      <w:sz w:val="21"/>
                      <w:szCs w:val="21"/>
                      <w:highlight w:val="none"/>
                    </w:rPr>
                  </w:pPr>
                </w:p>
              </w:tc>
              <w:tc>
                <w:tcPr>
                  <w:tcW w:w="412" w:type="pct"/>
                  <w:vMerge w:val="continue"/>
                  <w:tcBorders>
                    <w:tl2br w:val="nil"/>
                    <w:tr2bl w:val="nil"/>
                  </w:tcBorders>
                  <w:noWrap w:val="0"/>
                  <w:vAlign w:val="center"/>
                </w:tcPr>
                <w:p w14:paraId="3F30C964">
                  <w:pPr>
                    <w:jc w:val="center"/>
                    <w:rPr>
                      <w:rFonts w:hint="default" w:ascii="Times New Roman" w:hAnsi="Times New Roman" w:cs="Times New Roman"/>
                      <w:color w:val="auto"/>
                      <w:kern w:val="0"/>
                      <w:sz w:val="21"/>
                      <w:szCs w:val="21"/>
                      <w:highlight w:val="none"/>
                    </w:rPr>
                  </w:pPr>
                </w:p>
              </w:tc>
              <w:tc>
                <w:tcPr>
                  <w:tcW w:w="540" w:type="pct"/>
                  <w:tcBorders>
                    <w:tl2br w:val="nil"/>
                    <w:tr2bl w:val="nil"/>
                  </w:tcBorders>
                  <w:noWrap w:val="0"/>
                  <w:vAlign w:val="center"/>
                </w:tcPr>
                <w:p w14:paraId="33BEE7E6">
                  <w:pPr>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56.29</w:t>
                  </w:r>
                </w:p>
              </w:tc>
              <w:tc>
                <w:tcPr>
                  <w:tcW w:w="385" w:type="pct"/>
                  <w:tcBorders>
                    <w:tl2br w:val="nil"/>
                    <w:tr2bl w:val="nil"/>
                  </w:tcBorders>
                  <w:noWrap w:val="0"/>
                  <w:vAlign w:val="center"/>
                </w:tcPr>
                <w:p w14:paraId="2BD58467">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0.2</w:t>
                  </w:r>
                </w:p>
              </w:tc>
              <w:tc>
                <w:tcPr>
                  <w:tcW w:w="403" w:type="pct"/>
                  <w:vMerge w:val="continue"/>
                  <w:tcBorders>
                    <w:tl2br w:val="nil"/>
                    <w:tr2bl w:val="nil"/>
                  </w:tcBorders>
                  <w:noWrap w:val="0"/>
                  <w:vAlign w:val="center"/>
                </w:tcPr>
                <w:p w14:paraId="77F0627F">
                  <w:pPr>
                    <w:jc w:val="center"/>
                    <w:rPr>
                      <w:rFonts w:hint="default" w:ascii="Times New Roman" w:hAnsi="Times New Roman" w:cs="Times New Roman"/>
                      <w:color w:val="auto"/>
                      <w:sz w:val="21"/>
                      <w:szCs w:val="21"/>
                      <w:highlight w:val="none"/>
                    </w:rPr>
                  </w:pPr>
                </w:p>
              </w:tc>
              <w:tc>
                <w:tcPr>
                  <w:tcW w:w="343" w:type="pct"/>
                  <w:tcBorders>
                    <w:tl2br w:val="nil"/>
                    <w:tr2bl w:val="nil"/>
                  </w:tcBorders>
                  <w:noWrap w:val="0"/>
                  <w:vAlign w:val="center"/>
                </w:tcPr>
                <w:p w14:paraId="3E841715">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91" w:type="pct"/>
                  <w:vMerge w:val="continue"/>
                  <w:tcBorders>
                    <w:tl2br w:val="nil"/>
                    <w:tr2bl w:val="nil"/>
                  </w:tcBorders>
                  <w:noWrap w:val="0"/>
                  <w:vAlign w:val="center"/>
                </w:tcPr>
                <w:p w14:paraId="4E94A598">
                  <w:pPr>
                    <w:jc w:val="center"/>
                    <w:rPr>
                      <w:rFonts w:hint="default" w:ascii="Times New Roman" w:hAnsi="Times New Roman" w:cs="Times New Roman"/>
                      <w:color w:val="auto"/>
                      <w:sz w:val="21"/>
                      <w:szCs w:val="21"/>
                      <w:highlight w:val="none"/>
                    </w:rPr>
                  </w:pPr>
                </w:p>
              </w:tc>
              <w:tc>
                <w:tcPr>
                  <w:tcW w:w="458" w:type="pct"/>
                  <w:vMerge w:val="continue"/>
                  <w:tcBorders>
                    <w:tl2br w:val="nil"/>
                    <w:tr2bl w:val="nil"/>
                  </w:tcBorders>
                  <w:noWrap w:val="0"/>
                  <w:vAlign w:val="center"/>
                </w:tcPr>
                <w:p w14:paraId="6C82F0E1">
                  <w:pPr>
                    <w:jc w:val="center"/>
                    <w:rPr>
                      <w:rFonts w:hint="default" w:ascii="Times New Roman" w:hAnsi="Times New Roman" w:cs="Times New Roman"/>
                      <w:color w:val="auto"/>
                      <w:kern w:val="0"/>
                      <w:sz w:val="21"/>
                      <w:szCs w:val="21"/>
                      <w:highlight w:val="none"/>
                    </w:rPr>
                  </w:pPr>
                </w:p>
              </w:tc>
              <w:tc>
                <w:tcPr>
                  <w:tcW w:w="364" w:type="pct"/>
                  <w:tcBorders>
                    <w:tl2br w:val="nil"/>
                    <w:tr2bl w:val="nil"/>
                  </w:tcBorders>
                  <w:noWrap w:val="0"/>
                  <w:vAlign w:val="center"/>
                </w:tcPr>
                <w:p w14:paraId="44138F2C">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56.29</w:t>
                  </w:r>
                </w:p>
              </w:tc>
              <w:tc>
                <w:tcPr>
                  <w:tcW w:w="433" w:type="pct"/>
                  <w:tcBorders>
                    <w:tl2br w:val="nil"/>
                    <w:tr2bl w:val="nil"/>
                  </w:tcBorders>
                  <w:noWrap w:val="0"/>
                  <w:vAlign w:val="center"/>
                </w:tcPr>
                <w:p w14:paraId="6396B2DD">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w:t>
                  </w:r>
                </w:p>
              </w:tc>
              <w:tc>
                <w:tcPr>
                  <w:tcW w:w="274" w:type="pct"/>
                  <w:vMerge w:val="continue"/>
                  <w:tcBorders>
                    <w:tl2br w:val="nil"/>
                    <w:tr2bl w:val="nil"/>
                  </w:tcBorders>
                  <w:noWrap w:val="0"/>
                  <w:vAlign w:val="center"/>
                </w:tcPr>
                <w:p w14:paraId="3C3684E7">
                  <w:pPr>
                    <w:jc w:val="center"/>
                    <w:rPr>
                      <w:rFonts w:hint="default" w:ascii="Times New Roman" w:hAnsi="Times New Roman" w:cs="Times New Roman"/>
                      <w:color w:val="auto"/>
                      <w:kern w:val="0"/>
                      <w:sz w:val="21"/>
                      <w:szCs w:val="21"/>
                      <w:highlight w:val="none"/>
                    </w:rPr>
                  </w:pPr>
                </w:p>
              </w:tc>
            </w:tr>
            <w:tr w14:paraId="3167E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3" w:type="pct"/>
                  <w:vMerge w:val="continue"/>
                  <w:tcBorders>
                    <w:tl2br w:val="nil"/>
                    <w:tr2bl w:val="nil"/>
                  </w:tcBorders>
                  <w:noWrap w:val="0"/>
                  <w:vAlign w:val="center"/>
                </w:tcPr>
                <w:p w14:paraId="53F17712">
                  <w:pPr>
                    <w:jc w:val="center"/>
                    <w:rPr>
                      <w:rFonts w:hint="default" w:ascii="Times New Roman" w:hAnsi="Times New Roman" w:cs="Times New Roman"/>
                      <w:color w:val="auto"/>
                      <w:sz w:val="21"/>
                      <w:szCs w:val="21"/>
                      <w:highlight w:val="none"/>
                    </w:rPr>
                  </w:pPr>
                </w:p>
              </w:tc>
              <w:tc>
                <w:tcPr>
                  <w:tcW w:w="359" w:type="pct"/>
                  <w:tcBorders>
                    <w:tl2br w:val="nil"/>
                    <w:tr2bl w:val="nil"/>
                  </w:tcBorders>
                  <w:noWrap w:val="0"/>
                  <w:vAlign w:val="center"/>
                </w:tcPr>
                <w:p w14:paraId="1CF18004">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X</w:t>
                  </w:r>
                </w:p>
              </w:tc>
              <w:tc>
                <w:tcPr>
                  <w:tcW w:w="308" w:type="pct"/>
                  <w:vMerge w:val="continue"/>
                  <w:tcBorders>
                    <w:tl2br w:val="nil"/>
                    <w:tr2bl w:val="nil"/>
                  </w:tcBorders>
                  <w:noWrap w:val="0"/>
                  <w:vAlign w:val="center"/>
                </w:tcPr>
                <w:p w14:paraId="4DD5CDB6">
                  <w:pPr>
                    <w:jc w:val="center"/>
                    <w:rPr>
                      <w:rFonts w:hint="eastAsia" w:ascii="Times New Roman" w:hAnsi="Times New Roman" w:eastAsia="宋体" w:cs="Times New Roman"/>
                      <w:color w:val="auto"/>
                      <w:kern w:val="0"/>
                      <w:sz w:val="21"/>
                      <w:szCs w:val="21"/>
                      <w:highlight w:val="none"/>
                      <w:lang w:val="en-US" w:eastAsia="zh-CN"/>
                    </w:rPr>
                  </w:pPr>
                </w:p>
              </w:tc>
              <w:tc>
                <w:tcPr>
                  <w:tcW w:w="412" w:type="pct"/>
                  <w:vMerge w:val="continue"/>
                  <w:tcBorders>
                    <w:tl2br w:val="nil"/>
                    <w:tr2bl w:val="nil"/>
                  </w:tcBorders>
                  <w:noWrap w:val="0"/>
                  <w:vAlign w:val="center"/>
                </w:tcPr>
                <w:p w14:paraId="2CDB4E7B">
                  <w:pPr>
                    <w:jc w:val="center"/>
                    <w:rPr>
                      <w:rFonts w:hint="default" w:ascii="Times New Roman" w:hAnsi="Times New Roman" w:cs="Times New Roman"/>
                      <w:color w:val="auto"/>
                      <w:kern w:val="0"/>
                      <w:sz w:val="21"/>
                      <w:szCs w:val="21"/>
                      <w:highlight w:val="none"/>
                    </w:rPr>
                  </w:pPr>
                </w:p>
              </w:tc>
              <w:tc>
                <w:tcPr>
                  <w:tcW w:w="540" w:type="pct"/>
                  <w:tcBorders>
                    <w:tl2br w:val="nil"/>
                    <w:tr2bl w:val="nil"/>
                  </w:tcBorders>
                  <w:noWrap w:val="0"/>
                  <w:vAlign w:val="center"/>
                </w:tcPr>
                <w:p w14:paraId="26EE5ECE">
                  <w:pPr>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300</w:t>
                  </w:r>
                </w:p>
              </w:tc>
              <w:tc>
                <w:tcPr>
                  <w:tcW w:w="385" w:type="pct"/>
                  <w:tcBorders>
                    <w:tl2br w:val="nil"/>
                    <w:tr2bl w:val="nil"/>
                  </w:tcBorders>
                  <w:noWrap w:val="0"/>
                  <w:vAlign w:val="center"/>
                </w:tcPr>
                <w:p w14:paraId="6FCE0826">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1.067</w:t>
                  </w:r>
                </w:p>
              </w:tc>
              <w:tc>
                <w:tcPr>
                  <w:tcW w:w="403" w:type="pct"/>
                  <w:vMerge w:val="continue"/>
                  <w:tcBorders>
                    <w:tl2br w:val="nil"/>
                    <w:tr2bl w:val="nil"/>
                  </w:tcBorders>
                  <w:noWrap w:val="0"/>
                  <w:vAlign w:val="center"/>
                </w:tcPr>
                <w:p w14:paraId="0A151663">
                  <w:pPr>
                    <w:jc w:val="center"/>
                    <w:rPr>
                      <w:rFonts w:hint="default" w:ascii="Times New Roman" w:hAnsi="Times New Roman" w:cs="Times New Roman"/>
                      <w:color w:val="auto"/>
                      <w:sz w:val="21"/>
                      <w:szCs w:val="21"/>
                      <w:highlight w:val="none"/>
                    </w:rPr>
                  </w:pPr>
                </w:p>
              </w:tc>
              <w:tc>
                <w:tcPr>
                  <w:tcW w:w="343" w:type="pct"/>
                  <w:tcBorders>
                    <w:tl2br w:val="nil"/>
                    <w:tr2bl w:val="nil"/>
                  </w:tcBorders>
                  <w:noWrap w:val="0"/>
                  <w:vAlign w:val="center"/>
                </w:tcPr>
                <w:p w14:paraId="519E437A">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w:t>
                  </w:r>
                </w:p>
              </w:tc>
              <w:tc>
                <w:tcPr>
                  <w:tcW w:w="291" w:type="pct"/>
                  <w:vMerge w:val="continue"/>
                  <w:tcBorders>
                    <w:tl2br w:val="nil"/>
                    <w:tr2bl w:val="nil"/>
                  </w:tcBorders>
                  <w:noWrap w:val="0"/>
                  <w:vAlign w:val="center"/>
                </w:tcPr>
                <w:p w14:paraId="069214E6">
                  <w:pPr>
                    <w:jc w:val="center"/>
                    <w:rPr>
                      <w:rFonts w:hint="default" w:ascii="Times New Roman" w:hAnsi="Times New Roman" w:cs="Times New Roman"/>
                      <w:color w:val="auto"/>
                      <w:sz w:val="21"/>
                      <w:szCs w:val="21"/>
                      <w:highlight w:val="none"/>
                    </w:rPr>
                  </w:pPr>
                </w:p>
              </w:tc>
              <w:tc>
                <w:tcPr>
                  <w:tcW w:w="458" w:type="pct"/>
                  <w:vMerge w:val="continue"/>
                  <w:tcBorders>
                    <w:tl2br w:val="nil"/>
                    <w:tr2bl w:val="nil"/>
                  </w:tcBorders>
                  <w:noWrap w:val="0"/>
                  <w:vAlign w:val="center"/>
                </w:tcPr>
                <w:p w14:paraId="53B7D095">
                  <w:pPr>
                    <w:jc w:val="center"/>
                    <w:rPr>
                      <w:rFonts w:hint="default" w:ascii="Times New Roman" w:hAnsi="Times New Roman" w:cs="Times New Roman"/>
                      <w:color w:val="auto"/>
                      <w:kern w:val="0"/>
                      <w:sz w:val="21"/>
                      <w:szCs w:val="21"/>
                      <w:highlight w:val="none"/>
                    </w:rPr>
                  </w:pPr>
                </w:p>
              </w:tc>
              <w:tc>
                <w:tcPr>
                  <w:tcW w:w="364" w:type="pct"/>
                  <w:tcBorders>
                    <w:tl2br w:val="nil"/>
                    <w:tr2bl w:val="nil"/>
                  </w:tcBorders>
                  <w:noWrap w:val="0"/>
                  <w:vAlign w:val="center"/>
                </w:tcPr>
                <w:p w14:paraId="5024077C">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bidi="ar-SA"/>
                    </w:rPr>
                    <w:t>150.02</w:t>
                  </w:r>
                </w:p>
              </w:tc>
              <w:tc>
                <w:tcPr>
                  <w:tcW w:w="433" w:type="pct"/>
                  <w:tcBorders>
                    <w:tl2br w:val="nil"/>
                    <w:tr2bl w:val="nil"/>
                  </w:tcBorders>
                  <w:noWrap w:val="0"/>
                  <w:vAlign w:val="center"/>
                </w:tcPr>
                <w:p w14:paraId="53EF3964">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0.533</w:t>
                  </w:r>
                </w:p>
              </w:tc>
              <w:tc>
                <w:tcPr>
                  <w:tcW w:w="274" w:type="pct"/>
                  <w:vMerge w:val="continue"/>
                  <w:tcBorders>
                    <w:tl2br w:val="nil"/>
                    <w:tr2bl w:val="nil"/>
                  </w:tcBorders>
                  <w:noWrap w:val="0"/>
                  <w:vAlign w:val="center"/>
                </w:tcPr>
                <w:p w14:paraId="61294FBB">
                  <w:pPr>
                    <w:jc w:val="center"/>
                    <w:rPr>
                      <w:rFonts w:hint="default" w:ascii="Times New Roman" w:hAnsi="Times New Roman" w:cs="Times New Roman"/>
                      <w:color w:val="auto"/>
                      <w:kern w:val="0"/>
                      <w:sz w:val="21"/>
                      <w:szCs w:val="21"/>
                      <w:highlight w:val="none"/>
                    </w:rPr>
                  </w:pPr>
                </w:p>
              </w:tc>
            </w:tr>
            <w:tr w14:paraId="5C2011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3" w:type="pct"/>
                  <w:tcBorders>
                    <w:tl2br w:val="nil"/>
                    <w:tr2bl w:val="nil"/>
                  </w:tcBorders>
                  <w:noWrap w:val="0"/>
                  <w:vAlign w:val="center"/>
                </w:tcPr>
                <w:p w14:paraId="0832FE9C">
                  <w:pPr>
                    <w:jc w:val="center"/>
                    <w:rPr>
                      <w:rFonts w:hint="default" w:ascii="Times New Roman" w:hAnsi="Times New Roman" w:eastAsia="宋体" w:cs="Times New Roman"/>
                      <w:color w:val="auto"/>
                      <w:sz w:val="21"/>
                      <w:szCs w:val="21"/>
                      <w:highlight w:val="none"/>
                      <w:lang w:val="en-US" w:eastAsia="zh-CN"/>
                    </w:rPr>
                  </w:pPr>
                  <w:bookmarkStart w:id="33" w:name="_Toc6782"/>
                  <w:bookmarkStart w:id="34" w:name="_Toc4180"/>
                  <w:r>
                    <w:rPr>
                      <w:rFonts w:hint="eastAsia" w:cs="Times New Roman"/>
                      <w:color w:val="auto"/>
                      <w:sz w:val="21"/>
                      <w:szCs w:val="21"/>
                      <w:highlight w:val="none"/>
                      <w:lang w:val="en-US" w:eastAsia="zh-CN"/>
                    </w:rPr>
                    <w:t>砂石原料卸料运输粉尘</w:t>
                  </w:r>
                </w:p>
              </w:tc>
              <w:tc>
                <w:tcPr>
                  <w:tcW w:w="359" w:type="pct"/>
                  <w:tcBorders>
                    <w:tl2br w:val="nil"/>
                    <w:tr2bl w:val="nil"/>
                  </w:tcBorders>
                  <w:noWrap w:val="0"/>
                  <w:vAlign w:val="center"/>
                </w:tcPr>
                <w:p w14:paraId="6CE52784">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308" w:type="pct"/>
                  <w:tcBorders>
                    <w:tl2br w:val="nil"/>
                    <w:tr2bl w:val="nil"/>
                  </w:tcBorders>
                  <w:noWrap w:val="0"/>
                  <w:vAlign w:val="center"/>
                </w:tcPr>
                <w:p w14:paraId="36A4F794">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系数法</w:t>
                  </w:r>
                </w:p>
              </w:tc>
              <w:tc>
                <w:tcPr>
                  <w:tcW w:w="412" w:type="pct"/>
                  <w:tcBorders>
                    <w:tl2br w:val="nil"/>
                    <w:tr2bl w:val="nil"/>
                  </w:tcBorders>
                  <w:noWrap w:val="0"/>
                  <w:vAlign w:val="center"/>
                </w:tcPr>
                <w:p w14:paraId="2B1360CA">
                  <w:pPr>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540" w:type="pct"/>
                  <w:tcBorders>
                    <w:tl2br w:val="nil"/>
                    <w:tr2bl w:val="nil"/>
                  </w:tcBorders>
                  <w:noWrap w:val="0"/>
                  <w:vAlign w:val="center"/>
                </w:tcPr>
                <w:p w14:paraId="637FD8AC">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85" w:type="pct"/>
                  <w:tcBorders>
                    <w:tl2br w:val="nil"/>
                    <w:tr2bl w:val="nil"/>
                  </w:tcBorders>
                  <w:noWrap w:val="0"/>
                  <w:vAlign w:val="center"/>
                </w:tcPr>
                <w:p w14:paraId="14D7130F">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0.402</w:t>
                  </w:r>
                </w:p>
              </w:tc>
              <w:tc>
                <w:tcPr>
                  <w:tcW w:w="403" w:type="pct"/>
                  <w:tcBorders>
                    <w:tl2br w:val="nil"/>
                    <w:tr2bl w:val="nil"/>
                  </w:tcBorders>
                  <w:noWrap w:val="0"/>
                  <w:vAlign w:val="center"/>
                </w:tcPr>
                <w:p w14:paraId="1B9B2B3B">
                  <w:pPr>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洒水降尘，四周设围挡，苫布覆盖</w:t>
                  </w:r>
                </w:p>
              </w:tc>
              <w:tc>
                <w:tcPr>
                  <w:tcW w:w="343" w:type="pct"/>
                  <w:tcBorders>
                    <w:tl2br w:val="nil"/>
                    <w:tr2bl w:val="nil"/>
                  </w:tcBorders>
                  <w:noWrap w:val="0"/>
                  <w:vAlign w:val="center"/>
                </w:tcPr>
                <w:p w14:paraId="06A6F77A">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85</w:t>
                  </w:r>
                </w:p>
              </w:tc>
              <w:tc>
                <w:tcPr>
                  <w:tcW w:w="291" w:type="pct"/>
                  <w:tcBorders>
                    <w:tl2br w:val="nil"/>
                    <w:tr2bl w:val="nil"/>
                  </w:tcBorders>
                  <w:noWrap w:val="0"/>
                  <w:vAlign w:val="center"/>
                </w:tcPr>
                <w:p w14:paraId="0B99965F">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系数法</w:t>
                  </w:r>
                </w:p>
              </w:tc>
              <w:tc>
                <w:tcPr>
                  <w:tcW w:w="458" w:type="pct"/>
                  <w:tcBorders>
                    <w:tl2br w:val="nil"/>
                    <w:tr2bl w:val="nil"/>
                  </w:tcBorders>
                  <w:noWrap w:val="0"/>
                  <w:vAlign w:val="center"/>
                </w:tcPr>
                <w:p w14:paraId="284372A6">
                  <w:pPr>
                    <w:jc w:val="center"/>
                    <w:rPr>
                      <w:rFonts w:hint="default" w:ascii="Times New Roman" w:hAnsi="Times New Roman" w:cs="Times New Roman"/>
                      <w:color w:val="auto"/>
                      <w:kern w:val="0"/>
                      <w:sz w:val="21"/>
                      <w:szCs w:val="21"/>
                      <w:highlight w:val="none"/>
                    </w:rPr>
                  </w:pPr>
                  <w:r>
                    <w:rPr>
                      <w:rFonts w:hint="eastAsia" w:cs="Times New Roman"/>
                      <w:color w:val="auto"/>
                      <w:kern w:val="0"/>
                      <w:sz w:val="21"/>
                      <w:szCs w:val="21"/>
                      <w:highlight w:val="none"/>
                      <w:lang w:val="en-US" w:eastAsia="zh-CN"/>
                    </w:rPr>
                    <w:t>/</w:t>
                  </w:r>
                </w:p>
              </w:tc>
              <w:tc>
                <w:tcPr>
                  <w:tcW w:w="364" w:type="pct"/>
                  <w:tcBorders>
                    <w:tl2br w:val="nil"/>
                    <w:tr2bl w:val="nil"/>
                  </w:tcBorders>
                  <w:noWrap w:val="0"/>
                  <w:vAlign w:val="center"/>
                </w:tcPr>
                <w:p w14:paraId="2297C05B">
                  <w:pPr>
                    <w:jc w:val="center"/>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33" w:type="pct"/>
                  <w:tcBorders>
                    <w:tl2br w:val="nil"/>
                    <w:tr2bl w:val="nil"/>
                  </w:tcBorders>
                  <w:noWrap w:val="0"/>
                  <w:vAlign w:val="center"/>
                </w:tcPr>
                <w:p w14:paraId="260D4938">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0.06</w:t>
                  </w:r>
                </w:p>
              </w:tc>
              <w:tc>
                <w:tcPr>
                  <w:tcW w:w="274" w:type="pct"/>
                  <w:vMerge w:val="continue"/>
                  <w:tcBorders>
                    <w:tl2br w:val="nil"/>
                    <w:tr2bl w:val="nil"/>
                  </w:tcBorders>
                  <w:noWrap w:val="0"/>
                  <w:vAlign w:val="center"/>
                </w:tcPr>
                <w:p w14:paraId="4194E91A">
                  <w:pPr>
                    <w:jc w:val="center"/>
                    <w:rPr>
                      <w:rFonts w:hint="default" w:ascii="Times New Roman" w:hAnsi="Times New Roman" w:cs="Times New Roman"/>
                      <w:color w:val="auto"/>
                      <w:kern w:val="0"/>
                      <w:sz w:val="21"/>
                      <w:szCs w:val="21"/>
                      <w:highlight w:val="none"/>
                    </w:rPr>
                  </w:pPr>
                </w:p>
              </w:tc>
            </w:tr>
            <w:tr w14:paraId="36F100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1" w:hRule="atLeast"/>
                <w:jc w:val="center"/>
              </w:trPr>
              <w:tc>
                <w:tcPr>
                  <w:tcW w:w="423" w:type="pct"/>
                  <w:tcBorders>
                    <w:tl2br w:val="nil"/>
                    <w:tr2bl w:val="nil"/>
                  </w:tcBorders>
                  <w:noWrap w:val="0"/>
                  <w:vAlign w:val="center"/>
                </w:tcPr>
                <w:p w14:paraId="2D689270">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砂石上料粉尘</w:t>
                  </w:r>
                </w:p>
              </w:tc>
              <w:tc>
                <w:tcPr>
                  <w:tcW w:w="359" w:type="pct"/>
                  <w:tcBorders>
                    <w:tl2br w:val="nil"/>
                    <w:tr2bl w:val="nil"/>
                  </w:tcBorders>
                  <w:noWrap w:val="0"/>
                  <w:vAlign w:val="center"/>
                </w:tcPr>
                <w:p w14:paraId="3FEF763E">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308" w:type="pct"/>
                  <w:tcBorders>
                    <w:tl2br w:val="nil"/>
                    <w:tr2bl w:val="nil"/>
                  </w:tcBorders>
                  <w:noWrap w:val="0"/>
                  <w:vAlign w:val="center"/>
                </w:tcPr>
                <w:p w14:paraId="26C138AB">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系数法</w:t>
                  </w:r>
                </w:p>
              </w:tc>
              <w:tc>
                <w:tcPr>
                  <w:tcW w:w="412" w:type="pct"/>
                  <w:tcBorders>
                    <w:tl2br w:val="nil"/>
                    <w:tr2bl w:val="nil"/>
                  </w:tcBorders>
                  <w:noWrap w:val="0"/>
                  <w:vAlign w:val="center"/>
                </w:tcPr>
                <w:p w14:paraId="5917C428">
                  <w:pPr>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540" w:type="pct"/>
                  <w:tcBorders>
                    <w:tl2br w:val="nil"/>
                    <w:tr2bl w:val="nil"/>
                  </w:tcBorders>
                  <w:noWrap w:val="0"/>
                  <w:vAlign w:val="center"/>
                </w:tcPr>
                <w:p w14:paraId="7EEA9EA8">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85" w:type="pct"/>
                  <w:tcBorders>
                    <w:tl2br w:val="nil"/>
                    <w:tr2bl w:val="nil"/>
                  </w:tcBorders>
                  <w:noWrap w:val="0"/>
                  <w:vAlign w:val="center"/>
                </w:tcPr>
                <w:p w14:paraId="59813A45">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7.04</w:t>
                  </w:r>
                </w:p>
              </w:tc>
              <w:tc>
                <w:tcPr>
                  <w:tcW w:w="403" w:type="pct"/>
                  <w:tcBorders>
                    <w:tl2br w:val="nil"/>
                    <w:tr2bl w:val="nil"/>
                  </w:tcBorders>
                  <w:noWrap w:val="0"/>
                  <w:vAlign w:val="center"/>
                </w:tcPr>
                <w:p w14:paraId="4915BE43">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洒水降尘，全封闭厂房</w:t>
                  </w:r>
                </w:p>
              </w:tc>
              <w:tc>
                <w:tcPr>
                  <w:tcW w:w="343" w:type="pct"/>
                  <w:tcBorders>
                    <w:tl2br w:val="nil"/>
                    <w:tr2bl w:val="nil"/>
                  </w:tcBorders>
                  <w:noWrap w:val="0"/>
                  <w:vAlign w:val="center"/>
                </w:tcPr>
                <w:p w14:paraId="169DBACF">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85</w:t>
                  </w:r>
                </w:p>
              </w:tc>
              <w:tc>
                <w:tcPr>
                  <w:tcW w:w="291" w:type="pct"/>
                  <w:tcBorders>
                    <w:tl2br w:val="nil"/>
                    <w:tr2bl w:val="nil"/>
                  </w:tcBorders>
                  <w:noWrap w:val="0"/>
                  <w:vAlign w:val="center"/>
                </w:tcPr>
                <w:p w14:paraId="30B7B19A">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系数法</w:t>
                  </w:r>
                </w:p>
              </w:tc>
              <w:tc>
                <w:tcPr>
                  <w:tcW w:w="458" w:type="pct"/>
                  <w:tcBorders>
                    <w:tl2br w:val="nil"/>
                    <w:tr2bl w:val="nil"/>
                  </w:tcBorders>
                  <w:noWrap w:val="0"/>
                  <w:vAlign w:val="center"/>
                </w:tcPr>
                <w:p w14:paraId="64D218CE">
                  <w:pPr>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364" w:type="pct"/>
                  <w:tcBorders>
                    <w:tl2br w:val="nil"/>
                    <w:tr2bl w:val="nil"/>
                  </w:tcBorders>
                  <w:noWrap w:val="0"/>
                  <w:vAlign w:val="center"/>
                </w:tcPr>
                <w:p w14:paraId="1FC5C2BC">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33" w:type="pct"/>
                  <w:tcBorders>
                    <w:tl2br w:val="nil"/>
                    <w:tr2bl w:val="nil"/>
                  </w:tcBorders>
                  <w:noWrap w:val="0"/>
                  <w:vAlign w:val="center"/>
                </w:tcPr>
                <w:p w14:paraId="22BF91B7">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1.06</w:t>
                  </w:r>
                </w:p>
              </w:tc>
              <w:tc>
                <w:tcPr>
                  <w:tcW w:w="274" w:type="pct"/>
                  <w:vMerge w:val="continue"/>
                  <w:tcBorders>
                    <w:tl2br w:val="nil"/>
                    <w:tr2bl w:val="nil"/>
                  </w:tcBorders>
                  <w:noWrap w:val="0"/>
                  <w:vAlign w:val="center"/>
                </w:tcPr>
                <w:p w14:paraId="4943E627">
                  <w:pPr>
                    <w:jc w:val="center"/>
                    <w:rPr>
                      <w:rFonts w:hint="default" w:ascii="Times New Roman" w:hAnsi="Times New Roman" w:cs="Times New Roman"/>
                      <w:color w:val="auto"/>
                      <w:kern w:val="0"/>
                      <w:sz w:val="21"/>
                      <w:szCs w:val="21"/>
                      <w:highlight w:val="none"/>
                    </w:rPr>
                  </w:pPr>
                </w:p>
              </w:tc>
            </w:tr>
            <w:tr w14:paraId="3CBFD9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1" w:hRule="atLeast"/>
                <w:jc w:val="center"/>
              </w:trPr>
              <w:tc>
                <w:tcPr>
                  <w:tcW w:w="423" w:type="pct"/>
                  <w:tcBorders>
                    <w:tl2br w:val="nil"/>
                    <w:tr2bl w:val="nil"/>
                  </w:tcBorders>
                  <w:noWrap w:val="0"/>
                  <w:vAlign w:val="center"/>
                </w:tcPr>
                <w:p w14:paraId="5961EA01">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搅拌工序</w:t>
                  </w:r>
                </w:p>
              </w:tc>
              <w:tc>
                <w:tcPr>
                  <w:tcW w:w="359" w:type="pct"/>
                  <w:tcBorders>
                    <w:tl2br w:val="nil"/>
                    <w:tr2bl w:val="nil"/>
                  </w:tcBorders>
                  <w:noWrap w:val="0"/>
                  <w:vAlign w:val="center"/>
                </w:tcPr>
                <w:p w14:paraId="767ADF0C">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308" w:type="pct"/>
                  <w:tcBorders>
                    <w:tl2br w:val="nil"/>
                    <w:tr2bl w:val="nil"/>
                  </w:tcBorders>
                  <w:noWrap w:val="0"/>
                  <w:vAlign w:val="center"/>
                </w:tcPr>
                <w:p w14:paraId="749D947C">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系数法</w:t>
                  </w:r>
                </w:p>
              </w:tc>
              <w:tc>
                <w:tcPr>
                  <w:tcW w:w="412" w:type="pct"/>
                  <w:tcBorders>
                    <w:tl2br w:val="nil"/>
                    <w:tr2bl w:val="nil"/>
                  </w:tcBorders>
                  <w:noWrap w:val="0"/>
                  <w:vAlign w:val="center"/>
                </w:tcPr>
                <w:p w14:paraId="43565DAF">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5000</w:t>
                  </w:r>
                </w:p>
              </w:tc>
              <w:tc>
                <w:tcPr>
                  <w:tcW w:w="540" w:type="pct"/>
                  <w:tcBorders>
                    <w:tl2br w:val="nil"/>
                    <w:tr2bl w:val="nil"/>
                  </w:tcBorders>
                  <w:noWrap w:val="0"/>
                  <w:vAlign w:val="center"/>
                </w:tcPr>
                <w:p w14:paraId="74D5B6C6">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3866.67</w:t>
                  </w:r>
                </w:p>
              </w:tc>
              <w:tc>
                <w:tcPr>
                  <w:tcW w:w="385" w:type="pct"/>
                  <w:tcBorders>
                    <w:tl2br w:val="nil"/>
                    <w:tr2bl w:val="nil"/>
                  </w:tcBorders>
                  <w:noWrap w:val="0"/>
                  <w:vAlign w:val="center"/>
                </w:tcPr>
                <w:p w14:paraId="5F0A9288">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19.37</w:t>
                  </w:r>
                </w:p>
              </w:tc>
              <w:tc>
                <w:tcPr>
                  <w:tcW w:w="403" w:type="pct"/>
                  <w:tcBorders>
                    <w:tl2br w:val="nil"/>
                    <w:tr2bl w:val="nil"/>
                  </w:tcBorders>
                  <w:noWrap w:val="0"/>
                  <w:vAlign w:val="center"/>
                </w:tcPr>
                <w:p w14:paraId="22F2F39C">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设备全封闭，并设有布袋除尘器</w:t>
                  </w:r>
                </w:p>
              </w:tc>
              <w:tc>
                <w:tcPr>
                  <w:tcW w:w="343" w:type="pct"/>
                  <w:tcBorders>
                    <w:tl2br w:val="nil"/>
                    <w:tr2bl w:val="nil"/>
                  </w:tcBorders>
                  <w:noWrap w:val="0"/>
                  <w:vAlign w:val="center"/>
                </w:tcPr>
                <w:p w14:paraId="04B5A72F">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99.7</w:t>
                  </w:r>
                </w:p>
              </w:tc>
              <w:tc>
                <w:tcPr>
                  <w:tcW w:w="291" w:type="pct"/>
                  <w:tcBorders>
                    <w:tl2br w:val="nil"/>
                    <w:tr2bl w:val="nil"/>
                  </w:tcBorders>
                  <w:noWrap w:val="0"/>
                  <w:vAlign w:val="center"/>
                </w:tcPr>
                <w:p w14:paraId="4F7D4E5D">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系数法</w:t>
                  </w:r>
                </w:p>
              </w:tc>
              <w:tc>
                <w:tcPr>
                  <w:tcW w:w="458" w:type="pct"/>
                  <w:tcBorders>
                    <w:tl2br w:val="nil"/>
                    <w:tr2bl w:val="nil"/>
                  </w:tcBorders>
                  <w:noWrap w:val="0"/>
                  <w:vAlign w:val="center"/>
                </w:tcPr>
                <w:p w14:paraId="53ABF71B">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5000</w:t>
                  </w:r>
                </w:p>
              </w:tc>
              <w:tc>
                <w:tcPr>
                  <w:tcW w:w="364" w:type="pct"/>
                  <w:tcBorders>
                    <w:tl2br w:val="nil"/>
                    <w:tr2bl w:val="nil"/>
                  </w:tcBorders>
                  <w:noWrap w:val="0"/>
                  <w:vAlign w:val="center"/>
                </w:tcPr>
                <w:p w14:paraId="379166D7">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11.6</w:t>
                  </w:r>
                </w:p>
              </w:tc>
              <w:tc>
                <w:tcPr>
                  <w:tcW w:w="433" w:type="pct"/>
                  <w:tcBorders>
                    <w:tl2br w:val="nil"/>
                    <w:tr2bl w:val="nil"/>
                  </w:tcBorders>
                  <w:noWrap w:val="0"/>
                  <w:vAlign w:val="center"/>
                </w:tcPr>
                <w:p w14:paraId="2C9EA76F">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0.058</w:t>
                  </w:r>
                </w:p>
              </w:tc>
              <w:tc>
                <w:tcPr>
                  <w:tcW w:w="274" w:type="pct"/>
                  <w:vMerge w:val="continue"/>
                  <w:tcBorders>
                    <w:tl2br w:val="nil"/>
                    <w:tr2bl w:val="nil"/>
                  </w:tcBorders>
                  <w:noWrap w:val="0"/>
                  <w:vAlign w:val="center"/>
                </w:tcPr>
                <w:p w14:paraId="4DFA1FE6">
                  <w:pPr>
                    <w:jc w:val="center"/>
                    <w:rPr>
                      <w:rFonts w:hint="default" w:ascii="Times New Roman" w:hAnsi="Times New Roman" w:cs="Times New Roman"/>
                      <w:color w:val="auto"/>
                      <w:kern w:val="0"/>
                      <w:sz w:val="21"/>
                      <w:szCs w:val="21"/>
                      <w:highlight w:val="none"/>
                    </w:rPr>
                  </w:pPr>
                </w:p>
              </w:tc>
            </w:tr>
            <w:tr w14:paraId="146C0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3" w:type="pct"/>
                  <w:tcBorders>
                    <w:tl2br w:val="nil"/>
                    <w:tr2bl w:val="nil"/>
                  </w:tcBorders>
                  <w:noWrap w:val="0"/>
                  <w:vAlign w:val="center"/>
                </w:tcPr>
                <w:p w14:paraId="26BC575F">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水泥筒仓粉尘</w:t>
                  </w:r>
                </w:p>
              </w:tc>
              <w:tc>
                <w:tcPr>
                  <w:tcW w:w="359" w:type="pct"/>
                  <w:tcBorders>
                    <w:tl2br w:val="nil"/>
                    <w:tr2bl w:val="nil"/>
                  </w:tcBorders>
                  <w:noWrap w:val="0"/>
                  <w:vAlign w:val="center"/>
                </w:tcPr>
                <w:p w14:paraId="6CC69CB4">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308" w:type="pct"/>
                  <w:tcBorders>
                    <w:tl2br w:val="nil"/>
                    <w:tr2bl w:val="nil"/>
                  </w:tcBorders>
                  <w:noWrap w:val="0"/>
                  <w:vAlign w:val="center"/>
                </w:tcPr>
                <w:p w14:paraId="216DB696">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系数法</w:t>
                  </w:r>
                </w:p>
              </w:tc>
              <w:tc>
                <w:tcPr>
                  <w:tcW w:w="412" w:type="pct"/>
                  <w:tcBorders>
                    <w:tl2br w:val="nil"/>
                    <w:tr2bl w:val="nil"/>
                  </w:tcBorders>
                  <w:noWrap w:val="0"/>
                  <w:vAlign w:val="center"/>
                </w:tcPr>
                <w:p w14:paraId="14C80B17">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2000</w:t>
                  </w:r>
                </w:p>
              </w:tc>
              <w:tc>
                <w:tcPr>
                  <w:tcW w:w="540" w:type="pct"/>
                  <w:tcBorders>
                    <w:tl2br w:val="nil"/>
                    <w:tr2bl w:val="nil"/>
                  </w:tcBorders>
                  <w:noWrap w:val="0"/>
                  <w:vAlign w:val="center"/>
                </w:tcPr>
                <w:p w14:paraId="4670FBA4">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1166.67</w:t>
                  </w:r>
                </w:p>
              </w:tc>
              <w:tc>
                <w:tcPr>
                  <w:tcW w:w="385" w:type="pct"/>
                  <w:tcBorders>
                    <w:tl2br w:val="nil"/>
                    <w:tr2bl w:val="nil"/>
                  </w:tcBorders>
                  <w:noWrap w:val="0"/>
                  <w:vAlign w:val="center"/>
                </w:tcPr>
                <w:p w14:paraId="24971A59">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2.35</w:t>
                  </w:r>
                </w:p>
              </w:tc>
              <w:tc>
                <w:tcPr>
                  <w:tcW w:w="403" w:type="pct"/>
                  <w:tcBorders>
                    <w:tl2br w:val="nil"/>
                    <w:tr2bl w:val="nil"/>
                  </w:tcBorders>
                  <w:noWrap w:val="0"/>
                  <w:vAlign w:val="center"/>
                </w:tcPr>
                <w:p w14:paraId="59258B22">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布袋除尘器</w:t>
                  </w:r>
                </w:p>
              </w:tc>
              <w:tc>
                <w:tcPr>
                  <w:tcW w:w="343" w:type="pct"/>
                  <w:tcBorders>
                    <w:tl2br w:val="nil"/>
                    <w:tr2bl w:val="nil"/>
                  </w:tcBorders>
                  <w:noWrap w:val="0"/>
                  <w:vAlign w:val="center"/>
                </w:tcPr>
                <w:p w14:paraId="1F94C870">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99.7</w:t>
                  </w:r>
                </w:p>
              </w:tc>
              <w:tc>
                <w:tcPr>
                  <w:tcW w:w="291" w:type="pct"/>
                  <w:tcBorders>
                    <w:tl2br w:val="nil"/>
                    <w:tr2bl w:val="nil"/>
                  </w:tcBorders>
                  <w:noWrap w:val="0"/>
                  <w:vAlign w:val="center"/>
                </w:tcPr>
                <w:p w14:paraId="17FEE7A6">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系数法</w:t>
                  </w:r>
                </w:p>
              </w:tc>
              <w:tc>
                <w:tcPr>
                  <w:tcW w:w="458" w:type="pct"/>
                  <w:tcBorders>
                    <w:tl2br w:val="nil"/>
                    <w:tr2bl w:val="nil"/>
                  </w:tcBorders>
                  <w:noWrap w:val="0"/>
                  <w:vAlign w:val="center"/>
                </w:tcPr>
                <w:p w14:paraId="14A47EAB">
                  <w:pPr>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2000</w:t>
                  </w:r>
                </w:p>
              </w:tc>
              <w:tc>
                <w:tcPr>
                  <w:tcW w:w="364" w:type="pct"/>
                  <w:tcBorders>
                    <w:tl2br w:val="nil"/>
                    <w:tr2bl w:val="nil"/>
                  </w:tcBorders>
                  <w:noWrap w:val="0"/>
                  <w:vAlign w:val="center"/>
                </w:tcPr>
                <w:p w14:paraId="3C0D5A15">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3.5</w:t>
                  </w:r>
                </w:p>
              </w:tc>
              <w:tc>
                <w:tcPr>
                  <w:tcW w:w="433" w:type="pct"/>
                  <w:tcBorders>
                    <w:tl2br w:val="nil"/>
                    <w:tr2bl w:val="nil"/>
                  </w:tcBorders>
                  <w:noWrap w:val="0"/>
                  <w:vAlign w:val="center"/>
                </w:tcPr>
                <w:p w14:paraId="463665BE">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0.007</w:t>
                  </w:r>
                </w:p>
              </w:tc>
              <w:tc>
                <w:tcPr>
                  <w:tcW w:w="274" w:type="pct"/>
                  <w:vMerge w:val="continue"/>
                  <w:tcBorders>
                    <w:tl2br w:val="nil"/>
                    <w:tr2bl w:val="nil"/>
                  </w:tcBorders>
                  <w:noWrap w:val="0"/>
                  <w:vAlign w:val="center"/>
                </w:tcPr>
                <w:p w14:paraId="65EA7E74">
                  <w:pPr>
                    <w:jc w:val="center"/>
                    <w:rPr>
                      <w:rFonts w:hint="default" w:ascii="Times New Roman" w:hAnsi="Times New Roman" w:cs="Times New Roman"/>
                      <w:color w:val="auto"/>
                      <w:kern w:val="0"/>
                      <w:sz w:val="21"/>
                      <w:szCs w:val="21"/>
                      <w:highlight w:val="none"/>
                    </w:rPr>
                  </w:pPr>
                </w:p>
              </w:tc>
            </w:tr>
            <w:tr w14:paraId="31D903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3" w:type="pct"/>
                  <w:tcBorders>
                    <w:tl2br w:val="nil"/>
                    <w:tr2bl w:val="nil"/>
                  </w:tcBorders>
                  <w:noWrap w:val="0"/>
                  <w:vAlign w:val="center"/>
                </w:tcPr>
                <w:p w14:paraId="2E8DD01F">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水泥筒仓粉尘</w:t>
                  </w:r>
                </w:p>
              </w:tc>
              <w:tc>
                <w:tcPr>
                  <w:tcW w:w="359" w:type="pct"/>
                  <w:tcBorders>
                    <w:tl2br w:val="nil"/>
                    <w:tr2bl w:val="nil"/>
                  </w:tcBorders>
                  <w:noWrap w:val="0"/>
                  <w:vAlign w:val="center"/>
                </w:tcPr>
                <w:p w14:paraId="7020CE7F">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308" w:type="pct"/>
                  <w:tcBorders>
                    <w:tl2br w:val="nil"/>
                    <w:tr2bl w:val="nil"/>
                  </w:tcBorders>
                  <w:noWrap w:val="0"/>
                  <w:vAlign w:val="center"/>
                </w:tcPr>
                <w:p w14:paraId="36219A0B">
                  <w:pPr>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系数法</w:t>
                  </w:r>
                </w:p>
              </w:tc>
              <w:tc>
                <w:tcPr>
                  <w:tcW w:w="412" w:type="pct"/>
                  <w:tcBorders>
                    <w:tl2br w:val="nil"/>
                    <w:tr2bl w:val="nil"/>
                  </w:tcBorders>
                  <w:noWrap w:val="0"/>
                  <w:vAlign w:val="center"/>
                </w:tcPr>
                <w:p w14:paraId="5A373354">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2000</w:t>
                  </w:r>
                </w:p>
              </w:tc>
              <w:tc>
                <w:tcPr>
                  <w:tcW w:w="540" w:type="pct"/>
                  <w:tcBorders>
                    <w:tl2br w:val="nil"/>
                    <w:tr2bl w:val="nil"/>
                  </w:tcBorders>
                  <w:noWrap w:val="0"/>
                  <w:vAlign w:val="center"/>
                </w:tcPr>
                <w:p w14:paraId="3C3BA326">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1166.67</w:t>
                  </w:r>
                </w:p>
              </w:tc>
              <w:tc>
                <w:tcPr>
                  <w:tcW w:w="385" w:type="pct"/>
                  <w:tcBorders>
                    <w:tl2br w:val="nil"/>
                    <w:tr2bl w:val="nil"/>
                  </w:tcBorders>
                  <w:noWrap w:val="0"/>
                  <w:vAlign w:val="center"/>
                </w:tcPr>
                <w:p w14:paraId="500F6675">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2.35</w:t>
                  </w:r>
                </w:p>
              </w:tc>
              <w:tc>
                <w:tcPr>
                  <w:tcW w:w="403" w:type="pct"/>
                  <w:tcBorders>
                    <w:tl2br w:val="nil"/>
                    <w:tr2bl w:val="nil"/>
                  </w:tcBorders>
                  <w:noWrap w:val="0"/>
                  <w:vAlign w:val="center"/>
                </w:tcPr>
                <w:p w14:paraId="2987B295">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布袋除尘器</w:t>
                  </w:r>
                </w:p>
              </w:tc>
              <w:tc>
                <w:tcPr>
                  <w:tcW w:w="343" w:type="pct"/>
                  <w:tcBorders>
                    <w:tl2br w:val="nil"/>
                    <w:tr2bl w:val="nil"/>
                  </w:tcBorders>
                  <w:noWrap w:val="0"/>
                  <w:vAlign w:val="center"/>
                </w:tcPr>
                <w:p w14:paraId="10558079">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99.7</w:t>
                  </w:r>
                </w:p>
              </w:tc>
              <w:tc>
                <w:tcPr>
                  <w:tcW w:w="291" w:type="pct"/>
                  <w:tcBorders>
                    <w:tl2br w:val="nil"/>
                    <w:tr2bl w:val="nil"/>
                  </w:tcBorders>
                  <w:noWrap w:val="0"/>
                  <w:vAlign w:val="center"/>
                </w:tcPr>
                <w:p w14:paraId="2E33F9B5">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系数法</w:t>
                  </w:r>
                </w:p>
              </w:tc>
              <w:tc>
                <w:tcPr>
                  <w:tcW w:w="458" w:type="pct"/>
                  <w:tcBorders>
                    <w:tl2br w:val="nil"/>
                    <w:tr2bl w:val="nil"/>
                  </w:tcBorders>
                  <w:noWrap w:val="0"/>
                  <w:vAlign w:val="center"/>
                </w:tcPr>
                <w:p w14:paraId="70B06474">
                  <w:pPr>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2000</w:t>
                  </w:r>
                </w:p>
              </w:tc>
              <w:tc>
                <w:tcPr>
                  <w:tcW w:w="364" w:type="pct"/>
                  <w:tcBorders>
                    <w:tl2br w:val="nil"/>
                    <w:tr2bl w:val="nil"/>
                  </w:tcBorders>
                  <w:noWrap w:val="0"/>
                  <w:vAlign w:val="center"/>
                </w:tcPr>
                <w:p w14:paraId="05B2D3B7">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3.5</w:t>
                  </w:r>
                </w:p>
              </w:tc>
              <w:tc>
                <w:tcPr>
                  <w:tcW w:w="433" w:type="pct"/>
                  <w:tcBorders>
                    <w:tl2br w:val="nil"/>
                    <w:tr2bl w:val="nil"/>
                  </w:tcBorders>
                  <w:noWrap w:val="0"/>
                  <w:vAlign w:val="center"/>
                </w:tcPr>
                <w:p w14:paraId="68E3C9E7">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0.007</w:t>
                  </w:r>
                </w:p>
              </w:tc>
              <w:tc>
                <w:tcPr>
                  <w:tcW w:w="274" w:type="pct"/>
                  <w:vMerge w:val="continue"/>
                  <w:tcBorders>
                    <w:tl2br w:val="nil"/>
                    <w:tr2bl w:val="nil"/>
                  </w:tcBorders>
                  <w:noWrap w:val="0"/>
                  <w:vAlign w:val="center"/>
                </w:tcPr>
                <w:p w14:paraId="453705D8">
                  <w:pPr>
                    <w:jc w:val="center"/>
                    <w:rPr>
                      <w:rFonts w:hint="default" w:ascii="Times New Roman" w:hAnsi="Times New Roman" w:cs="Times New Roman"/>
                      <w:color w:val="auto"/>
                      <w:kern w:val="0"/>
                      <w:sz w:val="21"/>
                      <w:szCs w:val="21"/>
                      <w:highlight w:val="none"/>
                    </w:rPr>
                  </w:pPr>
                </w:p>
              </w:tc>
            </w:tr>
            <w:tr w14:paraId="6A0996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3" w:type="pct"/>
                  <w:tcBorders>
                    <w:tl2br w:val="nil"/>
                    <w:tr2bl w:val="nil"/>
                  </w:tcBorders>
                  <w:noWrap w:val="0"/>
                  <w:vAlign w:val="center"/>
                </w:tcPr>
                <w:p w14:paraId="10DC902C">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粉煤灰筒仓粉尘</w:t>
                  </w:r>
                </w:p>
              </w:tc>
              <w:tc>
                <w:tcPr>
                  <w:tcW w:w="359" w:type="pct"/>
                  <w:tcBorders>
                    <w:tl2br w:val="nil"/>
                    <w:tr2bl w:val="nil"/>
                  </w:tcBorders>
                  <w:noWrap w:val="0"/>
                  <w:vAlign w:val="center"/>
                </w:tcPr>
                <w:p w14:paraId="47D26FAB">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308" w:type="pct"/>
                  <w:tcBorders>
                    <w:tl2br w:val="nil"/>
                    <w:tr2bl w:val="nil"/>
                  </w:tcBorders>
                  <w:noWrap w:val="0"/>
                  <w:vAlign w:val="center"/>
                </w:tcPr>
                <w:p w14:paraId="381E4A0F">
                  <w:pPr>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系数法</w:t>
                  </w:r>
                </w:p>
              </w:tc>
              <w:tc>
                <w:tcPr>
                  <w:tcW w:w="412" w:type="pct"/>
                  <w:tcBorders>
                    <w:tl2br w:val="nil"/>
                    <w:tr2bl w:val="nil"/>
                  </w:tcBorders>
                  <w:noWrap w:val="0"/>
                  <w:vAlign w:val="center"/>
                </w:tcPr>
                <w:p w14:paraId="619645B6">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2000</w:t>
                  </w:r>
                </w:p>
              </w:tc>
              <w:tc>
                <w:tcPr>
                  <w:tcW w:w="540" w:type="pct"/>
                  <w:tcBorders>
                    <w:tl2br w:val="nil"/>
                    <w:tr2bl w:val="nil"/>
                  </w:tcBorders>
                  <w:noWrap w:val="0"/>
                  <w:vAlign w:val="center"/>
                </w:tcPr>
                <w:p w14:paraId="246AB68C">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1166.67</w:t>
                  </w:r>
                </w:p>
              </w:tc>
              <w:tc>
                <w:tcPr>
                  <w:tcW w:w="385" w:type="pct"/>
                  <w:tcBorders>
                    <w:tl2br w:val="nil"/>
                    <w:tr2bl w:val="nil"/>
                  </w:tcBorders>
                  <w:noWrap w:val="0"/>
                  <w:vAlign w:val="center"/>
                </w:tcPr>
                <w:p w14:paraId="0CEF7746">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2.35</w:t>
                  </w:r>
                </w:p>
              </w:tc>
              <w:tc>
                <w:tcPr>
                  <w:tcW w:w="403" w:type="pct"/>
                  <w:tcBorders>
                    <w:tl2br w:val="nil"/>
                    <w:tr2bl w:val="nil"/>
                  </w:tcBorders>
                  <w:noWrap w:val="0"/>
                  <w:vAlign w:val="center"/>
                </w:tcPr>
                <w:p w14:paraId="75F2ED83">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布袋除尘器</w:t>
                  </w:r>
                </w:p>
              </w:tc>
              <w:tc>
                <w:tcPr>
                  <w:tcW w:w="343" w:type="pct"/>
                  <w:tcBorders>
                    <w:tl2br w:val="nil"/>
                    <w:tr2bl w:val="nil"/>
                  </w:tcBorders>
                  <w:noWrap w:val="0"/>
                  <w:vAlign w:val="center"/>
                </w:tcPr>
                <w:p w14:paraId="3F49E527">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99.7</w:t>
                  </w:r>
                </w:p>
              </w:tc>
              <w:tc>
                <w:tcPr>
                  <w:tcW w:w="291" w:type="pct"/>
                  <w:tcBorders>
                    <w:tl2br w:val="nil"/>
                    <w:tr2bl w:val="nil"/>
                  </w:tcBorders>
                  <w:noWrap w:val="0"/>
                  <w:vAlign w:val="center"/>
                </w:tcPr>
                <w:p w14:paraId="10F94FA9">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系数法</w:t>
                  </w:r>
                </w:p>
              </w:tc>
              <w:tc>
                <w:tcPr>
                  <w:tcW w:w="458" w:type="pct"/>
                  <w:tcBorders>
                    <w:tl2br w:val="nil"/>
                    <w:tr2bl w:val="nil"/>
                  </w:tcBorders>
                  <w:noWrap w:val="0"/>
                  <w:vAlign w:val="center"/>
                </w:tcPr>
                <w:p w14:paraId="64CE4044">
                  <w:pPr>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2000</w:t>
                  </w:r>
                </w:p>
              </w:tc>
              <w:tc>
                <w:tcPr>
                  <w:tcW w:w="364" w:type="pct"/>
                  <w:tcBorders>
                    <w:tl2br w:val="nil"/>
                    <w:tr2bl w:val="nil"/>
                  </w:tcBorders>
                  <w:noWrap w:val="0"/>
                  <w:vAlign w:val="center"/>
                </w:tcPr>
                <w:p w14:paraId="057AC7B1">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3.5</w:t>
                  </w:r>
                </w:p>
              </w:tc>
              <w:tc>
                <w:tcPr>
                  <w:tcW w:w="433" w:type="pct"/>
                  <w:tcBorders>
                    <w:tl2br w:val="nil"/>
                    <w:tr2bl w:val="nil"/>
                  </w:tcBorders>
                  <w:noWrap w:val="0"/>
                  <w:vAlign w:val="center"/>
                </w:tcPr>
                <w:p w14:paraId="28359A26">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0.007</w:t>
                  </w:r>
                </w:p>
              </w:tc>
              <w:tc>
                <w:tcPr>
                  <w:tcW w:w="274" w:type="pct"/>
                  <w:vMerge w:val="continue"/>
                  <w:tcBorders>
                    <w:tl2br w:val="nil"/>
                    <w:tr2bl w:val="nil"/>
                  </w:tcBorders>
                  <w:noWrap w:val="0"/>
                  <w:vAlign w:val="center"/>
                </w:tcPr>
                <w:p w14:paraId="59BD1B53">
                  <w:pPr>
                    <w:jc w:val="center"/>
                    <w:rPr>
                      <w:rFonts w:hint="default" w:ascii="Times New Roman" w:hAnsi="Times New Roman" w:cs="Times New Roman"/>
                      <w:color w:val="auto"/>
                      <w:kern w:val="0"/>
                      <w:sz w:val="21"/>
                      <w:szCs w:val="21"/>
                      <w:highlight w:val="none"/>
                    </w:rPr>
                  </w:pPr>
                </w:p>
              </w:tc>
            </w:tr>
            <w:tr w14:paraId="054158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jc w:val="center"/>
              </w:trPr>
              <w:tc>
                <w:tcPr>
                  <w:tcW w:w="423" w:type="pct"/>
                  <w:tcBorders>
                    <w:tl2br w:val="nil"/>
                    <w:tr2bl w:val="nil"/>
                  </w:tcBorders>
                  <w:noWrap w:val="0"/>
                  <w:vAlign w:val="center"/>
                </w:tcPr>
                <w:p w14:paraId="17215F85">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钢筋加工废气</w:t>
                  </w:r>
                </w:p>
              </w:tc>
              <w:tc>
                <w:tcPr>
                  <w:tcW w:w="359" w:type="pct"/>
                  <w:tcBorders>
                    <w:tl2br w:val="nil"/>
                    <w:tr2bl w:val="nil"/>
                  </w:tcBorders>
                  <w:noWrap w:val="0"/>
                  <w:vAlign w:val="center"/>
                </w:tcPr>
                <w:p w14:paraId="0A5064B0">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308" w:type="pct"/>
                  <w:tcBorders>
                    <w:tl2br w:val="nil"/>
                    <w:tr2bl w:val="nil"/>
                  </w:tcBorders>
                  <w:noWrap w:val="0"/>
                  <w:vAlign w:val="center"/>
                </w:tcPr>
                <w:p w14:paraId="6222E741">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系数法</w:t>
                  </w:r>
                </w:p>
              </w:tc>
              <w:tc>
                <w:tcPr>
                  <w:tcW w:w="412" w:type="pct"/>
                  <w:tcBorders>
                    <w:tl2br w:val="nil"/>
                    <w:tr2bl w:val="nil"/>
                  </w:tcBorders>
                  <w:noWrap w:val="0"/>
                  <w:vAlign w:val="center"/>
                </w:tcPr>
                <w:p w14:paraId="28CDFDA1">
                  <w:pPr>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540" w:type="pct"/>
                  <w:tcBorders>
                    <w:tl2br w:val="nil"/>
                    <w:tr2bl w:val="nil"/>
                  </w:tcBorders>
                  <w:noWrap w:val="0"/>
                  <w:vAlign w:val="center"/>
                </w:tcPr>
                <w:p w14:paraId="3CA5DEAB">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85" w:type="pct"/>
                  <w:tcBorders>
                    <w:tl2br w:val="nil"/>
                    <w:tr2bl w:val="nil"/>
                  </w:tcBorders>
                  <w:noWrap w:val="0"/>
                  <w:vAlign w:val="center"/>
                </w:tcPr>
                <w:p w14:paraId="24568BFA">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0.247</w:t>
                  </w:r>
                </w:p>
              </w:tc>
              <w:tc>
                <w:tcPr>
                  <w:tcW w:w="403" w:type="pct"/>
                  <w:tcBorders>
                    <w:tl2br w:val="nil"/>
                    <w:tr2bl w:val="nil"/>
                  </w:tcBorders>
                  <w:noWrap w:val="0"/>
                  <w:vAlign w:val="center"/>
                </w:tcPr>
                <w:p w14:paraId="44E26A5F">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全封闭厂房</w:t>
                  </w:r>
                </w:p>
              </w:tc>
              <w:tc>
                <w:tcPr>
                  <w:tcW w:w="343" w:type="pct"/>
                  <w:tcBorders>
                    <w:tl2br w:val="nil"/>
                    <w:tr2bl w:val="nil"/>
                  </w:tcBorders>
                  <w:noWrap w:val="0"/>
                  <w:vAlign w:val="center"/>
                </w:tcPr>
                <w:p w14:paraId="2470E1D7">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85</w:t>
                  </w:r>
                </w:p>
              </w:tc>
              <w:tc>
                <w:tcPr>
                  <w:tcW w:w="291" w:type="pct"/>
                  <w:tcBorders>
                    <w:tl2br w:val="nil"/>
                    <w:tr2bl w:val="nil"/>
                  </w:tcBorders>
                  <w:noWrap w:val="0"/>
                  <w:vAlign w:val="center"/>
                </w:tcPr>
                <w:p w14:paraId="62BFDC4E">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系数法</w:t>
                  </w:r>
                </w:p>
              </w:tc>
              <w:tc>
                <w:tcPr>
                  <w:tcW w:w="458" w:type="pct"/>
                  <w:tcBorders>
                    <w:tl2br w:val="nil"/>
                    <w:tr2bl w:val="nil"/>
                  </w:tcBorders>
                  <w:noWrap w:val="0"/>
                  <w:vAlign w:val="center"/>
                </w:tcPr>
                <w:p w14:paraId="7D439FB1">
                  <w:pPr>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364" w:type="pct"/>
                  <w:tcBorders>
                    <w:tl2br w:val="nil"/>
                    <w:tr2bl w:val="nil"/>
                  </w:tcBorders>
                  <w:noWrap w:val="0"/>
                  <w:vAlign w:val="center"/>
                </w:tcPr>
                <w:p w14:paraId="31118AF4">
                  <w:pPr>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33" w:type="pct"/>
                  <w:tcBorders>
                    <w:tl2br w:val="nil"/>
                    <w:tr2bl w:val="nil"/>
                  </w:tcBorders>
                  <w:noWrap w:val="0"/>
                  <w:vAlign w:val="center"/>
                </w:tcPr>
                <w:p w14:paraId="74C81085">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0.037</w:t>
                  </w:r>
                </w:p>
              </w:tc>
              <w:tc>
                <w:tcPr>
                  <w:tcW w:w="274" w:type="pct"/>
                  <w:vMerge w:val="continue"/>
                  <w:tcBorders>
                    <w:tl2br w:val="nil"/>
                    <w:tr2bl w:val="nil"/>
                  </w:tcBorders>
                  <w:noWrap w:val="0"/>
                  <w:vAlign w:val="center"/>
                </w:tcPr>
                <w:p w14:paraId="62B4A0E5">
                  <w:pPr>
                    <w:jc w:val="center"/>
                    <w:rPr>
                      <w:rFonts w:hint="default" w:ascii="Times New Roman" w:hAnsi="Times New Roman" w:cs="Times New Roman"/>
                      <w:color w:val="auto"/>
                      <w:kern w:val="0"/>
                      <w:sz w:val="21"/>
                      <w:szCs w:val="21"/>
                      <w:highlight w:val="none"/>
                    </w:rPr>
                  </w:pPr>
                </w:p>
              </w:tc>
            </w:tr>
          </w:tbl>
          <w:p w14:paraId="2DAF296A">
            <w:pPr>
              <w:adjustRightInd w:val="0"/>
              <w:snapToGrid w:val="0"/>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）非正常工况</w:t>
            </w:r>
          </w:p>
          <w:p w14:paraId="14EDD84A">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w:t>
            </w:r>
            <w:r>
              <w:rPr>
                <w:rFonts w:hint="eastAsia" w:cs="Times New Roman"/>
                <w:color w:val="auto"/>
                <w:kern w:val="2"/>
                <w:sz w:val="24"/>
                <w:szCs w:val="24"/>
                <w:highlight w:val="none"/>
                <w:lang w:val="en-US" w:eastAsia="zh-CN" w:bidi="ar-SA"/>
              </w:rPr>
              <w:t>蒸汽发生器</w:t>
            </w:r>
            <w:r>
              <w:rPr>
                <w:rFonts w:hint="eastAsia" w:ascii="Times New Roman" w:hAnsi="Times New Roman" w:eastAsia="宋体" w:cs="Times New Roman"/>
                <w:color w:val="auto"/>
                <w:kern w:val="2"/>
                <w:sz w:val="24"/>
                <w:szCs w:val="24"/>
                <w:highlight w:val="none"/>
                <w:lang w:val="en-US" w:eastAsia="zh-CN" w:bidi="ar-SA"/>
              </w:rPr>
              <w:t>以</w:t>
            </w:r>
            <w:r>
              <w:rPr>
                <w:rFonts w:hint="eastAsia" w:cs="Times New Roman"/>
                <w:color w:val="auto"/>
                <w:kern w:val="2"/>
                <w:sz w:val="24"/>
                <w:szCs w:val="24"/>
                <w:highlight w:val="none"/>
                <w:lang w:val="en-US" w:eastAsia="zh-CN" w:bidi="ar-SA"/>
              </w:rPr>
              <w:t>旋风除尘和布袋除尘器</w:t>
            </w:r>
            <w:r>
              <w:rPr>
                <w:rFonts w:hint="eastAsia" w:ascii="Times New Roman" w:hAnsi="Times New Roman" w:eastAsia="宋体" w:cs="Times New Roman"/>
                <w:color w:val="auto"/>
                <w:kern w:val="2"/>
                <w:sz w:val="24"/>
                <w:szCs w:val="24"/>
                <w:highlight w:val="none"/>
                <w:lang w:val="en-US" w:eastAsia="zh-CN" w:bidi="ar-SA"/>
              </w:rPr>
              <w:t>故障的情况下计算非正常工况，去除效率降低至</w:t>
            </w:r>
            <w:r>
              <w:rPr>
                <w:rFonts w:hint="eastAsia" w:cs="Times New Roman"/>
                <w:color w:val="auto"/>
                <w:kern w:val="2"/>
                <w:sz w:val="24"/>
                <w:szCs w:val="24"/>
                <w:highlight w:val="none"/>
                <w:lang w:val="en-US" w:eastAsia="zh-CN" w:bidi="ar-SA"/>
              </w:rPr>
              <w:t>80%</w:t>
            </w:r>
            <w:r>
              <w:rPr>
                <w:rFonts w:hint="eastAsia" w:ascii="Times New Roman" w:hAnsi="Times New Roman" w:eastAsia="宋体" w:cs="Times New Roman"/>
                <w:color w:val="auto"/>
                <w:kern w:val="2"/>
                <w:sz w:val="24"/>
                <w:szCs w:val="24"/>
                <w:highlight w:val="none"/>
                <w:lang w:val="en-US" w:eastAsia="zh-CN" w:bidi="ar-SA"/>
              </w:rPr>
              <w:t>考虑。</w:t>
            </w:r>
            <w:r>
              <w:rPr>
                <w:rFonts w:hint="default" w:ascii="Times New Roman" w:hAnsi="Times New Roman" w:eastAsia="宋体" w:cs="Times New Roman"/>
                <w:color w:val="auto"/>
                <w:kern w:val="2"/>
                <w:sz w:val="24"/>
                <w:szCs w:val="24"/>
                <w:highlight w:val="none"/>
                <w:lang w:val="en-US" w:eastAsia="zh-CN" w:bidi="ar-SA"/>
              </w:rPr>
              <w:t>本项目年运行</w:t>
            </w:r>
            <w:r>
              <w:rPr>
                <w:rFonts w:hint="eastAsia" w:cs="Times New Roman"/>
                <w:color w:val="auto"/>
                <w:kern w:val="2"/>
                <w:sz w:val="24"/>
                <w:szCs w:val="24"/>
                <w:highlight w:val="none"/>
                <w:lang w:val="en-US" w:eastAsia="zh-CN" w:bidi="ar-SA"/>
              </w:rPr>
              <w:t>1890h</w:t>
            </w:r>
            <w:r>
              <w:rPr>
                <w:rFonts w:hint="default" w:ascii="Times New Roman" w:hAnsi="Times New Roman" w:eastAsia="宋体" w:cs="Times New Roman"/>
                <w:color w:val="auto"/>
                <w:kern w:val="2"/>
                <w:sz w:val="24"/>
                <w:szCs w:val="24"/>
                <w:highlight w:val="none"/>
                <w:lang w:val="en-US" w:eastAsia="zh-CN" w:bidi="ar-SA"/>
              </w:rPr>
              <w:t>，每次污染物非正常排放情况发生时间不超过1小时，每年发生次数不超过</w:t>
            </w:r>
            <w:r>
              <w:rPr>
                <w:rFonts w:hint="eastAsia"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次。</w:t>
            </w:r>
          </w:p>
          <w:p w14:paraId="3DFE7CC9">
            <w:pPr>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大气污染物源强非正常排放核算下表。</w:t>
            </w:r>
          </w:p>
          <w:p w14:paraId="2B0483E2">
            <w:pPr>
              <w:pStyle w:val="100"/>
              <w:spacing w:line="240" w:lineRule="auto"/>
              <w:rPr>
                <w:rFonts w:eastAsia="宋体"/>
                <w:b/>
                <w:bCs/>
                <w:sz w:val="24"/>
                <w:szCs w:val="24"/>
                <w:highlight w:val="none"/>
              </w:rPr>
            </w:pPr>
            <w:r>
              <w:rPr>
                <w:rFonts w:hint="eastAsia" w:eastAsia="宋体"/>
                <w:b/>
                <w:bCs/>
                <w:sz w:val="24"/>
                <w:szCs w:val="24"/>
                <w:highlight w:val="none"/>
              </w:rPr>
              <w:t>表4-</w:t>
            </w:r>
            <w:r>
              <w:rPr>
                <w:rFonts w:hint="eastAsia" w:eastAsia="宋体"/>
                <w:b/>
                <w:bCs/>
                <w:sz w:val="24"/>
                <w:szCs w:val="24"/>
                <w:highlight w:val="none"/>
                <w:lang w:val="en-US" w:eastAsia="zh-CN"/>
              </w:rPr>
              <w:t>2</w:t>
            </w:r>
            <w:r>
              <w:rPr>
                <w:rFonts w:hint="eastAsia" w:eastAsia="宋体"/>
                <w:b/>
                <w:bCs/>
                <w:sz w:val="24"/>
                <w:szCs w:val="24"/>
                <w:highlight w:val="none"/>
              </w:rPr>
              <w:t xml:space="preserve"> 污染源非正常排放核算表</w:t>
            </w:r>
          </w:p>
          <w:tbl>
            <w:tblPr>
              <w:tblStyle w:val="3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221"/>
              <w:gridCol w:w="1333"/>
              <w:gridCol w:w="893"/>
              <w:gridCol w:w="1575"/>
              <w:gridCol w:w="1243"/>
              <w:gridCol w:w="863"/>
              <w:gridCol w:w="812"/>
            </w:tblGrid>
            <w:tr w14:paraId="1330A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768" w:type="pct"/>
                  <w:tcBorders>
                    <w:tl2br w:val="nil"/>
                    <w:tr2bl w:val="nil"/>
                  </w:tcBorders>
                  <w:vAlign w:val="center"/>
                </w:tcPr>
                <w:p w14:paraId="75D8DA2F">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污染源</w:t>
                  </w:r>
                </w:p>
              </w:tc>
              <w:tc>
                <w:tcPr>
                  <w:tcW w:w="839" w:type="pct"/>
                  <w:tcBorders>
                    <w:tl2br w:val="nil"/>
                    <w:tr2bl w:val="nil"/>
                  </w:tcBorders>
                  <w:vAlign w:val="center"/>
                </w:tcPr>
                <w:p w14:paraId="264C1167">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非正常排放原因</w:t>
                  </w:r>
                </w:p>
              </w:tc>
              <w:tc>
                <w:tcPr>
                  <w:tcW w:w="562" w:type="pct"/>
                  <w:tcBorders>
                    <w:tl2br w:val="nil"/>
                    <w:tr2bl w:val="nil"/>
                  </w:tcBorders>
                  <w:vAlign w:val="center"/>
                </w:tcPr>
                <w:p w14:paraId="0813FDA5">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污染物</w:t>
                  </w:r>
                </w:p>
              </w:tc>
              <w:tc>
                <w:tcPr>
                  <w:tcW w:w="991" w:type="pct"/>
                  <w:tcBorders>
                    <w:tl2br w:val="nil"/>
                    <w:tr2bl w:val="nil"/>
                  </w:tcBorders>
                  <w:vAlign w:val="center"/>
                </w:tcPr>
                <w:p w14:paraId="45356CB2">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非正常排放浓度（mg/m</w:t>
                  </w:r>
                  <w:r>
                    <w:rPr>
                      <w:rFonts w:hint="eastAsia" w:ascii="Times New Roman" w:hAnsi="Times New Roman" w:cs="Times New Roman"/>
                      <w:color w:val="auto"/>
                      <w:kern w:val="0"/>
                      <w:sz w:val="21"/>
                      <w:szCs w:val="21"/>
                      <w:highlight w:val="none"/>
                      <w:vertAlign w:val="superscript"/>
                    </w:rPr>
                    <w:t>3</w:t>
                  </w:r>
                  <w:r>
                    <w:rPr>
                      <w:rFonts w:hint="eastAsia" w:ascii="Times New Roman" w:hAnsi="Times New Roman" w:cs="Times New Roman"/>
                      <w:color w:val="auto"/>
                      <w:kern w:val="0"/>
                      <w:sz w:val="21"/>
                      <w:szCs w:val="21"/>
                      <w:highlight w:val="none"/>
                    </w:rPr>
                    <w:t>）</w:t>
                  </w:r>
                </w:p>
              </w:tc>
              <w:tc>
                <w:tcPr>
                  <w:tcW w:w="782" w:type="pct"/>
                  <w:tcBorders>
                    <w:tl2br w:val="nil"/>
                    <w:tr2bl w:val="nil"/>
                  </w:tcBorders>
                  <w:vAlign w:val="center"/>
                </w:tcPr>
                <w:p w14:paraId="7B533D12">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单次持续时间（h）</w:t>
                  </w:r>
                </w:p>
              </w:tc>
              <w:tc>
                <w:tcPr>
                  <w:tcW w:w="543" w:type="pct"/>
                  <w:tcBorders>
                    <w:tl2br w:val="nil"/>
                    <w:tr2bl w:val="nil"/>
                  </w:tcBorders>
                  <w:vAlign w:val="center"/>
                </w:tcPr>
                <w:p w14:paraId="1B04A649">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年发生频次</w:t>
                  </w:r>
                </w:p>
              </w:tc>
              <w:tc>
                <w:tcPr>
                  <w:tcW w:w="511" w:type="pct"/>
                  <w:tcBorders>
                    <w:tl2br w:val="nil"/>
                    <w:tr2bl w:val="nil"/>
                  </w:tcBorders>
                  <w:vAlign w:val="center"/>
                </w:tcPr>
                <w:p w14:paraId="2E5EC982">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应对措施</w:t>
                  </w:r>
                </w:p>
              </w:tc>
            </w:tr>
            <w:tr w14:paraId="4A53CD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768" w:type="pct"/>
                  <w:tcBorders>
                    <w:tl2br w:val="nil"/>
                    <w:tr2bl w:val="nil"/>
                  </w:tcBorders>
                  <w:vAlign w:val="center"/>
                </w:tcPr>
                <w:p w14:paraId="0C368EE3">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蒸汽发生器</w:t>
                  </w:r>
                  <w:r>
                    <w:rPr>
                      <w:rFonts w:hint="eastAsia" w:ascii="Times New Roman" w:hAnsi="Times New Roman" w:cs="Times New Roman"/>
                      <w:color w:val="auto"/>
                      <w:kern w:val="0"/>
                      <w:sz w:val="21"/>
                      <w:szCs w:val="21"/>
                      <w:highlight w:val="none"/>
                    </w:rPr>
                    <w:t>（DA001）</w:t>
                  </w:r>
                </w:p>
              </w:tc>
              <w:tc>
                <w:tcPr>
                  <w:tcW w:w="839" w:type="pct"/>
                  <w:tcBorders>
                    <w:tl2br w:val="nil"/>
                    <w:tr2bl w:val="nil"/>
                  </w:tcBorders>
                  <w:vAlign w:val="center"/>
                </w:tcPr>
                <w:p w14:paraId="7329C9F8">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旋风除尘+布袋除尘器</w:t>
                  </w:r>
                  <w:r>
                    <w:rPr>
                      <w:rFonts w:hint="eastAsia" w:ascii="Times New Roman" w:hAnsi="Times New Roman" w:cs="Times New Roman"/>
                      <w:color w:val="auto"/>
                      <w:kern w:val="0"/>
                      <w:sz w:val="21"/>
                      <w:szCs w:val="21"/>
                      <w:highlight w:val="none"/>
                    </w:rPr>
                    <w:t>故障，去除效率降低至</w:t>
                  </w:r>
                  <w:r>
                    <w:rPr>
                      <w:rFonts w:hint="eastAsia" w:cs="Times New Roman"/>
                      <w:color w:val="auto"/>
                      <w:kern w:val="0"/>
                      <w:sz w:val="21"/>
                      <w:szCs w:val="21"/>
                      <w:highlight w:val="none"/>
                      <w:lang w:val="en-US" w:eastAsia="zh-CN"/>
                    </w:rPr>
                    <w:t>80%</w:t>
                  </w:r>
                </w:p>
              </w:tc>
              <w:tc>
                <w:tcPr>
                  <w:tcW w:w="562" w:type="pct"/>
                  <w:tcBorders>
                    <w:tl2br w:val="nil"/>
                    <w:tr2bl w:val="nil"/>
                  </w:tcBorders>
                  <w:vAlign w:val="center"/>
                </w:tcPr>
                <w:p w14:paraId="3C0022E6">
                  <w:pPr>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颗粒物</w:t>
                  </w:r>
                </w:p>
              </w:tc>
              <w:tc>
                <w:tcPr>
                  <w:tcW w:w="991" w:type="pct"/>
                  <w:tcBorders>
                    <w:tl2br w:val="nil"/>
                    <w:tr2bl w:val="nil"/>
                  </w:tcBorders>
                  <w:vAlign w:val="center"/>
                </w:tcPr>
                <w:p w14:paraId="00884015">
                  <w:pPr>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2158</w:t>
                  </w:r>
                </w:p>
              </w:tc>
              <w:tc>
                <w:tcPr>
                  <w:tcW w:w="782" w:type="pct"/>
                  <w:tcBorders>
                    <w:tl2br w:val="nil"/>
                    <w:tr2bl w:val="nil"/>
                  </w:tcBorders>
                  <w:vAlign w:val="center"/>
                </w:tcPr>
                <w:p w14:paraId="48DD7044">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≤1</w:t>
                  </w:r>
                </w:p>
              </w:tc>
              <w:tc>
                <w:tcPr>
                  <w:tcW w:w="543" w:type="pct"/>
                  <w:tcBorders>
                    <w:tl2br w:val="nil"/>
                    <w:tr2bl w:val="nil"/>
                  </w:tcBorders>
                  <w:vAlign w:val="center"/>
                </w:tcPr>
                <w:p w14:paraId="2C741A8D">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≤2次</w:t>
                  </w:r>
                </w:p>
              </w:tc>
              <w:tc>
                <w:tcPr>
                  <w:tcW w:w="511" w:type="pct"/>
                  <w:tcBorders>
                    <w:tl2br w:val="nil"/>
                    <w:tr2bl w:val="nil"/>
                  </w:tcBorders>
                  <w:vAlign w:val="center"/>
                </w:tcPr>
                <w:p w14:paraId="745A34D2">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加强日常检修</w:t>
                  </w:r>
                </w:p>
              </w:tc>
            </w:tr>
            <w:tr w14:paraId="19652A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768" w:type="pct"/>
                  <w:tcBorders>
                    <w:tl2br w:val="nil"/>
                    <w:tr2bl w:val="nil"/>
                  </w:tcBorders>
                  <w:vAlign w:val="center"/>
                </w:tcPr>
                <w:p w14:paraId="5BB8912E">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水泥筒仓（DA002）</w:t>
                  </w:r>
                </w:p>
              </w:tc>
              <w:tc>
                <w:tcPr>
                  <w:tcW w:w="839" w:type="pct"/>
                  <w:tcBorders>
                    <w:tl2br w:val="nil"/>
                    <w:tr2bl w:val="nil"/>
                  </w:tcBorders>
                  <w:vAlign w:val="center"/>
                </w:tcPr>
                <w:p w14:paraId="6B3E3CDD">
                  <w:pPr>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布袋除尘器</w:t>
                  </w:r>
                  <w:r>
                    <w:rPr>
                      <w:rFonts w:hint="eastAsia" w:ascii="Times New Roman" w:hAnsi="Times New Roman" w:cs="Times New Roman"/>
                      <w:color w:val="auto"/>
                      <w:kern w:val="0"/>
                      <w:sz w:val="21"/>
                      <w:szCs w:val="21"/>
                      <w:highlight w:val="none"/>
                    </w:rPr>
                    <w:t>故障，去除效率降低至</w:t>
                  </w:r>
                  <w:r>
                    <w:rPr>
                      <w:rFonts w:hint="eastAsia" w:cs="Times New Roman"/>
                      <w:color w:val="auto"/>
                      <w:kern w:val="0"/>
                      <w:sz w:val="21"/>
                      <w:szCs w:val="21"/>
                      <w:highlight w:val="none"/>
                      <w:lang w:val="en-US" w:eastAsia="zh-CN"/>
                    </w:rPr>
                    <w:t>80%</w:t>
                  </w:r>
                </w:p>
              </w:tc>
              <w:tc>
                <w:tcPr>
                  <w:tcW w:w="562" w:type="pct"/>
                  <w:tcBorders>
                    <w:tl2br w:val="nil"/>
                    <w:tr2bl w:val="nil"/>
                  </w:tcBorders>
                  <w:vAlign w:val="center"/>
                </w:tcPr>
                <w:p w14:paraId="08B3ACB7">
                  <w:pPr>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颗粒物</w:t>
                  </w:r>
                </w:p>
              </w:tc>
              <w:tc>
                <w:tcPr>
                  <w:tcW w:w="991" w:type="pct"/>
                  <w:tcBorders>
                    <w:tl2br w:val="nil"/>
                    <w:tr2bl w:val="nil"/>
                  </w:tcBorders>
                  <w:vAlign w:val="center"/>
                </w:tcPr>
                <w:p w14:paraId="35962A9F">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233.334</w:t>
                  </w:r>
                </w:p>
              </w:tc>
              <w:tc>
                <w:tcPr>
                  <w:tcW w:w="1243" w:type="dxa"/>
                  <w:tcBorders>
                    <w:tl2br w:val="nil"/>
                    <w:tr2bl w:val="nil"/>
                  </w:tcBorders>
                  <w:vAlign w:val="center"/>
                </w:tcPr>
                <w:p w14:paraId="6717CEBE">
                  <w:pPr>
                    <w:jc w:val="center"/>
                    <w:rPr>
                      <w:rFonts w:hint="eastAsia"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≤1</w:t>
                  </w:r>
                </w:p>
              </w:tc>
              <w:tc>
                <w:tcPr>
                  <w:tcW w:w="863" w:type="dxa"/>
                  <w:tcBorders>
                    <w:tl2br w:val="nil"/>
                    <w:tr2bl w:val="nil"/>
                  </w:tcBorders>
                  <w:vAlign w:val="center"/>
                </w:tcPr>
                <w:p w14:paraId="28DBC293">
                  <w:pPr>
                    <w:jc w:val="center"/>
                    <w:rPr>
                      <w:rFonts w:hint="eastAsia"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≤2次</w:t>
                  </w:r>
                </w:p>
              </w:tc>
              <w:tc>
                <w:tcPr>
                  <w:tcW w:w="812" w:type="dxa"/>
                  <w:tcBorders>
                    <w:tl2br w:val="nil"/>
                    <w:tr2bl w:val="nil"/>
                  </w:tcBorders>
                  <w:vAlign w:val="center"/>
                </w:tcPr>
                <w:p w14:paraId="7D7ECE28">
                  <w:pPr>
                    <w:jc w:val="center"/>
                    <w:rPr>
                      <w:rFonts w:hint="eastAsia"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加强日常检修</w:t>
                  </w:r>
                </w:p>
              </w:tc>
            </w:tr>
            <w:tr w14:paraId="53D96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768" w:type="pct"/>
                  <w:tcBorders>
                    <w:tl2br w:val="nil"/>
                    <w:tr2bl w:val="nil"/>
                  </w:tcBorders>
                  <w:vAlign w:val="center"/>
                </w:tcPr>
                <w:p w14:paraId="688629E6">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水泥筒仓（DA003）</w:t>
                  </w:r>
                </w:p>
              </w:tc>
              <w:tc>
                <w:tcPr>
                  <w:tcW w:w="839" w:type="pct"/>
                  <w:tcBorders>
                    <w:tl2br w:val="nil"/>
                    <w:tr2bl w:val="nil"/>
                  </w:tcBorders>
                  <w:vAlign w:val="center"/>
                </w:tcPr>
                <w:p w14:paraId="27DDB762">
                  <w:pPr>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布袋除尘器</w:t>
                  </w:r>
                  <w:r>
                    <w:rPr>
                      <w:rFonts w:hint="eastAsia" w:ascii="Times New Roman" w:hAnsi="Times New Roman" w:cs="Times New Roman"/>
                      <w:color w:val="auto"/>
                      <w:kern w:val="0"/>
                      <w:sz w:val="21"/>
                      <w:szCs w:val="21"/>
                      <w:highlight w:val="none"/>
                    </w:rPr>
                    <w:t>故障，去除效率降低至</w:t>
                  </w:r>
                  <w:r>
                    <w:rPr>
                      <w:rFonts w:hint="eastAsia" w:cs="Times New Roman"/>
                      <w:color w:val="auto"/>
                      <w:kern w:val="0"/>
                      <w:sz w:val="21"/>
                      <w:szCs w:val="21"/>
                      <w:highlight w:val="none"/>
                      <w:lang w:val="en-US" w:eastAsia="zh-CN"/>
                    </w:rPr>
                    <w:t>80%</w:t>
                  </w:r>
                </w:p>
              </w:tc>
              <w:tc>
                <w:tcPr>
                  <w:tcW w:w="562" w:type="pct"/>
                  <w:tcBorders>
                    <w:tl2br w:val="nil"/>
                    <w:tr2bl w:val="nil"/>
                  </w:tcBorders>
                  <w:vAlign w:val="center"/>
                </w:tcPr>
                <w:p w14:paraId="58A141AE">
                  <w:pPr>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颗粒物</w:t>
                  </w:r>
                </w:p>
              </w:tc>
              <w:tc>
                <w:tcPr>
                  <w:tcW w:w="991" w:type="pct"/>
                  <w:tcBorders>
                    <w:tl2br w:val="nil"/>
                    <w:tr2bl w:val="nil"/>
                  </w:tcBorders>
                  <w:vAlign w:val="center"/>
                </w:tcPr>
                <w:p w14:paraId="0F209704">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233.334</w:t>
                  </w:r>
                </w:p>
              </w:tc>
              <w:tc>
                <w:tcPr>
                  <w:tcW w:w="1243" w:type="dxa"/>
                  <w:tcBorders>
                    <w:tl2br w:val="nil"/>
                    <w:tr2bl w:val="nil"/>
                  </w:tcBorders>
                  <w:vAlign w:val="center"/>
                </w:tcPr>
                <w:p w14:paraId="45727A1B">
                  <w:pPr>
                    <w:jc w:val="center"/>
                    <w:rPr>
                      <w:rFonts w:hint="eastAsia"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≤1</w:t>
                  </w:r>
                </w:p>
              </w:tc>
              <w:tc>
                <w:tcPr>
                  <w:tcW w:w="863" w:type="dxa"/>
                  <w:tcBorders>
                    <w:tl2br w:val="nil"/>
                    <w:tr2bl w:val="nil"/>
                  </w:tcBorders>
                  <w:vAlign w:val="center"/>
                </w:tcPr>
                <w:p w14:paraId="45F9345C">
                  <w:pPr>
                    <w:jc w:val="center"/>
                    <w:rPr>
                      <w:rFonts w:hint="eastAsia"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≤2次</w:t>
                  </w:r>
                </w:p>
              </w:tc>
              <w:tc>
                <w:tcPr>
                  <w:tcW w:w="812" w:type="dxa"/>
                  <w:tcBorders>
                    <w:tl2br w:val="nil"/>
                    <w:tr2bl w:val="nil"/>
                  </w:tcBorders>
                  <w:vAlign w:val="center"/>
                </w:tcPr>
                <w:p w14:paraId="1E81A571">
                  <w:pPr>
                    <w:jc w:val="center"/>
                    <w:rPr>
                      <w:rFonts w:hint="eastAsia"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加强日常检修</w:t>
                  </w:r>
                </w:p>
              </w:tc>
            </w:tr>
            <w:tr w14:paraId="6E8B6E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768" w:type="pct"/>
                  <w:tcBorders>
                    <w:tl2br w:val="nil"/>
                    <w:tr2bl w:val="nil"/>
                  </w:tcBorders>
                  <w:vAlign w:val="center"/>
                </w:tcPr>
                <w:p w14:paraId="514E7FDE">
                  <w:pPr>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粉煤灰仓</w:t>
                  </w:r>
                </w:p>
                <w:p w14:paraId="5A217914">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（DA004）</w:t>
                  </w:r>
                </w:p>
              </w:tc>
              <w:tc>
                <w:tcPr>
                  <w:tcW w:w="839" w:type="pct"/>
                  <w:tcBorders>
                    <w:tl2br w:val="nil"/>
                    <w:tr2bl w:val="nil"/>
                  </w:tcBorders>
                  <w:vAlign w:val="center"/>
                </w:tcPr>
                <w:p w14:paraId="7DB483D8">
                  <w:pPr>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布袋除尘器</w:t>
                  </w:r>
                  <w:r>
                    <w:rPr>
                      <w:rFonts w:hint="eastAsia" w:ascii="Times New Roman" w:hAnsi="Times New Roman" w:cs="Times New Roman"/>
                      <w:color w:val="auto"/>
                      <w:kern w:val="0"/>
                      <w:sz w:val="21"/>
                      <w:szCs w:val="21"/>
                      <w:highlight w:val="none"/>
                    </w:rPr>
                    <w:t>故障，去除效率降低至</w:t>
                  </w:r>
                  <w:r>
                    <w:rPr>
                      <w:rFonts w:hint="eastAsia" w:cs="Times New Roman"/>
                      <w:color w:val="auto"/>
                      <w:kern w:val="0"/>
                      <w:sz w:val="21"/>
                      <w:szCs w:val="21"/>
                      <w:highlight w:val="none"/>
                      <w:lang w:val="en-US" w:eastAsia="zh-CN"/>
                    </w:rPr>
                    <w:t>80%</w:t>
                  </w:r>
                </w:p>
              </w:tc>
              <w:tc>
                <w:tcPr>
                  <w:tcW w:w="562" w:type="pct"/>
                  <w:tcBorders>
                    <w:tl2br w:val="nil"/>
                    <w:tr2bl w:val="nil"/>
                  </w:tcBorders>
                  <w:vAlign w:val="center"/>
                </w:tcPr>
                <w:p w14:paraId="6C1A0413">
                  <w:pPr>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颗粒物</w:t>
                  </w:r>
                </w:p>
              </w:tc>
              <w:tc>
                <w:tcPr>
                  <w:tcW w:w="991" w:type="pct"/>
                  <w:tcBorders>
                    <w:tl2br w:val="nil"/>
                    <w:tr2bl w:val="nil"/>
                  </w:tcBorders>
                  <w:vAlign w:val="center"/>
                </w:tcPr>
                <w:p w14:paraId="60E0124F">
                  <w:pPr>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233.334</w:t>
                  </w:r>
                </w:p>
              </w:tc>
              <w:tc>
                <w:tcPr>
                  <w:tcW w:w="1243" w:type="dxa"/>
                  <w:tcBorders>
                    <w:tl2br w:val="nil"/>
                    <w:tr2bl w:val="nil"/>
                  </w:tcBorders>
                  <w:vAlign w:val="center"/>
                </w:tcPr>
                <w:p w14:paraId="56437B56">
                  <w:pPr>
                    <w:jc w:val="center"/>
                    <w:rPr>
                      <w:rFonts w:hint="eastAsia"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≤1</w:t>
                  </w:r>
                </w:p>
              </w:tc>
              <w:tc>
                <w:tcPr>
                  <w:tcW w:w="863" w:type="dxa"/>
                  <w:tcBorders>
                    <w:tl2br w:val="nil"/>
                    <w:tr2bl w:val="nil"/>
                  </w:tcBorders>
                  <w:vAlign w:val="center"/>
                </w:tcPr>
                <w:p w14:paraId="507D4482">
                  <w:pPr>
                    <w:jc w:val="center"/>
                    <w:rPr>
                      <w:rFonts w:hint="eastAsia"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≤2次</w:t>
                  </w:r>
                </w:p>
              </w:tc>
              <w:tc>
                <w:tcPr>
                  <w:tcW w:w="812" w:type="dxa"/>
                  <w:tcBorders>
                    <w:tl2br w:val="nil"/>
                    <w:tr2bl w:val="nil"/>
                  </w:tcBorders>
                  <w:vAlign w:val="center"/>
                </w:tcPr>
                <w:p w14:paraId="71099A9E">
                  <w:pPr>
                    <w:jc w:val="center"/>
                    <w:rPr>
                      <w:rFonts w:hint="eastAsia"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rPr>
                    <w:t>加强日常检修</w:t>
                  </w:r>
                </w:p>
              </w:tc>
            </w:tr>
            <w:bookmarkEnd w:id="33"/>
            <w:bookmarkEnd w:id="34"/>
          </w:tbl>
          <w:p w14:paraId="1A37032F">
            <w:pPr>
              <w:adjustRightInd w:val="0"/>
              <w:snapToGrid w:val="0"/>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w:t>
            </w:r>
            <w:r>
              <w:rPr>
                <w:rFonts w:hint="eastAsia" w:cs="Times New Roman"/>
                <w:bCs/>
                <w:color w:val="auto"/>
                <w:sz w:val="24"/>
                <w:szCs w:val="24"/>
                <w:highlight w:val="none"/>
                <w:lang w:val="en-US" w:eastAsia="zh-CN"/>
              </w:rPr>
              <w:t>4</w:t>
            </w:r>
            <w:r>
              <w:rPr>
                <w:rFonts w:hint="default" w:ascii="Times New Roman" w:hAnsi="Times New Roman" w:cs="Times New Roman"/>
                <w:bCs/>
                <w:color w:val="auto"/>
                <w:sz w:val="24"/>
                <w:szCs w:val="24"/>
                <w:highlight w:val="none"/>
              </w:rPr>
              <w:t>）排放口基本情况</w:t>
            </w:r>
          </w:p>
          <w:p w14:paraId="692E2A37">
            <w:pPr>
              <w:adjustRightInd w:val="0"/>
              <w:snapToGrid w:val="0"/>
              <w:jc w:val="center"/>
              <w:rPr>
                <w:rFonts w:hint="default" w:ascii="Times New Roman" w:hAnsi="Times New Roman" w:cs="Times New Roman"/>
                <w:b/>
                <w:color w:val="auto"/>
                <w:spacing w:val="-10"/>
                <w:sz w:val="24"/>
                <w:szCs w:val="24"/>
                <w:highlight w:val="none"/>
              </w:rPr>
            </w:pPr>
            <w:r>
              <w:rPr>
                <w:rFonts w:hint="default" w:ascii="Times New Roman" w:hAnsi="Times New Roman" w:cs="Times New Roman"/>
                <w:b/>
                <w:color w:val="auto"/>
                <w:sz w:val="24"/>
                <w:szCs w:val="24"/>
                <w:highlight w:val="none"/>
              </w:rPr>
              <w:t>表4-3  排放口基本情况表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34"/>
              <w:gridCol w:w="535"/>
              <w:gridCol w:w="1191"/>
              <w:gridCol w:w="1261"/>
              <w:gridCol w:w="682"/>
              <w:gridCol w:w="834"/>
              <w:gridCol w:w="722"/>
              <w:gridCol w:w="510"/>
              <w:gridCol w:w="1677"/>
            </w:tblGrid>
            <w:tr w14:paraId="5B43F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336" w:type="pct"/>
                  <w:vMerge w:val="restart"/>
                  <w:tcBorders>
                    <w:tl2br w:val="nil"/>
                    <w:tr2bl w:val="nil"/>
                  </w:tcBorders>
                  <w:noWrap w:val="0"/>
                  <w:vAlign w:val="center"/>
                </w:tcPr>
                <w:p w14:paraId="35E99989">
                  <w:pPr>
                    <w:jc w:val="center"/>
                    <w:rPr>
                      <w:rFonts w:hint="default" w:ascii="Times New Roman" w:hAnsi="Times New Roman" w:cs="Times New Roman"/>
                      <w:color w:val="auto"/>
                      <w:sz w:val="21"/>
                      <w:szCs w:val="21"/>
                      <w:highlight w:val="none"/>
                    </w:rPr>
                  </w:pPr>
                  <w:bookmarkStart w:id="35" w:name="BIAO6DQJB"/>
                  <w:bookmarkEnd w:id="35"/>
                  <w:r>
                    <w:rPr>
                      <w:rFonts w:hint="default" w:ascii="Times New Roman" w:hAnsi="Times New Roman" w:cs="Times New Roman"/>
                      <w:color w:val="auto"/>
                      <w:sz w:val="21"/>
                      <w:szCs w:val="21"/>
                      <w:highlight w:val="none"/>
                    </w:rPr>
                    <w:t>排放口编号</w:t>
                  </w:r>
                </w:p>
              </w:tc>
              <w:tc>
                <w:tcPr>
                  <w:tcW w:w="336" w:type="pct"/>
                  <w:vMerge w:val="restart"/>
                  <w:tcBorders>
                    <w:tl2br w:val="nil"/>
                    <w:tr2bl w:val="nil"/>
                  </w:tcBorders>
                  <w:noWrap w:val="0"/>
                  <w:vAlign w:val="center"/>
                </w:tcPr>
                <w:p w14:paraId="1C614159">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排放口名称</w:t>
                  </w:r>
                </w:p>
              </w:tc>
              <w:tc>
                <w:tcPr>
                  <w:tcW w:w="1542" w:type="pct"/>
                  <w:gridSpan w:val="2"/>
                  <w:tcBorders>
                    <w:tl2br w:val="nil"/>
                    <w:tr2bl w:val="nil"/>
                  </w:tcBorders>
                  <w:noWrap w:val="0"/>
                  <w:vAlign w:val="center"/>
                </w:tcPr>
                <w:p w14:paraId="4737C574">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排放口地理坐标</w:t>
                  </w:r>
                </w:p>
              </w:tc>
              <w:tc>
                <w:tcPr>
                  <w:tcW w:w="429" w:type="pct"/>
                  <w:vMerge w:val="restart"/>
                  <w:tcBorders>
                    <w:tl2br w:val="nil"/>
                    <w:tr2bl w:val="nil"/>
                  </w:tcBorders>
                  <w:noWrap w:val="0"/>
                  <w:vAlign w:val="center"/>
                </w:tcPr>
                <w:p w14:paraId="54BF3293">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排气筒高度（m）</w:t>
                  </w:r>
                </w:p>
              </w:tc>
              <w:tc>
                <w:tcPr>
                  <w:tcW w:w="524" w:type="pct"/>
                  <w:vMerge w:val="restart"/>
                  <w:tcBorders>
                    <w:tl2br w:val="nil"/>
                    <w:tr2bl w:val="nil"/>
                  </w:tcBorders>
                  <w:noWrap w:val="0"/>
                  <w:vAlign w:val="center"/>
                </w:tcPr>
                <w:p w14:paraId="75B176CE">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排气筒出口内径（m）</w:t>
                  </w:r>
                </w:p>
              </w:tc>
              <w:tc>
                <w:tcPr>
                  <w:tcW w:w="454" w:type="pct"/>
                  <w:vMerge w:val="restart"/>
                  <w:tcBorders>
                    <w:tl2br w:val="nil"/>
                    <w:tr2bl w:val="nil"/>
                  </w:tcBorders>
                  <w:noWrap w:val="0"/>
                  <w:vAlign w:val="center"/>
                </w:tcPr>
                <w:p w14:paraId="6D801DC7">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排气温度（℃）</w:t>
                  </w:r>
                </w:p>
              </w:tc>
              <w:tc>
                <w:tcPr>
                  <w:tcW w:w="320" w:type="pct"/>
                  <w:vMerge w:val="restart"/>
                  <w:tcBorders>
                    <w:tl2br w:val="nil"/>
                    <w:tr2bl w:val="nil"/>
                  </w:tcBorders>
                  <w:noWrap w:val="0"/>
                  <w:vAlign w:val="center"/>
                </w:tcPr>
                <w:p w14:paraId="0F95C737">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类型</w:t>
                  </w:r>
                </w:p>
              </w:tc>
              <w:tc>
                <w:tcPr>
                  <w:tcW w:w="1055" w:type="pct"/>
                  <w:vMerge w:val="restart"/>
                  <w:tcBorders>
                    <w:tl2br w:val="nil"/>
                    <w:tr2bl w:val="nil"/>
                  </w:tcBorders>
                  <w:noWrap w:val="0"/>
                  <w:vAlign w:val="center"/>
                </w:tcPr>
                <w:p w14:paraId="40CFB029">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执行标准</w:t>
                  </w:r>
                </w:p>
              </w:tc>
            </w:tr>
            <w:tr w14:paraId="2193AA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336" w:type="pct"/>
                  <w:vMerge w:val="continue"/>
                  <w:tcBorders>
                    <w:tl2br w:val="nil"/>
                    <w:tr2bl w:val="nil"/>
                  </w:tcBorders>
                  <w:noWrap w:val="0"/>
                  <w:vAlign w:val="center"/>
                </w:tcPr>
                <w:p w14:paraId="4F36D76B">
                  <w:pPr>
                    <w:jc w:val="center"/>
                    <w:rPr>
                      <w:rFonts w:hint="default" w:ascii="Times New Roman" w:hAnsi="Times New Roman" w:cs="Times New Roman"/>
                      <w:color w:val="auto"/>
                      <w:sz w:val="21"/>
                      <w:szCs w:val="21"/>
                      <w:highlight w:val="none"/>
                    </w:rPr>
                  </w:pPr>
                </w:p>
              </w:tc>
              <w:tc>
                <w:tcPr>
                  <w:tcW w:w="336" w:type="pct"/>
                  <w:vMerge w:val="continue"/>
                  <w:tcBorders>
                    <w:tl2br w:val="nil"/>
                    <w:tr2bl w:val="nil"/>
                  </w:tcBorders>
                  <w:noWrap w:val="0"/>
                  <w:vAlign w:val="center"/>
                </w:tcPr>
                <w:p w14:paraId="38DC71D2">
                  <w:pPr>
                    <w:jc w:val="center"/>
                    <w:rPr>
                      <w:rFonts w:hint="default" w:ascii="Times New Roman" w:hAnsi="Times New Roman" w:cs="Times New Roman"/>
                      <w:color w:val="auto"/>
                      <w:sz w:val="21"/>
                      <w:szCs w:val="21"/>
                      <w:highlight w:val="none"/>
                    </w:rPr>
                  </w:pPr>
                </w:p>
              </w:tc>
              <w:tc>
                <w:tcPr>
                  <w:tcW w:w="749" w:type="pct"/>
                  <w:tcBorders>
                    <w:tl2br w:val="nil"/>
                    <w:tr2bl w:val="nil"/>
                  </w:tcBorders>
                  <w:noWrap w:val="0"/>
                  <w:vAlign w:val="center"/>
                </w:tcPr>
                <w:p w14:paraId="30AC084C">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经度</w:t>
                  </w:r>
                </w:p>
              </w:tc>
              <w:tc>
                <w:tcPr>
                  <w:tcW w:w="793" w:type="pct"/>
                  <w:tcBorders>
                    <w:tl2br w:val="nil"/>
                    <w:tr2bl w:val="nil"/>
                  </w:tcBorders>
                  <w:noWrap w:val="0"/>
                  <w:vAlign w:val="center"/>
                </w:tcPr>
                <w:p w14:paraId="1D303904">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纬度</w:t>
                  </w:r>
                </w:p>
              </w:tc>
              <w:tc>
                <w:tcPr>
                  <w:tcW w:w="429" w:type="pct"/>
                  <w:vMerge w:val="continue"/>
                  <w:tcBorders>
                    <w:tl2br w:val="nil"/>
                    <w:tr2bl w:val="nil"/>
                  </w:tcBorders>
                  <w:noWrap w:val="0"/>
                  <w:vAlign w:val="center"/>
                </w:tcPr>
                <w:p w14:paraId="52FC1AE2">
                  <w:pPr>
                    <w:jc w:val="center"/>
                    <w:rPr>
                      <w:rFonts w:hint="default" w:ascii="Times New Roman" w:hAnsi="Times New Roman" w:cs="Times New Roman"/>
                      <w:color w:val="auto"/>
                      <w:sz w:val="21"/>
                      <w:szCs w:val="21"/>
                      <w:highlight w:val="none"/>
                    </w:rPr>
                  </w:pPr>
                </w:p>
              </w:tc>
              <w:tc>
                <w:tcPr>
                  <w:tcW w:w="524" w:type="pct"/>
                  <w:vMerge w:val="continue"/>
                  <w:tcBorders>
                    <w:tl2br w:val="nil"/>
                    <w:tr2bl w:val="nil"/>
                  </w:tcBorders>
                  <w:noWrap w:val="0"/>
                  <w:vAlign w:val="center"/>
                </w:tcPr>
                <w:p w14:paraId="78BC3749">
                  <w:pPr>
                    <w:jc w:val="center"/>
                    <w:rPr>
                      <w:rFonts w:hint="default" w:ascii="Times New Roman" w:hAnsi="Times New Roman" w:cs="Times New Roman"/>
                      <w:color w:val="auto"/>
                      <w:sz w:val="21"/>
                      <w:szCs w:val="21"/>
                      <w:highlight w:val="none"/>
                    </w:rPr>
                  </w:pPr>
                </w:p>
              </w:tc>
              <w:tc>
                <w:tcPr>
                  <w:tcW w:w="454" w:type="pct"/>
                  <w:vMerge w:val="continue"/>
                  <w:tcBorders>
                    <w:tl2br w:val="nil"/>
                    <w:tr2bl w:val="nil"/>
                  </w:tcBorders>
                  <w:noWrap w:val="0"/>
                  <w:vAlign w:val="center"/>
                </w:tcPr>
                <w:p w14:paraId="1EB596AF">
                  <w:pPr>
                    <w:jc w:val="center"/>
                    <w:rPr>
                      <w:rFonts w:hint="default" w:ascii="Times New Roman" w:hAnsi="Times New Roman" w:cs="Times New Roman"/>
                      <w:color w:val="auto"/>
                      <w:sz w:val="21"/>
                      <w:szCs w:val="21"/>
                      <w:highlight w:val="none"/>
                    </w:rPr>
                  </w:pPr>
                </w:p>
              </w:tc>
              <w:tc>
                <w:tcPr>
                  <w:tcW w:w="320" w:type="pct"/>
                  <w:vMerge w:val="continue"/>
                  <w:tcBorders>
                    <w:tl2br w:val="nil"/>
                    <w:tr2bl w:val="nil"/>
                  </w:tcBorders>
                  <w:noWrap w:val="0"/>
                  <w:vAlign w:val="center"/>
                </w:tcPr>
                <w:p w14:paraId="39820B1B">
                  <w:pPr>
                    <w:jc w:val="center"/>
                    <w:rPr>
                      <w:rFonts w:hint="default" w:ascii="Times New Roman" w:hAnsi="Times New Roman" w:cs="Times New Roman"/>
                      <w:color w:val="auto"/>
                      <w:sz w:val="21"/>
                      <w:szCs w:val="21"/>
                      <w:highlight w:val="none"/>
                    </w:rPr>
                  </w:pPr>
                </w:p>
              </w:tc>
              <w:tc>
                <w:tcPr>
                  <w:tcW w:w="1055" w:type="pct"/>
                  <w:vMerge w:val="continue"/>
                  <w:tcBorders>
                    <w:tl2br w:val="nil"/>
                    <w:tr2bl w:val="nil"/>
                  </w:tcBorders>
                  <w:noWrap w:val="0"/>
                  <w:vAlign w:val="center"/>
                </w:tcPr>
                <w:p w14:paraId="06FBBB36">
                  <w:pPr>
                    <w:jc w:val="center"/>
                    <w:rPr>
                      <w:rFonts w:hint="default" w:ascii="Times New Roman" w:hAnsi="Times New Roman" w:cs="Times New Roman"/>
                      <w:color w:val="auto"/>
                      <w:sz w:val="21"/>
                      <w:szCs w:val="21"/>
                      <w:highlight w:val="none"/>
                    </w:rPr>
                  </w:pPr>
                </w:p>
              </w:tc>
            </w:tr>
            <w:tr w14:paraId="190ECB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53" w:hRule="atLeast"/>
                <w:tblHeader/>
                <w:jc w:val="center"/>
              </w:trPr>
              <w:tc>
                <w:tcPr>
                  <w:tcW w:w="336" w:type="pct"/>
                  <w:tcBorders>
                    <w:tl2br w:val="nil"/>
                    <w:tr2bl w:val="nil"/>
                  </w:tcBorders>
                  <w:noWrap w:val="0"/>
                  <w:vAlign w:val="center"/>
                </w:tcPr>
                <w:p w14:paraId="7DC79F9C">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DA001</w:t>
                  </w:r>
                </w:p>
              </w:tc>
              <w:tc>
                <w:tcPr>
                  <w:tcW w:w="336" w:type="pct"/>
                  <w:tcBorders>
                    <w:tl2br w:val="nil"/>
                    <w:tr2bl w:val="nil"/>
                  </w:tcBorders>
                  <w:noWrap w:val="0"/>
                  <w:vAlign w:val="center"/>
                </w:tcPr>
                <w:p w14:paraId="3F898D17">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燃生物质蒸汽发生器烟</w:t>
                  </w:r>
                  <w:r>
                    <w:rPr>
                      <w:rFonts w:hint="default" w:ascii="Times New Roman" w:hAnsi="Times New Roman" w:cs="Times New Roman"/>
                      <w:color w:val="auto"/>
                      <w:sz w:val="21"/>
                      <w:szCs w:val="21"/>
                      <w:highlight w:val="none"/>
                      <w:lang w:eastAsia="zh-CN"/>
                    </w:rPr>
                    <w:t>囱</w:t>
                  </w:r>
                </w:p>
              </w:tc>
              <w:tc>
                <w:tcPr>
                  <w:tcW w:w="749" w:type="pct"/>
                  <w:tcBorders>
                    <w:tl2br w:val="nil"/>
                    <w:tr2bl w:val="nil"/>
                  </w:tcBorders>
                  <w:noWrap w:val="0"/>
                  <w:vAlign w:val="center"/>
                </w:tcPr>
                <w:p w14:paraId="513F6FE4">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131.677623</w:t>
                  </w:r>
                </w:p>
              </w:tc>
              <w:tc>
                <w:tcPr>
                  <w:tcW w:w="793" w:type="pct"/>
                  <w:tcBorders>
                    <w:tl2br w:val="nil"/>
                    <w:tr2bl w:val="nil"/>
                  </w:tcBorders>
                  <w:noWrap w:val="0"/>
                  <w:vAlign w:val="center"/>
                </w:tcPr>
                <w:p w14:paraId="3FA7E709">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46.552774</w:t>
                  </w:r>
                </w:p>
              </w:tc>
              <w:tc>
                <w:tcPr>
                  <w:tcW w:w="429" w:type="pct"/>
                  <w:tcBorders>
                    <w:tl2br w:val="nil"/>
                    <w:tr2bl w:val="nil"/>
                  </w:tcBorders>
                  <w:noWrap w:val="0"/>
                  <w:vAlign w:val="center"/>
                </w:tcPr>
                <w:p w14:paraId="5B4B8E3C">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524" w:type="pct"/>
                  <w:tcBorders>
                    <w:tl2br w:val="nil"/>
                    <w:tr2bl w:val="nil"/>
                  </w:tcBorders>
                  <w:noWrap w:val="0"/>
                  <w:vAlign w:val="center"/>
                </w:tcPr>
                <w:p w14:paraId="121CB27B">
                  <w:pPr>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r>
                    <w:rPr>
                      <w:rFonts w:hint="eastAsia" w:cs="Times New Roman"/>
                      <w:color w:val="auto"/>
                      <w:sz w:val="21"/>
                      <w:szCs w:val="21"/>
                      <w:highlight w:val="none"/>
                      <w:lang w:val="en-US" w:eastAsia="zh-CN"/>
                    </w:rPr>
                    <w:t>4</w:t>
                  </w:r>
                </w:p>
              </w:tc>
              <w:tc>
                <w:tcPr>
                  <w:tcW w:w="454" w:type="pct"/>
                  <w:tcBorders>
                    <w:tl2br w:val="nil"/>
                    <w:tr2bl w:val="nil"/>
                  </w:tcBorders>
                  <w:noWrap w:val="0"/>
                  <w:vAlign w:val="center"/>
                </w:tcPr>
                <w:p w14:paraId="309452E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20" w:type="pct"/>
                  <w:tcBorders>
                    <w:tl2br w:val="nil"/>
                    <w:tr2bl w:val="nil"/>
                  </w:tcBorders>
                  <w:noWrap w:val="0"/>
                  <w:vAlign w:val="center"/>
                </w:tcPr>
                <w:p w14:paraId="6C187FB3">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1055" w:type="pct"/>
                  <w:tcBorders>
                    <w:tl2br w:val="nil"/>
                    <w:tr2bl w:val="nil"/>
                  </w:tcBorders>
                  <w:noWrap w:val="0"/>
                  <w:vAlign w:val="center"/>
                </w:tcPr>
                <w:p w14:paraId="29AD6AD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《锅炉大气污染物排放标准》（GB13271-2014）表</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中“</w:t>
                  </w:r>
                  <w:r>
                    <w:rPr>
                      <w:rFonts w:hint="eastAsia" w:cs="Times New Roman"/>
                      <w:color w:val="auto"/>
                      <w:sz w:val="21"/>
                      <w:szCs w:val="21"/>
                      <w:highlight w:val="none"/>
                      <w:lang w:val="en-US" w:eastAsia="zh-CN"/>
                    </w:rPr>
                    <w:t>新建燃煤锅炉</w:t>
                  </w:r>
                  <w:r>
                    <w:rPr>
                      <w:rFonts w:hint="default" w:ascii="Times New Roman" w:hAnsi="Times New Roman" w:cs="Times New Roman"/>
                      <w:color w:val="auto"/>
                      <w:sz w:val="21"/>
                      <w:szCs w:val="21"/>
                      <w:highlight w:val="none"/>
                    </w:rPr>
                    <w:t>”排放标准</w:t>
                  </w:r>
                </w:p>
              </w:tc>
            </w:tr>
            <w:tr w14:paraId="45001A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53" w:hRule="atLeast"/>
                <w:tblHeader/>
                <w:jc w:val="center"/>
              </w:trPr>
              <w:tc>
                <w:tcPr>
                  <w:tcW w:w="336" w:type="pct"/>
                  <w:tcBorders>
                    <w:tl2br w:val="nil"/>
                    <w:tr2bl w:val="nil"/>
                  </w:tcBorders>
                  <w:noWrap w:val="0"/>
                  <w:vAlign w:val="center"/>
                </w:tcPr>
                <w:p w14:paraId="526BE0D4">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DA002</w:t>
                  </w:r>
                </w:p>
              </w:tc>
              <w:tc>
                <w:tcPr>
                  <w:tcW w:w="336" w:type="pct"/>
                  <w:tcBorders>
                    <w:tl2br w:val="nil"/>
                    <w:tr2bl w:val="nil"/>
                  </w:tcBorders>
                  <w:noWrap w:val="0"/>
                  <w:vAlign w:val="center"/>
                </w:tcPr>
                <w:p w14:paraId="315D87D8">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水泥筒仓</w:t>
                  </w:r>
                </w:p>
              </w:tc>
              <w:tc>
                <w:tcPr>
                  <w:tcW w:w="749" w:type="pct"/>
                  <w:tcBorders>
                    <w:tl2br w:val="nil"/>
                    <w:tr2bl w:val="nil"/>
                  </w:tcBorders>
                  <w:noWrap w:val="0"/>
                  <w:vAlign w:val="center"/>
                </w:tcPr>
                <w:p w14:paraId="178A1EC7">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131.677607</w:t>
                  </w:r>
                </w:p>
              </w:tc>
              <w:tc>
                <w:tcPr>
                  <w:tcW w:w="793" w:type="pct"/>
                  <w:tcBorders>
                    <w:tl2br w:val="nil"/>
                    <w:tr2bl w:val="nil"/>
                  </w:tcBorders>
                  <w:noWrap w:val="0"/>
                  <w:vAlign w:val="center"/>
                </w:tcPr>
                <w:p w14:paraId="2130DF3C">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46.55309</w:t>
                  </w:r>
                </w:p>
              </w:tc>
              <w:tc>
                <w:tcPr>
                  <w:tcW w:w="429" w:type="pct"/>
                  <w:tcBorders>
                    <w:tl2br w:val="nil"/>
                    <w:tr2bl w:val="nil"/>
                  </w:tcBorders>
                  <w:noWrap w:val="0"/>
                  <w:vAlign w:val="center"/>
                </w:tcPr>
                <w:p w14:paraId="1AAD2EB0">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524" w:type="pct"/>
                  <w:tcBorders>
                    <w:tl2br w:val="nil"/>
                    <w:tr2bl w:val="nil"/>
                  </w:tcBorders>
                  <w:noWrap w:val="0"/>
                  <w:vAlign w:val="center"/>
                </w:tcPr>
                <w:p w14:paraId="3043B3FB">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w:t>
                  </w:r>
                </w:p>
              </w:tc>
              <w:tc>
                <w:tcPr>
                  <w:tcW w:w="454" w:type="pct"/>
                  <w:tcBorders>
                    <w:tl2br w:val="nil"/>
                    <w:tr2bl w:val="nil"/>
                  </w:tcBorders>
                  <w:noWrap w:val="0"/>
                  <w:vAlign w:val="center"/>
                </w:tcPr>
                <w:p w14:paraId="5577BDFE">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320" w:type="pct"/>
                  <w:tcBorders>
                    <w:tl2br w:val="nil"/>
                    <w:tr2bl w:val="nil"/>
                  </w:tcBorders>
                  <w:noWrap w:val="0"/>
                  <w:vAlign w:val="center"/>
                </w:tcPr>
                <w:p w14:paraId="3B1FF429">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1055" w:type="pct"/>
                  <w:vMerge w:val="restart"/>
                  <w:tcBorders>
                    <w:tl2br w:val="nil"/>
                    <w:tr2bl w:val="nil"/>
                  </w:tcBorders>
                  <w:noWrap w:val="0"/>
                  <w:vAlign w:val="center"/>
                </w:tcPr>
                <w:p w14:paraId="5F28B064">
                  <w:pPr>
                    <w:adjustRightInd w:val="0"/>
                    <w:snapToGrid w:val="0"/>
                    <w:jc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bCs/>
                      <w:color w:val="auto"/>
                      <w:sz w:val="21"/>
                      <w:szCs w:val="21"/>
                      <w:highlight w:val="none"/>
                      <w:lang w:val="en-US" w:eastAsia="zh-CN"/>
                    </w:rPr>
                    <w:t>《水泥工业大气污染物排放</w:t>
                  </w:r>
                  <w:r>
                    <w:rPr>
                      <w:rFonts w:hint="eastAsia" w:ascii="Times New Roman" w:hAnsi="Times New Roman" w:eastAsia="宋体" w:cs="Times New Roman"/>
                      <w:bCs/>
                      <w:color w:val="auto"/>
                      <w:sz w:val="21"/>
                      <w:szCs w:val="21"/>
                      <w:highlight w:val="none"/>
                      <w:lang w:val="en-US" w:eastAsia="zh-CN"/>
                    </w:rPr>
                    <w:t>标</w:t>
                  </w:r>
                  <w:r>
                    <w:rPr>
                      <w:rFonts w:hint="default" w:ascii="Times New Roman" w:hAnsi="Times New Roman" w:eastAsia="宋体" w:cs="Times New Roman"/>
                      <w:bCs/>
                      <w:color w:val="auto"/>
                      <w:sz w:val="21"/>
                      <w:szCs w:val="21"/>
                      <w:highlight w:val="none"/>
                      <w:lang w:val="en-US" w:eastAsia="zh-CN"/>
                    </w:rPr>
                    <w:t>准》（GB4915-2013）</w:t>
                  </w:r>
                  <w:r>
                    <w:rPr>
                      <w:rFonts w:hint="eastAsia" w:ascii="Times New Roman" w:hAnsi="Times New Roman" w:eastAsia="宋体" w:cs="Times New Roman"/>
                      <w:bCs/>
                      <w:color w:val="auto"/>
                      <w:sz w:val="21"/>
                      <w:szCs w:val="21"/>
                      <w:highlight w:val="none"/>
                      <w:lang w:val="en-US" w:eastAsia="zh-CN"/>
                    </w:rPr>
                    <w:t>有组织排放标准</w:t>
                  </w:r>
                </w:p>
              </w:tc>
            </w:tr>
            <w:tr w14:paraId="47137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53" w:hRule="atLeast"/>
                <w:tblHeader/>
                <w:jc w:val="center"/>
              </w:trPr>
              <w:tc>
                <w:tcPr>
                  <w:tcW w:w="336" w:type="pct"/>
                  <w:tcBorders>
                    <w:tl2br w:val="nil"/>
                    <w:tr2bl w:val="nil"/>
                  </w:tcBorders>
                  <w:noWrap w:val="0"/>
                  <w:vAlign w:val="center"/>
                </w:tcPr>
                <w:p w14:paraId="36283BC3">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DA003</w:t>
                  </w:r>
                </w:p>
              </w:tc>
              <w:tc>
                <w:tcPr>
                  <w:tcW w:w="336" w:type="pct"/>
                  <w:tcBorders>
                    <w:tl2br w:val="nil"/>
                    <w:tr2bl w:val="nil"/>
                  </w:tcBorders>
                  <w:noWrap w:val="0"/>
                  <w:vAlign w:val="center"/>
                </w:tcPr>
                <w:p w14:paraId="61E915E6">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水泥筒仓</w:t>
                  </w:r>
                </w:p>
              </w:tc>
              <w:tc>
                <w:tcPr>
                  <w:tcW w:w="749" w:type="pct"/>
                  <w:tcBorders>
                    <w:tl2br w:val="nil"/>
                    <w:tr2bl w:val="nil"/>
                  </w:tcBorders>
                  <w:noWrap w:val="0"/>
                  <w:vAlign w:val="center"/>
                </w:tcPr>
                <w:p w14:paraId="687D3B9A">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131.677655</w:t>
                  </w:r>
                </w:p>
              </w:tc>
              <w:tc>
                <w:tcPr>
                  <w:tcW w:w="793" w:type="pct"/>
                  <w:tcBorders>
                    <w:tl2br w:val="nil"/>
                    <w:tr2bl w:val="nil"/>
                  </w:tcBorders>
                  <w:noWrap w:val="0"/>
                  <w:vAlign w:val="center"/>
                </w:tcPr>
                <w:p w14:paraId="05991B03">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46.552866</w:t>
                  </w:r>
                </w:p>
              </w:tc>
              <w:tc>
                <w:tcPr>
                  <w:tcW w:w="429" w:type="pct"/>
                  <w:tcBorders>
                    <w:tl2br w:val="nil"/>
                    <w:tr2bl w:val="nil"/>
                  </w:tcBorders>
                  <w:noWrap w:val="0"/>
                  <w:vAlign w:val="center"/>
                </w:tcPr>
                <w:p w14:paraId="3B818BA3">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524" w:type="pct"/>
                  <w:tcBorders>
                    <w:tl2br w:val="nil"/>
                    <w:tr2bl w:val="nil"/>
                  </w:tcBorders>
                  <w:noWrap w:val="0"/>
                  <w:vAlign w:val="center"/>
                </w:tcPr>
                <w:p w14:paraId="581484EE">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w:t>
                  </w:r>
                </w:p>
              </w:tc>
              <w:tc>
                <w:tcPr>
                  <w:tcW w:w="454" w:type="pct"/>
                  <w:tcBorders>
                    <w:tl2br w:val="nil"/>
                    <w:tr2bl w:val="nil"/>
                  </w:tcBorders>
                  <w:noWrap w:val="0"/>
                  <w:vAlign w:val="center"/>
                </w:tcPr>
                <w:p w14:paraId="5272EE2C">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320" w:type="pct"/>
                  <w:tcBorders>
                    <w:tl2br w:val="nil"/>
                    <w:tr2bl w:val="nil"/>
                  </w:tcBorders>
                  <w:noWrap w:val="0"/>
                  <w:vAlign w:val="center"/>
                </w:tcPr>
                <w:p w14:paraId="751E12C1">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1055" w:type="pct"/>
                  <w:vMerge w:val="continue"/>
                  <w:tcBorders>
                    <w:tl2br w:val="nil"/>
                    <w:tr2bl w:val="nil"/>
                  </w:tcBorders>
                  <w:noWrap w:val="0"/>
                  <w:vAlign w:val="center"/>
                </w:tcPr>
                <w:p w14:paraId="57DE9AC9">
                  <w:pPr>
                    <w:jc w:val="center"/>
                    <w:rPr>
                      <w:rFonts w:hint="default" w:ascii="Times New Roman" w:hAnsi="Times New Roman" w:cs="Times New Roman"/>
                      <w:color w:val="auto"/>
                      <w:sz w:val="21"/>
                      <w:szCs w:val="21"/>
                      <w:highlight w:val="none"/>
                    </w:rPr>
                  </w:pPr>
                </w:p>
              </w:tc>
            </w:tr>
            <w:tr w14:paraId="333FA2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53" w:hRule="atLeast"/>
                <w:tblHeader/>
                <w:jc w:val="center"/>
              </w:trPr>
              <w:tc>
                <w:tcPr>
                  <w:tcW w:w="336" w:type="pct"/>
                  <w:tcBorders>
                    <w:tl2br w:val="nil"/>
                    <w:tr2bl w:val="nil"/>
                  </w:tcBorders>
                  <w:noWrap w:val="0"/>
                  <w:vAlign w:val="center"/>
                </w:tcPr>
                <w:p w14:paraId="0039524A">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DA004</w:t>
                  </w:r>
                </w:p>
              </w:tc>
              <w:tc>
                <w:tcPr>
                  <w:tcW w:w="336" w:type="pct"/>
                  <w:tcBorders>
                    <w:tl2br w:val="nil"/>
                    <w:tr2bl w:val="nil"/>
                  </w:tcBorders>
                  <w:noWrap w:val="0"/>
                  <w:vAlign w:val="center"/>
                </w:tcPr>
                <w:p w14:paraId="2C08533D">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粉煤灰筒仓</w:t>
                  </w:r>
                </w:p>
              </w:tc>
              <w:tc>
                <w:tcPr>
                  <w:tcW w:w="749" w:type="pct"/>
                  <w:tcBorders>
                    <w:tl2br w:val="nil"/>
                    <w:tr2bl w:val="nil"/>
                  </w:tcBorders>
                  <w:noWrap w:val="0"/>
                  <w:vAlign w:val="center"/>
                </w:tcPr>
                <w:p w14:paraId="0A596267">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131.677456</w:t>
                  </w:r>
                </w:p>
              </w:tc>
              <w:tc>
                <w:tcPr>
                  <w:tcW w:w="793" w:type="pct"/>
                  <w:tcBorders>
                    <w:tl2br w:val="nil"/>
                    <w:tr2bl w:val="nil"/>
                  </w:tcBorders>
                  <w:noWrap w:val="0"/>
                  <w:vAlign w:val="center"/>
                </w:tcPr>
                <w:p w14:paraId="6A693FF9">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46.552851</w:t>
                  </w:r>
                </w:p>
              </w:tc>
              <w:tc>
                <w:tcPr>
                  <w:tcW w:w="429" w:type="pct"/>
                  <w:tcBorders>
                    <w:tl2br w:val="nil"/>
                    <w:tr2bl w:val="nil"/>
                  </w:tcBorders>
                  <w:noWrap w:val="0"/>
                  <w:vAlign w:val="center"/>
                </w:tcPr>
                <w:p w14:paraId="099277DF">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524" w:type="pct"/>
                  <w:tcBorders>
                    <w:tl2br w:val="nil"/>
                    <w:tr2bl w:val="nil"/>
                  </w:tcBorders>
                  <w:noWrap w:val="0"/>
                  <w:vAlign w:val="center"/>
                </w:tcPr>
                <w:p w14:paraId="6833E220">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w:t>
                  </w:r>
                </w:p>
              </w:tc>
              <w:tc>
                <w:tcPr>
                  <w:tcW w:w="454" w:type="pct"/>
                  <w:tcBorders>
                    <w:tl2br w:val="nil"/>
                    <w:tr2bl w:val="nil"/>
                  </w:tcBorders>
                  <w:noWrap w:val="0"/>
                  <w:vAlign w:val="center"/>
                </w:tcPr>
                <w:p w14:paraId="0351A520">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320" w:type="pct"/>
                  <w:tcBorders>
                    <w:tl2br w:val="nil"/>
                    <w:tr2bl w:val="nil"/>
                  </w:tcBorders>
                  <w:noWrap w:val="0"/>
                  <w:vAlign w:val="center"/>
                </w:tcPr>
                <w:p w14:paraId="387527D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1055" w:type="pct"/>
                  <w:vMerge w:val="continue"/>
                  <w:tcBorders>
                    <w:tl2br w:val="nil"/>
                    <w:tr2bl w:val="nil"/>
                  </w:tcBorders>
                  <w:noWrap w:val="0"/>
                  <w:vAlign w:val="center"/>
                </w:tcPr>
                <w:p w14:paraId="63C51ACC">
                  <w:pPr>
                    <w:jc w:val="center"/>
                    <w:rPr>
                      <w:rFonts w:hint="default" w:ascii="Times New Roman" w:hAnsi="Times New Roman" w:cs="Times New Roman"/>
                      <w:color w:val="auto"/>
                      <w:sz w:val="21"/>
                      <w:szCs w:val="21"/>
                      <w:highlight w:val="none"/>
                    </w:rPr>
                  </w:pPr>
                </w:p>
              </w:tc>
            </w:tr>
          </w:tbl>
          <w:p w14:paraId="65A6D55D">
            <w:pPr>
              <w:adjustRightInd w:val="0"/>
              <w:snapToGrid w:val="0"/>
              <w:spacing w:line="360" w:lineRule="auto"/>
              <w:ind w:left="420" w:left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Cs w:val="21"/>
                <w:highlight w:val="none"/>
              </w:rPr>
              <w:t>（</w:t>
            </w:r>
            <w:r>
              <w:rPr>
                <w:rFonts w:hint="eastAsia"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rPr>
              <w:t>）监测要求</w:t>
            </w:r>
          </w:p>
          <w:p w14:paraId="63C2FA67">
            <w:pPr>
              <w:adjustRightInd w:val="0"/>
              <w:snapToGrid w:val="0"/>
              <w:spacing w:line="360" w:lineRule="auto"/>
              <w:ind w:firstLine="480" w:firstLineChars="200"/>
              <w:rPr>
                <w:rFonts w:hint="default" w:ascii="Times New Roman" w:hAnsi="Times New Roman" w:cs="Times New Roman"/>
                <w:bCs/>
                <w:color w:val="auto"/>
                <w:sz w:val="24"/>
                <w:szCs w:val="24"/>
                <w:highlight w:val="none"/>
              </w:rPr>
            </w:pPr>
            <w:r>
              <w:rPr>
                <w:rFonts w:hint="eastAsia"/>
                <w:sz w:val="24"/>
                <w:szCs w:val="24"/>
                <w:highlight w:val="none"/>
              </w:rPr>
              <w:t>依据《排污单位自行监测技术指南总则》(HJ819-2017)、</w:t>
            </w:r>
            <w:r>
              <w:rPr>
                <w:bCs/>
                <w:spacing w:val="-10"/>
                <w:sz w:val="24"/>
                <w:szCs w:val="24"/>
                <w:highlight w:val="none"/>
              </w:rPr>
              <w:t xml:space="preserve">《排污单位自行监测技术指南 </w:t>
            </w:r>
            <w:r>
              <w:rPr>
                <w:rFonts w:hint="eastAsia"/>
                <w:bCs/>
                <w:spacing w:val="-10"/>
                <w:sz w:val="24"/>
                <w:szCs w:val="24"/>
                <w:highlight w:val="none"/>
                <w:lang w:val="en-US" w:eastAsia="zh-CN"/>
              </w:rPr>
              <w:t>水泥工业</w:t>
            </w:r>
            <w:r>
              <w:rPr>
                <w:bCs/>
                <w:spacing w:val="-10"/>
                <w:sz w:val="24"/>
                <w:szCs w:val="24"/>
                <w:highlight w:val="none"/>
              </w:rPr>
              <w:t>》（HJ1</w:t>
            </w:r>
            <w:r>
              <w:rPr>
                <w:rFonts w:hint="eastAsia"/>
                <w:bCs/>
                <w:spacing w:val="-10"/>
                <w:sz w:val="24"/>
                <w:szCs w:val="24"/>
                <w:highlight w:val="none"/>
                <w:lang w:val="en-US" w:eastAsia="zh-CN"/>
              </w:rPr>
              <w:t>848</w:t>
            </w:r>
            <w:r>
              <w:rPr>
                <w:bCs/>
                <w:spacing w:val="-10"/>
                <w:sz w:val="24"/>
                <w:szCs w:val="24"/>
                <w:highlight w:val="none"/>
              </w:rPr>
              <w:t>-20</w:t>
            </w:r>
            <w:r>
              <w:rPr>
                <w:rFonts w:hint="eastAsia"/>
                <w:bCs/>
                <w:spacing w:val="-10"/>
                <w:sz w:val="24"/>
                <w:szCs w:val="24"/>
                <w:highlight w:val="none"/>
                <w:lang w:val="en-US" w:eastAsia="zh-CN"/>
              </w:rPr>
              <w:t>17</w:t>
            </w:r>
            <w:r>
              <w:rPr>
                <w:bCs/>
                <w:spacing w:val="-10"/>
                <w:sz w:val="24"/>
                <w:szCs w:val="24"/>
                <w:highlight w:val="none"/>
              </w:rPr>
              <w:t>）</w:t>
            </w:r>
            <w:r>
              <w:rPr>
                <w:rFonts w:hint="eastAsia"/>
                <w:bCs/>
                <w:spacing w:val="-10"/>
                <w:sz w:val="24"/>
                <w:szCs w:val="24"/>
                <w:highlight w:val="none"/>
              </w:rPr>
              <w:t>及</w:t>
            </w:r>
            <w:r>
              <w:rPr>
                <w:bCs/>
                <w:spacing w:val="-10"/>
                <w:sz w:val="24"/>
                <w:szCs w:val="24"/>
                <w:highlight w:val="none"/>
              </w:rPr>
              <w:t>《排污单位自行监测技术指南</w:t>
            </w:r>
            <w:r>
              <w:rPr>
                <w:rFonts w:hint="eastAsia"/>
                <w:bCs/>
                <w:spacing w:val="-10"/>
                <w:sz w:val="24"/>
                <w:szCs w:val="24"/>
                <w:highlight w:val="none"/>
                <w:lang w:val="en-US" w:eastAsia="zh-CN"/>
              </w:rPr>
              <w:t xml:space="preserve"> 火力发电及</w:t>
            </w:r>
            <w:r>
              <w:rPr>
                <w:rFonts w:hint="eastAsia"/>
                <w:bCs/>
                <w:spacing w:val="-10"/>
                <w:sz w:val="24"/>
                <w:szCs w:val="24"/>
                <w:highlight w:val="none"/>
              </w:rPr>
              <w:t>锅炉</w:t>
            </w:r>
            <w:r>
              <w:rPr>
                <w:bCs/>
                <w:spacing w:val="-10"/>
                <w:sz w:val="24"/>
                <w:szCs w:val="24"/>
                <w:highlight w:val="none"/>
              </w:rPr>
              <w:t>》（</w:t>
            </w:r>
            <w:r>
              <w:rPr>
                <w:rFonts w:hint="default"/>
                <w:bCs/>
                <w:spacing w:val="-10"/>
                <w:sz w:val="24"/>
                <w:szCs w:val="24"/>
                <w:highlight w:val="none"/>
                <w:lang w:val="en-US" w:eastAsia="zh-CN"/>
              </w:rPr>
              <w:t>HJ820-2017</w:t>
            </w:r>
            <w:r>
              <w:rPr>
                <w:bCs/>
                <w:spacing w:val="-10"/>
                <w:sz w:val="24"/>
                <w:szCs w:val="24"/>
                <w:highlight w:val="none"/>
              </w:rPr>
              <w:t>）</w:t>
            </w:r>
            <w:r>
              <w:rPr>
                <w:rFonts w:hint="eastAsia"/>
                <w:sz w:val="24"/>
                <w:szCs w:val="24"/>
                <w:highlight w:val="none"/>
              </w:rPr>
              <w:t>确定本项目监测计划，</w:t>
            </w:r>
            <w:r>
              <w:rPr>
                <w:rFonts w:hint="default" w:ascii="Times New Roman" w:hAnsi="Times New Roman" w:cs="Times New Roman"/>
                <w:bCs/>
                <w:color w:val="auto"/>
                <w:sz w:val="24"/>
                <w:szCs w:val="24"/>
                <w:highlight w:val="none"/>
              </w:rPr>
              <w:t>废气监测要求详见表4-4。</w:t>
            </w:r>
          </w:p>
          <w:p w14:paraId="61F64092">
            <w:pPr>
              <w:adjustRightInd w:val="0"/>
              <w:snapToGrid w:val="0"/>
              <w:jc w:val="center"/>
              <w:rPr>
                <w:rFonts w:hint="eastAsia" w:ascii="Times New Roman" w:hAnsi="Times New Roman" w:cs="Times New Roman"/>
                <w:b/>
                <w:color w:val="auto"/>
                <w:sz w:val="24"/>
                <w:szCs w:val="24"/>
                <w:highlight w:val="none"/>
                <w:lang w:eastAsia="zh-CN"/>
              </w:rPr>
            </w:pPr>
            <w:r>
              <w:rPr>
                <w:rFonts w:hint="default" w:ascii="Times New Roman" w:hAnsi="Times New Roman" w:cs="Times New Roman"/>
                <w:b/>
                <w:color w:val="auto"/>
                <w:sz w:val="24"/>
                <w:szCs w:val="24"/>
                <w:highlight w:val="none"/>
              </w:rPr>
              <w:t>表4-4  监测要求</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1324"/>
              <w:gridCol w:w="1324"/>
              <w:gridCol w:w="1324"/>
              <w:gridCol w:w="2651"/>
            </w:tblGrid>
            <w:tr w14:paraId="535F2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24" w:type="dxa"/>
                  <w:tcBorders>
                    <w:tl2br w:val="nil"/>
                    <w:tr2bl w:val="nil"/>
                  </w:tcBorders>
                  <w:noWrap w:val="0"/>
                  <w:vAlign w:val="center"/>
                </w:tcPr>
                <w:p w14:paraId="73A668A0">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监测类别</w:t>
                  </w:r>
                </w:p>
              </w:tc>
              <w:tc>
                <w:tcPr>
                  <w:tcW w:w="1324" w:type="dxa"/>
                  <w:tcBorders>
                    <w:tl2br w:val="nil"/>
                    <w:tr2bl w:val="nil"/>
                  </w:tcBorders>
                  <w:noWrap w:val="0"/>
                  <w:vAlign w:val="center"/>
                </w:tcPr>
                <w:p w14:paraId="172D1073">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监测点位</w:t>
                  </w:r>
                </w:p>
              </w:tc>
              <w:tc>
                <w:tcPr>
                  <w:tcW w:w="1324" w:type="dxa"/>
                  <w:tcBorders>
                    <w:tl2br w:val="nil"/>
                    <w:tr2bl w:val="nil"/>
                  </w:tcBorders>
                  <w:noWrap w:val="0"/>
                  <w:vAlign w:val="center"/>
                </w:tcPr>
                <w:p w14:paraId="59586A8A">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监测因子</w:t>
                  </w:r>
                </w:p>
              </w:tc>
              <w:tc>
                <w:tcPr>
                  <w:tcW w:w="1324" w:type="dxa"/>
                  <w:tcBorders>
                    <w:tl2br w:val="nil"/>
                    <w:tr2bl w:val="nil"/>
                  </w:tcBorders>
                  <w:noWrap w:val="0"/>
                  <w:vAlign w:val="center"/>
                </w:tcPr>
                <w:p w14:paraId="607D6422">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监测频次</w:t>
                  </w:r>
                </w:p>
              </w:tc>
              <w:tc>
                <w:tcPr>
                  <w:tcW w:w="2651" w:type="dxa"/>
                  <w:tcBorders>
                    <w:tl2br w:val="nil"/>
                    <w:tr2bl w:val="nil"/>
                  </w:tcBorders>
                  <w:noWrap w:val="0"/>
                  <w:vAlign w:val="center"/>
                </w:tcPr>
                <w:p w14:paraId="5931DEA6">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执行标准</w:t>
                  </w:r>
                </w:p>
              </w:tc>
            </w:tr>
            <w:tr w14:paraId="64566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24" w:type="dxa"/>
                  <w:vMerge w:val="restart"/>
                  <w:tcBorders>
                    <w:tl2br w:val="nil"/>
                    <w:tr2bl w:val="nil"/>
                  </w:tcBorders>
                  <w:noWrap w:val="0"/>
                  <w:vAlign w:val="center"/>
                </w:tcPr>
                <w:p w14:paraId="502F7764">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有组织废气</w:t>
                  </w:r>
                </w:p>
              </w:tc>
              <w:tc>
                <w:tcPr>
                  <w:tcW w:w="1324" w:type="dxa"/>
                  <w:vMerge w:val="restart"/>
                  <w:tcBorders>
                    <w:tl2br w:val="nil"/>
                    <w:tr2bl w:val="nil"/>
                  </w:tcBorders>
                  <w:noWrap w:val="0"/>
                  <w:vAlign w:val="center"/>
                </w:tcPr>
                <w:p w14:paraId="49CD002E">
                  <w:pPr>
                    <w:adjustRightInd w:val="0"/>
                    <w:snapToGrid w:val="0"/>
                    <w:jc w:val="center"/>
                    <w:rPr>
                      <w:rFonts w:hint="default" w:ascii="Times New Roman" w:hAnsi="Times New Roman" w:cs="Times New Roman"/>
                      <w:bCs/>
                      <w:color w:val="auto"/>
                      <w:sz w:val="21"/>
                      <w:szCs w:val="21"/>
                      <w:highlight w:val="none"/>
                      <w:lang w:val="en-US"/>
                    </w:rPr>
                  </w:pPr>
                  <w:r>
                    <w:rPr>
                      <w:rFonts w:hint="default" w:ascii="Times New Roman" w:hAnsi="Times New Roman" w:cs="Times New Roman"/>
                      <w:color w:val="auto"/>
                      <w:sz w:val="21"/>
                      <w:szCs w:val="21"/>
                      <w:highlight w:val="none"/>
                    </w:rPr>
                    <w:t>DA001</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燃生物质蒸汽发生器</w:t>
                  </w:r>
                </w:p>
              </w:tc>
              <w:tc>
                <w:tcPr>
                  <w:tcW w:w="1324" w:type="dxa"/>
                  <w:tcBorders>
                    <w:tl2br w:val="nil"/>
                    <w:tr2bl w:val="nil"/>
                  </w:tcBorders>
                  <w:noWrap w:val="0"/>
                  <w:vAlign w:val="center"/>
                </w:tcPr>
                <w:p w14:paraId="50298933">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324" w:type="dxa"/>
                  <w:vMerge w:val="restart"/>
                  <w:tcBorders>
                    <w:tl2br w:val="nil"/>
                    <w:tr2bl w:val="nil"/>
                  </w:tcBorders>
                  <w:noWrap w:val="0"/>
                  <w:vAlign w:val="center"/>
                </w:tcPr>
                <w:p w14:paraId="0DABAF4E">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1次/月</w:t>
                  </w:r>
                </w:p>
              </w:tc>
              <w:tc>
                <w:tcPr>
                  <w:tcW w:w="2651" w:type="dxa"/>
                  <w:vMerge w:val="restart"/>
                  <w:tcBorders>
                    <w:tl2br w:val="nil"/>
                    <w:tr2bl w:val="nil"/>
                  </w:tcBorders>
                  <w:noWrap w:val="0"/>
                  <w:vAlign w:val="center"/>
                </w:tcPr>
                <w:p w14:paraId="53E3AE3B">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《锅炉大气污染物排放标准》（GB13271-2014）表</w:t>
                  </w:r>
                  <w:r>
                    <w:rPr>
                      <w:rFonts w:hint="eastAsia" w:cs="Times New Roman"/>
                      <w:bCs/>
                      <w:color w:val="auto"/>
                      <w:sz w:val="21"/>
                      <w:szCs w:val="21"/>
                      <w:highlight w:val="none"/>
                      <w:lang w:val="en-US" w:eastAsia="zh-CN"/>
                    </w:rPr>
                    <w:t>2</w:t>
                  </w:r>
                  <w:r>
                    <w:rPr>
                      <w:rFonts w:hint="default" w:ascii="Times New Roman" w:hAnsi="Times New Roman" w:cs="Times New Roman"/>
                      <w:bCs/>
                      <w:color w:val="auto"/>
                      <w:sz w:val="21"/>
                      <w:szCs w:val="21"/>
                      <w:highlight w:val="none"/>
                    </w:rPr>
                    <w:t>中“</w:t>
                  </w:r>
                  <w:r>
                    <w:rPr>
                      <w:rFonts w:hint="eastAsia" w:cs="Times New Roman"/>
                      <w:bCs/>
                      <w:color w:val="auto"/>
                      <w:sz w:val="21"/>
                      <w:szCs w:val="21"/>
                      <w:highlight w:val="none"/>
                      <w:lang w:val="en-US" w:eastAsia="zh-CN"/>
                    </w:rPr>
                    <w:t>新建燃煤锅炉</w:t>
                  </w:r>
                  <w:r>
                    <w:rPr>
                      <w:rFonts w:hint="default" w:ascii="Times New Roman" w:hAnsi="Times New Roman" w:cs="Times New Roman"/>
                      <w:bCs/>
                      <w:color w:val="auto"/>
                      <w:sz w:val="21"/>
                      <w:szCs w:val="21"/>
                      <w:highlight w:val="none"/>
                    </w:rPr>
                    <w:t>”排放标准</w:t>
                  </w:r>
                </w:p>
              </w:tc>
            </w:tr>
            <w:tr w14:paraId="38052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24" w:type="dxa"/>
                  <w:vMerge w:val="continue"/>
                  <w:tcBorders>
                    <w:tl2br w:val="nil"/>
                    <w:tr2bl w:val="nil"/>
                  </w:tcBorders>
                  <w:noWrap w:val="0"/>
                  <w:vAlign w:val="center"/>
                </w:tcPr>
                <w:p w14:paraId="5D0D7CBD">
                  <w:pPr>
                    <w:adjustRightInd w:val="0"/>
                    <w:snapToGrid w:val="0"/>
                    <w:jc w:val="center"/>
                    <w:rPr>
                      <w:rFonts w:hint="default" w:ascii="Times New Roman" w:hAnsi="Times New Roman" w:cs="Times New Roman"/>
                      <w:bCs/>
                      <w:color w:val="auto"/>
                      <w:sz w:val="21"/>
                      <w:szCs w:val="21"/>
                      <w:highlight w:val="none"/>
                    </w:rPr>
                  </w:pPr>
                </w:p>
              </w:tc>
              <w:tc>
                <w:tcPr>
                  <w:tcW w:w="1324" w:type="dxa"/>
                  <w:vMerge w:val="continue"/>
                  <w:tcBorders>
                    <w:tl2br w:val="nil"/>
                    <w:tr2bl w:val="nil"/>
                  </w:tcBorders>
                  <w:noWrap w:val="0"/>
                  <w:vAlign w:val="center"/>
                </w:tcPr>
                <w:p w14:paraId="3810438B">
                  <w:pPr>
                    <w:adjustRightInd w:val="0"/>
                    <w:snapToGrid w:val="0"/>
                    <w:jc w:val="center"/>
                    <w:rPr>
                      <w:rFonts w:hint="default" w:ascii="Times New Roman" w:hAnsi="Times New Roman" w:cs="Times New Roman"/>
                      <w:bCs/>
                      <w:color w:val="auto"/>
                      <w:sz w:val="21"/>
                      <w:szCs w:val="21"/>
                      <w:highlight w:val="none"/>
                    </w:rPr>
                  </w:pPr>
                </w:p>
              </w:tc>
              <w:tc>
                <w:tcPr>
                  <w:tcW w:w="1324" w:type="dxa"/>
                  <w:tcBorders>
                    <w:tl2br w:val="nil"/>
                    <w:tr2bl w:val="nil"/>
                  </w:tcBorders>
                  <w:noWrap w:val="0"/>
                  <w:vAlign w:val="center"/>
                </w:tcPr>
                <w:p w14:paraId="73256E9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324" w:type="dxa"/>
                  <w:vMerge w:val="continue"/>
                  <w:tcBorders>
                    <w:tl2br w:val="nil"/>
                    <w:tr2bl w:val="nil"/>
                  </w:tcBorders>
                  <w:noWrap w:val="0"/>
                  <w:vAlign w:val="center"/>
                </w:tcPr>
                <w:p w14:paraId="6EA14196">
                  <w:pPr>
                    <w:adjustRightInd w:val="0"/>
                    <w:snapToGrid w:val="0"/>
                    <w:jc w:val="center"/>
                    <w:rPr>
                      <w:rFonts w:hint="default" w:ascii="Times New Roman" w:hAnsi="Times New Roman" w:cs="Times New Roman"/>
                      <w:bCs/>
                      <w:color w:val="auto"/>
                      <w:sz w:val="21"/>
                      <w:szCs w:val="21"/>
                      <w:highlight w:val="none"/>
                    </w:rPr>
                  </w:pPr>
                </w:p>
              </w:tc>
              <w:tc>
                <w:tcPr>
                  <w:tcW w:w="2651" w:type="dxa"/>
                  <w:vMerge w:val="continue"/>
                  <w:tcBorders>
                    <w:tl2br w:val="nil"/>
                    <w:tr2bl w:val="nil"/>
                  </w:tcBorders>
                  <w:noWrap w:val="0"/>
                  <w:vAlign w:val="center"/>
                </w:tcPr>
                <w:p w14:paraId="7BF06D9D">
                  <w:pPr>
                    <w:adjustRightInd w:val="0"/>
                    <w:snapToGrid w:val="0"/>
                    <w:jc w:val="center"/>
                    <w:rPr>
                      <w:rFonts w:hint="default" w:ascii="Times New Roman" w:hAnsi="Times New Roman" w:cs="Times New Roman"/>
                      <w:bCs/>
                      <w:color w:val="auto"/>
                      <w:sz w:val="21"/>
                      <w:szCs w:val="21"/>
                      <w:highlight w:val="none"/>
                    </w:rPr>
                  </w:pPr>
                </w:p>
              </w:tc>
            </w:tr>
            <w:tr w14:paraId="220244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24" w:type="dxa"/>
                  <w:vMerge w:val="continue"/>
                  <w:tcBorders>
                    <w:tl2br w:val="nil"/>
                    <w:tr2bl w:val="nil"/>
                  </w:tcBorders>
                  <w:noWrap w:val="0"/>
                  <w:vAlign w:val="center"/>
                </w:tcPr>
                <w:p w14:paraId="33F2D791">
                  <w:pPr>
                    <w:adjustRightInd w:val="0"/>
                    <w:snapToGrid w:val="0"/>
                    <w:jc w:val="center"/>
                    <w:rPr>
                      <w:rFonts w:hint="default" w:ascii="Times New Roman" w:hAnsi="Times New Roman" w:cs="Times New Roman"/>
                      <w:bCs/>
                      <w:color w:val="auto"/>
                      <w:sz w:val="21"/>
                      <w:szCs w:val="21"/>
                      <w:highlight w:val="none"/>
                    </w:rPr>
                  </w:pPr>
                </w:p>
              </w:tc>
              <w:tc>
                <w:tcPr>
                  <w:tcW w:w="1324" w:type="dxa"/>
                  <w:vMerge w:val="continue"/>
                  <w:tcBorders>
                    <w:tl2br w:val="nil"/>
                    <w:tr2bl w:val="nil"/>
                  </w:tcBorders>
                  <w:noWrap w:val="0"/>
                  <w:vAlign w:val="center"/>
                </w:tcPr>
                <w:p w14:paraId="382B0C61">
                  <w:pPr>
                    <w:adjustRightInd w:val="0"/>
                    <w:snapToGrid w:val="0"/>
                    <w:jc w:val="center"/>
                    <w:rPr>
                      <w:rFonts w:hint="default" w:ascii="Times New Roman" w:hAnsi="Times New Roman" w:cs="Times New Roman"/>
                      <w:bCs/>
                      <w:color w:val="auto"/>
                      <w:sz w:val="21"/>
                      <w:szCs w:val="21"/>
                      <w:highlight w:val="none"/>
                    </w:rPr>
                  </w:pPr>
                </w:p>
              </w:tc>
              <w:tc>
                <w:tcPr>
                  <w:tcW w:w="1324" w:type="dxa"/>
                  <w:tcBorders>
                    <w:tl2br w:val="nil"/>
                    <w:tr2bl w:val="nil"/>
                  </w:tcBorders>
                  <w:noWrap w:val="0"/>
                  <w:vAlign w:val="center"/>
                </w:tcPr>
                <w:p w14:paraId="123E3915">
                  <w:pPr>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烟气黑度</w:t>
                  </w:r>
                </w:p>
              </w:tc>
              <w:tc>
                <w:tcPr>
                  <w:tcW w:w="1324" w:type="dxa"/>
                  <w:vMerge w:val="continue"/>
                  <w:tcBorders>
                    <w:tl2br w:val="nil"/>
                    <w:tr2bl w:val="nil"/>
                  </w:tcBorders>
                  <w:noWrap w:val="0"/>
                  <w:vAlign w:val="center"/>
                </w:tcPr>
                <w:p w14:paraId="5F8BC67A">
                  <w:pPr>
                    <w:adjustRightInd w:val="0"/>
                    <w:snapToGrid w:val="0"/>
                    <w:jc w:val="center"/>
                    <w:rPr>
                      <w:rFonts w:hint="default" w:ascii="Times New Roman" w:hAnsi="Times New Roman" w:cs="Times New Roman"/>
                      <w:bCs/>
                      <w:color w:val="auto"/>
                      <w:sz w:val="21"/>
                      <w:szCs w:val="21"/>
                      <w:highlight w:val="none"/>
                    </w:rPr>
                  </w:pPr>
                </w:p>
              </w:tc>
              <w:tc>
                <w:tcPr>
                  <w:tcW w:w="2651" w:type="dxa"/>
                  <w:vMerge w:val="continue"/>
                  <w:tcBorders>
                    <w:tl2br w:val="nil"/>
                    <w:tr2bl w:val="nil"/>
                  </w:tcBorders>
                  <w:noWrap w:val="0"/>
                  <w:vAlign w:val="center"/>
                </w:tcPr>
                <w:p w14:paraId="7A786B09">
                  <w:pPr>
                    <w:adjustRightInd w:val="0"/>
                    <w:snapToGrid w:val="0"/>
                    <w:jc w:val="center"/>
                    <w:rPr>
                      <w:rFonts w:hint="default" w:ascii="Times New Roman" w:hAnsi="Times New Roman" w:cs="Times New Roman"/>
                      <w:bCs/>
                      <w:color w:val="auto"/>
                      <w:sz w:val="21"/>
                      <w:szCs w:val="21"/>
                      <w:highlight w:val="none"/>
                    </w:rPr>
                  </w:pPr>
                </w:p>
              </w:tc>
            </w:tr>
            <w:tr w14:paraId="16558E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1324" w:type="dxa"/>
                  <w:vMerge w:val="continue"/>
                  <w:tcBorders>
                    <w:tl2br w:val="nil"/>
                    <w:tr2bl w:val="nil"/>
                  </w:tcBorders>
                  <w:noWrap w:val="0"/>
                  <w:vAlign w:val="top"/>
                </w:tcPr>
                <w:p w14:paraId="62E546E8">
                  <w:pPr>
                    <w:adjustRightInd w:val="0"/>
                    <w:snapToGrid w:val="0"/>
                    <w:jc w:val="center"/>
                    <w:rPr>
                      <w:rFonts w:hint="default" w:ascii="Times New Roman" w:hAnsi="Times New Roman" w:cs="Times New Roman"/>
                      <w:bCs/>
                      <w:color w:val="auto"/>
                      <w:sz w:val="21"/>
                      <w:szCs w:val="21"/>
                      <w:highlight w:val="none"/>
                    </w:rPr>
                  </w:pPr>
                </w:p>
              </w:tc>
              <w:tc>
                <w:tcPr>
                  <w:tcW w:w="1324" w:type="dxa"/>
                  <w:vMerge w:val="continue"/>
                  <w:tcBorders>
                    <w:tl2br w:val="nil"/>
                    <w:tr2bl w:val="nil"/>
                  </w:tcBorders>
                  <w:noWrap w:val="0"/>
                  <w:vAlign w:val="top"/>
                </w:tcPr>
                <w:p w14:paraId="753054EB">
                  <w:pPr>
                    <w:adjustRightInd w:val="0"/>
                    <w:snapToGrid w:val="0"/>
                    <w:jc w:val="center"/>
                    <w:rPr>
                      <w:rFonts w:hint="default" w:ascii="Times New Roman" w:hAnsi="Times New Roman" w:cs="Times New Roman"/>
                      <w:bCs/>
                      <w:color w:val="auto"/>
                      <w:sz w:val="21"/>
                      <w:szCs w:val="21"/>
                      <w:highlight w:val="none"/>
                    </w:rPr>
                  </w:pPr>
                </w:p>
              </w:tc>
              <w:tc>
                <w:tcPr>
                  <w:tcW w:w="1324" w:type="dxa"/>
                  <w:tcBorders>
                    <w:tl2br w:val="nil"/>
                    <w:tr2bl w:val="nil"/>
                  </w:tcBorders>
                  <w:noWrap w:val="0"/>
                  <w:vAlign w:val="center"/>
                </w:tcPr>
                <w:p w14:paraId="3C9CE6FB">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NOx</w:t>
                  </w:r>
                </w:p>
              </w:tc>
              <w:tc>
                <w:tcPr>
                  <w:tcW w:w="1324" w:type="dxa"/>
                  <w:vMerge w:val="continue"/>
                  <w:tcBorders>
                    <w:tl2br w:val="nil"/>
                    <w:tr2bl w:val="nil"/>
                  </w:tcBorders>
                  <w:noWrap w:val="0"/>
                  <w:vAlign w:val="center"/>
                </w:tcPr>
                <w:p w14:paraId="26FCED99">
                  <w:pPr>
                    <w:adjustRightInd w:val="0"/>
                    <w:snapToGrid w:val="0"/>
                    <w:jc w:val="center"/>
                    <w:rPr>
                      <w:rFonts w:hint="default" w:ascii="Times New Roman" w:hAnsi="Times New Roman" w:eastAsia="宋体" w:cs="Times New Roman"/>
                      <w:bCs/>
                      <w:color w:val="auto"/>
                      <w:sz w:val="21"/>
                      <w:szCs w:val="21"/>
                      <w:highlight w:val="none"/>
                      <w:lang w:val="en-US" w:eastAsia="zh-CN"/>
                    </w:rPr>
                  </w:pPr>
                </w:p>
              </w:tc>
              <w:tc>
                <w:tcPr>
                  <w:tcW w:w="2651" w:type="dxa"/>
                  <w:vMerge w:val="continue"/>
                  <w:tcBorders>
                    <w:tl2br w:val="nil"/>
                    <w:tr2bl w:val="nil"/>
                  </w:tcBorders>
                  <w:noWrap w:val="0"/>
                  <w:vAlign w:val="top"/>
                </w:tcPr>
                <w:p w14:paraId="35964734">
                  <w:pPr>
                    <w:adjustRightInd w:val="0"/>
                    <w:snapToGrid w:val="0"/>
                    <w:jc w:val="center"/>
                    <w:rPr>
                      <w:rFonts w:hint="default" w:ascii="Times New Roman" w:hAnsi="Times New Roman" w:cs="Times New Roman"/>
                      <w:bCs/>
                      <w:color w:val="auto"/>
                      <w:sz w:val="21"/>
                      <w:szCs w:val="21"/>
                      <w:highlight w:val="none"/>
                    </w:rPr>
                  </w:pPr>
                </w:p>
              </w:tc>
            </w:tr>
            <w:tr w14:paraId="27E4C2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1324" w:type="dxa"/>
                  <w:vMerge w:val="continue"/>
                  <w:tcBorders>
                    <w:tl2br w:val="nil"/>
                    <w:tr2bl w:val="nil"/>
                  </w:tcBorders>
                  <w:noWrap w:val="0"/>
                  <w:vAlign w:val="top"/>
                </w:tcPr>
                <w:p w14:paraId="713CA2D8">
                  <w:pPr>
                    <w:adjustRightInd w:val="0"/>
                    <w:snapToGrid w:val="0"/>
                    <w:jc w:val="center"/>
                    <w:rPr>
                      <w:rFonts w:hint="default" w:ascii="Times New Roman" w:hAnsi="Times New Roman" w:cs="Times New Roman"/>
                      <w:bCs/>
                      <w:color w:val="auto"/>
                      <w:sz w:val="21"/>
                      <w:szCs w:val="21"/>
                      <w:highlight w:val="none"/>
                    </w:rPr>
                  </w:pPr>
                </w:p>
              </w:tc>
              <w:tc>
                <w:tcPr>
                  <w:tcW w:w="1324" w:type="dxa"/>
                  <w:vMerge w:val="continue"/>
                  <w:tcBorders>
                    <w:tl2br w:val="nil"/>
                    <w:tr2bl w:val="nil"/>
                  </w:tcBorders>
                  <w:noWrap w:val="0"/>
                  <w:vAlign w:val="top"/>
                </w:tcPr>
                <w:p w14:paraId="7ED14F1F">
                  <w:pPr>
                    <w:adjustRightInd w:val="0"/>
                    <w:snapToGrid w:val="0"/>
                    <w:jc w:val="center"/>
                    <w:rPr>
                      <w:rFonts w:hint="default" w:ascii="Times New Roman" w:hAnsi="Times New Roman" w:cs="Times New Roman"/>
                      <w:bCs/>
                      <w:color w:val="auto"/>
                      <w:sz w:val="21"/>
                      <w:szCs w:val="21"/>
                      <w:highlight w:val="none"/>
                    </w:rPr>
                  </w:pPr>
                </w:p>
              </w:tc>
              <w:tc>
                <w:tcPr>
                  <w:tcW w:w="1324" w:type="dxa"/>
                  <w:tcBorders>
                    <w:tl2br w:val="nil"/>
                    <w:tr2bl w:val="nil"/>
                  </w:tcBorders>
                  <w:noWrap w:val="0"/>
                  <w:vAlign w:val="center"/>
                </w:tcPr>
                <w:p w14:paraId="622C5DB8">
                  <w:pPr>
                    <w:adjustRightInd w:val="0"/>
                    <w:snapToGrid w:val="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汞及其化合物</w:t>
                  </w:r>
                </w:p>
              </w:tc>
              <w:tc>
                <w:tcPr>
                  <w:tcW w:w="1324" w:type="dxa"/>
                  <w:vMerge w:val="continue"/>
                  <w:tcBorders>
                    <w:tl2br w:val="nil"/>
                    <w:tr2bl w:val="nil"/>
                  </w:tcBorders>
                  <w:noWrap w:val="0"/>
                  <w:vAlign w:val="center"/>
                </w:tcPr>
                <w:p w14:paraId="0954892C">
                  <w:pPr>
                    <w:adjustRightInd w:val="0"/>
                    <w:snapToGrid w:val="0"/>
                    <w:jc w:val="center"/>
                    <w:rPr>
                      <w:rFonts w:hint="default" w:ascii="Times New Roman" w:hAnsi="Times New Roman" w:eastAsia="宋体" w:cs="Times New Roman"/>
                      <w:bCs/>
                      <w:color w:val="auto"/>
                      <w:sz w:val="21"/>
                      <w:szCs w:val="21"/>
                      <w:highlight w:val="none"/>
                      <w:lang w:val="en-US" w:eastAsia="zh-CN"/>
                    </w:rPr>
                  </w:pPr>
                </w:p>
              </w:tc>
              <w:tc>
                <w:tcPr>
                  <w:tcW w:w="2651" w:type="dxa"/>
                  <w:vMerge w:val="continue"/>
                  <w:tcBorders>
                    <w:tl2br w:val="nil"/>
                    <w:tr2bl w:val="nil"/>
                  </w:tcBorders>
                  <w:noWrap w:val="0"/>
                  <w:vAlign w:val="top"/>
                </w:tcPr>
                <w:p w14:paraId="16AA4091">
                  <w:pPr>
                    <w:adjustRightInd w:val="0"/>
                    <w:snapToGrid w:val="0"/>
                    <w:jc w:val="center"/>
                    <w:rPr>
                      <w:rFonts w:hint="default" w:ascii="Times New Roman" w:hAnsi="Times New Roman" w:cs="Times New Roman"/>
                      <w:bCs/>
                      <w:color w:val="auto"/>
                      <w:sz w:val="21"/>
                      <w:szCs w:val="21"/>
                      <w:highlight w:val="none"/>
                    </w:rPr>
                  </w:pPr>
                </w:p>
              </w:tc>
            </w:tr>
            <w:tr w14:paraId="40D064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1324" w:type="dxa"/>
                  <w:vMerge w:val="continue"/>
                  <w:tcBorders>
                    <w:tl2br w:val="nil"/>
                    <w:tr2bl w:val="nil"/>
                  </w:tcBorders>
                  <w:noWrap w:val="0"/>
                  <w:vAlign w:val="top"/>
                </w:tcPr>
                <w:p w14:paraId="4A2DA837">
                  <w:pPr>
                    <w:adjustRightInd w:val="0"/>
                    <w:snapToGrid w:val="0"/>
                    <w:jc w:val="center"/>
                    <w:rPr>
                      <w:rFonts w:hint="default" w:ascii="Times New Roman" w:hAnsi="Times New Roman" w:cs="Times New Roman"/>
                      <w:bCs/>
                      <w:color w:val="auto"/>
                      <w:sz w:val="21"/>
                      <w:szCs w:val="21"/>
                      <w:highlight w:val="none"/>
                    </w:rPr>
                  </w:pPr>
                </w:p>
              </w:tc>
              <w:tc>
                <w:tcPr>
                  <w:tcW w:w="1324" w:type="dxa"/>
                  <w:tcBorders>
                    <w:tl2br w:val="nil"/>
                    <w:tr2bl w:val="nil"/>
                  </w:tcBorders>
                  <w:noWrap w:val="0"/>
                  <w:vAlign w:val="top"/>
                </w:tcPr>
                <w:p w14:paraId="55C6CAFA">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水泥筒仓DA002</w:t>
                  </w:r>
                </w:p>
              </w:tc>
              <w:tc>
                <w:tcPr>
                  <w:tcW w:w="1324" w:type="dxa"/>
                  <w:tcBorders>
                    <w:tl2br w:val="nil"/>
                    <w:tr2bl w:val="nil"/>
                  </w:tcBorders>
                  <w:noWrap w:val="0"/>
                  <w:vAlign w:val="center"/>
                </w:tcPr>
                <w:p w14:paraId="7F083081">
                  <w:pPr>
                    <w:adjustRightInd w:val="0"/>
                    <w:snapToGrid w:val="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颗粒物</w:t>
                  </w:r>
                </w:p>
              </w:tc>
              <w:tc>
                <w:tcPr>
                  <w:tcW w:w="1324" w:type="dxa"/>
                  <w:tcBorders>
                    <w:tl2br w:val="nil"/>
                    <w:tr2bl w:val="nil"/>
                  </w:tcBorders>
                  <w:noWrap w:val="0"/>
                  <w:vAlign w:val="center"/>
                </w:tcPr>
                <w:p w14:paraId="18ABB55D">
                  <w:pPr>
                    <w:adjustRightInd w:val="0"/>
                    <w:snapToGrid w:val="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1次/两年</w:t>
                  </w:r>
                </w:p>
              </w:tc>
              <w:tc>
                <w:tcPr>
                  <w:tcW w:w="2651" w:type="dxa"/>
                  <w:tcBorders>
                    <w:tl2br w:val="nil"/>
                    <w:tr2bl w:val="nil"/>
                  </w:tcBorders>
                  <w:noWrap w:val="0"/>
                  <w:vAlign w:val="center"/>
                </w:tcPr>
                <w:p w14:paraId="0BD92393">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《水泥工业大气污染物排放</w:t>
                  </w:r>
                  <w:r>
                    <w:rPr>
                      <w:rFonts w:hint="eastAsia" w:ascii="Times New Roman" w:hAnsi="Times New Roman" w:eastAsia="宋体" w:cs="Times New Roman"/>
                      <w:bCs/>
                      <w:color w:val="auto"/>
                      <w:sz w:val="21"/>
                      <w:szCs w:val="21"/>
                      <w:highlight w:val="none"/>
                      <w:lang w:val="en-US" w:eastAsia="zh-CN"/>
                    </w:rPr>
                    <w:t>标</w:t>
                  </w:r>
                  <w:r>
                    <w:rPr>
                      <w:rFonts w:hint="default" w:ascii="Times New Roman" w:hAnsi="Times New Roman" w:eastAsia="宋体" w:cs="Times New Roman"/>
                      <w:bCs/>
                      <w:color w:val="auto"/>
                      <w:sz w:val="21"/>
                      <w:szCs w:val="21"/>
                      <w:highlight w:val="none"/>
                      <w:lang w:val="en-US" w:eastAsia="zh-CN"/>
                    </w:rPr>
                    <w:t>准》（GB4915-2013）</w:t>
                  </w:r>
                  <w:r>
                    <w:rPr>
                      <w:rFonts w:hint="eastAsia" w:ascii="Times New Roman" w:hAnsi="Times New Roman" w:eastAsia="宋体" w:cs="Times New Roman"/>
                      <w:bCs/>
                      <w:color w:val="auto"/>
                      <w:sz w:val="21"/>
                      <w:szCs w:val="21"/>
                      <w:highlight w:val="none"/>
                      <w:lang w:val="en-US" w:eastAsia="zh-CN"/>
                    </w:rPr>
                    <w:t>有组织排放标准</w:t>
                  </w:r>
                </w:p>
              </w:tc>
            </w:tr>
            <w:tr w14:paraId="1E6824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1324" w:type="dxa"/>
                  <w:vMerge w:val="continue"/>
                  <w:tcBorders>
                    <w:tl2br w:val="nil"/>
                    <w:tr2bl w:val="nil"/>
                  </w:tcBorders>
                  <w:noWrap w:val="0"/>
                  <w:vAlign w:val="top"/>
                </w:tcPr>
                <w:p w14:paraId="1F1A5376">
                  <w:pPr>
                    <w:adjustRightInd w:val="0"/>
                    <w:snapToGrid w:val="0"/>
                    <w:jc w:val="center"/>
                    <w:rPr>
                      <w:rFonts w:hint="default" w:ascii="Times New Roman" w:hAnsi="Times New Roman" w:cs="Times New Roman"/>
                      <w:bCs/>
                      <w:color w:val="auto"/>
                      <w:sz w:val="21"/>
                      <w:szCs w:val="21"/>
                      <w:highlight w:val="none"/>
                    </w:rPr>
                  </w:pPr>
                </w:p>
              </w:tc>
              <w:tc>
                <w:tcPr>
                  <w:tcW w:w="1324" w:type="dxa"/>
                  <w:tcBorders>
                    <w:tl2br w:val="nil"/>
                    <w:tr2bl w:val="nil"/>
                  </w:tcBorders>
                  <w:noWrap w:val="0"/>
                  <w:vAlign w:val="top"/>
                </w:tcPr>
                <w:p w14:paraId="346BD688">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水泥筒仓DA003</w:t>
                  </w:r>
                </w:p>
              </w:tc>
              <w:tc>
                <w:tcPr>
                  <w:tcW w:w="1324" w:type="dxa"/>
                  <w:tcBorders>
                    <w:tl2br w:val="nil"/>
                    <w:tr2bl w:val="nil"/>
                  </w:tcBorders>
                  <w:noWrap w:val="0"/>
                  <w:vAlign w:val="center"/>
                </w:tcPr>
                <w:p w14:paraId="28DCB698">
                  <w:pPr>
                    <w:adjustRightInd w:val="0"/>
                    <w:snapToGrid w:val="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颗粒物</w:t>
                  </w:r>
                </w:p>
              </w:tc>
              <w:tc>
                <w:tcPr>
                  <w:tcW w:w="1324" w:type="dxa"/>
                  <w:tcBorders>
                    <w:tl2br w:val="nil"/>
                    <w:tr2bl w:val="nil"/>
                  </w:tcBorders>
                  <w:noWrap w:val="0"/>
                  <w:vAlign w:val="center"/>
                </w:tcPr>
                <w:p w14:paraId="78E0E952">
                  <w:pPr>
                    <w:adjustRightInd w:val="0"/>
                    <w:snapToGrid w:val="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1次/两年</w:t>
                  </w:r>
                </w:p>
              </w:tc>
              <w:tc>
                <w:tcPr>
                  <w:tcW w:w="2651" w:type="dxa"/>
                  <w:tcBorders>
                    <w:tl2br w:val="nil"/>
                    <w:tr2bl w:val="nil"/>
                  </w:tcBorders>
                  <w:noWrap w:val="0"/>
                  <w:vAlign w:val="center"/>
                </w:tcPr>
                <w:p w14:paraId="6ED16A91">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《水泥工业大气污染物排放</w:t>
                  </w:r>
                  <w:r>
                    <w:rPr>
                      <w:rFonts w:hint="eastAsia" w:ascii="Times New Roman" w:hAnsi="Times New Roman" w:eastAsia="宋体" w:cs="Times New Roman"/>
                      <w:bCs/>
                      <w:color w:val="auto"/>
                      <w:sz w:val="21"/>
                      <w:szCs w:val="21"/>
                      <w:highlight w:val="none"/>
                      <w:lang w:val="en-US" w:eastAsia="zh-CN"/>
                    </w:rPr>
                    <w:t>标</w:t>
                  </w:r>
                  <w:r>
                    <w:rPr>
                      <w:rFonts w:hint="default" w:ascii="Times New Roman" w:hAnsi="Times New Roman" w:eastAsia="宋体" w:cs="Times New Roman"/>
                      <w:bCs/>
                      <w:color w:val="auto"/>
                      <w:sz w:val="21"/>
                      <w:szCs w:val="21"/>
                      <w:highlight w:val="none"/>
                      <w:lang w:val="en-US" w:eastAsia="zh-CN"/>
                    </w:rPr>
                    <w:t>准》（GB4915-2013）</w:t>
                  </w:r>
                  <w:r>
                    <w:rPr>
                      <w:rFonts w:hint="eastAsia" w:ascii="Times New Roman" w:hAnsi="Times New Roman" w:eastAsia="宋体" w:cs="Times New Roman"/>
                      <w:bCs/>
                      <w:color w:val="auto"/>
                      <w:sz w:val="21"/>
                      <w:szCs w:val="21"/>
                      <w:highlight w:val="none"/>
                      <w:lang w:val="en-US" w:eastAsia="zh-CN"/>
                    </w:rPr>
                    <w:t>有组织排放标准</w:t>
                  </w:r>
                </w:p>
              </w:tc>
            </w:tr>
            <w:tr w14:paraId="0A052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1324" w:type="dxa"/>
                  <w:vMerge w:val="continue"/>
                  <w:tcBorders>
                    <w:tl2br w:val="nil"/>
                    <w:tr2bl w:val="nil"/>
                  </w:tcBorders>
                  <w:noWrap w:val="0"/>
                  <w:vAlign w:val="top"/>
                </w:tcPr>
                <w:p w14:paraId="3443E237">
                  <w:pPr>
                    <w:adjustRightInd w:val="0"/>
                    <w:snapToGrid w:val="0"/>
                    <w:jc w:val="center"/>
                    <w:rPr>
                      <w:rFonts w:hint="default" w:ascii="Times New Roman" w:hAnsi="Times New Roman" w:cs="Times New Roman"/>
                      <w:bCs/>
                      <w:color w:val="auto"/>
                      <w:sz w:val="21"/>
                      <w:szCs w:val="21"/>
                      <w:highlight w:val="none"/>
                    </w:rPr>
                  </w:pPr>
                </w:p>
              </w:tc>
              <w:tc>
                <w:tcPr>
                  <w:tcW w:w="1324" w:type="dxa"/>
                  <w:tcBorders>
                    <w:tl2br w:val="nil"/>
                    <w:tr2bl w:val="nil"/>
                  </w:tcBorders>
                  <w:noWrap w:val="0"/>
                  <w:vAlign w:val="top"/>
                </w:tcPr>
                <w:p w14:paraId="14CE1EF9">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粉煤灰筒仓DA004</w:t>
                  </w:r>
                </w:p>
              </w:tc>
              <w:tc>
                <w:tcPr>
                  <w:tcW w:w="1324" w:type="dxa"/>
                  <w:tcBorders>
                    <w:tl2br w:val="nil"/>
                    <w:tr2bl w:val="nil"/>
                  </w:tcBorders>
                  <w:noWrap w:val="0"/>
                  <w:vAlign w:val="center"/>
                </w:tcPr>
                <w:p w14:paraId="58418371">
                  <w:pPr>
                    <w:adjustRightInd w:val="0"/>
                    <w:snapToGrid w:val="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颗粒物</w:t>
                  </w:r>
                </w:p>
              </w:tc>
              <w:tc>
                <w:tcPr>
                  <w:tcW w:w="1324" w:type="dxa"/>
                  <w:tcBorders>
                    <w:tl2br w:val="nil"/>
                    <w:tr2bl w:val="nil"/>
                  </w:tcBorders>
                  <w:noWrap w:val="0"/>
                  <w:vAlign w:val="center"/>
                </w:tcPr>
                <w:p w14:paraId="18711B79">
                  <w:pPr>
                    <w:adjustRightInd w:val="0"/>
                    <w:snapToGrid w:val="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1次/两年</w:t>
                  </w:r>
                </w:p>
              </w:tc>
              <w:tc>
                <w:tcPr>
                  <w:tcW w:w="2651" w:type="dxa"/>
                  <w:tcBorders>
                    <w:tl2br w:val="nil"/>
                    <w:tr2bl w:val="nil"/>
                  </w:tcBorders>
                  <w:noWrap w:val="0"/>
                  <w:vAlign w:val="center"/>
                </w:tcPr>
                <w:p w14:paraId="2DB649E5">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《水泥工业大气污染物排放</w:t>
                  </w:r>
                  <w:r>
                    <w:rPr>
                      <w:rFonts w:hint="eastAsia" w:ascii="Times New Roman" w:hAnsi="Times New Roman" w:eastAsia="宋体" w:cs="Times New Roman"/>
                      <w:bCs/>
                      <w:color w:val="auto"/>
                      <w:sz w:val="21"/>
                      <w:szCs w:val="21"/>
                      <w:highlight w:val="none"/>
                      <w:lang w:val="en-US" w:eastAsia="zh-CN"/>
                    </w:rPr>
                    <w:t>标</w:t>
                  </w:r>
                  <w:r>
                    <w:rPr>
                      <w:rFonts w:hint="default" w:ascii="Times New Roman" w:hAnsi="Times New Roman" w:eastAsia="宋体" w:cs="Times New Roman"/>
                      <w:bCs/>
                      <w:color w:val="auto"/>
                      <w:sz w:val="21"/>
                      <w:szCs w:val="21"/>
                      <w:highlight w:val="none"/>
                      <w:lang w:val="en-US" w:eastAsia="zh-CN"/>
                    </w:rPr>
                    <w:t>准》（GB4915-2013）</w:t>
                  </w:r>
                  <w:r>
                    <w:rPr>
                      <w:rFonts w:hint="eastAsia" w:ascii="Times New Roman" w:hAnsi="Times New Roman" w:eastAsia="宋体" w:cs="Times New Roman"/>
                      <w:bCs/>
                      <w:color w:val="auto"/>
                      <w:sz w:val="21"/>
                      <w:szCs w:val="21"/>
                      <w:highlight w:val="none"/>
                      <w:lang w:val="en-US" w:eastAsia="zh-CN"/>
                    </w:rPr>
                    <w:t>有组织排放标准</w:t>
                  </w:r>
                </w:p>
              </w:tc>
            </w:tr>
            <w:tr w14:paraId="1701F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24" w:type="dxa"/>
                  <w:tcBorders>
                    <w:tl2br w:val="nil"/>
                    <w:tr2bl w:val="nil"/>
                  </w:tcBorders>
                  <w:noWrap w:val="0"/>
                  <w:vAlign w:val="center"/>
                </w:tcPr>
                <w:p w14:paraId="0058D85F">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无组织废气</w:t>
                  </w:r>
                </w:p>
              </w:tc>
              <w:tc>
                <w:tcPr>
                  <w:tcW w:w="1324" w:type="dxa"/>
                  <w:tcBorders>
                    <w:tl2br w:val="nil"/>
                    <w:tr2bl w:val="nil"/>
                  </w:tcBorders>
                  <w:noWrap w:val="0"/>
                  <w:vAlign w:val="center"/>
                </w:tcPr>
                <w:p w14:paraId="5790B8FA">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yellow"/>
                      <w:lang w:val="en-US" w:eastAsia="zh-CN"/>
                    </w:rPr>
                    <w:t>厂界上下风向（厂界外20m）</w:t>
                  </w:r>
                </w:p>
              </w:tc>
              <w:tc>
                <w:tcPr>
                  <w:tcW w:w="1324" w:type="dxa"/>
                  <w:tcBorders>
                    <w:tl2br w:val="nil"/>
                    <w:tr2bl w:val="nil"/>
                  </w:tcBorders>
                  <w:noWrap w:val="0"/>
                  <w:vAlign w:val="center"/>
                </w:tcPr>
                <w:p w14:paraId="560C1CB2">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颗粒物</w:t>
                  </w:r>
                </w:p>
              </w:tc>
              <w:tc>
                <w:tcPr>
                  <w:tcW w:w="1324" w:type="dxa"/>
                  <w:tcBorders>
                    <w:tl2br w:val="nil"/>
                    <w:tr2bl w:val="nil"/>
                  </w:tcBorders>
                  <w:noWrap w:val="0"/>
                  <w:vAlign w:val="center"/>
                </w:tcPr>
                <w:p w14:paraId="4A4EE142">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1次/季度</w:t>
                  </w:r>
                </w:p>
              </w:tc>
              <w:tc>
                <w:tcPr>
                  <w:tcW w:w="2651" w:type="dxa"/>
                  <w:tcBorders>
                    <w:tl2br w:val="nil"/>
                    <w:tr2bl w:val="nil"/>
                  </w:tcBorders>
                  <w:noWrap w:val="0"/>
                  <w:vAlign w:val="center"/>
                </w:tcPr>
                <w:p w14:paraId="4B576596">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《水泥工业大气污染物排放标准》（GB4915-2013）</w:t>
                  </w:r>
                </w:p>
              </w:tc>
            </w:tr>
          </w:tbl>
          <w:p w14:paraId="0AC3CC26">
            <w:pPr>
              <w:numPr>
                <w:ilvl w:val="0"/>
                <w:numId w:val="15"/>
              </w:numPr>
              <w:adjustRightInd w:val="0"/>
              <w:snapToGrid w:val="0"/>
              <w:spacing w:line="360" w:lineRule="auto"/>
              <w:ind w:firstLine="480" w:firstLineChars="200"/>
              <w:rPr>
                <w:rFonts w:hint="eastAsia" w:cs="Times New Roman"/>
                <w:bCs/>
                <w:color w:val="auto"/>
                <w:sz w:val="24"/>
                <w:szCs w:val="24"/>
                <w:highlight w:val="none"/>
                <w:lang w:val="en-US" w:eastAsia="zh-CN"/>
              </w:rPr>
            </w:pPr>
            <w:r>
              <w:rPr>
                <w:rFonts w:hint="eastAsia" w:cs="Times New Roman"/>
                <w:bCs/>
                <w:color w:val="auto"/>
                <w:sz w:val="24"/>
                <w:szCs w:val="24"/>
                <w:highlight w:val="none"/>
                <w:lang w:val="en-US" w:eastAsia="zh-CN"/>
              </w:rPr>
              <w:t>污染治理措施及环境影响分析</w:t>
            </w:r>
          </w:p>
          <w:p w14:paraId="7D9E271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highlight w:val="yellow"/>
                <w:lang w:val="en-US" w:eastAsia="zh-CN" w:bidi="ar"/>
              </w:rPr>
            </w:pPr>
            <w:r>
              <w:rPr>
                <w:rFonts w:hint="eastAsia" w:ascii="宋体" w:hAnsi="宋体" w:eastAsia="宋体" w:cs="宋体"/>
                <w:color w:val="000000"/>
                <w:kern w:val="0"/>
                <w:sz w:val="24"/>
                <w:szCs w:val="24"/>
                <w:highlight w:val="yellow"/>
                <w:lang w:val="en-US" w:eastAsia="zh-CN" w:bidi="ar"/>
              </w:rPr>
              <w:t>根据《排污许可证申请与核发技术规范 锅炉》（</w:t>
            </w:r>
            <w:r>
              <w:rPr>
                <w:rFonts w:hint="default" w:ascii="Times New Roman" w:hAnsi="Times New Roman" w:eastAsia="宋体" w:cs="Times New Roman"/>
                <w:color w:val="000000"/>
                <w:kern w:val="0"/>
                <w:sz w:val="24"/>
                <w:szCs w:val="24"/>
                <w:highlight w:val="yellow"/>
                <w:lang w:val="en-US" w:eastAsia="zh-CN" w:bidi="ar"/>
              </w:rPr>
              <w:t>HJ953-2018</w:t>
            </w:r>
            <w:r>
              <w:rPr>
                <w:rFonts w:hint="eastAsia" w:ascii="宋体" w:hAnsi="宋体" w:eastAsia="宋体" w:cs="宋体"/>
                <w:color w:val="000000"/>
                <w:kern w:val="0"/>
                <w:sz w:val="24"/>
                <w:szCs w:val="24"/>
                <w:highlight w:val="yellow"/>
                <w:lang w:val="en-US" w:eastAsia="zh-CN" w:bidi="ar"/>
              </w:rPr>
              <w:t>）中对污染防治可行技术的要求，本项目燃</w:t>
            </w:r>
            <w:r>
              <w:rPr>
                <w:rFonts w:hint="eastAsia" w:ascii="宋体" w:hAnsi="宋体" w:cs="宋体"/>
                <w:color w:val="000000"/>
                <w:kern w:val="0"/>
                <w:sz w:val="24"/>
                <w:szCs w:val="24"/>
                <w:highlight w:val="yellow"/>
                <w:lang w:val="en-US" w:eastAsia="zh-CN" w:bidi="ar"/>
              </w:rPr>
              <w:t>生物质蒸汽发生器</w:t>
            </w:r>
            <w:r>
              <w:rPr>
                <w:rFonts w:hint="eastAsia" w:ascii="宋体" w:hAnsi="宋体" w:eastAsia="宋体" w:cs="宋体"/>
                <w:color w:val="000000"/>
                <w:kern w:val="0"/>
                <w:sz w:val="24"/>
                <w:szCs w:val="24"/>
                <w:highlight w:val="yellow"/>
                <w:lang w:val="en-US" w:eastAsia="zh-CN" w:bidi="ar"/>
              </w:rPr>
              <w:t>采取低氮燃烧器+旋风除尘+布袋除尘器技术，属于可行技术。根据《锅炉大气污染物排放标准》（</w:t>
            </w:r>
            <w:r>
              <w:rPr>
                <w:rFonts w:hint="default" w:ascii="Times New Roman" w:hAnsi="Times New Roman" w:eastAsia="宋体" w:cs="Times New Roman"/>
                <w:color w:val="000000"/>
                <w:kern w:val="0"/>
                <w:sz w:val="24"/>
                <w:szCs w:val="24"/>
                <w:highlight w:val="yellow"/>
                <w:lang w:val="en-US" w:eastAsia="zh-CN" w:bidi="ar"/>
              </w:rPr>
              <w:t>GB 13271-2014</w:t>
            </w:r>
            <w:r>
              <w:rPr>
                <w:rFonts w:hint="eastAsia" w:ascii="宋体" w:hAnsi="宋体" w:eastAsia="宋体" w:cs="宋体"/>
                <w:color w:val="000000"/>
                <w:kern w:val="0"/>
                <w:sz w:val="24"/>
                <w:szCs w:val="24"/>
                <w:highlight w:val="yellow"/>
                <w:lang w:val="en-US" w:eastAsia="zh-CN" w:bidi="ar"/>
              </w:rPr>
              <w:t>）中“</w:t>
            </w:r>
            <w:r>
              <w:rPr>
                <w:rFonts w:hint="default" w:ascii="Times New Roman" w:hAnsi="Times New Roman" w:eastAsia="宋体" w:cs="Times New Roman"/>
                <w:color w:val="000000"/>
                <w:kern w:val="0"/>
                <w:sz w:val="24"/>
                <w:szCs w:val="24"/>
                <w:highlight w:val="yellow"/>
                <w:lang w:val="en-US" w:eastAsia="zh-CN" w:bidi="ar"/>
              </w:rPr>
              <w:t xml:space="preserve">4.5 </w:t>
            </w:r>
            <w:r>
              <w:rPr>
                <w:rFonts w:hint="eastAsia" w:ascii="宋体" w:hAnsi="宋体" w:eastAsia="宋体" w:cs="宋体"/>
                <w:color w:val="000000"/>
                <w:kern w:val="0"/>
                <w:sz w:val="24"/>
                <w:szCs w:val="24"/>
                <w:highlight w:val="yellow"/>
                <w:lang w:val="en-US" w:eastAsia="zh-CN" w:bidi="ar"/>
              </w:rPr>
              <w:t>燃</w:t>
            </w:r>
            <w:r>
              <w:rPr>
                <w:rFonts w:hint="eastAsia" w:ascii="宋体" w:hAnsi="宋体" w:cs="宋体"/>
                <w:color w:val="000000"/>
                <w:kern w:val="0"/>
                <w:sz w:val="24"/>
                <w:szCs w:val="24"/>
                <w:highlight w:val="yellow"/>
                <w:lang w:val="en-US" w:eastAsia="zh-CN" w:bidi="ar"/>
              </w:rPr>
              <w:t>煤锅炉房装机总量为2～＜4t/h烟囱最低允许高度为30m高</w:t>
            </w:r>
            <w:r>
              <w:rPr>
                <w:rFonts w:hint="eastAsia" w:ascii="宋体" w:hAnsi="宋体" w:eastAsia="宋体" w:cs="宋体"/>
                <w:color w:val="000000"/>
                <w:kern w:val="0"/>
                <w:sz w:val="24"/>
                <w:szCs w:val="24"/>
                <w:highlight w:val="yellow"/>
                <w:lang w:val="en-US" w:eastAsia="zh-CN" w:bidi="ar"/>
              </w:rPr>
              <w:t>，新建锅炉房的烟囱周围半径</w:t>
            </w:r>
            <w:r>
              <w:rPr>
                <w:rFonts w:hint="default" w:ascii="Times New Roman" w:hAnsi="Times New Roman" w:eastAsia="宋体" w:cs="Times New Roman"/>
                <w:color w:val="000000"/>
                <w:kern w:val="0"/>
                <w:sz w:val="24"/>
                <w:szCs w:val="24"/>
                <w:highlight w:val="yellow"/>
                <w:lang w:val="en-US" w:eastAsia="zh-CN" w:bidi="ar"/>
              </w:rPr>
              <w:t>200m</w:t>
            </w:r>
            <w:r>
              <w:rPr>
                <w:rFonts w:hint="eastAsia" w:ascii="宋体" w:hAnsi="宋体" w:eastAsia="宋体" w:cs="宋体"/>
                <w:color w:val="000000"/>
                <w:kern w:val="0"/>
                <w:sz w:val="24"/>
                <w:szCs w:val="24"/>
                <w:highlight w:val="yellow"/>
                <w:lang w:val="en-US" w:eastAsia="zh-CN" w:bidi="ar"/>
              </w:rPr>
              <w:t>距离内有建筑物时，其烟囱应高出最高建筑物</w:t>
            </w:r>
            <w:r>
              <w:rPr>
                <w:rFonts w:hint="default" w:ascii="Times New Roman" w:hAnsi="Times New Roman" w:eastAsia="宋体" w:cs="Times New Roman"/>
                <w:color w:val="000000"/>
                <w:kern w:val="0"/>
                <w:sz w:val="24"/>
                <w:szCs w:val="24"/>
                <w:highlight w:val="yellow"/>
                <w:lang w:val="en-US" w:eastAsia="zh-CN" w:bidi="ar"/>
              </w:rPr>
              <w:t>3m</w:t>
            </w:r>
            <w:r>
              <w:rPr>
                <w:rFonts w:hint="eastAsia" w:ascii="宋体" w:hAnsi="宋体" w:eastAsia="宋体" w:cs="宋体"/>
                <w:color w:val="000000"/>
                <w:kern w:val="0"/>
                <w:sz w:val="24"/>
                <w:szCs w:val="24"/>
                <w:highlight w:val="yellow"/>
                <w:lang w:val="en-US" w:eastAsia="zh-CN" w:bidi="ar"/>
              </w:rPr>
              <w:t>以上。”本项目锅炉房</w:t>
            </w:r>
            <w:r>
              <w:rPr>
                <w:rFonts w:hint="default" w:ascii="Times New Roman" w:hAnsi="Times New Roman" w:eastAsia="宋体" w:cs="Times New Roman"/>
                <w:color w:val="000000"/>
                <w:kern w:val="0"/>
                <w:sz w:val="24"/>
                <w:szCs w:val="24"/>
                <w:highlight w:val="yellow"/>
                <w:lang w:val="en-US" w:eastAsia="zh-CN" w:bidi="ar"/>
              </w:rPr>
              <w:t>200m</w:t>
            </w:r>
            <w:r>
              <w:rPr>
                <w:rFonts w:hint="eastAsia" w:ascii="宋体" w:hAnsi="宋体" w:eastAsia="宋体" w:cs="宋体"/>
                <w:color w:val="000000"/>
                <w:kern w:val="0"/>
                <w:sz w:val="24"/>
                <w:szCs w:val="24"/>
                <w:highlight w:val="yellow"/>
                <w:lang w:val="en-US" w:eastAsia="zh-CN" w:bidi="ar"/>
              </w:rPr>
              <w:t>范围内</w:t>
            </w:r>
            <w:r>
              <w:rPr>
                <w:rFonts w:hint="eastAsia" w:ascii="宋体" w:hAnsi="宋体" w:cs="宋体"/>
                <w:color w:val="000000"/>
                <w:kern w:val="0"/>
                <w:sz w:val="24"/>
                <w:szCs w:val="24"/>
                <w:highlight w:val="yellow"/>
                <w:lang w:val="en-US" w:eastAsia="zh-CN" w:bidi="ar"/>
              </w:rPr>
              <w:t>无建筑，</w:t>
            </w:r>
            <w:r>
              <w:rPr>
                <w:rFonts w:hint="eastAsia" w:ascii="宋体" w:hAnsi="宋体" w:eastAsia="宋体" w:cs="宋体"/>
                <w:color w:val="000000"/>
                <w:kern w:val="0"/>
                <w:sz w:val="24"/>
                <w:szCs w:val="24"/>
                <w:highlight w:val="yellow"/>
                <w:lang w:val="en-US" w:eastAsia="zh-CN" w:bidi="ar"/>
              </w:rPr>
              <w:t>因此本项目</w:t>
            </w:r>
            <w:r>
              <w:rPr>
                <w:rFonts w:hint="eastAsia" w:ascii="宋体" w:hAnsi="宋体" w:cs="宋体"/>
                <w:color w:val="000000"/>
                <w:kern w:val="0"/>
                <w:sz w:val="24"/>
                <w:szCs w:val="24"/>
                <w:highlight w:val="yellow"/>
                <w:lang w:val="en-US" w:eastAsia="zh-CN" w:bidi="ar"/>
              </w:rPr>
              <w:t>30</w:t>
            </w:r>
            <w:r>
              <w:rPr>
                <w:rFonts w:hint="default" w:ascii="Times New Roman" w:hAnsi="Times New Roman" w:eastAsia="宋体" w:cs="Times New Roman"/>
                <w:color w:val="000000"/>
                <w:kern w:val="0"/>
                <w:sz w:val="24"/>
                <w:szCs w:val="24"/>
                <w:highlight w:val="yellow"/>
                <w:lang w:val="en-US" w:eastAsia="zh-CN" w:bidi="ar"/>
              </w:rPr>
              <w:t>m</w:t>
            </w:r>
            <w:r>
              <w:rPr>
                <w:rFonts w:hint="eastAsia" w:ascii="宋体" w:hAnsi="宋体" w:eastAsia="宋体" w:cs="宋体"/>
                <w:color w:val="000000"/>
                <w:kern w:val="0"/>
                <w:sz w:val="24"/>
                <w:szCs w:val="24"/>
                <w:highlight w:val="yellow"/>
                <w:lang w:val="en-US" w:eastAsia="zh-CN" w:bidi="ar"/>
              </w:rPr>
              <w:t>高烟囱能够满足锅炉烟气污染防治要求。</w:t>
            </w:r>
          </w:p>
          <w:p w14:paraId="2F1A4D1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2"/>
                <w:sz w:val="24"/>
                <w:szCs w:val="24"/>
                <w:highlight w:val="yellow"/>
                <w:lang w:val="en-US" w:eastAsia="zh-CN" w:bidi="ar-SA"/>
              </w:rPr>
            </w:pPr>
            <w:r>
              <w:rPr>
                <w:rFonts w:hint="eastAsia" w:ascii="宋体" w:hAnsi="宋体" w:cs="宋体"/>
                <w:color w:val="000000"/>
                <w:kern w:val="0"/>
                <w:sz w:val="24"/>
                <w:szCs w:val="24"/>
                <w:highlight w:val="yellow"/>
                <w:lang w:val="en-US" w:eastAsia="zh-CN" w:bidi="ar"/>
              </w:rPr>
              <w:t>本项目砂石原料装卸运输无组织粉尘</w:t>
            </w:r>
            <w:r>
              <w:rPr>
                <w:rFonts w:hint="eastAsia" w:ascii="Times New Roman" w:hAnsi="Times New Roman" w:eastAsia="宋体" w:cs="Times New Roman"/>
                <w:color w:val="auto"/>
                <w:kern w:val="2"/>
                <w:sz w:val="24"/>
                <w:szCs w:val="24"/>
                <w:highlight w:val="yellow"/>
                <w:lang w:val="en-US" w:eastAsia="zh-CN" w:bidi="ar-SA"/>
              </w:rPr>
              <w:t>采取</w:t>
            </w:r>
            <w:r>
              <w:rPr>
                <w:rFonts w:hint="eastAsia" w:cs="Times New Roman"/>
                <w:color w:val="auto"/>
                <w:kern w:val="2"/>
                <w:sz w:val="24"/>
                <w:szCs w:val="24"/>
                <w:highlight w:val="yellow"/>
                <w:lang w:val="en-US" w:eastAsia="zh-CN" w:bidi="ar-SA"/>
              </w:rPr>
              <w:t>料堆防尘布苫盖，定时洒水抑尘，堆场四周设置防风抑尘网。</w:t>
            </w:r>
            <w:r>
              <w:rPr>
                <w:rFonts w:hint="eastAsia" w:ascii="Times New Roman" w:hAnsi="Times New Roman" w:eastAsia="宋体" w:cs="Times New Roman"/>
                <w:color w:val="auto"/>
                <w:kern w:val="2"/>
                <w:sz w:val="24"/>
                <w:szCs w:val="24"/>
                <w:highlight w:val="yellow"/>
                <w:lang w:val="en-US" w:eastAsia="zh-CN" w:bidi="ar-SA"/>
              </w:rPr>
              <w:t>经治理后降尘效果可达到</w:t>
            </w:r>
            <w:r>
              <w:rPr>
                <w:rFonts w:hint="eastAsia" w:cs="Times New Roman"/>
                <w:color w:val="auto"/>
                <w:kern w:val="2"/>
                <w:sz w:val="24"/>
                <w:szCs w:val="24"/>
                <w:highlight w:val="yellow"/>
                <w:lang w:val="en-US" w:eastAsia="zh-CN" w:bidi="ar-SA"/>
              </w:rPr>
              <w:t>85</w:t>
            </w:r>
            <w:r>
              <w:rPr>
                <w:rFonts w:hint="default" w:ascii="Times New Roman" w:hAnsi="Times New Roman" w:eastAsia="宋体" w:cs="Times New Roman"/>
                <w:color w:val="auto"/>
                <w:kern w:val="2"/>
                <w:sz w:val="24"/>
                <w:szCs w:val="24"/>
                <w:highlight w:val="yellow"/>
                <w:lang w:val="en-US" w:eastAsia="zh-CN" w:bidi="ar-SA"/>
              </w:rPr>
              <w:t>%</w:t>
            </w:r>
            <w:r>
              <w:rPr>
                <w:rFonts w:hint="eastAsia" w:ascii="Times New Roman" w:hAnsi="Times New Roman" w:eastAsia="宋体" w:cs="Times New Roman"/>
                <w:color w:val="auto"/>
                <w:kern w:val="2"/>
                <w:sz w:val="24"/>
                <w:szCs w:val="24"/>
                <w:highlight w:val="yellow"/>
                <w:lang w:val="en-US" w:eastAsia="zh-CN" w:bidi="ar-SA"/>
              </w:rPr>
              <w:t>，可达标排放；砂石上料粉尘在全封闭厂房内进行，进行洒水降尘，经治理后降尘效果可达到85%，可达标排放；本项目筒仓和搅拌工序均属于全封闭设施，内部设有布袋除尘器，除尘效率约为99.7%，经处理后可达标排放。</w:t>
            </w:r>
          </w:p>
          <w:p w14:paraId="3425EF8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2"/>
                <w:sz w:val="24"/>
                <w:szCs w:val="24"/>
                <w:highlight w:val="yellow"/>
                <w:lang w:val="en-US" w:eastAsia="zh-CN" w:bidi="ar-SA"/>
              </w:rPr>
            </w:pPr>
            <w:r>
              <w:rPr>
                <w:rFonts w:hint="eastAsia" w:ascii="Times New Roman" w:hAnsi="Times New Roman" w:eastAsia="宋体" w:cs="Times New Roman"/>
                <w:color w:val="auto"/>
                <w:kern w:val="2"/>
                <w:sz w:val="24"/>
                <w:szCs w:val="24"/>
                <w:highlight w:val="yellow"/>
                <w:lang w:val="en-US" w:eastAsia="zh-CN" w:bidi="ar-SA"/>
              </w:rPr>
              <w:t>因此本项目废气在采取以上措施后所排放的大气污染物对周边影响较小可已接受。</w:t>
            </w:r>
          </w:p>
          <w:p w14:paraId="72B60168">
            <w:pPr>
              <w:pStyle w:val="85"/>
              <w:keepNext w:val="0"/>
              <w:keepLines w:val="0"/>
              <w:pageBreakBefore w:val="0"/>
              <w:widowControl w:val="0"/>
              <w:numPr>
                <w:ilvl w:val="0"/>
                <w:numId w:val="0"/>
              </w:numPr>
              <w:kinsoku/>
              <w:wordWrap/>
              <w:overflowPunct/>
              <w:topLinePunct w:val="0"/>
              <w:autoSpaceDE/>
              <w:autoSpaceDN/>
              <w:bidi w:val="0"/>
              <w:adjustRightInd w:val="0"/>
              <w:snapToGrid w:val="0"/>
              <w:ind w:firstLine="482" w:firstLineChars="200"/>
              <w:textAlignment w:val="auto"/>
              <w:rPr>
                <w:rFonts w:hint="default" w:ascii="Times New Roman" w:hAnsi="Times New Roman" w:cs="Times New Roman"/>
                <w:b/>
                <w:bCs/>
                <w:color w:val="auto"/>
                <w:sz w:val="24"/>
                <w:szCs w:val="24"/>
                <w:highlight w:val="none"/>
              </w:rPr>
            </w:pPr>
            <w:r>
              <w:rPr>
                <w:rFonts w:hint="eastAsia" w:cs="Times New Roman"/>
                <w:b/>
                <w:bCs/>
                <w:color w:val="auto"/>
                <w:sz w:val="24"/>
                <w:szCs w:val="24"/>
                <w:highlight w:val="none"/>
                <w:lang w:val="en-US" w:eastAsia="zh-CN"/>
              </w:rPr>
              <w:t>二、</w:t>
            </w:r>
            <w:r>
              <w:rPr>
                <w:rFonts w:hint="default" w:ascii="Times New Roman" w:hAnsi="Times New Roman" w:cs="Times New Roman"/>
                <w:b/>
                <w:bCs/>
                <w:color w:val="auto"/>
                <w:sz w:val="24"/>
                <w:szCs w:val="24"/>
                <w:highlight w:val="none"/>
              </w:rPr>
              <w:t>废水</w:t>
            </w:r>
          </w:p>
          <w:p w14:paraId="689E2CE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color w:val="000000"/>
                <w:kern w:val="0"/>
                <w:sz w:val="24"/>
                <w:szCs w:val="24"/>
                <w:lang w:val="en-US" w:eastAsia="zh-CN" w:bidi="ar"/>
              </w:rPr>
              <w:t>（</w:t>
            </w:r>
            <w:r>
              <w:rPr>
                <w:rFonts w:hint="default" w:ascii="宋体" w:hAnsi="宋体" w:eastAsia="宋体" w:cs="宋体"/>
                <w:color w:val="000000"/>
                <w:kern w:val="0"/>
                <w:sz w:val="24"/>
                <w:szCs w:val="24"/>
                <w:highlight w:val="none"/>
                <w:lang w:val="en-US" w:eastAsia="zh-CN" w:bidi="ar"/>
              </w:rPr>
              <w:t>1</w:t>
            </w:r>
            <w:r>
              <w:rPr>
                <w:rFonts w:hint="eastAsia" w:ascii="宋体" w:hAnsi="宋体" w:eastAsia="宋体" w:cs="宋体"/>
                <w:color w:val="000000"/>
                <w:kern w:val="0"/>
                <w:sz w:val="24"/>
                <w:szCs w:val="24"/>
                <w:highlight w:val="none"/>
                <w:lang w:val="en-US" w:eastAsia="zh-CN" w:bidi="ar"/>
              </w:rPr>
              <w:t xml:space="preserve">）废水排放源强核算 </w:t>
            </w:r>
          </w:p>
          <w:p w14:paraId="5AA1178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color w:val="000000"/>
                <w:kern w:val="0"/>
                <w:sz w:val="24"/>
                <w:szCs w:val="24"/>
                <w:highlight w:val="none"/>
                <w:lang w:val="en-US" w:eastAsia="zh-CN" w:bidi="ar"/>
              </w:rPr>
              <w:t>生产废水：</w:t>
            </w:r>
            <w:r>
              <w:rPr>
                <w:rFonts w:hint="eastAsia" w:ascii="Times New Roman" w:hAnsi="宋体" w:eastAsia="宋体" w:cs="Times New Roman"/>
                <w:color w:val="auto"/>
                <w:kern w:val="2"/>
                <w:sz w:val="24"/>
                <w:szCs w:val="24"/>
                <w:highlight w:val="yellow"/>
                <w:lang w:val="en-US" w:eastAsia="zh-CN" w:bidi="ar-SA"/>
              </w:rPr>
              <w:t>车间涉水（包括需清洗、喷淋作业区）区域全部硬化，均做一般防渗处理。</w:t>
            </w:r>
            <w:r>
              <w:rPr>
                <w:rFonts w:hint="eastAsia" w:ascii="宋体" w:hAnsi="宋体" w:eastAsia="宋体" w:cs="宋体"/>
                <w:color w:val="000000"/>
                <w:kern w:val="0"/>
                <w:sz w:val="24"/>
                <w:szCs w:val="24"/>
                <w:highlight w:val="none"/>
                <w:lang w:val="en-US" w:eastAsia="zh-CN" w:bidi="ar"/>
              </w:rPr>
              <w:t>本项目道路抑尘用水和各生产线抑尘用水全部自然蒸发，水泥预制品生产线拌合用水进入产品后蒸发，</w:t>
            </w:r>
            <w:r>
              <w:rPr>
                <w:rFonts w:hint="eastAsia" w:ascii="宋体" w:hAnsi="宋体" w:cs="宋体"/>
                <w:color w:val="000000"/>
                <w:kern w:val="0"/>
                <w:sz w:val="24"/>
                <w:szCs w:val="24"/>
                <w:highlight w:val="none"/>
                <w:lang w:val="en-US" w:eastAsia="zh-CN" w:bidi="ar"/>
              </w:rPr>
              <w:t>养护废水、</w:t>
            </w:r>
            <w:r>
              <w:rPr>
                <w:rFonts w:hint="eastAsia" w:ascii="宋体" w:hAnsi="宋体" w:eastAsia="宋体" w:cs="宋体"/>
                <w:color w:val="000000"/>
                <w:kern w:val="0"/>
                <w:sz w:val="24"/>
                <w:szCs w:val="24"/>
                <w:highlight w:val="none"/>
                <w:lang w:val="en-US" w:eastAsia="zh-CN" w:bidi="ar"/>
              </w:rPr>
              <w:t>搅拌机清洗废水</w:t>
            </w:r>
            <w:r>
              <w:rPr>
                <w:rFonts w:hint="eastAsia" w:ascii="宋体" w:hAnsi="宋体" w:cs="宋体"/>
                <w:color w:val="000000"/>
                <w:kern w:val="0"/>
                <w:sz w:val="24"/>
                <w:szCs w:val="24"/>
                <w:highlight w:val="none"/>
                <w:lang w:val="en-US" w:eastAsia="zh-CN" w:bidi="ar"/>
              </w:rPr>
              <w:t>经厂区一座150m</w:t>
            </w:r>
            <w:r>
              <w:rPr>
                <w:rFonts w:hint="eastAsia" w:ascii="宋体" w:hAnsi="宋体" w:cs="宋体"/>
                <w:color w:val="000000"/>
                <w:kern w:val="0"/>
                <w:sz w:val="24"/>
                <w:szCs w:val="24"/>
                <w:highlight w:val="none"/>
                <w:vertAlign w:val="superscript"/>
                <w:lang w:val="en-US" w:eastAsia="zh-CN" w:bidi="ar"/>
              </w:rPr>
              <w:t>3</w:t>
            </w:r>
            <w:r>
              <w:rPr>
                <w:rFonts w:hint="eastAsia" w:ascii="宋体" w:hAnsi="宋体" w:cs="宋体"/>
                <w:color w:val="000000"/>
                <w:kern w:val="0"/>
                <w:sz w:val="24"/>
                <w:szCs w:val="24"/>
                <w:highlight w:val="none"/>
                <w:lang w:val="en-US" w:eastAsia="zh-CN" w:bidi="ar"/>
              </w:rPr>
              <w:t>沉淀池沉淀后回用于生产，用于混凝土的搅拌；</w:t>
            </w:r>
            <w:r>
              <w:rPr>
                <w:rFonts w:hint="eastAsia" w:ascii="宋体" w:hAnsi="宋体" w:eastAsia="宋体" w:cs="宋体"/>
                <w:color w:val="000000"/>
                <w:kern w:val="0"/>
                <w:sz w:val="24"/>
                <w:szCs w:val="24"/>
                <w:highlight w:val="none"/>
                <w:lang w:val="en-US" w:eastAsia="zh-CN" w:bidi="ar"/>
              </w:rPr>
              <w:t>蒸汽发生器排水和软水制备废水</w:t>
            </w:r>
            <w:r>
              <w:rPr>
                <w:rFonts w:hint="eastAsia" w:ascii="宋体" w:hAnsi="宋体" w:cs="宋体"/>
                <w:color w:val="000000"/>
                <w:kern w:val="0"/>
                <w:sz w:val="24"/>
                <w:szCs w:val="24"/>
                <w:highlight w:val="none"/>
                <w:lang w:val="en-US" w:eastAsia="zh-CN" w:bidi="ar"/>
              </w:rPr>
              <w:t>和初期雨水</w:t>
            </w:r>
            <w:r>
              <w:rPr>
                <w:rFonts w:hint="eastAsia" w:ascii="宋体" w:hAnsi="宋体" w:eastAsia="宋体" w:cs="宋体"/>
                <w:color w:val="000000"/>
                <w:kern w:val="0"/>
                <w:sz w:val="24"/>
                <w:szCs w:val="24"/>
                <w:highlight w:val="none"/>
                <w:lang w:val="en-US" w:eastAsia="zh-CN" w:bidi="ar"/>
              </w:rPr>
              <w:t>经</w:t>
            </w:r>
            <w:r>
              <w:rPr>
                <w:rFonts w:hint="eastAsia" w:ascii="宋体" w:hAnsi="宋体" w:cs="宋体"/>
                <w:color w:val="000000"/>
                <w:kern w:val="0"/>
                <w:sz w:val="24"/>
                <w:szCs w:val="24"/>
                <w:highlight w:val="none"/>
                <w:lang w:val="en-US" w:eastAsia="zh-CN" w:bidi="ar"/>
              </w:rPr>
              <w:t>一座150m</w:t>
            </w:r>
            <w:r>
              <w:rPr>
                <w:rFonts w:hint="eastAsia" w:ascii="宋体" w:hAnsi="宋体" w:cs="宋体"/>
                <w:color w:val="000000"/>
                <w:kern w:val="0"/>
                <w:sz w:val="24"/>
                <w:szCs w:val="24"/>
                <w:highlight w:val="none"/>
                <w:vertAlign w:val="superscript"/>
                <w:lang w:val="en-US" w:eastAsia="zh-CN" w:bidi="ar"/>
              </w:rPr>
              <w:t>3</w:t>
            </w:r>
            <w:r>
              <w:rPr>
                <w:rFonts w:hint="eastAsia" w:ascii="宋体" w:hAnsi="宋体" w:cs="宋体"/>
                <w:color w:val="000000"/>
                <w:kern w:val="0"/>
                <w:sz w:val="24"/>
                <w:szCs w:val="24"/>
                <w:highlight w:val="none"/>
                <w:lang w:val="en-US" w:eastAsia="zh-CN" w:bidi="ar"/>
              </w:rPr>
              <w:t>沉淀池沉淀后回用于厂区洒水和喷淋降尘</w:t>
            </w:r>
            <w:r>
              <w:rPr>
                <w:rFonts w:hint="eastAsia" w:ascii="宋体" w:hAnsi="宋体" w:eastAsia="宋体" w:cs="宋体"/>
                <w:color w:val="000000"/>
                <w:kern w:val="0"/>
                <w:sz w:val="24"/>
                <w:szCs w:val="24"/>
                <w:highlight w:val="none"/>
                <w:lang w:val="en-US" w:eastAsia="zh-CN" w:bidi="ar"/>
              </w:rPr>
              <w:t>，不外排。运输车辆为外雇，不在厂内进行清洗处理，因此无车辆清洗废水。</w:t>
            </w:r>
          </w:p>
          <w:p w14:paraId="72658C9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生活污水：生活污水排入厂区现有防渗旱厕，定期清掏，外运堆肥。 </w:t>
            </w:r>
          </w:p>
          <w:p w14:paraId="72EBDC3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综上，本项目生产废水采用沉淀措施可行。无废水排放，不会对环境造成影响。</w:t>
            </w:r>
          </w:p>
          <w:p w14:paraId="2E2B71CF">
            <w:pPr>
              <w:pStyle w:val="85"/>
              <w:numPr>
                <w:ilvl w:val="0"/>
                <w:numId w:val="16"/>
              </w:numPr>
              <w:shd w:val="clear"/>
              <w:ind w:firstLine="42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噪声</w:t>
            </w:r>
          </w:p>
          <w:p w14:paraId="1881689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b/>
                <w:color w:val="auto"/>
                <w:sz w:val="24"/>
                <w:szCs w:val="24"/>
                <w:highlight w:val="cyan"/>
                <w:lang w:eastAsia="zh-CN"/>
              </w:rPr>
            </w:pPr>
            <w:r>
              <w:rPr>
                <w:rFonts w:hint="default" w:ascii="Times New Roman" w:hAnsi="Times New Roman" w:cs="Times New Roman"/>
                <w:bCs/>
                <w:color w:val="auto"/>
                <w:sz w:val="24"/>
                <w:szCs w:val="24"/>
                <w:highlight w:val="none"/>
              </w:rPr>
              <w:t>（1）噪声污染源源强核算结果及相关参数见表4-</w:t>
            </w:r>
            <w:r>
              <w:rPr>
                <w:rFonts w:hint="eastAsia" w:cs="Times New Roman"/>
                <w:bCs/>
                <w:color w:val="auto"/>
                <w:sz w:val="24"/>
                <w:szCs w:val="24"/>
                <w:highlight w:val="none"/>
                <w:lang w:val="en-US" w:eastAsia="zh-CN"/>
              </w:rPr>
              <w:t>5、表4-6</w:t>
            </w:r>
            <w:r>
              <w:rPr>
                <w:rFonts w:hint="default" w:ascii="Times New Roman" w:hAnsi="Times New Roman" w:cs="Times New Roman"/>
                <w:bCs/>
                <w:color w:val="auto"/>
                <w:sz w:val="24"/>
                <w:szCs w:val="24"/>
                <w:highlight w:val="none"/>
              </w:rPr>
              <w:t>。</w:t>
            </w:r>
          </w:p>
          <w:p w14:paraId="0422CACD">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ascii="Times New Roman" w:hAnsi="Times New Roman" w:eastAsia="黑体" w:cs="Times New Roman"/>
                <w:bCs/>
                <w:szCs w:val="21"/>
                <w:highlight w:val="none"/>
              </w:rPr>
            </w:pPr>
            <w:r>
              <w:rPr>
                <w:rFonts w:hint="eastAsia" w:ascii="Times New Roman" w:hAnsi="Times New Roman" w:eastAsia="宋体" w:cs="Times New Roman"/>
                <w:b/>
                <w:color w:val="auto"/>
                <w:sz w:val="24"/>
                <w:szCs w:val="24"/>
                <w:highlight w:val="none"/>
              </w:rPr>
              <w:t>表4-</w:t>
            </w:r>
            <w:r>
              <w:rPr>
                <w:rFonts w:hint="eastAsia" w:ascii="Times New Roman" w:hAnsi="Times New Roman" w:eastAsia="宋体" w:cs="Times New Roman"/>
                <w:b/>
                <w:color w:val="auto"/>
                <w:sz w:val="24"/>
                <w:szCs w:val="24"/>
                <w:highlight w:val="none"/>
                <w:lang w:val="en-US" w:eastAsia="zh-CN"/>
              </w:rPr>
              <w:t>5</w:t>
            </w:r>
            <w:r>
              <w:rPr>
                <w:rFonts w:hint="eastAsia" w:ascii="Times New Roman" w:hAnsi="Times New Roman" w:eastAsia="宋体" w:cs="Times New Roman"/>
                <w:b/>
                <w:color w:val="auto"/>
                <w:sz w:val="24"/>
                <w:szCs w:val="24"/>
                <w:highlight w:val="none"/>
              </w:rPr>
              <w:t>工业企业噪声源强调查清单（室外声源）</w:t>
            </w:r>
          </w:p>
          <w:tbl>
            <w:tblPr>
              <w:tblStyle w:val="31"/>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3"/>
              <w:gridCol w:w="1025"/>
              <w:gridCol w:w="561"/>
              <w:gridCol w:w="555"/>
              <w:gridCol w:w="640"/>
              <w:gridCol w:w="684"/>
              <w:gridCol w:w="1297"/>
              <w:gridCol w:w="1993"/>
              <w:gridCol w:w="759"/>
            </w:tblGrid>
            <w:tr w14:paraId="7B0917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266" w:type="pct"/>
                  <w:vMerge w:val="restart"/>
                  <w:noWrap w:val="0"/>
                  <w:vAlign w:val="center"/>
                </w:tcPr>
                <w:p w14:paraId="44DE5D7A">
                  <w:pPr>
                    <w:jc w:val="center"/>
                    <w:rPr>
                      <w:rFonts w:hint="eastAsia"/>
                      <w:szCs w:val="21"/>
                      <w:highlight w:val="none"/>
                    </w:rPr>
                  </w:pPr>
                  <w:r>
                    <w:rPr>
                      <w:rFonts w:hint="eastAsia"/>
                      <w:szCs w:val="21"/>
                      <w:highlight w:val="none"/>
                    </w:rPr>
                    <w:t>序号</w:t>
                  </w:r>
                </w:p>
              </w:tc>
              <w:tc>
                <w:tcPr>
                  <w:tcW w:w="645" w:type="pct"/>
                  <w:vMerge w:val="restart"/>
                  <w:noWrap w:val="0"/>
                  <w:vAlign w:val="center"/>
                </w:tcPr>
                <w:p w14:paraId="545A6CC3">
                  <w:pPr>
                    <w:jc w:val="center"/>
                    <w:rPr>
                      <w:rFonts w:hint="eastAsia"/>
                      <w:szCs w:val="21"/>
                      <w:highlight w:val="none"/>
                    </w:rPr>
                  </w:pPr>
                  <w:r>
                    <w:rPr>
                      <w:rFonts w:hint="eastAsia"/>
                      <w:szCs w:val="21"/>
                      <w:highlight w:val="none"/>
                    </w:rPr>
                    <w:t>声源名称</w:t>
                  </w:r>
                </w:p>
              </w:tc>
              <w:tc>
                <w:tcPr>
                  <w:tcW w:w="353" w:type="pct"/>
                  <w:vMerge w:val="restart"/>
                  <w:noWrap w:val="0"/>
                  <w:vAlign w:val="center"/>
                </w:tcPr>
                <w:p w14:paraId="4C9AFCBD">
                  <w:pPr>
                    <w:jc w:val="center"/>
                    <w:rPr>
                      <w:rFonts w:hint="eastAsia"/>
                      <w:szCs w:val="21"/>
                      <w:highlight w:val="none"/>
                    </w:rPr>
                  </w:pPr>
                  <w:r>
                    <w:rPr>
                      <w:rFonts w:hint="eastAsia"/>
                      <w:szCs w:val="21"/>
                      <w:highlight w:val="none"/>
                    </w:rPr>
                    <w:t>型号</w:t>
                  </w:r>
                </w:p>
              </w:tc>
              <w:tc>
                <w:tcPr>
                  <w:tcW w:w="1183" w:type="pct"/>
                  <w:gridSpan w:val="3"/>
                  <w:tcBorders>
                    <w:bottom w:val="single" w:color="000000" w:sz="4" w:space="0"/>
                  </w:tcBorders>
                  <w:noWrap w:val="0"/>
                  <w:vAlign w:val="center"/>
                </w:tcPr>
                <w:p w14:paraId="13A3AA9D">
                  <w:pPr>
                    <w:jc w:val="center"/>
                    <w:rPr>
                      <w:szCs w:val="21"/>
                      <w:highlight w:val="none"/>
                    </w:rPr>
                  </w:pPr>
                  <w:r>
                    <w:rPr>
                      <w:rFonts w:hint="eastAsia"/>
                      <w:szCs w:val="21"/>
                      <w:highlight w:val="none"/>
                    </w:rPr>
                    <w:t>空间相对位置/m</w:t>
                  </w:r>
                </w:p>
              </w:tc>
              <w:tc>
                <w:tcPr>
                  <w:tcW w:w="816" w:type="pct"/>
                  <w:tcBorders>
                    <w:bottom w:val="single" w:color="000000" w:sz="4" w:space="0"/>
                  </w:tcBorders>
                  <w:noWrap w:val="0"/>
                  <w:vAlign w:val="center"/>
                </w:tcPr>
                <w:p w14:paraId="6ACF44C2">
                  <w:pPr>
                    <w:jc w:val="center"/>
                    <w:rPr>
                      <w:szCs w:val="21"/>
                      <w:highlight w:val="none"/>
                    </w:rPr>
                  </w:pPr>
                  <w:r>
                    <w:rPr>
                      <w:rFonts w:hint="eastAsia"/>
                      <w:szCs w:val="21"/>
                      <w:highlight w:val="none"/>
                    </w:rPr>
                    <w:t>声源源强</w:t>
                  </w:r>
                </w:p>
              </w:tc>
              <w:tc>
                <w:tcPr>
                  <w:tcW w:w="1255" w:type="pct"/>
                  <w:vMerge w:val="restart"/>
                  <w:noWrap w:val="0"/>
                  <w:vAlign w:val="center"/>
                </w:tcPr>
                <w:p w14:paraId="12FEBD36">
                  <w:pPr>
                    <w:jc w:val="center"/>
                    <w:rPr>
                      <w:rFonts w:hint="eastAsia"/>
                      <w:szCs w:val="21"/>
                      <w:highlight w:val="none"/>
                    </w:rPr>
                  </w:pPr>
                  <w:r>
                    <w:rPr>
                      <w:rFonts w:hint="eastAsia"/>
                      <w:szCs w:val="21"/>
                      <w:highlight w:val="none"/>
                    </w:rPr>
                    <w:t>声源控制措施</w:t>
                  </w:r>
                </w:p>
              </w:tc>
              <w:tc>
                <w:tcPr>
                  <w:tcW w:w="478" w:type="pct"/>
                  <w:vMerge w:val="restart"/>
                  <w:noWrap w:val="0"/>
                  <w:vAlign w:val="center"/>
                </w:tcPr>
                <w:p w14:paraId="094C9133">
                  <w:pPr>
                    <w:jc w:val="center"/>
                    <w:rPr>
                      <w:szCs w:val="21"/>
                      <w:highlight w:val="none"/>
                    </w:rPr>
                  </w:pPr>
                  <w:r>
                    <w:rPr>
                      <w:rFonts w:hint="eastAsia"/>
                      <w:szCs w:val="21"/>
                      <w:highlight w:val="none"/>
                    </w:rPr>
                    <w:t>运行时段</w:t>
                  </w:r>
                </w:p>
              </w:tc>
            </w:tr>
            <w:tr w14:paraId="366DE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66" w:type="pct"/>
                  <w:vMerge w:val="continue"/>
                  <w:noWrap w:val="0"/>
                  <w:vAlign w:val="center"/>
                </w:tcPr>
                <w:p w14:paraId="721EE5DE">
                  <w:pPr>
                    <w:jc w:val="center"/>
                    <w:rPr>
                      <w:rFonts w:hint="eastAsia"/>
                      <w:szCs w:val="21"/>
                      <w:highlight w:val="none"/>
                    </w:rPr>
                  </w:pPr>
                </w:p>
              </w:tc>
              <w:tc>
                <w:tcPr>
                  <w:tcW w:w="645" w:type="pct"/>
                  <w:vMerge w:val="continue"/>
                  <w:noWrap w:val="0"/>
                  <w:vAlign w:val="center"/>
                </w:tcPr>
                <w:p w14:paraId="57DF33A3">
                  <w:pPr>
                    <w:jc w:val="center"/>
                    <w:rPr>
                      <w:rFonts w:hint="eastAsia"/>
                      <w:szCs w:val="21"/>
                      <w:highlight w:val="none"/>
                    </w:rPr>
                  </w:pPr>
                </w:p>
              </w:tc>
              <w:tc>
                <w:tcPr>
                  <w:tcW w:w="353" w:type="pct"/>
                  <w:vMerge w:val="continue"/>
                  <w:noWrap w:val="0"/>
                  <w:vAlign w:val="center"/>
                </w:tcPr>
                <w:p w14:paraId="08F512EA">
                  <w:pPr>
                    <w:jc w:val="center"/>
                    <w:rPr>
                      <w:rFonts w:hint="eastAsia"/>
                      <w:szCs w:val="21"/>
                      <w:highlight w:val="none"/>
                    </w:rPr>
                  </w:pPr>
                </w:p>
              </w:tc>
              <w:tc>
                <w:tcPr>
                  <w:tcW w:w="349" w:type="pct"/>
                  <w:tcBorders>
                    <w:top w:val="single" w:color="000000" w:sz="4" w:space="0"/>
                  </w:tcBorders>
                  <w:noWrap w:val="0"/>
                  <w:vAlign w:val="center"/>
                </w:tcPr>
                <w:p w14:paraId="551537DC">
                  <w:pPr>
                    <w:jc w:val="center"/>
                    <w:rPr>
                      <w:rFonts w:hint="eastAsia"/>
                      <w:szCs w:val="21"/>
                      <w:highlight w:val="none"/>
                    </w:rPr>
                  </w:pPr>
                  <w:r>
                    <w:rPr>
                      <w:rFonts w:hint="eastAsia"/>
                      <w:szCs w:val="21"/>
                      <w:highlight w:val="none"/>
                    </w:rPr>
                    <w:t>X</w:t>
                  </w:r>
                </w:p>
              </w:tc>
              <w:tc>
                <w:tcPr>
                  <w:tcW w:w="403" w:type="pct"/>
                  <w:tcBorders>
                    <w:top w:val="single" w:color="000000" w:sz="4" w:space="0"/>
                  </w:tcBorders>
                  <w:noWrap w:val="0"/>
                  <w:vAlign w:val="center"/>
                </w:tcPr>
                <w:p w14:paraId="6B6501CF">
                  <w:pPr>
                    <w:jc w:val="center"/>
                    <w:rPr>
                      <w:rFonts w:hint="eastAsia"/>
                      <w:szCs w:val="21"/>
                      <w:highlight w:val="none"/>
                    </w:rPr>
                  </w:pPr>
                  <w:r>
                    <w:rPr>
                      <w:rFonts w:hint="eastAsia"/>
                      <w:szCs w:val="21"/>
                      <w:highlight w:val="none"/>
                    </w:rPr>
                    <w:t>Y</w:t>
                  </w:r>
                </w:p>
              </w:tc>
              <w:tc>
                <w:tcPr>
                  <w:tcW w:w="430" w:type="pct"/>
                  <w:tcBorders>
                    <w:top w:val="single" w:color="000000" w:sz="4" w:space="0"/>
                  </w:tcBorders>
                  <w:noWrap w:val="0"/>
                  <w:vAlign w:val="center"/>
                </w:tcPr>
                <w:p w14:paraId="4330FE96">
                  <w:pPr>
                    <w:jc w:val="center"/>
                    <w:rPr>
                      <w:rFonts w:hint="eastAsia"/>
                      <w:szCs w:val="21"/>
                      <w:highlight w:val="none"/>
                    </w:rPr>
                  </w:pPr>
                  <w:r>
                    <w:rPr>
                      <w:rFonts w:hint="eastAsia"/>
                      <w:szCs w:val="21"/>
                      <w:highlight w:val="none"/>
                    </w:rPr>
                    <w:t>Z</w:t>
                  </w:r>
                </w:p>
              </w:tc>
              <w:tc>
                <w:tcPr>
                  <w:tcW w:w="816" w:type="pct"/>
                  <w:tcBorders>
                    <w:top w:val="single" w:color="000000" w:sz="4" w:space="0"/>
                  </w:tcBorders>
                  <w:noWrap w:val="0"/>
                  <w:vAlign w:val="center"/>
                </w:tcPr>
                <w:p w14:paraId="43304DD7">
                  <w:pPr>
                    <w:jc w:val="center"/>
                    <w:rPr>
                      <w:rFonts w:hint="eastAsia"/>
                      <w:szCs w:val="21"/>
                      <w:highlight w:val="none"/>
                    </w:rPr>
                  </w:pPr>
                  <w:r>
                    <w:rPr>
                      <w:rFonts w:hint="eastAsia"/>
                      <w:szCs w:val="21"/>
                      <w:highlight w:val="none"/>
                    </w:rPr>
                    <w:t>声功率级/dB（A）</w:t>
                  </w:r>
                </w:p>
              </w:tc>
              <w:tc>
                <w:tcPr>
                  <w:tcW w:w="1255" w:type="pct"/>
                  <w:vMerge w:val="continue"/>
                  <w:noWrap w:val="0"/>
                  <w:vAlign w:val="center"/>
                </w:tcPr>
                <w:p w14:paraId="49F11B67">
                  <w:pPr>
                    <w:jc w:val="center"/>
                    <w:rPr>
                      <w:rFonts w:hint="eastAsia"/>
                      <w:szCs w:val="21"/>
                      <w:highlight w:val="none"/>
                    </w:rPr>
                  </w:pPr>
                </w:p>
              </w:tc>
              <w:tc>
                <w:tcPr>
                  <w:tcW w:w="478" w:type="pct"/>
                  <w:vMerge w:val="continue"/>
                  <w:noWrap w:val="0"/>
                  <w:vAlign w:val="center"/>
                </w:tcPr>
                <w:p w14:paraId="403D6E86">
                  <w:pPr>
                    <w:jc w:val="center"/>
                    <w:rPr>
                      <w:rFonts w:hint="eastAsia"/>
                      <w:szCs w:val="21"/>
                      <w:highlight w:val="none"/>
                    </w:rPr>
                  </w:pPr>
                </w:p>
              </w:tc>
            </w:tr>
            <w:tr w14:paraId="4369E1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8" w:hRule="atLeast"/>
              </w:trPr>
              <w:tc>
                <w:tcPr>
                  <w:tcW w:w="266" w:type="pct"/>
                  <w:noWrap w:val="0"/>
                  <w:vAlign w:val="center"/>
                </w:tcPr>
                <w:p w14:paraId="295EC9DD">
                  <w:pPr>
                    <w:jc w:val="center"/>
                    <w:rPr>
                      <w:rFonts w:hint="eastAsia"/>
                      <w:szCs w:val="21"/>
                      <w:highlight w:val="none"/>
                    </w:rPr>
                  </w:pPr>
                  <w:r>
                    <w:rPr>
                      <w:rFonts w:hint="eastAsia"/>
                      <w:sz w:val="18"/>
                      <w:szCs w:val="18"/>
                      <w:highlight w:val="none"/>
                    </w:rPr>
                    <w:t>1</w:t>
                  </w:r>
                </w:p>
              </w:tc>
              <w:tc>
                <w:tcPr>
                  <w:tcW w:w="645" w:type="pct"/>
                  <w:noWrap w:val="0"/>
                  <w:vAlign w:val="center"/>
                </w:tcPr>
                <w:p w14:paraId="6BF870F0">
                  <w:pPr>
                    <w:jc w:val="center"/>
                    <w:rPr>
                      <w:rFonts w:hint="eastAsia"/>
                      <w:szCs w:val="21"/>
                      <w:highlight w:val="none"/>
                    </w:rPr>
                  </w:pPr>
                  <w:r>
                    <w:rPr>
                      <w:rFonts w:hint="eastAsia"/>
                      <w:sz w:val="18"/>
                      <w:szCs w:val="18"/>
                      <w:highlight w:val="none"/>
                    </w:rPr>
                    <w:t>运输车辆</w:t>
                  </w:r>
                </w:p>
              </w:tc>
              <w:tc>
                <w:tcPr>
                  <w:tcW w:w="353" w:type="pct"/>
                  <w:noWrap w:val="0"/>
                  <w:vAlign w:val="center"/>
                </w:tcPr>
                <w:p w14:paraId="2B039C24">
                  <w:pPr>
                    <w:jc w:val="center"/>
                    <w:rPr>
                      <w:rFonts w:hint="eastAsia"/>
                      <w:szCs w:val="21"/>
                      <w:highlight w:val="none"/>
                    </w:rPr>
                  </w:pPr>
                  <w:r>
                    <w:rPr>
                      <w:rFonts w:hint="eastAsia"/>
                      <w:sz w:val="18"/>
                      <w:szCs w:val="18"/>
                      <w:highlight w:val="none"/>
                    </w:rPr>
                    <w:t>/</w:t>
                  </w:r>
                </w:p>
              </w:tc>
              <w:tc>
                <w:tcPr>
                  <w:tcW w:w="349" w:type="pct"/>
                  <w:noWrap w:val="0"/>
                  <w:vAlign w:val="center"/>
                </w:tcPr>
                <w:p w14:paraId="4B78A2C0">
                  <w:pPr>
                    <w:jc w:val="center"/>
                    <w:rPr>
                      <w:rFonts w:hint="eastAsia"/>
                      <w:szCs w:val="21"/>
                      <w:highlight w:val="none"/>
                    </w:rPr>
                  </w:pPr>
                  <w:r>
                    <w:rPr>
                      <w:rFonts w:hint="eastAsia"/>
                      <w:sz w:val="18"/>
                      <w:szCs w:val="18"/>
                      <w:highlight w:val="none"/>
                    </w:rPr>
                    <w:t>0</w:t>
                  </w:r>
                </w:p>
              </w:tc>
              <w:tc>
                <w:tcPr>
                  <w:tcW w:w="403" w:type="pct"/>
                  <w:noWrap w:val="0"/>
                  <w:vAlign w:val="center"/>
                </w:tcPr>
                <w:p w14:paraId="4EE89050">
                  <w:pPr>
                    <w:jc w:val="center"/>
                    <w:rPr>
                      <w:rFonts w:hint="eastAsia"/>
                      <w:szCs w:val="21"/>
                      <w:highlight w:val="none"/>
                    </w:rPr>
                  </w:pPr>
                  <w:r>
                    <w:rPr>
                      <w:rFonts w:hint="eastAsia"/>
                      <w:sz w:val="18"/>
                      <w:szCs w:val="18"/>
                      <w:highlight w:val="none"/>
                    </w:rPr>
                    <w:t>0</w:t>
                  </w:r>
                </w:p>
              </w:tc>
              <w:tc>
                <w:tcPr>
                  <w:tcW w:w="430" w:type="pct"/>
                  <w:noWrap w:val="0"/>
                  <w:vAlign w:val="center"/>
                </w:tcPr>
                <w:p w14:paraId="3764320D">
                  <w:pPr>
                    <w:jc w:val="center"/>
                    <w:rPr>
                      <w:rFonts w:hint="eastAsia"/>
                      <w:szCs w:val="21"/>
                      <w:highlight w:val="none"/>
                    </w:rPr>
                  </w:pPr>
                  <w:r>
                    <w:rPr>
                      <w:rFonts w:hint="eastAsia"/>
                      <w:sz w:val="18"/>
                      <w:szCs w:val="18"/>
                      <w:highlight w:val="none"/>
                    </w:rPr>
                    <w:t>3</w:t>
                  </w:r>
                </w:p>
              </w:tc>
              <w:tc>
                <w:tcPr>
                  <w:tcW w:w="816" w:type="pct"/>
                  <w:noWrap w:val="0"/>
                  <w:vAlign w:val="center"/>
                </w:tcPr>
                <w:p w14:paraId="2E021031">
                  <w:pPr>
                    <w:jc w:val="center"/>
                    <w:rPr>
                      <w:rFonts w:hint="eastAsia"/>
                      <w:szCs w:val="21"/>
                      <w:highlight w:val="none"/>
                    </w:rPr>
                  </w:pPr>
                  <w:r>
                    <w:rPr>
                      <w:rFonts w:hint="eastAsia"/>
                      <w:sz w:val="18"/>
                      <w:szCs w:val="18"/>
                      <w:highlight w:val="none"/>
                    </w:rPr>
                    <w:t>70</w:t>
                  </w:r>
                </w:p>
              </w:tc>
              <w:tc>
                <w:tcPr>
                  <w:tcW w:w="1255" w:type="pct"/>
                  <w:noWrap w:val="0"/>
                  <w:vAlign w:val="center"/>
                </w:tcPr>
                <w:p w14:paraId="5F46DD28">
                  <w:pPr>
                    <w:jc w:val="center"/>
                    <w:rPr>
                      <w:rFonts w:hint="eastAsia"/>
                      <w:szCs w:val="21"/>
                      <w:highlight w:val="none"/>
                    </w:rPr>
                  </w:pPr>
                  <w:r>
                    <w:rPr>
                      <w:rFonts w:hint="eastAsia"/>
                      <w:sz w:val="18"/>
                      <w:szCs w:val="18"/>
                      <w:highlight w:val="none"/>
                    </w:rPr>
                    <w:t>采取禁鸣限速措施</w:t>
                  </w:r>
                </w:p>
              </w:tc>
              <w:tc>
                <w:tcPr>
                  <w:tcW w:w="478" w:type="pct"/>
                  <w:noWrap w:val="0"/>
                  <w:vAlign w:val="center"/>
                </w:tcPr>
                <w:p w14:paraId="01E8DA80">
                  <w:pPr>
                    <w:jc w:val="center"/>
                    <w:rPr>
                      <w:rFonts w:hint="eastAsia"/>
                      <w:szCs w:val="21"/>
                      <w:highlight w:val="none"/>
                    </w:rPr>
                  </w:pPr>
                  <w:r>
                    <w:rPr>
                      <w:rFonts w:hint="eastAsia"/>
                      <w:sz w:val="18"/>
                      <w:szCs w:val="18"/>
                      <w:highlight w:val="none"/>
                    </w:rPr>
                    <w:t>昼间</w:t>
                  </w:r>
                </w:p>
              </w:tc>
            </w:tr>
          </w:tbl>
          <w:p w14:paraId="7322C5E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
                <w:color w:val="auto"/>
                <w:sz w:val="24"/>
                <w:szCs w:val="24"/>
                <w:highlight w:val="none"/>
              </w:rPr>
            </w:pPr>
          </w:p>
          <w:p w14:paraId="642B03C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
                <w:color w:val="auto"/>
                <w:sz w:val="24"/>
                <w:szCs w:val="24"/>
                <w:highlight w:val="none"/>
              </w:rPr>
            </w:pPr>
          </w:p>
          <w:p w14:paraId="33D0FA58">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
                <w:color w:val="auto"/>
                <w:sz w:val="24"/>
                <w:szCs w:val="24"/>
                <w:highlight w:val="none"/>
              </w:rPr>
            </w:pPr>
          </w:p>
          <w:p w14:paraId="1ABD11B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b/>
                <w:color w:val="auto"/>
                <w:sz w:val="24"/>
                <w:szCs w:val="24"/>
                <w:highlight w:val="none"/>
                <w:lang w:eastAsia="zh-CN"/>
              </w:rPr>
            </w:pPr>
            <w:r>
              <w:rPr>
                <w:rFonts w:hint="default" w:ascii="Times New Roman" w:hAnsi="Times New Roman" w:cs="Times New Roman"/>
                <w:b/>
                <w:color w:val="auto"/>
                <w:sz w:val="24"/>
                <w:szCs w:val="24"/>
                <w:highlight w:val="none"/>
              </w:rPr>
              <w:t>表4-</w:t>
            </w:r>
            <w:r>
              <w:rPr>
                <w:rFonts w:hint="eastAsia" w:cs="Times New Roman"/>
                <w:b/>
                <w:color w:val="auto"/>
                <w:sz w:val="24"/>
                <w:szCs w:val="24"/>
                <w:highlight w:val="none"/>
                <w:lang w:val="en-US" w:eastAsia="zh-CN"/>
              </w:rPr>
              <w:t>6</w:t>
            </w:r>
            <w:r>
              <w:rPr>
                <w:rFonts w:hint="default" w:ascii="Times New Roman" w:hAnsi="Times New Roman" w:cs="Times New Roman"/>
                <w:b/>
                <w:color w:val="auto"/>
                <w:sz w:val="24"/>
                <w:szCs w:val="24"/>
                <w:highlight w:val="none"/>
              </w:rPr>
              <w:t xml:space="preserve">  污染源源强核算结果及相关参数一览表</w:t>
            </w:r>
          </w:p>
          <w:tbl>
            <w:tblPr>
              <w:tblStyle w:val="32"/>
              <w:tblW w:w="79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36"/>
              <w:gridCol w:w="266"/>
              <w:gridCol w:w="709"/>
              <w:gridCol w:w="482"/>
              <w:gridCol w:w="868"/>
              <w:gridCol w:w="538"/>
              <w:gridCol w:w="529"/>
              <w:gridCol w:w="634"/>
              <w:gridCol w:w="366"/>
              <w:gridCol w:w="501"/>
              <w:gridCol w:w="628"/>
              <w:gridCol w:w="342"/>
              <w:gridCol w:w="683"/>
              <w:gridCol w:w="628"/>
              <w:gridCol w:w="440"/>
            </w:tblGrid>
            <w:tr w14:paraId="56365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336" w:type="dxa"/>
                  <w:vMerge w:val="restart"/>
                  <w:tcBorders>
                    <w:tl2br w:val="nil"/>
                    <w:tr2bl w:val="nil"/>
                  </w:tcBorders>
                  <w:vAlign w:val="center"/>
                </w:tcPr>
                <w:p w14:paraId="712AF8D5">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序号</w:t>
                  </w:r>
                </w:p>
              </w:tc>
              <w:tc>
                <w:tcPr>
                  <w:tcW w:w="266" w:type="dxa"/>
                  <w:vMerge w:val="restart"/>
                  <w:tcBorders>
                    <w:tl2br w:val="nil"/>
                    <w:tr2bl w:val="nil"/>
                  </w:tcBorders>
                  <w:vAlign w:val="center"/>
                </w:tcPr>
                <w:p w14:paraId="0A9777AA">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建筑物名称</w:t>
                  </w:r>
                </w:p>
              </w:tc>
              <w:tc>
                <w:tcPr>
                  <w:tcW w:w="709" w:type="dxa"/>
                  <w:vMerge w:val="restart"/>
                  <w:tcBorders>
                    <w:tl2br w:val="nil"/>
                    <w:tr2bl w:val="nil"/>
                  </w:tcBorders>
                  <w:vAlign w:val="center"/>
                </w:tcPr>
                <w:p w14:paraId="4E1929EB">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声源名称</w:t>
                  </w:r>
                </w:p>
              </w:tc>
              <w:tc>
                <w:tcPr>
                  <w:tcW w:w="482" w:type="dxa"/>
                  <w:vMerge w:val="restart"/>
                  <w:tcBorders>
                    <w:tl2br w:val="nil"/>
                    <w:tr2bl w:val="nil"/>
                  </w:tcBorders>
                  <w:vAlign w:val="center"/>
                </w:tcPr>
                <w:p w14:paraId="483EC516">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型号</w:t>
                  </w:r>
                </w:p>
              </w:tc>
              <w:tc>
                <w:tcPr>
                  <w:tcW w:w="868" w:type="dxa"/>
                  <w:vMerge w:val="restart"/>
                  <w:tcBorders>
                    <w:tl2br w:val="nil"/>
                    <w:tr2bl w:val="nil"/>
                  </w:tcBorders>
                  <w:vAlign w:val="center"/>
                </w:tcPr>
                <w:p w14:paraId="6D341634">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（声压级</w:t>
                  </w:r>
                  <w:r>
                    <w:rPr>
                      <w:rFonts w:hint="default"/>
                      <w:color w:val="000000" w:themeColor="text1"/>
                      <w:sz w:val="18"/>
                      <w:szCs w:val="18"/>
                      <w:highlight w:val="none"/>
                      <w14:textFill>
                        <w14:solidFill>
                          <w14:schemeClr w14:val="tx1"/>
                        </w14:solidFill>
                      </w14:textFill>
                    </w:rPr>
                    <w:t>/</w:t>
                  </w:r>
                  <w:r>
                    <w:rPr>
                      <w:rFonts w:hint="eastAsia"/>
                      <w:color w:val="000000" w:themeColor="text1"/>
                      <w:sz w:val="18"/>
                      <w:szCs w:val="18"/>
                      <w:highlight w:val="none"/>
                      <w14:textFill>
                        <w14:solidFill>
                          <w14:schemeClr w14:val="tx1"/>
                        </w14:solidFill>
                      </w14:textFill>
                    </w:rPr>
                    <w:t>距声源距离）</w:t>
                  </w:r>
                  <w:r>
                    <w:rPr>
                      <w:rFonts w:hint="default"/>
                      <w:color w:val="000000" w:themeColor="text1"/>
                      <w:sz w:val="18"/>
                      <w:szCs w:val="18"/>
                      <w:highlight w:val="none"/>
                      <w14:textFill>
                        <w14:solidFill>
                          <w14:schemeClr w14:val="tx1"/>
                        </w14:solidFill>
                      </w14:textFill>
                    </w:rPr>
                    <w:t>/</w:t>
                  </w:r>
                  <w:r>
                    <w:rPr>
                      <w:rFonts w:hint="eastAsia"/>
                      <w:color w:val="000000" w:themeColor="text1"/>
                      <w:sz w:val="18"/>
                      <w:szCs w:val="18"/>
                      <w:highlight w:val="none"/>
                      <w14:textFill>
                        <w14:solidFill>
                          <w14:schemeClr w14:val="tx1"/>
                        </w14:solidFill>
                      </w14:textFill>
                    </w:rPr>
                    <w:t>（</w:t>
                  </w:r>
                  <w:r>
                    <w:rPr>
                      <w:rFonts w:hint="default"/>
                      <w:color w:val="000000" w:themeColor="text1"/>
                      <w:sz w:val="18"/>
                      <w:szCs w:val="18"/>
                      <w:highlight w:val="none"/>
                      <w14:textFill>
                        <w14:solidFill>
                          <w14:schemeClr w14:val="tx1"/>
                        </w14:solidFill>
                      </w14:textFill>
                    </w:rPr>
                    <w:t>dB</w:t>
                  </w:r>
                  <w:r>
                    <w:rPr>
                      <w:rFonts w:hint="eastAsia"/>
                      <w:color w:val="000000" w:themeColor="text1"/>
                      <w:sz w:val="18"/>
                      <w:szCs w:val="18"/>
                      <w:highlight w:val="none"/>
                      <w14:textFill>
                        <w14:solidFill>
                          <w14:schemeClr w14:val="tx1"/>
                        </w14:solidFill>
                      </w14:textFill>
                    </w:rPr>
                    <w:t>（</w:t>
                  </w:r>
                  <w:r>
                    <w:rPr>
                      <w:rFonts w:hint="default"/>
                      <w:color w:val="000000" w:themeColor="text1"/>
                      <w:sz w:val="18"/>
                      <w:szCs w:val="18"/>
                      <w:highlight w:val="none"/>
                      <w14:textFill>
                        <w14:solidFill>
                          <w14:schemeClr w14:val="tx1"/>
                        </w14:solidFill>
                      </w14:textFill>
                    </w:rPr>
                    <w:t>A</w:t>
                  </w:r>
                  <w:r>
                    <w:rPr>
                      <w:rFonts w:hint="eastAsia"/>
                      <w:color w:val="000000" w:themeColor="text1"/>
                      <w:sz w:val="18"/>
                      <w:szCs w:val="18"/>
                      <w:highlight w:val="none"/>
                      <w14:textFill>
                        <w14:solidFill>
                          <w14:schemeClr w14:val="tx1"/>
                        </w14:solidFill>
                      </w14:textFill>
                    </w:rPr>
                    <w:t>）</w:t>
                  </w:r>
                  <w:r>
                    <w:rPr>
                      <w:rFonts w:hint="default"/>
                      <w:color w:val="000000" w:themeColor="text1"/>
                      <w:sz w:val="18"/>
                      <w:szCs w:val="18"/>
                      <w:highlight w:val="none"/>
                      <w14:textFill>
                        <w14:solidFill>
                          <w14:schemeClr w14:val="tx1"/>
                        </w14:solidFill>
                      </w14:textFill>
                    </w:rPr>
                    <w:t>/m</w:t>
                  </w:r>
                  <w:r>
                    <w:rPr>
                      <w:rFonts w:hint="eastAsia"/>
                      <w:color w:val="000000" w:themeColor="text1"/>
                      <w:sz w:val="18"/>
                      <w:szCs w:val="18"/>
                      <w:highlight w:val="none"/>
                      <w14:textFill>
                        <w14:solidFill>
                          <w14:schemeClr w14:val="tx1"/>
                        </w14:solidFill>
                      </w14:textFill>
                    </w:rPr>
                    <w:t>）</w:t>
                  </w:r>
                </w:p>
              </w:tc>
              <w:tc>
                <w:tcPr>
                  <w:tcW w:w="538" w:type="dxa"/>
                  <w:vMerge w:val="restart"/>
                  <w:tcBorders>
                    <w:tl2br w:val="nil"/>
                    <w:tr2bl w:val="nil"/>
                  </w:tcBorders>
                  <w:vAlign w:val="center"/>
                </w:tcPr>
                <w:p w14:paraId="43DB5860">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声源控制措施</w:t>
                  </w:r>
                </w:p>
              </w:tc>
              <w:tc>
                <w:tcPr>
                  <w:tcW w:w="1529" w:type="dxa"/>
                  <w:gridSpan w:val="3"/>
                  <w:tcBorders>
                    <w:tl2br w:val="nil"/>
                    <w:tr2bl w:val="nil"/>
                  </w:tcBorders>
                  <w:vAlign w:val="center"/>
                </w:tcPr>
                <w:p w14:paraId="7B12C1C6">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空间相对位置</w:t>
                  </w:r>
                  <w:r>
                    <w:rPr>
                      <w:rFonts w:hint="default"/>
                      <w:color w:val="000000" w:themeColor="text1"/>
                      <w:sz w:val="18"/>
                      <w:szCs w:val="18"/>
                      <w:highlight w:val="none"/>
                      <w14:textFill>
                        <w14:solidFill>
                          <w14:schemeClr w14:val="tx1"/>
                        </w14:solidFill>
                      </w14:textFill>
                    </w:rPr>
                    <w:t>/m</w:t>
                  </w:r>
                </w:p>
              </w:tc>
              <w:tc>
                <w:tcPr>
                  <w:tcW w:w="501" w:type="dxa"/>
                  <w:vMerge w:val="restart"/>
                  <w:tcBorders>
                    <w:tl2br w:val="nil"/>
                    <w:tr2bl w:val="nil"/>
                  </w:tcBorders>
                  <w:vAlign w:val="center"/>
                </w:tcPr>
                <w:p w14:paraId="22735A4D">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距室内边界距离</w:t>
                  </w:r>
                  <w:r>
                    <w:rPr>
                      <w:rFonts w:hint="default"/>
                      <w:color w:val="000000" w:themeColor="text1"/>
                      <w:sz w:val="18"/>
                      <w:szCs w:val="18"/>
                      <w:highlight w:val="none"/>
                      <w14:textFill>
                        <w14:solidFill>
                          <w14:schemeClr w14:val="tx1"/>
                        </w14:solidFill>
                      </w14:textFill>
                    </w:rPr>
                    <w:t>/m</w:t>
                  </w:r>
                </w:p>
              </w:tc>
              <w:tc>
                <w:tcPr>
                  <w:tcW w:w="628" w:type="dxa"/>
                  <w:vMerge w:val="restart"/>
                  <w:tcBorders>
                    <w:tl2br w:val="nil"/>
                    <w:tr2bl w:val="nil"/>
                  </w:tcBorders>
                  <w:vAlign w:val="center"/>
                </w:tcPr>
                <w:p w14:paraId="38F5C1EC">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室内边界声级</w:t>
                  </w:r>
                  <w:r>
                    <w:rPr>
                      <w:rFonts w:hint="default"/>
                      <w:color w:val="000000" w:themeColor="text1"/>
                      <w:sz w:val="18"/>
                      <w:szCs w:val="18"/>
                      <w:highlight w:val="none"/>
                      <w14:textFill>
                        <w14:solidFill>
                          <w14:schemeClr w14:val="tx1"/>
                        </w14:solidFill>
                      </w14:textFill>
                    </w:rPr>
                    <w:t>/dB</w:t>
                  </w:r>
                  <w:r>
                    <w:rPr>
                      <w:rFonts w:hint="eastAsia"/>
                      <w:color w:val="000000" w:themeColor="text1"/>
                      <w:sz w:val="18"/>
                      <w:szCs w:val="18"/>
                      <w:highlight w:val="none"/>
                      <w14:textFill>
                        <w14:solidFill>
                          <w14:schemeClr w14:val="tx1"/>
                        </w14:solidFill>
                      </w14:textFill>
                    </w:rPr>
                    <w:t>（</w:t>
                  </w:r>
                  <w:r>
                    <w:rPr>
                      <w:rFonts w:hint="default"/>
                      <w:color w:val="000000" w:themeColor="text1"/>
                      <w:sz w:val="18"/>
                      <w:szCs w:val="18"/>
                      <w:highlight w:val="none"/>
                      <w14:textFill>
                        <w14:solidFill>
                          <w14:schemeClr w14:val="tx1"/>
                        </w14:solidFill>
                      </w14:textFill>
                    </w:rPr>
                    <w:t>A</w:t>
                  </w:r>
                  <w:r>
                    <w:rPr>
                      <w:rFonts w:hint="eastAsia"/>
                      <w:color w:val="000000" w:themeColor="text1"/>
                      <w:sz w:val="18"/>
                      <w:szCs w:val="18"/>
                      <w:highlight w:val="none"/>
                      <w14:textFill>
                        <w14:solidFill>
                          <w14:schemeClr w14:val="tx1"/>
                        </w14:solidFill>
                      </w14:textFill>
                    </w:rPr>
                    <w:t>）</w:t>
                  </w:r>
                </w:p>
              </w:tc>
              <w:tc>
                <w:tcPr>
                  <w:tcW w:w="342" w:type="dxa"/>
                  <w:vMerge w:val="restart"/>
                  <w:tcBorders>
                    <w:tl2br w:val="nil"/>
                    <w:tr2bl w:val="nil"/>
                  </w:tcBorders>
                  <w:vAlign w:val="center"/>
                </w:tcPr>
                <w:p w14:paraId="7E23641F">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运行时段</w:t>
                  </w:r>
                  <w:r>
                    <w:rPr>
                      <w:rFonts w:hint="default"/>
                      <w:color w:val="000000" w:themeColor="text1"/>
                      <w:sz w:val="18"/>
                      <w:szCs w:val="18"/>
                      <w:highlight w:val="none"/>
                      <w14:textFill>
                        <w14:solidFill>
                          <w14:schemeClr w14:val="tx1"/>
                        </w14:solidFill>
                      </w14:textFill>
                    </w:rPr>
                    <w:t>h</w:t>
                  </w:r>
                </w:p>
              </w:tc>
              <w:tc>
                <w:tcPr>
                  <w:tcW w:w="683" w:type="dxa"/>
                  <w:vMerge w:val="restart"/>
                  <w:tcBorders>
                    <w:tl2br w:val="nil"/>
                    <w:tr2bl w:val="nil"/>
                  </w:tcBorders>
                  <w:vAlign w:val="center"/>
                </w:tcPr>
                <w:p w14:paraId="215C657B">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建筑物插入损失</w:t>
                  </w:r>
                  <w:r>
                    <w:rPr>
                      <w:rFonts w:hint="default"/>
                      <w:color w:val="000000" w:themeColor="text1"/>
                      <w:sz w:val="18"/>
                      <w:szCs w:val="18"/>
                      <w:highlight w:val="none"/>
                      <w14:textFill>
                        <w14:solidFill>
                          <w14:schemeClr w14:val="tx1"/>
                        </w14:solidFill>
                      </w14:textFill>
                    </w:rPr>
                    <w:t>/dB</w:t>
                  </w:r>
                  <w:r>
                    <w:rPr>
                      <w:rFonts w:hint="eastAsia"/>
                      <w:color w:val="000000" w:themeColor="text1"/>
                      <w:sz w:val="18"/>
                      <w:szCs w:val="18"/>
                      <w:highlight w:val="none"/>
                      <w14:textFill>
                        <w14:solidFill>
                          <w14:schemeClr w14:val="tx1"/>
                        </w14:solidFill>
                      </w14:textFill>
                    </w:rPr>
                    <w:t>（</w:t>
                  </w:r>
                  <w:r>
                    <w:rPr>
                      <w:rFonts w:hint="default"/>
                      <w:color w:val="000000" w:themeColor="text1"/>
                      <w:sz w:val="18"/>
                      <w:szCs w:val="18"/>
                      <w:highlight w:val="none"/>
                      <w14:textFill>
                        <w14:solidFill>
                          <w14:schemeClr w14:val="tx1"/>
                        </w14:solidFill>
                      </w14:textFill>
                    </w:rPr>
                    <w:t>A</w:t>
                  </w:r>
                  <w:r>
                    <w:rPr>
                      <w:rFonts w:hint="eastAsia"/>
                      <w:color w:val="000000" w:themeColor="text1"/>
                      <w:sz w:val="18"/>
                      <w:szCs w:val="18"/>
                      <w:highlight w:val="none"/>
                      <w14:textFill>
                        <w14:solidFill>
                          <w14:schemeClr w14:val="tx1"/>
                        </w14:solidFill>
                      </w14:textFill>
                    </w:rPr>
                    <w:t>）</w:t>
                  </w:r>
                </w:p>
              </w:tc>
              <w:tc>
                <w:tcPr>
                  <w:tcW w:w="1068" w:type="dxa"/>
                  <w:gridSpan w:val="2"/>
                  <w:tcBorders>
                    <w:tl2br w:val="nil"/>
                    <w:tr2bl w:val="nil"/>
                  </w:tcBorders>
                  <w:vAlign w:val="center"/>
                </w:tcPr>
                <w:p w14:paraId="58522A23">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建筑物外噪声</w:t>
                  </w:r>
                </w:p>
              </w:tc>
            </w:tr>
            <w:tr w14:paraId="6B40D5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336" w:type="dxa"/>
                  <w:vMerge w:val="continue"/>
                  <w:tcBorders>
                    <w:tl2br w:val="nil"/>
                    <w:tr2bl w:val="nil"/>
                  </w:tcBorders>
                  <w:vAlign w:val="center"/>
                </w:tcPr>
                <w:p w14:paraId="2C9CEA81">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266" w:type="dxa"/>
                  <w:vMerge w:val="continue"/>
                  <w:tcBorders>
                    <w:tl2br w:val="nil"/>
                    <w:tr2bl w:val="nil"/>
                  </w:tcBorders>
                  <w:vAlign w:val="center"/>
                </w:tcPr>
                <w:p w14:paraId="5F9CED60">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709" w:type="dxa"/>
                  <w:vMerge w:val="continue"/>
                  <w:tcBorders>
                    <w:tl2br w:val="nil"/>
                    <w:tr2bl w:val="nil"/>
                  </w:tcBorders>
                  <w:vAlign w:val="center"/>
                </w:tcPr>
                <w:p w14:paraId="20377E53">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482" w:type="dxa"/>
                  <w:vMerge w:val="continue"/>
                  <w:tcBorders>
                    <w:tl2br w:val="nil"/>
                    <w:tr2bl w:val="nil"/>
                  </w:tcBorders>
                  <w:vAlign w:val="center"/>
                </w:tcPr>
                <w:p w14:paraId="672A806B">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868" w:type="dxa"/>
                  <w:vMerge w:val="continue"/>
                  <w:tcBorders>
                    <w:tl2br w:val="nil"/>
                    <w:tr2bl w:val="nil"/>
                  </w:tcBorders>
                  <w:vAlign w:val="center"/>
                </w:tcPr>
                <w:p w14:paraId="12BB2661">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538" w:type="dxa"/>
                  <w:vMerge w:val="continue"/>
                  <w:tcBorders>
                    <w:tl2br w:val="nil"/>
                    <w:tr2bl w:val="nil"/>
                  </w:tcBorders>
                  <w:vAlign w:val="center"/>
                </w:tcPr>
                <w:p w14:paraId="4CF3C66A">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529" w:type="dxa"/>
                  <w:tcBorders>
                    <w:tl2br w:val="nil"/>
                    <w:tr2bl w:val="nil"/>
                  </w:tcBorders>
                  <w:vAlign w:val="center"/>
                </w:tcPr>
                <w:p w14:paraId="315B3A05">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X</w:t>
                  </w:r>
                </w:p>
              </w:tc>
              <w:tc>
                <w:tcPr>
                  <w:tcW w:w="634" w:type="dxa"/>
                  <w:tcBorders>
                    <w:tl2br w:val="nil"/>
                    <w:tr2bl w:val="nil"/>
                  </w:tcBorders>
                  <w:vAlign w:val="center"/>
                </w:tcPr>
                <w:p w14:paraId="4B171959">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Y</w:t>
                  </w:r>
                </w:p>
              </w:tc>
              <w:tc>
                <w:tcPr>
                  <w:tcW w:w="366" w:type="dxa"/>
                  <w:tcBorders>
                    <w:tl2br w:val="nil"/>
                    <w:tr2bl w:val="nil"/>
                  </w:tcBorders>
                  <w:vAlign w:val="center"/>
                </w:tcPr>
                <w:p w14:paraId="77C65B55">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Z</w:t>
                  </w:r>
                </w:p>
              </w:tc>
              <w:tc>
                <w:tcPr>
                  <w:tcW w:w="501" w:type="dxa"/>
                  <w:vMerge w:val="continue"/>
                  <w:tcBorders>
                    <w:tl2br w:val="nil"/>
                    <w:tr2bl w:val="nil"/>
                  </w:tcBorders>
                  <w:vAlign w:val="center"/>
                </w:tcPr>
                <w:p w14:paraId="6F9EEFC4">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628" w:type="dxa"/>
                  <w:vMerge w:val="continue"/>
                  <w:tcBorders>
                    <w:tl2br w:val="nil"/>
                    <w:tr2bl w:val="nil"/>
                  </w:tcBorders>
                  <w:vAlign w:val="center"/>
                </w:tcPr>
                <w:p w14:paraId="3548CCB3">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342" w:type="dxa"/>
                  <w:vMerge w:val="continue"/>
                  <w:tcBorders>
                    <w:tl2br w:val="nil"/>
                    <w:tr2bl w:val="nil"/>
                  </w:tcBorders>
                  <w:vAlign w:val="center"/>
                </w:tcPr>
                <w:p w14:paraId="4088CD17">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683" w:type="dxa"/>
                  <w:vMerge w:val="continue"/>
                  <w:tcBorders>
                    <w:tl2br w:val="nil"/>
                    <w:tr2bl w:val="nil"/>
                  </w:tcBorders>
                  <w:vAlign w:val="center"/>
                </w:tcPr>
                <w:p w14:paraId="00B24FAF">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628" w:type="dxa"/>
                  <w:tcBorders>
                    <w:tl2br w:val="nil"/>
                    <w:tr2bl w:val="nil"/>
                  </w:tcBorders>
                  <w:vAlign w:val="center"/>
                </w:tcPr>
                <w:p w14:paraId="0BA22FD4">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声压级</w:t>
                  </w:r>
                  <w:r>
                    <w:rPr>
                      <w:rFonts w:hint="default"/>
                      <w:color w:val="000000" w:themeColor="text1"/>
                      <w:sz w:val="18"/>
                      <w:szCs w:val="18"/>
                      <w:highlight w:val="none"/>
                      <w14:textFill>
                        <w14:solidFill>
                          <w14:schemeClr w14:val="tx1"/>
                        </w14:solidFill>
                      </w14:textFill>
                    </w:rPr>
                    <w:t>/dB</w:t>
                  </w:r>
                  <w:r>
                    <w:rPr>
                      <w:rFonts w:hint="eastAsia"/>
                      <w:color w:val="000000" w:themeColor="text1"/>
                      <w:sz w:val="18"/>
                      <w:szCs w:val="18"/>
                      <w:highlight w:val="none"/>
                      <w14:textFill>
                        <w14:solidFill>
                          <w14:schemeClr w14:val="tx1"/>
                        </w14:solidFill>
                      </w14:textFill>
                    </w:rPr>
                    <w:t>（</w:t>
                  </w:r>
                  <w:r>
                    <w:rPr>
                      <w:rFonts w:hint="default"/>
                      <w:color w:val="000000" w:themeColor="text1"/>
                      <w:sz w:val="18"/>
                      <w:szCs w:val="18"/>
                      <w:highlight w:val="none"/>
                      <w14:textFill>
                        <w14:solidFill>
                          <w14:schemeClr w14:val="tx1"/>
                        </w14:solidFill>
                      </w14:textFill>
                    </w:rPr>
                    <w:t>A</w:t>
                  </w:r>
                  <w:r>
                    <w:rPr>
                      <w:rFonts w:hint="eastAsia"/>
                      <w:color w:val="000000" w:themeColor="text1"/>
                      <w:sz w:val="18"/>
                      <w:szCs w:val="18"/>
                      <w:highlight w:val="none"/>
                      <w14:textFill>
                        <w14:solidFill>
                          <w14:schemeClr w14:val="tx1"/>
                        </w14:solidFill>
                      </w14:textFill>
                    </w:rPr>
                    <w:t>）</w:t>
                  </w:r>
                </w:p>
              </w:tc>
              <w:tc>
                <w:tcPr>
                  <w:tcW w:w="440" w:type="dxa"/>
                  <w:tcBorders>
                    <w:tl2br w:val="nil"/>
                    <w:tr2bl w:val="nil"/>
                  </w:tcBorders>
                  <w:vAlign w:val="center"/>
                </w:tcPr>
                <w:p w14:paraId="150F2FA4">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建筑物外距离</w:t>
                  </w:r>
                </w:p>
              </w:tc>
            </w:tr>
            <w:tr w14:paraId="744718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336" w:type="dxa"/>
                  <w:tcBorders>
                    <w:tl2br w:val="nil"/>
                    <w:tr2bl w:val="nil"/>
                  </w:tcBorders>
                  <w:vAlign w:val="center"/>
                </w:tcPr>
                <w:p w14:paraId="0A73BF0C">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w:t>
                  </w:r>
                </w:p>
              </w:tc>
              <w:tc>
                <w:tcPr>
                  <w:tcW w:w="266" w:type="dxa"/>
                  <w:vMerge w:val="restart"/>
                  <w:tcBorders>
                    <w:tl2br w:val="nil"/>
                    <w:tr2bl w:val="nil"/>
                  </w:tcBorders>
                  <w:vAlign w:val="center"/>
                </w:tcPr>
                <w:p w14:paraId="6F503254">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车间</w:t>
                  </w:r>
                </w:p>
              </w:tc>
              <w:tc>
                <w:tcPr>
                  <w:tcW w:w="709" w:type="dxa"/>
                  <w:tcBorders>
                    <w:tl2br w:val="nil"/>
                    <w:tr2bl w:val="nil"/>
                  </w:tcBorders>
                  <w:vAlign w:val="center"/>
                </w:tcPr>
                <w:p w14:paraId="11BDE6D5">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燃生物质</w:t>
                  </w:r>
                  <w:r>
                    <w:rPr>
                      <w:rFonts w:hint="default"/>
                      <w:color w:val="000000" w:themeColor="text1"/>
                      <w:sz w:val="18"/>
                      <w:szCs w:val="18"/>
                      <w:highlight w:val="none"/>
                      <w:lang w:val="en-US" w:eastAsia="zh-CN"/>
                      <w14:textFill>
                        <w14:solidFill>
                          <w14:schemeClr w14:val="tx1"/>
                        </w14:solidFill>
                      </w14:textFill>
                    </w:rPr>
                    <w:t>蒸汽</w:t>
                  </w:r>
                  <w:r>
                    <w:rPr>
                      <w:rFonts w:hint="eastAsia"/>
                      <w:color w:val="000000" w:themeColor="text1"/>
                      <w:sz w:val="18"/>
                      <w:szCs w:val="18"/>
                      <w:highlight w:val="none"/>
                      <w:lang w:val="en-US" w:eastAsia="zh-CN"/>
                      <w14:textFill>
                        <w14:solidFill>
                          <w14:schemeClr w14:val="tx1"/>
                        </w14:solidFill>
                      </w14:textFill>
                    </w:rPr>
                    <w:t>锅炉（锅炉偶发排汽噪声）</w:t>
                  </w:r>
                </w:p>
              </w:tc>
              <w:tc>
                <w:tcPr>
                  <w:tcW w:w="482" w:type="dxa"/>
                  <w:tcBorders>
                    <w:tl2br w:val="nil"/>
                    <w:tr2bl w:val="nil"/>
                  </w:tcBorders>
                  <w:vAlign w:val="center"/>
                </w:tcPr>
                <w:p w14:paraId="586DB182">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w:t>
                  </w:r>
                </w:p>
              </w:tc>
              <w:tc>
                <w:tcPr>
                  <w:tcW w:w="868" w:type="dxa"/>
                  <w:tcBorders>
                    <w:tl2br w:val="nil"/>
                    <w:tr2bl w:val="nil"/>
                  </w:tcBorders>
                  <w:vAlign w:val="center"/>
                </w:tcPr>
                <w:p w14:paraId="3D161E5E">
                  <w:pPr>
                    <w:jc w:val="center"/>
                    <w:rPr>
                      <w:rFonts w:hint="default"/>
                      <w:color w:val="000000" w:themeColor="text1"/>
                      <w:sz w:val="18"/>
                      <w:szCs w:val="18"/>
                      <w:highlight w:val="none"/>
                      <w14:textFill>
                        <w14:solidFill>
                          <w14:schemeClr w14:val="tx1"/>
                        </w14:solidFill>
                      </w14:textFill>
                    </w:rPr>
                  </w:pPr>
                  <w:r>
                    <w:rPr>
                      <w:rFonts w:hint="eastAsia" w:cs="Times New Roman"/>
                      <w:color w:val="auto"/>
                      <w:sz w:val="21"/>
                      <w:szCs w:val="21"/>
                      <w:highlight w:val="none"/>
                      <w:lang w:val="en-US" w:eastAsia="zh-CN"/>
                    </w:rPr>
                    <w:t>85</w:t>
                  </w:r>
                </w:p>
              </w:tc>
              <w:tc>
                <w:tcPr>
                  <w:tcW w:w="538" w:type="dxa"/>
                  <w:vMerge w:val="restart"/>
                  <w:tcBorders>
                    <w:tl2br w:val="nil"/>
                    <w:tr2bl w:val="nil"/>
                  </w:tcBorders>
                  <w:vAlign w:val="center"/>
                </w:tcPr>
                <w:p w14:paraId="364BA7DA">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14:textFill>
                        <w14:solidFill>
                          <w14:schemeClr w14:val="tx1"/>
                        </w14:solidFill>
                      </w14:textFill>
                    </w:rPr>
                    <w:t>降噪、隔振、设备基础防震、选用低噪声设备</w:t>
                  </w:r>
                </w:p>
              </w:tc>
              <w:tc>
                <w:tcPr>
                  <w:tcW w:w="529" w:type="dxa"/>
                  <w:tcBorders>
                    <w:tl2br w:val="nil"/>
                    <w:tr2bl w:val="nil"/>
                  </w:tcBorders>
                  <w:vAlign w:val="center"/>
                </w:tcPr>
                <w:p w14:paraId="4E02E7E2">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35.67</w:t>
                  </w:r>
                </w:p>
              </w:tc>
              <w:tc>
                <w:tcPr>
                  <w:tcW w:w="634" w:type="dxa"/>
                  <w:tcBorders>
                    <w:tl2br w:val="nil"/>
                    <w:tr2bl w:val="nil"/>
                  </w:tcBorders>
                  <w:vAlign w:val="center"/>
                </w:tcPr>
                <w:p w14:paraId="42D585DA">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36.18</w:t>
                  </w:r>
                </w:p>
              </w:tc>
              <w:tc>
                <w:tcPr>
                  <w:tcW w:w="366" w:type="dxa"/>
                  <w:tcBorders>
                    <w:tl2br w:val="nil"/>
                    <w:tr2bl w:val="nil"/>
                  </w:tcBorders>
                  <w:vAlign w:val="center"/>
                </w:tcPr>
                <w:p w14:paraId="7D895E6B">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1.5</w:t>
                  </w:r>
                </w:p>
              </w:tc>
              <w:tc>
                <w:tcPr>
                  <w:tcW w:w="501" w:type="dxa"/>
                  <w:tcBorders>
                    <w:tl2br w:val="nil"/>
                    <w:tr2bl w:val="nil"/>
                  </w:tcBorders>
                  <w:vAlign w:val="center"/>
                </w:tcPr>
                <w:p w14:paraId="1C111AE8">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w:t>
                  </w:r>
                </w:p>
              </w:tc>
              <w:tc>
                <w:tcPr>
                  <w:tcW w:w="628" w:type="dxa"/>
                  <w:tcBorders>
                    <w:tl2br w:val="nil"/>
                    <w:tr2bl w:val="nil"/>
                  </w:tcBorders>
                  <w:vAlign w:val="center"/>
                </w:tcPr>
                <w:p w14:paraId="1B8F80E0">
                  <w:pPr>
                    <w:jc w:val="center"/>
                    <w:rPr>
                      <w:rFonts w:hint="default"/>
                      <w:color w:val="000000" w:themeColor="text1"/>
                      <w:sz w:val="18"/>
                      <w:szCs w:val="18"/>
                      <w:highlight w:val="none"/>
                      <w14:textFill>
                        <w14:solidFill>
                          <w14:schemeClr w14:val="tx1"/>
                        </w14:solidFill>
                      </w14:textFill>
                    </w:rPr>
                  </w:pPr>
                  <w:r>
                    <w:rPr>
                      <w:rFonts w:hint="eastAsia" w:cs="Times New Roman"/>
                      <w:color w:val="auto"/>
                      <w:sz w:val="21"/>
                      <w:szCs w:val="21"/>
                      <w:highlight w:val="none"/>
                      <w:lang w:val="en-US" w:eastAsia="zh-CN"/>
                    </w:rPr>
                    <w:t>85</w:t>
                  </w:r>
                </w:p>
              </w:tc>
              <w:tc>
                <w:tcPr>
                  <w:tcW w:w="342" w:type="dxa"/>
                  <w:vMerge w:val="restart"/>
                  <w:tcBorders>
                    <w:tl2br w:val="nil"/>
                    <w:tr2bl w:val="nil"/>
                  </w:tcBorders>
                  <w:vAlign w:val="center"/>
                </w:tcPr>
                <w:p w14:paraId="3B8DF429">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s="宋体"/>
                      <w:bCs/>
                      <w:color w:val="000000" w:themeColor="text1"/>
                      <w:sz w:val="18"/>
                      <w:szCs w:val="18"/>
                      <w:highlight w:val="none"/>
                      <w14:textFill>
                        <w14:solidFill>
                          <w14:schemeClr w14:val="tx1"/>
                        </w14:solidFill>
                      </w14:textFill>
                    </w:rPr>
                    <w:t>昼间</w:t>
                  </w:r>
                </w:p>
              </w:tc>
              <w:tc>
                <w:tcPr>
                  <w:tcW w:w="683" w:type="dxa"/>
                  <w:tcBorders>
                    <w:tl2br w:val="nil"/>
                    <w:tr2bl w:val="nil"/>
                  </w:tcBorders>
                  <w:vAlign w:val="center"/>
                </w:tcPr>
                <w:p w14:paraId="0A9B6661">
                  <w:pPr>
                    <w:keepNext w:val="0"/>
                    <w:keepLines w:val="0"/>
                    <w:suppressLineNumbers w:val="0"/>
                    <w:spacing w:before="0" w:beforeAutospacing="0" w:after="0" w:afterAutospacing="0"/>
                    <w:ind w:left="0" w:right="0"/>
                    <w:jc w:val="center"/>
                    <w:rPr>
                      <w:rFonts w:hint="eastAsia" w:eastAsia="宋体"/>
                      <w:color w:val="000000" w:themeColor="text1"/>
                      <w:sz w:val="18"/>
                      <w:szCs w:val="18"/>
                      <w:highlight w:val="none"/>
                      <w:lang w:eastAsia="zh-CN"/>
                      <w14:textFill>
                        <w14:solidFill>
                          <w14:schemeClr w14:val="tx1"/>
                        </w14:solidFill>
                      </w14:textFill>
                    </w:rPr>
                  </w:pPr>
                  <w:r>
                    <w:rPr>
                      <w:rFonts w:hint="default"/>
                      <w:color w:val="000000" w:themeColor="text1"/>
                      <w:sz w:val="18"/>
                      <w:szCs w:val="18"/>
                      <w:highlight w:val="none"/>
                      <w14:textFill>
                        <w14:solidFill>
                          <w14:schemeClr w14:val="tx1"/>
                        </w14:solidFill>
                      </w14:textFill>
                    </w:rPr>
                    <w:t>2</w:t>
                  </w:r>
                  <w:r>
                    <w:rPr>
                      <w:rFonts w:hint="eastAsia"/>
                      <w:color w:val="000000" w:themeColor="text1"/>
                      <w:sz w:val="18"/>
                      <w:szCs w:val="18"/>
                      <w:highlight w:val="none"/>
                      <w:lang w:val="en-US" w:eastAsia="zh-CN"/>
                      <w14:textFill>
                        <w14:solidFill>
                          <w14:schemeClr w14:val="tx1"/>
                        </w14:solidFill>
                      </w14:textFill>
                    </w:rPr>
                    <w:t>5</w:t>
                  </w:r>
                </w:p>
              </w:tc>
              <w:tc>
                <w:tcPr>
                  <w:tcW w:w="628" w:type="dxa"/>
                  <w:tcBorders>
                    <w:tl2br w:val="nil"/>
                    <w:tr2bl w:val="nil"/>
                  </w:tcBorders>
                  <w:vAlign w:val="center"/>
                </w:tcPr>
                <w:p w14:paraId="378B4838">
                  <w:pPr>
                    <w:jc w:val="center"/>
                    <w:rPr>
                      <w:rFonts w:hint="default"/>
                      <w:color w:val="000000" w:themeColor="text1"/>
                      <w:sz w:val="18"/>
                      <w:szCs w:val="18"/>
                      <w:highlight w:val="none"/>
                      <w14:textFill>
                        <w14:solidFill>
                          <w14:schemeClr w14:val="tx1"/>
                        </w14:solidFill>
                      </w14:textFill>
                    </w:rPr>
                  </w:pPr>
                  <w:r>
                    <w:rPr>
                      <w:rFonts w:hint="eastAsia" w:cs="Times New Roman"/>
                      <w:color w:val="auto"/>
                      <w:sz w:val="21"/>
                      <w:szCs w:val="21"/>
                      <w:highlight w:val="none"/>
                      <w:lang w:val="en-US" w:eastAsia="zh-CN"/>
                    </w:rPr>
                    <w:t>60</w:t>
                  </w:r>
                </w:p>
              </w:tc>
              <w:tc>
                <w:tcPr>
                  <w:tcW w:w="440" w:type="dxa"/>
                  <w:tcBorders>
                    <w:tl2br w:val="nil"/>
                    <w:tr2bl w:val="nil"/>
                  </w:tcBorders>
                  <w:vAlign w:val="center"/>
                </w:tcPr>
                <w:p w14:paraId="338D05BC">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w:t>
                  </w:r>
                </w:p>
              </w:tc>
            </w:tr>
            <w:tr w14:paraId="2C8DC1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50" w:hRule="atLeast"/>
                <w:jc w:val="center"/>
              </w:trPr>
              <w:tc>
                <w:tcPr>
                  <w:tcW w:w="336" w:type="dxa"/>
                  <w:tcBorders>
                    <w:tl2br w:val="nil"/>
                    <w:tr2bl w:val="nil"/>
                  </w:tcBorders>
                  <w:vAlign w:val="center"/>
                </w:tcPr>
                <w:p w14:paraId="0849C525">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2</w:t>
                  </w:r>
                </w:p>
              </w:tc>
              <w:tc>
                <w:tcPr>
                  <w:tcW w:w="266" w:type="dxa"/>
                  <w:vMerge w:val="continue"/>
                  <w:tcBorders>
                    <w:tl2br w:val="nil"/>
                    <w:tr2bl w:val="nil"/>
                  </w:tcBorders>
                  <w:vAlign w:val="center"/>
                </w:tcPr>
                <w:p w14:paraId="2CA7C4FB">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709" w:type="dxa"/>
                  <w:tcBorders>
                    <w:tl2br w:val="nil"/>
                    <w:tr2bl w:val="nil"/>
                  </w:tcBorders>
                  <w:vAlign w:val="top"/>
                </w:tcPr>
                <w:p w14:paraId="09840A94">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搅拌机</w:t>
                  </w:r>
                </w:p>
              </w:tc>
              <w:tc>
                <w:tcPr>
                  <w:tcW w:w="482" w:type="dxa"/>
                  <w:tcBorders>
                    <w:tl2br w:val="nil"/>
                    <w:tr2bl w:val="nil"/>
                  </w:tcBorders>
                  <w:vAlign w:val="center"/>
                </w:tcPr>
                <w:p w14:paraId="5ED1C18D">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w:t>
                  </w:r>
                </w:p>
              </w:tc>
              <w:tc>
                <w:tcPr>
                  <w:tcW w:w="868" w:type="dxa"/>
                  <w:tcBorders>
                    <w:tl2br w:val="nil"/>
                    <w:tr2bl w:val="nil"/>
                  </w:tcBorders>
                  <w:vAlign w:val="center"/>
                </w:tcPr>
                <w:p w14:paraId="2D449D48">
                  <w:pPr>
                    <w:jc w:val="center"/>
                    <w:rPr>
                      <w:rFonts w:hint="eastAsia" w:eastAsia="宋体"/>
                      <w:color w:val="000000" w:themeColor="text1"/>
                      <w:sz w:val="18"/>
                      <w:szCs w:val="18"/>
                      <w:highlight w:val="none"/>
                      <w:lang w:eastAsia="zh-CN"/>
                      <w14:textFill>
                        <w14:solidFill>
                          <w14:schemeClr w14:val="tx1"/>
                        </w14:solidFill>
                      </w14:textFill>
                    </w:rPr>
                  </w:pPr>
                  <w:r>
                    <w:rPr>
                      <w:rFonts w:hint="default" w:ascii="Times New Roman" w:hAnsi="Times New Roman" w:cs="Times New Roman"/>
                      <w:color w:val="auto"/>
                      <w:sz w:val="21"/>
                      <w:szCs w:val="21"/>
                      <w:highlight w:val="none"/>
                    </w:rPr>
                    <w:t>8</w:t>
                  </w:r>
                  <w:r>
                    <w:rPr>
                      <w:rFonts w:hint="eastAsia" w:cs="Times New Roman"/>
                      <w:color w:val="auto"/>
                      <w:sz w:val="21"/>
                      <w:szCs w:val="21"/>
                      <w:highlight w:val="none"/>
                      <w:lang w:val="en-US" w:eastAsia="zh-CN"/>
                    </w:rPr>
                    <w:t>5</w:t>
                  </w:r>
                </w:p>
              </w:tc>
              <w:tc>
                <w:tcPr>
                  <w:tcW w:w="538" w:type="dxa"/>
                  <w:vMerge w:val="continue"/>
                  <w:tcBorders>
                    <w:tl2br w:val="nil"/>
                    <w:tr2bl w:val="nil"/>
                  </w:tcBorders>
                  <w:vAlign w:val="center"/>
                </w:tcPr>
                <w:p w14:paraId="0B2F14B7">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529" w:type="dxa"/>
                  <w:tcBorders>
                    <w:tl2br w:val="nil"/>
                    <w:tr2bl w:val="nil"/>
                  </w:tcBorders>
                  <w:vAlign w:val="center"/>
                </w:tcPr>
                <w:p w14:paraId="1B0541F1">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18.22</w:t>
                  </w:r>
                </w:p>
              </w:tc>
              <w:tc>
                <w:tcPr>
                  <w:tcW w:w="634" w:type="dxa"/>
                  <w:tcBorders>
                    <w:tl2br w:val="nil"/>
                    <w:tr2bl w:val="nil"/>
                  </w:tcBorders>
                  <w:vAlign w:val="center"/>
                </w:tcPr>
                <w:p w14:paraId="73243987">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85.04</w:t>
                  </w:r>
                </w:p>
              </w:tc>
              <w:tc>
                <w:tcPr>
                  <w:tcW w:w="366" w:type="dxa"/>
                  <w:tcBorders>
                    <w:tl2br w:val="nil"/>
                    <w:tr2bl w:val="nil"/>
                  </w:tcBorders>
                  <w:vAlign w:val="center"/>
                </w:tcPr>
                <w:p w14:paraId="0AB630A4">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1.5</w:t>
                  </w:r>
                </w:p>
              </w:tc>
              <w:tc>
                <w:tcPr>
                  <w:tcW w:w="501" w:type="dxa"/>
                  <w:tcBorders>
                    <w:tl2br w:val="nil"/>
                    <w:tr2bl w:val="nil"/>
                  </w:tcBorders>
                  <w:vAlign w:val="center"/>
                </w:tcPr>
                <w:p w14:paraId="711874C4">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1.5</w:t>
                  </w:r>
                </w:p>
              </w:tc>
              <w:tc>
                <w:tcPr>
                  <w:tcW w:w="628" w:type="dxa"/>
                  <w:tcBorders>
                    <w:tl2br w:val="nil"/>
                    <w:tr2bl w:val="nil"/>
                  </w:tcBorders>
                  <w:vAlign w:val="center"/>
                </w:tcPr>
                <w:p w14:paraId="19BC7877">
                  <w:pPr>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s="Times New Roman"/>
                      <w:color w:val="auto"/>
                      <w:sz w:val="21"/>
                      <w:szCs w:val="21"/>
                      <w:highlight w:val="none"/>
                      <w:lang w:val="en-US" w:eastAsia="zh-CN"/>
                    </w:rPr>
                    <w:t>85</w:t>
                  </w:r>
                </w:p>
              </w:tc>
              <w:tc>
                <w:tcPr>
                  <w:tcW w:w="342" w:type="dxa"/>
                  <w:vMerge w:val="continue"/>
                  <w:tcBorders>
                    <w:tl2br w:val="nil"/>
                    <w:tr2bl w:val="nil"/>
                  </w:tcBorders>
                  <w:vAlign w:val="center"/>
                </w:tcPr>
                <w:p w14:paraId="7344C085">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683" w:type="dxa"/>
                  <w:tcBorders>
                    <w:tl2br w:val="nil"/>
                    <w:tr2bl w:val="nil"/>
                  </w:tcBorders>
                  <w:vAlign w:val="center"/>
                </w:tcPr>
                <w:p w14:paraId="1DBD50DF">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2</w:t>
                  </w:r>
                  <w:r>
                    <w:rPr>
                      <w:rFonts w:hint="eastAsia"/>
                      <w:color w:val="000000" w:themeColor="text1"/>
                      <w:sz w:val="18"/>
                      <w:szCs w:val="18"/>
                      <w:highlight w:val="none"/>
                      <w:lang w:val="en-US" w:eastAsia="zh-CN"/>
                      <w14:textFill>
                        <w14:solidFill>
                          <w14:schemeClr w14:val="tx1"/>
                        </w14:solidFill>
                      </w14:textFill>
                    </w:rPr>
                    <w:t>5</w:t>
                  </w:r>
                </w:p>
              </w:tc>
              <w:tc>
                <w:tcPr>
                  <w:tcW w:w="628" w:type="dxa"/>
                  <w:tcBorders>
                    <w:tl2br w:val="nil"/>
                    <w:tr2bl w:val="nil"/>
                  </w:tcBorders>
                  <w:vAlign w:val="center"/>
                </w:tcPr>
                <w:p w14:paraId="02EF8B3E">
                  <w:pPr>
                    <w:jc w:val="center"/>
                    <w:rPr>
                      <w:rFonts w:hint="default"/>
                      <w:color w:val="000000" w:themeColor="text1"/>
                      <w:sz w:val="18"/>
                      <w:szCs w:val="18"/>
                      <w:highlight w:val="none"/>
                      <w14:textFill>
                        <w14:solidFill>
                          <w14:schemeClr w14:val="tx1"/>
                        </w14:solidFill>
                      </w14:textFill>
                    </w:rPr>
                  </w:pPr>
                  <w:r>
                    <w:rPr>
                      <w:rFonts w:hint="eastAsia" w:cs="Times New Roman"/>
                      <w:color w:val="auto"/>
                      <w:sz w:val="21"/>
                      <w:szCs w:val="21"/>
                      <w:highlight w:val="none"/>
                      <w:lang w:val="en-US" w:eastAsia="zh-CN"/>
                    </w:rPr>
                    <w:t>55</w:t>
                  </w:r>
                </w:p>
              </w:tc>
              <w:tc>
                <w:tcPr>
                  <w:tcW w:w="440" w:type="dxa"/>
                  <w:tcBorders>
                    <w:tl2br w:val="nil"/>
                    <w:tr2bl w:val="nil"/>
                  </w:tcBorders>
                  <w:vAlign w:val="center"/>
                </w:tcPr>
                <w:p w14:paraId="5768B720">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w:t>
                  </w:r>
                </w:p>
              </w:tc>
            </w:tr>
            <w:tr w14:paraId="544EE4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20" w:hRule="atLeast"/>
                <w:jc w:val="center"/>
              </w:trPr>
              <w:tc>
                <w:tcPr>
                  <w:tcW w:w="336" w:type="dxa"/>
                  <w:tcBorders>
                    <w:tl2br w:val="nil"/>
                    <w:tr2bl w:val="nil"/>
                  </w:tcBorders>
                  <w:vAlign w:val="center"/>
                </w:tcPr>
                <w:p w14:paraId="0ED0F9AB">
                  <w:pPr>
                    <w:keepNext w:val="0"/>
                    <w:keepLines w:val="0"/>
                    <w:suppressLineNumbers w:val="0"/>
                    <w:spacing w:before="0" w:beforeAutospacing="0" w:after="0" w:afterAutospacing="0"/>
                    <w:ind w:left="0" w:right="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3</w:t>
                  </w:r>
                </w:p>
              </w:tc>
              <w:tc>
                <w:tcPr>
                  <w:tcW w:w="266" w:type="dxa"/>
                  <w:vMerge w:val="continue"/>
                  <w:tcBorders>
                    <w:tl2br w:val="nil"/>
                    <w:tr2bl w:val="nil"/>
                  </w:tcBorders>
                  <w:vAlign w:val="center"/>
                </w:tcPr>
                <w:p w14:paraId="26ABB4BA">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709" w:type="dxa"/>
                  <w:tcBorders>
                    <w:tl2br w:val="nil"/>
                    <w:tr2bl w:val="nil"/>
                  </w:tcBorders>
                  <w:vAlign w:val="top"/>
                </w:tcPr>
                <w:p w14:paraId="3E08268E">
                  <w:pPr>
                    <w:keepNext w:val="0"/>
                    <w:keepLines w:val="0"/>
                    <w:suppressLineNumbers w:val="0"/>
                    <w:spacing w:before="0" w:beforeAutospacing="0" w:after="0" w:afterAutospacing="0"/>
                    <w:ind w:left="0" w:right="0"/>
                    <w:jc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螺旋喂料机</w:t>
                  </w:r>
                </w:p>
              </w:tc>
              <w:tc>
                <w:tcPr>
                  <w:tcW w:w="482" w:type="dxa"/>
                  <w:tcBorders>
                    <w:tl2br w:val="nil"/>
                    <w:tr2bl w:val="nil"/>
                  </w:tcBorders>
                  <w:vAlign w:val="center"/>
                </w:tcPr>
                <w:p w14:paraId="22EE9F5B">
                  <w:pPr>
                    <w:keepNext w:val="0"/>
                    <w:keepLines w:val="0"/>
                    <w:suppressLineNumbers w:val="0"/>
                    <w:spacing w:before="0" w:beforeAutospacing="0" w:after="0" w:afterAutospacing="0"/>
                    <w:ind w:left="0" w:right="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w:t>
                  </w:r>
                </w:p>
              </w:tc>
              <w:tc>
                <w:tcPr>
                  <w:tcW w:w="868" w:type="dxa"/>
                  <w:tcBorders>
                    <w:tl2br w:val="nil"/>
                    <w:tr2bl w:val="nil"/>
                  </w:tcBorders>
                  <w:vAlign w:val="center"/>
                </w:tcPr>
                <w:p w14:paraId="7E1723F5">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538" w:type="dxa"/>
                  <w:vMerge w:val="continue"/>
                  <w:tcBorders>
                    <w:tl2br w:val="nil"/>
                    <w:tr2bl w:val="nil"/>
                  </w:tcBorders>
                  <w:vAlign w:val="center"/>
                </w:tcPr>
                <w:p w14:paraId="01890B7B">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529" w:type="dxa"/>
                  <w:tcBorders>
                    <w:tl2br w:val="nil"/>
                    <w:tr2bl w:val="nil"/>
                  </w:tcBorders>
                  <w:vAlign w:val="center"/>
                </w:tcPr>
                <w:p w14:paraId="66841A2B">
                  <w:pPr>
                    <w:keepNext w:val="0"/>
                    <w:keepLines w:val="0"/>
                    <w:suppressLineNumbers w:val="0"/>
                    <w:spacing w:before="0" w:beforeAutospacing="0" w:after="0" w:afterAutospacing="0"/>
                    <w:ind w:left="0" w:right="0"/>
                    <w:jc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22.4</w:t>
                  </w:r>
                </w:p>
              </w:tc>
              <w:tc>
                <w:tcPr>
                  <w:tcW w:w="634" w:type="dxa"/>
                  <w:tcBorders>
                    <w:tl2br w:val="nil"/>
                    <w:tr2bl w:val="nil"/>
                  </w:tcBorders>
                  <w:vAlign w:val="center"/>
                </w:tcPr>
                <w:p w14:paraId="25DDCCD0">
                  <w:pPr>
                    <w:keepNext w:val="0"/>
                    <w:keepLines w:val="0"/>
                    <w:suppressLineNumbers w:val="0"/>
                    <w:spacing w:before="0" w:beforeAutospacing="0" w:after="0" w:afterAutospacing="0"/>
                    <w:ind w:left="0" w:right="0"/>
                    <w:jc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75.22</w:t>
                  </w:r>
                </w:p>
              </w:tc>
              <w:tc>
                <w:tcPr>
                  <w:tcW w:w="366" w:type="dxa"/>
                  <w:tcBorders>
                    <w:tl2br w:val="nil"/>
                    <w:tr2bl w:val="nil"/>
                  </w:tcBorders>
                  <w:vAlign w:val="center"/>
                </w:tcPr>
                <w:p w14:paraId="365F715B">
                  <w:pPr>
                    <w:keepNext w:val="0"/>
                    <w:keepLines w:val="0"/>
                    <w:suppressLineNumbers w:val="0"/>
                    <w:spacing w:before="0" w:beforeAutospacing="0" w:after="0" w:afterAutospacing="0"/>
                    <w:ind w:left="0" w:right="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w:t>
                  </w:r>
                </w:p>
              </w:tc>
              <w:tc>
                <w:tcPr>
                  <w:tcW w:w="501" w:type="dxa"/>
                  <w:tcBorders>
                    <w:tl2br w:val="nil"/>
                    <w:tr2bl w:val="nil"/>
                  </w:tcBorders>
                  <w:vAlign w:val="center"/>
                </w:tcPr>
                <w:p w14:paraId="6152DFDE">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1.5</w:t>
                  </w:r>
                </w:p>
              </w:tc>
              <w:tc>
                <w:tcPr>
                  <w:tcW w:w="628" w:type="dxa"/>
                  <w:tcBorders>
                    <w:tl2br w:val="nil"/>
                    <w:tr2bl w:val="nil"/>
                  </w:tcBorders>
                  <w:vAlign w:val="center"/>
                </w:tcPr>
                <w:p w14:paraId="38FA4D12">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342" w:type="dxa"/>
                  <w:vMerge w:val="continue"/>
                  <w:tcBorders>
                    <w:tl2br w:val="nil"/>
                    <w:tr2bl w:val="nil"/>
                  </w:tcBorders>
                  <w:vAlign w:val="center"/>
                </w:tcPr>
                <w:p w14:paraId="1FE576F8">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683" w:type="dxa"/>
                  <w:tcBorders>
                    <w:tl2br w:val="nil"/>
                    <w:tr2bl w:val="nil"/>
                  </w:tcBorders>
                  <w:vAlign w:val="center"/>
                </w:tcPr>
                <w:p w14:paraId="04FD0E5A">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25</w:t>
                  </w:r>
                </w:p>
              </w:tc>
              <w:tc>
                <w:tcPr>
                  <w:tcW w:w="628" w:type="dxa"/>
                  <w:tcBorders>
                    <w:tl2br w:val="nil"/>
                    <w:tr2bl w:val="nil"/>
                  </w:tcBorders>
                  <w:vAlign w:val="center"/>
                </w:tcPr>
                <w:p w14:paraId="1727D8CE">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45</w:t>
                  </w:r>
                </w:p>
              </w:tc>
              <w:tc>
                <w:tcPr>
                  <w:tcW w:w="440" w:type="dxa"/>
                  <w:tcBorders>
                    <w:tl2br w:val="nil"/>
                    <w:tr2bl w:val="nil"/>
                  </w:tcBorders>
                  <w:vAlign w:val="center"/>
                </w:tcPr>
                <w:p w14:paraId="1224A4B9">
                  <w:pPr>
                    <w:keepNext w:val="0"/>
                    <w:keepLines w:val="0"/>
                    <w:suppressLineNumbers w:val="0"/>
                    <w:spacing w:before="0" w:beforeAutospacing="0" w:after="0" w:afterAutospacing="0"/>
                    <w:ind w:left="0" w:right="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w:t>
                  </w:r>
                </w:p>
              </w:tc>
            </w:tr>
            <w:tr w14:paraId="74F647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336" w:type="dxa"/>
                  <w:tcBorders>
                    <w:tl2br w:val="nil"/>
                    <w:tr2bl w:val="nil"/>
                  </w:tcBorders>
                  <w:vAlign w:val="center"/>
                </w:tcPr>
                <w:p w14:paraId="30A1FEFD">
                  <w:pPr>
                    <w:keepNext w:val="0"/>
                    <w:keepLines w:val="0"/>
                    <w:suppressLineNumbers w:val="0"/>
                    <w:spacing w:before="0" w:beforeAutospacing="0" w:after="0" w:afterAutospacing="0"/>
                    <w:ind w:left="0" w:right="0"/>
                    <w:jc w:val="center"/>
                    <w:rPr>
                      <w:rFonts w:hint="eastAsia" w:eastAsia="宋体"/>
                      <w:color w:val="000000" w:themeColor="text1"/>
                      <w:sz w:val="18"/>
                      <w:szCs w:val="18"/>
                      <w:highlight w:val="none"/>
                      <w:lang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w:t>
                  </w:r>
                </w:p>
              </w:tc>
              <w:tc>
                <w:tcPr>
                  <w:tcW w:w="266" w:type="dxa"/>
                  <w:vMerge w:val="continue"/>
                  <w:tcBorders>
                    <w:tl2br w:val="nil"/>
                    <w:tr2bl w:val="nil"/>
                  </w:tcBorders>
                  <w:vAlign w:val="center"/>
                </w:tcPr>
                <w:p w14:paraId="7DE83829">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709" w:type="dxa"/>
                  <w:tcBorders>
                    <w:tl2br w:val="nil"/>
                    <w:tr2bl w:val="nil"/>
                  </w:tcBorders>
                  <w:vAlign w:val="top"/>
                </w:tcPr>
                <w:p w14:paraId="00ACBF50">
                  <w:pPr>
                    <w:keepNext w:val="0"/>
                    <w:keepLines w:val="0"/>
                    <w:suppressLineNumbers w:val="0"/>
                    <w:spacing w:before="0" w:beforeAutospacing="0" w:after="0" w:afterAutospacing="0"/>
                    <w:ind w:left="0" w:right="0"/>
                    <w:jc w:val="center"/>
                    <w:rPr>
                      <w:rFonts w:hint="default"/>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除尘器风机</w:t>
                  </w:r>
                </w:p>
              </w:tc>
              <w:tc>
                <w:tcPr>
                  <w:tcW w:w="482" w:type="dxa"/>
                  <w:tcBorders>
                    <w:tl2br w:val="nil"/>
                    <w:tr2bl w:val="nil"/>
                  </w:tcBorders>
                  <w:vAlign w:val="center"/>
                </w:tcPr>
                <w:p w14:paraId="2FDA7945">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w:t>
                  </w:r>
                </w:p>
              </w:tc>
              <w:tc>
                <w:tcPr>
                  <w:tcW w:w="868" w:type="dxa"/>
                  <w:tcBorders>
                    <w:tl2br w:val="nil"/>
                    <w:tr2bl w:val="nil"/>
                  </w:tcBorders>
                  <w:vAlign w:val="center"/>
                </w:tcPr>
                <w:p w14:paraId="4231EC6D">
                  <w:pPr>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s="Times New Roman"/>
                      <w:color w:val="auto"/>
                      <w:sz w:val="21"/>
                      <w:szCs w:val="21"/>
                      <w:highlight w:val="none"/>
                      <w:lang w:val="en-US" w:eastAsia="zh-CN"/>
                    </w:rPr>
                    <w:t>85</w:t>
                  </w:r>
                </w:p>
              </w:tc>
              <w:tc>
                <w:tcPr>
                  <w:tcW w:w="538" w:type="dxa"/>
                  <w:vMerge w:val="continue"/>
                  <w:tcBorders>
                    <w:tl2br w:val="nil"/>
                    <w:tr2bl w:val="nil"/>
                  </w:tcBorders>
                  <w:vAlign w:val="center"/>
                </w:tcPr>
                <w:p w14:paraId="3B8C1804">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529" w:type="dxa"/>
                  <w:tcBorders>
                    <w:tl2br w:val="nil"/>
                    <w:tr2bl w:val="nil"/>
                  </w:tcBorders>
                  <w:vAlign w:val="center"/>
                </w:tcPr>
                <w:p w14:paraId="05AF605C">
                  <w:pPr>
                    <w:keepNext w:val="0"/>
                    <w:keepLines w:val="0"/>
                    <w:suppressLineNumbers w:val="0"/>
                    <w:spacing w:before="0" w:beforeAutospacing="0" w:after="0" w:afterAutospacing="0"/>
                    <w:ind w:left="0" w:leftChars="0" w:right="0" w:rightChars="0"/>
                    <w:jc w:val="center"/>
                    <w:rPr>
                      <w:rFonts w:hint="default"/>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29.38</w:t>
                  </w:r>
                </w:p>
              </w:tc>
              <w:tc>
                <w:tcPr>
                  <w:tcW w:w="634" w:type="dxa"/>
                  <w:tcBorders>
                    <w:tl2br w:val="nil"/>
                    <w:tr2bl w:val="nil"/>
                  </w:tcBorders>
                  <w:vAlign w:val="center"/>
                </w:tcPr>
                <w:p w14:paraId="3D4439CE">
                  <w:pPr>
                    <w:keepNext w:val="0"/>
                    <w:keepLines w:val="0"/>
                    <w:suppressLineNumbers w:val="0"/>
                    <w:spacing w:before="0" w:beforeAutospacing="0" w:after="0" w:afterAutospacing="0"/>
                    <w:ind w:left="0" w:leftChars="0" w:right="0" w:rightChars="0"/>
                    <w:jc w:val="center"/>
                    <w:rPr>
                      <w:rFonts w:hint="default"/>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60.61</w:t>
                  </w:r>
                </w:p>
              </w:tc>
              <w:tc>
                <w:tcPr>
                  <w:tcW w:w="366" w:type="dxa"/>
                  <w:tcBorders>
                    <w:tl2br w:val="nil"/>
                    <w:tr2bl w:val="nil"/>
                  </w:tcBorders>
                  <w:vAlign w:val="center"/>
                </w:tcPr>
                <w:p w14:paraId="1B619728">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w:t>
                  </w:r>
                </w:p>
              </w:tc>
              <w:tc>
                <w:tcPr>
                  <w:tcW w:w="501" w:type="dxa"/>
                  <w:tcBorders>
                    <w:tl2br w:val="nil"/>
                    <w:tr2bl w:val="nil"/>
                  </w:tcBorders>
                  <w:vAlign w:val="center"/>
                </w:tcPr>
                <w:p w14:paraId="0A1EA820">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2</w:t>
                  </w:r>
                </w:p>
              </w:tc>
              <w:tc>
                <w:tcPr>
                  <w:tcW w:w="628" w:type="dxa"/>
                  <w:tcBorders>
                    <w:tl2br w:val="nil"/>
                    <w:tr2bl w:val="nil"/>
                  </w:tcBorders>
                  <w:vAlign w:val="center"/>
                </w:tcPr>
                <w:p w14:paraId="0826EA37">
                  <w:pPr>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s="Times New Roman"/>
                      <w:color w:val="auto"/>
                      <w:sz w:val="21"/>
                      <w:szCs w:val="21"/>
                      <w:highlight w:val="none"/>
                      <w:lang w:val="en-US" w:eastAsia="zh-CN"/>
                    </w:rPr>
                    <w:t>85</w:t>
                  </w:r>
                </w:p>
              </w:tc>
              <w:tc>
                <w:tcPr>
                  <w:tcW w:w="342" w:type="dxa"/>
                  <w:vMerge w:val="continue"/>
                  <w:tcBorders>
                    <w:tl2br w:val="nil"/>
                    <w:tr2bl w:val="nil"/>
                  </w:tcBorders>
                  <w:vAlign w:val="center"/>
                </w:tcPr>
                <w:p w14:paraId="0F6A327A">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683" w:type="dxa"/>
                  <w:tcBorders>
                    <w:tl2br w:val="nil"/>
                    <w:tr2bl w:val="nil"/>
                  </w:tcBorders>
                  <w:vAlign w:val="center"/>
                </w:tcPr>
                <w:p w14:paraId="460DAD2C">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2</w:t>
                  </w:r>
                  <w:r>
                    <w:rPr>
                      <w:rFonts w:hint="eastAsia"/>
                      <w:color w:val="000000" w:themeColor="text1"/>
                      <w:sz w:val="18"/>
                      <w:szCs w:val="18"/>
                      <w:highlight w:val="none"/>
                      <w:lang w:val="en-US" w:eastAsia="zh-CN"/>
                      <w14:textFill>
                        <w14:solidFill>
                          <w14:schemeClr w14:val="tx1"/>
                        </w14:solidFill>
                      </w14:textFill>
                    </w:rPr>
                    <w:t>5</w:t>
                  </w:r>
                </w:p>
              </w:tc>
              <w:tc>
                <w:tcPr>
                  <w:tcW w:w="628" w:type="dxa"/>
                  <w:tcBorders>
                    <w:tl2br w:val="nil"/>
                    <w:tr2bl w:val="nil"/>
                  </w:tcBorders>
                  <w:vAlign w:val="center"/>
                </w:tcPr>
                <w:p w14:paraId="4DEF3D0F">
                  <w:pPr>
                    <w:jc w:val="center"/>
                    <w:rPr>
                      <w:rFonts w:hint="default"/>
                      <w:color w:val="000000" w:themeColor="text1"/>
                      <w:sz w:val="18"/>
                      <w:szCs w:val="18"/>
                      <w:highlight w:val="none"/>
                      <w14:textFill>
                        <w14:solidFill>
                          <w14:schemeClr w14:val="tx1"/>
                        </w14:solidFill>
                      </w14:textFill>
                    </w:rPr>
                  </w:pPr>
                  <w:r>
                    <w:rPr>
                      <w:rFonts w:hint="eastAsia" w:cs="Times New Roman"/>
                      <w:color w:val="auto"/>
                      <w:sz w:val="21"/>
                      <w:szCs w:val="21"/>
                      <w:highlight w:val="none"/>
                      <w:lang w:val="en-US" w:eastAsia="zh-CN"/>
                    </w:rPr>
                    <w:t>60</w:t>
                  </w:r>
                </w:p>
              </w:tc>
              <w:tc>
                <w:tcPr>
                  <w:tcW w:w="440" w:type="dxa"/>
                  <w:tcBorders>
                    <w:tl2br w:val="nil"/>
                    <w:tr2bl w:val="nil"/>
                  </w:tcBorders>
                  <w:vAlign w:val="center"/>
                </w:tcPr>
                <w:p w14:paraId="501514AC">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w:t>
                  </w:r>
                </w:p>
              </w:tc>
            </w:tr>
            <w:tr w14:paraId="0D1334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336" w:type="dxa"/>
                  <w:tcBorders>
                    <w:tl2br w:val="nil"/>
                    <w:tr2bl w:val="nil"/>
                  </w:tcBorders>
                  <w:vAlign w:val="center"/>
                </w:tcPr>
                <w:p w14:paraId="454DC144">
                  <w:pPr>
                    <w:keepNext w:val="0"/>
                    <w:keepLines w:val="0"/>
                    <w:suppressLineNumbers w:val="0"/>
                    <w:spacing w:before="0" w:beforeAutospacing="0" w:after="0" w:afterAutospacing="0"/>
                    <w:ind w:left="0" w:right="0"/>
                    <w:jc w:val="center"/>
                    <w:rPr>
                      <w:rFonts w:hint="eastAsia" w:eastAsia="宋体"/>
                      <w:color w:val="000000" w:themeColor="text1"/>
                      <w:sz w:val="18"/>
                      <w:szCs w:val="18"/>
                      <w:highlight w:val="none"/>
                      <w:lang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w:t>
                  </w:r>
                </w:p>
              </w:tc>
              <w:tc>
                <w:tcPr>
                  <w:tcW w:w="266" w:type="dxa"/>
                  <w:vMerge w:val="continue"/>
                  <w:tcBorders>
                    <w:tl2br w:val="nil"/>
                    <w:tr2bl w:val="nil"/>
                  </w:tcBorders>
                  <w:vAlign w:val="center"/>
                </w:tcPr>
                <w:p w14:paraId="1AE8C486">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709" w:type="dxa"/>
                  <w:tcBorders>
                    <w:tl2br w:val="nil"/>
                    <w:tr2bl w:val="nil"/>
                  </w:tcBorders>
                  <w:vAlign w:val="top"/>
                </w:tcPr>
                <w:p w14:paraId="5B6CD7C5">
                  <w:pPr>
                    <w:keepNext w:val="0"/>
                    <w:keepLines w:val="0"/>
                    <w:suppressLineNumbers w:val="0"/>
                    <w:spacing w:before="0" w:beforeAutospacing="0" w:after="0" w:afterAutospacing="0"/>
                    <w:ind w:left="0" w:right="0"/>
                    <w:jc w:val="center"/>
                    <w:rPr>
                      <w:rFonts w:hint="default"/>
                      <w:color w:val="000000" w:themeColor="text1"/>
                      <w:sz w:val="18"/>
                      <w:szCs w:val="18"/>
                      <w:highlight w:val="none"/>
                      <w:lang w:val="en-US"/>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钢筋切割机</w:t>
                  </w:r>
                </w:p>
              </w:tc>
              <w:tc>
                <w:tcPr>
                  <w:tcW w:w="482" w:type="dxa"/>
                  <w:tcBorders>
                    <w:tl2br w:val="nil"/>
                    <w:tr2bl w:val="nil"/>
                  </w:tcBorders>
                  <w:vAlign w:val="center"/>
                </w:tcPr>
                <w:p w14:paraId="458D1DDA">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w:t>
                  </w:r>
                </w:p>
              </w:tc>
              <w:tc>
                <w:tcPr>
                  <w:tcW w:w="868" w:type="dxa"/>
                  <w:tcBorders>
                    <w:tl2br w:val="nil"/>
                    <w:tr2bl w:val="nil"/>
                  </w:tcBorders>
                  <w:vAlign w:val="center"/>
                </w:tcPr>
                <w:p w14:paraId="545CEBDC">
                  <w:pPr>
                    <w:jc w:val="center"/>
                    <w:rPr>
                      <w:rFonts w:hint="eastAsia" w:eastAsia="宋体"/>
                      <w:color w:val="000000" w:themeColor="text1"/>
                      <w:sz w:val="18"/>
                      <w:szCs w:val="18"/>
                      <w:highlight w:val="none"/>
                      <w:lang w:eastAsia="zh-CN"/>
                      <w14:textFill>
                        <w14:solidFill>
                          <w14:schemeClr w14:val="tx1"/>
                        </w14:solidFill>
                      </w14:textFill>
                    </w:rPr>
                  </w:pPr>
                  <w:r>
                    <w:rPr>
                      <w:rFonts w:hint="default" w:ascii="Times New Roman" w:hAnsi="Times New Roman" w:cs="Times New Roman"/>
                      <w:color w:val="auto"/>
                      <w:sz w:val="21"/>
                      <w:szCs w:val="21"/>
                      <w:highlight w:val="none"/>
                    </w:rPr>
                    <w:t>7</w:t>
                  </w:r>
                  <w:r>
                    <w:rPr>
                      <w:rFonts w:hint="eastAsia" w:cs="Times New Roman"/>
                      <w:color w:val="auto"/>
                      <w:sz w:val="21"/>
                      <w:szCs w:val="21"/>
                      <w:highlight w:val="none"/>
                      <w:lang w:val="en-US" w:eastAsia="zh-CN"/>
                    </w:rPr>
                    <w:t>5</w:t>
                  </w:r>
                </w:p>
              </w:tc>
              <w:tc>
                <w:tcPr>
                  <w:tcW w:w="538" w:type="dxa"/>
                  <w:vMerge w:val="continue"/>
                  <w:tcBorders>
                    <w:tl2br w:val="nil"/>
                    <w:tr2bl w:val="nil"/>
                  </w:tcBorders>
                  <w:vAlign w:val="center"/>
                </w:tcPr>
                <w:p w14:paraId="05AE8EDA">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529" w:type="dxa"/>
                  <w:tcBorders>
                    <w:tl2br w:val="nil"/>
                    <w:tr2bl w:val="nil"/>
                  </w:tcBorders>
                  <w:vAlign w:val="center"/>
                </w:tcPr>
                <w:p w14:paraId="01969D8B">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41.63</w:t>
                  </w:r>
                </w:p>
              </w:tc>
              <w:tc>
                <w:tcPr>
                  <w:tcW w:w="634" w:type="dxa"/>
                  <w:tcBorders>
                    <w:tl2br w:val="nil"/>
                    <w:tr2bl w:val="nil"/>
                  </w:tcBorders>
                  <w:vAlign w:val="center"/>
                </w:tcPr>
                <w:p w14:paraId="0499FB14">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122.98</w:t>
                  </w:r>
                </w:p>
              </w:tc>
              <w:tc>
                <w:tcPr>
                  <w:tcW w:w="366" w:type="dxa"/>
                  <w:tcBorders>
                    <w:tl2br w:val="nil"/>
                    <w:tr2bl w:val="nil"/>
                  </w:tcBorders>
                  <w:vAlign w:val="center"/>
                </w:tcPr>
                <w:p w14:paraId="3AC2DB2B">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w:t>
                  </w:r>
                </w:p>
              </w:tc>
              <w:tc>
                <w:tcPr>
                  <w:tcW w:w="501" w:type="dxa"/>
                  <w:tcBorders>
                    <w:tl2br w:val="nil"/>
                    <w:tr2bl w:val="nil"/>
                  </w:tcBorders>
                  <w:vAlign w:val="center"/>
                </w:tcPr>
                <w:p w14:paraId="33AA1A95">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1.5</w:t>
                  </w:r>
                </w:p>
              </w:tc>
              <w:tc>
                <w:tcPr>
                  <w:tcW w:w="628" w:type="dxa"/>
                  <w:tcBorders>
                    <w:tl2br w:val="nil"/>
                    <w:tr2bl w:val="nil"/>
                  </w:tcBorders>
                  <w:vAlign w:val="center"/>
                </w:tcPr>
                <w:p w14:paraId="23E40778">
                  <w:pPr>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s="Times New Roman"/>
                      <w:color w:val="auto"/>
                      <w:sz w:val="21"/>
                      <w:szCs w:val="21"/>
                      <w:highlight w:val="none"/>
                      <w:lang w:val="en-US" w:eastAsia="zh-CN"/>
                    </w:rPr>
                    <w:t>75</w:t>
                  </w:r>
                </w:p>
              </w:tc>
              <w:tc>
                <w:tcPr>
                  <w:tcW w:w="342" w:type="dxa"/>
                  <w:vMerge w:val="continue"/>
                  <w:tcBorders>
                    <w:tl2br w:val="nil"/>
                    <w:tr2bl w:val="nil"/>
                  </w:tcBorders>
                  <w:vAlign w:val="center"/>
                </w:tcPr>
                <w:p w14:paraId="6AE55D73">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683" w:type="dxa"/>
                  <w:tcBorders>
                    <w:tl2br w:val="nil"/>
                    <w:tr2bl w:val="nil"/>
                  </w:tcBorders>
                  <w:vAlign w:val="center"/>
                </w:tcPr>
                <w:p w14:paraId="3EBD0988">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2</w:t>
                  </w:r>
                  <w:r>
                    <w:rPr>
                      <w:rFonts w:hint="eastAsia"/>
                      <w:color w:val="000000" w:themeColor="text1"/>
                      <w:sz w:val="18"/>
                      <w:szCs w:val="18"/>
                      <w:highlight w:val="none"/>
                      <w:lang w:val="en-US" w:eastAsia="zh-CN"/>
                      <w14:textFill>
                        <w14:solidFill>
                          <w14:schemeClr w14:val="tx1"/>
                        </w14:solidFill>
                      </w14:textFill>
                    </w:rPr>
                    <w:t>5</w:t>
                  </w:r>
                </w:p>
              </w:tc>
              <w:tc>
                <w:tcPr>
                  <w:tcW w:w="628" w:type="dxa"/>
                  <w:tcBorders>
                    <w:tl2br w:val="nil"/>
                    <w:tr2bl w:val="nil"/>
                  </w:tcBorders>
                  <w:vAlign w:val="center"/>
                </w:tcPr>
                <w:p w14:paraId="26379F40">
                  <w:pPr>
                    <w:jc w:val="center"/>
                    <w:rPr>
                      <w:rFonts w:hint="default"/>
                      <w:color w:val="000000" w:themeColor="text1"/>
                      <w:sz w:val="18"/>
                      <w:szCs w:val="18"/>
                      <w:highlight w:val="none"/>
                      <w14:textFill>
                        <w14:solidFill>
                          <w14:schemeClr w14:val="tx1"/>
                        </w14:solidFill>
                      </w14:textFill>
                    </w:rPr>
                  </w:pPr>
                  <w:r>
                    <w:rPr>
                      <w:rFonts w:hint="eastAsia" w:cs="Times New Roman"/>
                      <w:color w:val="auto"/>
                      <w:sz w:val="21"/>
                      <w:szCs w:val="21"/>
                      <w:highlight w:val="none"/>
                      <w:lang w:val="en-US" w:eastAsia="zh-CN"/>
                    </w:rPr>
                    <w:t>50</w:t>
                  </w:r>
                </w:p>
              </w:tc>
              <w:tc>
                <w:tcPr>
                  <w:tcW w:w="440" w:type="dxa"/>
                  <w:tcBorders>
                    <w:tl2br w:val="nil"/>
                    <w:tr2bl w:val="nil"/>
                  </w:tcBorders>
                  <w:vAlign w:val="center"/>
                </w:tcPr>
                <w:p w14:paraId="63917D1E">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w:t>
                  </w:r>
                </w:p>
              </w:tc>
            </w:tr>
            <w:tr w14:paraId="25C2F5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336" w:type="dxa"/>
                  <w:tcBorders>
                    <w:tl2br w:val="nil"/>
                    <w:tr2bl w:val="nil"/>
                  </w:tcBorders>
                  <w:vAlign w:val="center"/>
                </w:tcPr>
                <w:p w14:paraId="3BA69ADA">
                  <w:pPr>
                    <w:keepNext w:val="0"/>
                    <w:keepLines w:val="0"/>
                    <w:suppressLineNumbers w:val="0"/>
                    <w:spacing w:before="0" w:beforeAutospacing="0" w:after="0" w:afterAutospacing="0"/>
                    <w:ind w:left="0" w:right="0"/>
                    <w:jc w:val="center"/>
                    <w:rPr>
                      <w:rFonts w:hint="eastAsia" w:eastAsia="宋体"/>
                      <w:color w:val="000000" w:themeColor="text1"/>
                      <w:sz w:val="18"/>
                      <w:szCs w:val="18"/>
                      <w:highlight w:val="none"/>
                      <w:lang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6</w:t>
                  </w:r>
                </w:p>
              </w:tc>
              <w:tc>
                <w:tcPr>
                  <w:tcW w:w="266" w:type="dxa"/>
                  <w:vMerge w:val="continue"/>
                  <w:tcBorders>
                    <w:tl2br w:val="nil"/>
                    <w:tr2bl w:val="nil"/>
                  </w:tcBorders>
                  <w:vAlign w:val="center"/>
                </w:tcPr>
                <w:p w14:paraId="704C3343">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709" w:type="dxa"/>
                  <w:tcBorders>
                    <w:tl2br w:val="nil"/>
                    <w:tr2bl w:val="nil"/>
                  </w:tcBorders>
                  <w:vAlign w:val="top"/>
                </w:tcPr>
                <w:p w14:paraId="00950BC9">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离心机</w:t>
                  </w:r>
                </w:p>
              </w:tc>
              <w:tc>
                <w:tcPr>
                  <w:tcW w:w="482" w:type="dxa"/>
                  <w:tcBorders>
                    <w:tl2br w:val="nil"/>
                    <w:tr2bl w:val="nil"/>
                  </w:tcBorders>
                  <w:vAlign w:val="center"/>
                </w:tcPr>
                <w:p w14:paraId="565FEADA">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w:t>
                  </w:r>
                </w:p>
              </w:tc>
              <w:tc>
                <w:tcPr>
                  <w:tcW w:w="868" w:type="dxa"/>
                  <w:tcBorders>
                    <w:tl2br w:val="nil"/>
                    <w:tr2bl w:val="nil"/>
                  </w:tcBorders>
                  <w:vAlign w:val="center"/>
                </w:tcPr>
                <w:p w14:paraId="2DC65F15">
                  <w:pPr>
                    <w:jc w:val="center"/>
                    <w:rPr>
                      <w:rFonts w:hint="eastAsia" w:eastAsia="宋体"/>
                      <w:color w:val="000000" w:themeColor="text1"/>
                      <w:sz w:val="18"/>
                      <w:szCs w:val="18"/>
                      <w:highlight w:val="none"/>
                      <w:lang w:eastAsia="zh-CN"/>
                      <w14:textFill>
                        <w14:solidFill>
                          <w14:schemeClr w14:val="tx1"/>
                        </w14:solidFill>
                      </w14:textFill>
                    </w:rPr>
                  </w:pPr>
                  <w:r>
                    <w:rPr>
                      <w:rFonts w:hint="default" w:ascii="Times New Roman" w:hAnsi="Times New Roman" w:cs="Times New Roman"/>
                      <w:color w:val="auto"/>
                      <w:sz w:val="21"/>
                      <w:szCs w:val="21"/>
                      <w:highlight w:val="none"/>
                    </w:rPr>
                    <w:t>8</w:t>
                  </w:r>
                  <w:r>
                    <w:rPr>
                      <w:rFonts w:hint="eastAsia" w:cs="Times New Roman"/>
                      <w:color w:val="auto"/>
                      <w:sz w:val="21"/>
                      <w:szCs w:val="21"/>
                      <w:highlight w:val="none"/>
                      <w:lang w:val="en-US" w:eastAsia="zh-CN"/>
                    </w:rPr>
                    <w:t>5</w:t>
                  </w:r>
                </w:p>
              </w:tc>
              <w:tc>
                <w:tcPr>
                  <w:tcW w:w="538" w:type="dxa"/>
                  <w:vMerge w:val="continue"/>
                  <w:tcBorders>
                    <w:tl2br w:val="nil"/>
                    <w:tr2bl w:val="nil"/>
                  </w:tcBorders>
                  <w:vAlign w:val="center"/>
                </w:tcPr>
                <w:p w14:paraId="54F3B811">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529" w:type="dxa"/>
                  <w:tcBorders>
                    <w:tl2br w:val="nil"/>
                    <w:tr2bl w:val="nil"/>
                  </w:tcBorders>
                  <w:vAlign w:val="center"/>
                </w:tcPr>
                <w:p w14:paraId="3E579EB7">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19.61</w:t>
                  </w:r>
                </w:p>
              </w:tc>
              <w:tc>
                <w:tcPr>
                  <w:tcW w:w="634" w:type="dxa"/>
                  <w:tcBorders>
                    <w:tl2br w:val="nil"/>
                    <w:tr2bl w:val="nil"/>
                  </w:tcBorders>
                  <w:vAlign w:val="center"/>
                </w:tcPr>
                <w:p w14:paraId="7962EDDA">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68.98</w:t>
                  </w:r>
                </w:p>
              </w:tc>
              <w:tc>
                <w:tcPr>
                  <w:tcW w:w="366" w:type="dxa"/>
                  <w:tcBorders>
                    <w:tl2br w:val="nil"/>
                    <w:tr2bl w:val="nil"/>
                  </w:tcBorders>
                  <w:vAlign w:val="center"/>
                </w:tcPr>
                <w:p w14:paraId="3753272B">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w:t>
                  </w:r>
                </w:p>
              </w:tc>
              <w:tc>
                <w:tcPr>
                  <w:tcW w:w="501" w:type="dxa"/>
                  <w:tcBorders>
                    <w:tl2br w:val="nil"/>
                    <w:tr2bl w:val="nil"/>
                  </w:tcBorders>
                  <w:vAlign w:val="center"/>
                </w:tcPr>
                <w:p w14:paraId="73A84CDF">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1.5</w:t>
                  </w:r>
                </w:p>
              </w:tc>
              <w:tc>
                <w:tcPr>
                  <w:tcW w:w="628" w:type="dxa"/>
                  <w:tcBorders>
                    <w:tl2br w:val="nil"/>
                    <w:tr2bl w:val="nil"/>
                  </w:tcBorders>
                  <w:vAlign w:val="center"/>
                </w:tcPr>
                <w:p w14:paraId="2C157D3D">
                  <w:pPr>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s="Times New Roman"/>
                      <w:color w:val="auto"/>
                      <w:sz w:val="21"/>
                      <w:szCs w:val="21"/>
                      <w:highlight w:val="none"/>
                      <w:lang w:val="en-US" w:eastAsia="zh-CN"/>
                    </w:rPr>
                    <w:t>85</w:t>
                  </w:r>
                </w:p>
              </w:tc>
              <w:tc>
                <w:tcPr>
                  <w:tcW w:w="342" w:type="dxa"/>
                  <w:vMerge w:val="continue"/>
                  <w:tcBorders>
                    <w:tl2br w:val="nil"/>
                    <w:tr2bl w:val="nil"/>
                  </w:tcBorders>
                  <w:vAlign w:val="center"/>
                </w:tcPr>
                <w:p w14:paraId="5D40B35A">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683" w:type="dxa"/>
                  <w:tcBorders>
                    <w:tl2br w:val="nil"/>
                    <w:tr2bl w:val="nil"/>
                  </w:tcBorders>
                  <w:vAlign w:val="center"/>
                </w:tcPr>
                <w:p w14:paraId="5D1CA36B">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2</w:t>
                  </w:r>
                  <w:r>
                    <w:rPr>
                      <w:rFonts w:hint="eastAsia"/>
                      <w:color w:val="000000" w:themeColor="text1"/>
                      <w:sz w:val="18"/>
                      <w:szCs w:val="18"/>
                      <w:highlight w:val="none"/>
                      <w:lang w:val="en-US" w:eastAsia="zh-CN"/>
                      <w14:textFill>
                        <w14:solidFill>
                          <w14:schemeClr w14:val="tx1"/>
                        </w14:solidFill>
                      </w14:textFill>
                    </w:rPr>
                    <w:t>5</w:t>
                  </w:r>
                </w:p>
              </w:tc>
              <w:tc>
                <w:tcPr>
                  <w:tcW w:w="628" w:type="dxa"/>
                  <w:tcBorders>
                    <w:tl2br w:val="nil"/>
                    <w:tr2bl w:val="nil"/>
                  </w:tcBorders>
                  <w:vAlign w:val="center"/>
                </w:tcPr>
                <w:p w14:paraId="42454D86">
                  <w:pPr>
                    <w:jc w:val="center"/>
                    <w:rPr>
                      <w:rFonts w:hint="default"/>
                      <w:color w:val="000000" w:themeColor="text1"/>
                      <w:sz w:val="18"/>
                      <w:szCs w:val="18"/>
                      <w:highlight w:val="none"/>
                      <w:lang w:val="en-US"/>
                      <w14:textFill>
                        <w14:solidFill>
                          <w14:schemeClr w14:val="tx1"/>
                        </w14:solidFill>
                      </w14:textFill>
                    </w:rPr>
                  </w:pPr>
                  <w:r>
                    <w:rPr>
                      <w:rFonts w:hint="eastAsia" w:cs="Times New Roman"/>
                      <w:color w:val="auto"/>
                      <w:sz w:val="21"/>
                      <w:szCs w:val="21"/>
                      <w:highlight w:val="none"/>
                      <w:lang w:val="en-US" w:eastAsia="zh-CN"/>
                    </w:rPr>
                    <w:t>60</w:t>
                  </w:r>
                </w:p>
              </w:tc>
              <w:tc>
                <w:tcPr>
                  <w:tcW w:w="440" w:type="dxa"/>
                  <w:tcBorders>
                    <w:tl2br w:val="nil"/>
                    <w:tr2bl w:val="nil"/>
                  </w:tcBorders>
                  <w:vAlign w:val="center"/>
                </w:tcPr>
                <w:p w14:paraId="4368780C">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r>
                    <w:rPr>
                      <w:rFonts w:hint="default"/>
                      <w:color w:val="000000" w:themeColor="text1"/>
                      <w:sz w:val="18"/>
                      <w:szCs w:val="18"/>
                      <w:highlight w:val="none"/>
                      <w14:textFill>
                        <w14:solidFill>
                          <w14:schemeClr w14:val="tx1"/>
                        </w14:solidFill>
                      </w14:textFill>
                    </w:rPr>
                    <w:t>1</w:t>
                  </w:r>
                </w:p>
              </w:tc>
            </w:tr>
            <w:tr w14:paraId="62CCD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336" w:type="dxa"/>
                  <w:tcBorders>
                    <w:tl2br w:val="nil"/>
                    <w:tr2bl w:val="nil"/>
                  </w:tcBorders>
                  <w:vAlign w:val="center"/>
                </w:tcPr>
                <w:p w14:paraId="0D396B3C">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7</w:t>
                  </w:r>
                </w:p>
              </w:tc>
              <w:tc>
                <w:tcPr>
                  <w:tcW w:w="266" w:type="dxa"/>
                  <w:vMerge w:val="continue"/>
                  <w:tcBorders>
                    <w:tl2br w:val="nil"/>
                    <w:tr2bl w:val="nil"/>
                  </w:tcBorders>
                  <w:vAlign w:val="center"/>
                </w:tcPr>
                <w:p w14:paraId="27E81F2C">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709" w:type="dxa"/>
                  <w:tcBorders>
                    <w:tl2br w:val="nil"/>
                    <w:tr2bl w:val="nil"/>
                  </w:tcBorders>
                  <w:vAlign w:val="top"/>
                </w:tcPr>
                <w:p w14:paraId="28BA92B2">
                  <w:pPr>
                    <w:keepNext w:val="0"/>
                    <w:keepLines w:val="0"/>
                    <w:suppressLineNumbers w:val="0"/>
                    <w:spacing w:before="0" w:beforeAutospacing="0" w:after="0" w:afterAutospacing="0"/>
                    <w:ind w:left="0" w:right="0"/>
                    <w:jc w:val="center"/>
                    <w:rPr>
                      <w:rFonts w:hint="eastAsia"/>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转载机</w:t>
                  </w:r>
                </w:p>
              </w:tc>
              <w:tc>
                <w:tcPr>
                  <w:tcW w:w="482" w:type="dxa"/>
                  <w:tcBorders>
                    <w:tl2br w:val="nil"/>
                    <w:tr2bl w:val="nil"/>
                  </w:tcBorders>
                  <w:vAlign w:val="center"/>
                </w:tcPr>
                <w:p w14:paraId="48EA4FA7">
                  <w:pPr>
                    <w:keepNext w:val="0"/>
                    <w:keepLines w:val="0"/>
                    <w:suppressLineNumbers w:val="0"/>
                    <w:spacing w:before="0" w:beforeAutospacing="0" w:after="0" w:afterAutospacing="0"/>
                    <w:ind w:left="0" w:right="0"/>
                    <w:jc w:val="center"/>
                    <w:rPr>
                      <w:rFonts w:hint="default"/>
                      <w:color w:val="000000" w:themeColor="text1"/>
                      <w:sz w:val="18"/>
                      <w:szCs w:val="18"/>
                      <w:highlight w:val="none"/>
                      <w14:textFill>
                        <w14:solidFill>
                          <w14:schemeClr w14:val="tx1"/>
                        </w14:solidFill>
                      </w14:textFill>
                    </w:rPr>
                  </w:pPr>
                </w:p>
              </w:tc>
              <w:tc>
                <w:tcPr>
                  <w:tcW w:w="868" w:type="dxa"/>
                  <w:tcBorders>
                    <w:tl2br w:val="nil"/>
                    <w:tr2bl w:val="nil"/>
                  </w:tcBorders>
                  <w:vAlign w:val="center"/>
                </w:tcPr>
                <w:p w14:paraId="0855254C">
                  <w:pPr>
                    <w:jc w:val="center"/>
                    <w:rPr>
                      <w:rFonts w:hint="default" w:ascii="宋体" w:hAnsi="宋体" w:cs="宋体"/>
                      <w:sz w:val="21"/>
                      <w:szCs w:val="21"/>
                      <w:highlight w:val="none"/>
                      <w:vertAlign w:val="baseline"/>
                      <w:lang w:val="en-US" w:eastAsia="zh-CN"/>
                    </w:rPr>
                  </w:pPr>
                  <w:r>
                    <w:rPr>
                      <w:rFonts w:hint="eastAsia" w:cs="Times New Roman"/>
                      <w:color w:val="auto"/>
                      <w:sz w:val="21"/>
                      <w:szCs w:val="21"/>
                      <w:highlight w:val="none"/>
                      <w:lang w:val="en-US" w:eastAsia="zh-CN"/>
                    </w:rPr>
                    <w:t>70</w:t>
                  </w:r>
                </w:p>
              </w:tc>
              <w:tc>
                <w:tcPr>
                  <w:tcW w:w="538" w:type="dxa"/>
                  <w:vMerge w:val="continue"/>
                  <w:tcBorders>
                    <w:tl2br w:val="nil"/>
                    <w:tr2bl w:val="nil"/>
                  </w:tcBorders>
                  <w:vAlign w:val="center"/>
                </w:tcPr>
                <w:p w14:paraId="3D5686ED">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529" w:type="dxa"/>
                  <w:tcBorders>
                    <w:tl2br w:val="nil"/>
                    <w:tr2bl w:val="nil"/>
                  </w:tcBorders>
                  <w:vAlign w:val="center"/>
                </w:tcPr>
                <w:p w14:paraId="65B694A8">
                  <w:pPr>
                    <w:keepNext w:val="0"/>
                    <w:keepLines w:val="0"/>
                    <w:suppressLineNumbers w:val="0"/>
                    <w:spacing w:before="0" w:beforeAutospacing="0" w:after="0" w:afterAutospacing="0"/>
                    <w:ind w:left="0" w:right="0"/>
                    <w:jc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22.4</w:t>
                  </w:r>
                </w:p>
              </w:tc>
              <w:tc>
                <w:tcPr>
                  <w:tcW w:w="634" w:type="dxa"/>
                  <w:tcBorders>
                    <w:tl2br w:val="nil"/>
                    <w:tr2bl w:val="nil"/>
                  </w:tcBorders>
                  <w:vAlign w:val="center"/>
                </w:tcPr>
                <w:p w14:paraId="3BC7EE0E">
                  <w:pPr>
                    <w:keepNext w:val="0"/>
                    <w:keepLines w:val="0"/>
                    <w:suppressLineNumbers w:val="0"/>
                    <w:spacing w:before="0" w:beforeAutospacing="0" w:after="0" w:afterAutospacing="0"/>
                    <w:ind w:left="0" w:right="0"/>
                    <w:jc w:val="center"/>
                    <w:rPr>
                      <w:rFonts w:hint="default"/>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56.42</w:t>
                  </w:r>
                </w:p>
              </w:tc>
              <w:tc>
                <w:tcPr>
                  <w:tcW w:w="366" w:type="dxa"/>
                  <w:tcBorders>
                    <w:tl2br w:val="nil"/>
                    <w:tr2bl w:val="nil"/>
                  </w:tcBorders>
                  <w:vAlign w:val="center"/>
                </w:tcPr>
                <w:p w14:paraId="68BE30B5">
                  <w:pPr>
                    <w:keepNext w:val="0"/>
                    <w:keepLines w:val="0"/>
                    <w:suppressLineNumbers w:val="0"/>
                    <w:spacing w:before="0" w:beforeAutospacing="0" w:after="0" w:afterAutospacing="0"/>
                    <w:ind w:left="0" w:right="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w:t>
                  </w:r>
                </w:p>
              </w:tc>
              <w:tc>
                <w:tcPr>
                  <w:tcW w:w="501" w:type="dxa"/>
                  <w:tcBorders>
                    <w:tl2br w:val="nil"/>
                    <w:tr2bl w:val="nil"/>
                  </w:tcBorders>
                  <w:vAlign w:val="center"/>
                </w:tcPr>
                <w:p w14:paraId="44BB19D2">
                  <w:pPr>
                    <w:keepNext w:val="0"/>
                    <w:keepLines w:val="0"/>
                    <w:suppressLineNumbers w:val="0"/>
                    <w:spacing w:before="0" w:beforeAutospacing="0" w:after="0" w:afterAutospacing="0"/>
                    <w:ind w:left="0" w:right="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w:t>
                  </w:r>
                </w:p>
              </w:tc>
              <w:tc>
                <w:tcPr>
                  <w:tcW w:w="628" w:type="dxa"/>
                  <w:tcBorders>
                    <w:tl2br w:val="nil"/>
                    <w:tr2bl w:val="nil"/>
                  </w:tcBorders>
                  <w:vAlign w:val="center"/>
                </w:tcPr>
                <w:p w14:paraId="7CAF107F">
                  <w:pPr>
                    <w:jc w:val="center"/>
                    <w:rPr>
                      <w:rFonts w:hint="default" w:ascii="宋体" w:hAnsi="宋体" w:cs="宋体"/>
                      <w:sz w:val="21"/>
                      <w:szCs w:val="21"/>
                      <w:highlight w:val="none"/>
                      <w:vertAlign w:val="baseline"/>
                      <w:lang w:val="en-US" w:eastAsia="zh-CN"/>
                    </w:rPr>
                  </w:pPr>
                  <w:r>
                    <w:rPr>
                      <w:rFonts w:hint="eastAsia" w:cs="Times New Roman"/>
                      <w:color w:val="auto"/>
                      <w:sz w:val="21"/>
                      <w:szCs w:val="21"/>
                      <w:highlight w:val="none"/>
                      <w:lang w:val="en-US" w:eastAsia="zh-CN"/>
                    </w:rPr>
                    <w:t>70</w:t>
                  </w:r>
                </w:p>
              </w:tc>
              <w:tc>
                <w:tcPr>
                  <w:tcW w:w="342" w:type="dxa"/>
                  <w:vMerge w:val="continue"/>
                  <w:tcBorders>
                    <w:tl2br w:val="nil"/>
                    <w:tr2bl w:val="nil"/>
                  </w:tcBorders>
                  <w:vAlign w:val="center"/>
                </w:tcPr>
                <w:p w14:paraId="6609E228">
                  <w:pPr>
                    <w:keepNext w:val="0"/>
                    <w:keepLines w:val="0"/>
                    <w:widowControl/>
                    <w:suppressLineNumbers w:val="0"/>
                    <w:spacing w:before="0" w:beforeAutospacing="0" w:after="0" w:afterAutospacing="0"/>
                    <w:ind w:left="0" w:right="0"/>
                    <w:jc w:val="left"/>
                    <w:rPr>
                      <w:rFonts w:hint="default"/>
                      <w:color w:val="000000" w:themeColor="text1"/>
                      <w:sz w:val="18"/>
                      <w:szCs w:val="18"/>
                      <w:highlight w:val="none"/>
                      <w14:textFill>
                        <w14:solidFill>
                          <w14:schemeClr w14:val="tx1"/>
                        </w14:solidFill>
                      </w14:textFill>
                    </w:rPr>
                  </w:pPr>
                </w:p>
              </w:tc>
              <w:tc>
                <w:tcPr>
                  <w:tcW w:w="683" w:type="dxa"/>
                  <w:tcBorders>
                    <w:tl2br w:val="nil"/>
                    <w:tr2bl w:val="nil"/>
                  </w:tcBorders>
                  <w:vAlign w:val="center"/>
                </w:tcPr>
                <w:p w14:paraId="0CFE7EA4">
                  <w:pPr>
                    <w:keepNext w:val="0"/>
                    <w:keepLines w:val="0"/>
                    <w:suppressLineNumbers w:val="0"/>
                    <w:spacing w:before="0" w:beforeAutospacing="0" w:after="0" w:afterAutospacing="0"/>
                    <w:ind w:left="0" w:right="0"/>
                    <w:jc w:val="center"/>
                    <w:rPr>
                      <w:rFonts w:hint="default"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25</w:t>
                  </w:r>
                </w:p>
              </w:tc>
              <w:tc>
                <w:tcPr>
                  <w:tcW w:w="628" w:type="dxa"/>
                  <w:tcBorders>
                    <w:tl2br w:val="nil"/>
                    <w:tr2bl w:val="nil"/>
                  </w:tcBorders>
                  <w:vAlign w:val="center"/>
                </w:tcPr>
                <w:p w14:paraId="7FA485C0">
                  <w:pPr>
                    <w:jc w:val="center"/>
                    <w:rPr>
                      <w:rFonts w:hint="default" w:ascii="宋体" w:hAnsi="宋体" w:cs="宋体"/>
                      <w:sz w:val="21"/>
                      <w:szCs w:val="21"/>
                      <w:highlight w:val="none"/>
                      <w:vertAlign w:val="baseline"/>
                      <w:lang w:val="en-US" w:eastAsia="zh-CN"/>
                    </w:rPr>
                  </w:pPr>
                  <w:r>
                    <w:rPr>
                      <w:rFonts w:hint="eastAsia" w:cs="Times New Roman"/>
                      <w:color w:val="auto"/>
                      <w:sz w:val="21"/>
                      <w:szCs w:val="21"/>
                      <w:highlight w:val="none"/>
                      <w:lang w:val="en-US" w:eastAsia="zh-CN"/>
                    </w:rPr>
                    <w:t>45</w:t>
                  </w:r>
                </w:p>
              </w:tc>
              <w:tc>
                <w:tcPr>
                  <w:tcW w:w="440" w:type="dxa"/>
                  <w:tcBorders>
                    <w:tl2br w:val="nil"/>
                    <w:tr2bl w:val="nil"/>
                  </w:tcBorders>
                  <w:vAlign w:val="center"/>
                </w:tcPr>
                <w:p w14:paraId="6DB91EEA">
                  <w:pPr>
                    <w:keepNext w:val="0"/>
                    <w:keepLines w:val="0"/>
                    <w:suppressLineNumbers w:val="0"/>
                    <w:spacing w:before="0" w:beforeAutospacing="0" w:after="0" w:afterAutospacing="0"/>
                    <w:ind w:left="0" w:right="0"/>
                    <w:jc w:val="center"/>
                    <w:rPr>
                      <w:rFonts w:hint="eastAsia" w:eastAsia="宋体"/>
                      <w:color w:val="000000" w:themeColor="text1"/>
                      <w:sz w:val="18"/>
                      <w:szCs w:val="18"/>
                      <w:highlight w:val="none"/>
                      <w:lang w:val="en-US" w:eastAsia="zh-CN"/>
                      <w14:textFill>
                        <w14:solidFill>
                          <w14:schemeClr w14:val="tx1"/>
                        </w14:solidFill>
                      </w14:textFill>
                    </w:rPr>
                  </w:pPr>
                  <w:r>
                    <w:rPr>
                      <w:rFonts w:hint="eastAsia"/>
                      <w:color w:val="000000" w:themeColor="text1"/>
                      <w:sz w:val="18"/>
                      <w:szCs w:val="18"/>
                      <w:highlight w:val="none"/>
                      <w:lang w:val="en-US" w:eastAsia="zh-CN"/>
                      <w14:textFill>
                        <w14:solidFill>
                          <w14:schemeClr w14:val="tx1"/>
                        </w14:solidFill>
                      </w14:textFill>
                    </w:rPr>
                    <w:t>1</w:t>
                  </w:r>
                </w:p>
              </w:tc>
            </w:tr>
          </w:tbl>
          <w:p w14:paraId="3FA872A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szCs w:val="24"/>
                <w:highlight w:val="none"/>
              </w:rPr>
            </w:pP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lang w:val="en-US" w:eastAsia="zh-CN"/>
              </w:rPr>
              <w:t>2</w:t>
            </w:r>
            <w:r>
              <w:rPr>
                <w:rFonts w:hint="default" w:ascii="Times New Roman" w:hAnsi="Times New Roman" w:cs="Times New Roman"/>
                <w:bCs/>
                <w:color w:val="auto"/>
                <w:sz w:val="24"/>
                <w:szCs w:val="24"/>
                <w:highlight w:val="none"/>
                <w:lang w:eastAsia="zh-CN"/>
              </w:rPr>
              <w:t>）防治措施</w:t>
            </w:r>
          </w:p>
          <w:p w14:paraId="1A9417AE">
            <w:pPr>
              <w:widowControl/>
              <w:spacing w:line="360" w:lineRule="auto"/>
              <w:ind w:firstLine="480" w:firstLineChars="200"/>
              <w:jc w:val="left"/>
              <w:rPr>
                <w:rFonts w:hint="eastAsia"/>
                <w:color w:val="auto"/>
                <w:sz w:val="24"/>
                <w:szCs w:val="24"/>
                <w:highlight w:val="none"/>
              </w:rPr>
            </w:pPr>
            <w:r>
              <w:rPr>
                <w:rFonts w:hint="eastAsia"/>
                <w:color w:val="auto"/>
                <w:sz w:val="24"/>
                <w:szCs w:val="24"/>
                <w:highlight w:val="none"/>
              </w:rPr>
              <w:t>本项目运营期采取如下降噪措施：</w:t>
            </w:r>
          </w:p>
          <w:p w14:paraId="6142B8C2">
            <w:pPr>
              <w:widowControl/>
              <w:spacing w:line="360" w:lineRule="auto"/>
              <w:ind w:firstLine="480" w:firstLineChars="200"/>
              <w:jc w:val="left"/>
              <w:rPr>
                <w:rFonts w:hint="eastAsia"/>
                <w:color w:val="auto"/>
                <w:sz w:val="24"/>
                <w:szCs w:val="24"/>
                <w:highlight w:val="none"/>
              </w:rPr>
            </w:pPr>
            <w:r>
              <w:rPr>
                <w:rFonts w:hint="eastAsia"/>
                <w:color w:val="auto"/>
                <w:sz w:val="24"/>
                <w:szCs w:val="24"/>
                <w:highlight w:val="none"/>
              </w:rPr>
              <w:t>①在厂区总体布置中应注意防噪间距，以减少噪声的污染；</w:t>
            </w:r>
          </w:p>
          <w:p w14:paraId="0E87BE3C">
            <w:pPr>
              <w:widowControl/>
              <w:spacing w:line="360" w:lineRule="auto"/>
              <w:ind w:firstLine="480" w:firstLineChars="200"/>
              <w:jc w:val="left"/>
              <w:rPr>
                <w:rFonts w:hint="eastAsia"/>
                <w:color w:val="auto"/>
                <w:sz w:val="24"/>
                <w:szCs w:val="24"/>
                <w:highlight w:val="none"/>
              </w:rPr>
            </w:pPr>
            <w:r>
              <w:rPr>
                <w:rFonts w:hint="eastAsia"/>
                <w:color w:val="auto"/>
                <w:sz w:val="24"/>
                <w:szCs w:val="24"/>
                <w:highlight w:val="none"/>
              </w:rPr>
              <w:t>②设备选型上选择低噪声设备；</w:t>
            </w:r>
          </w:p>
          <w:p w14:paraId="601815F5">
            <w:pPr>
              <w:widowControl/>
              <w:spacing w:line="360" w:lineRule="auto"/>
              <w:ind w:firstLine="480" w:firstLineChars="200"/>
              <w:jc w:val="left"/>
              <w:rPr>
                <w:rFonts w:hint="eastAsia"/>
                <w:color w:val="auto"/>
                <w:sz w:val="24"/>
                <w:szCs w:val="24"/>
                <w:highlight w:val="none"/>
              </w:rPr>
            </w:pPr>
            <w:r>
              <w:rPr>
                <w:rFonts w:hint="eastAsia"/>
                <w:color w:val="auto"/>
                <w:sz w:val="24"/>
                <w:szCs w:val="24"/>
                <w:highlight w:val="none"/>
              </w:rPr>
              <w:t>③定期对设备进行检查、维修，保持设备最佳运行状态，减少噪声产生量；</w:t>
            </w:r>
          </w:p>
          <w:p w14:paraId="089A7644">
            <w:pPr>
              <w:widowControl/>
              <w:spacing w:line="360" w:lineRule="auto"/>
              <w:ind w:firstLine="480" w:firstLineChars="200"/>
              <w:jc w:val="left"/>
              <w:rPr>
                <w:rFonts w:hint="eastAsia" w:eastAsia="宋体"/>
                <w:color w:val="auto"/>
                <w:sz w:val="24"/>
                <w:szCs w:val="24"/>
                <w:highlight w:val="none"/>
                <w:lang w:eastAsia="zh-CN"/>
              </w:rPr>
            </w:pPr>
            <w:r>
              <w:rPr>
                <w:rFonts w:hint="eastAsia"/>
                <w:color w:val="auto"/>
                <w:sz w:val="24"/>
                <w:szCs w:val="24"/>
                <w:highlight w:val="none"/>
              </w:rPr>
              <w:t>通过上述相应减振、隔声、降噪、加强管理和设备合理布局等措施，再经墙体隔声以及距离衰减后，本项目运行后厂界噪声满足《工业企业厂界环境噪声排放标准》（GB12348-2008）中的</w:t>
            </w:r>
            <w:r>
              <w:rPr>
                <w:rFonts w:hint="eastAsia"/>
                <w:color w:val="auto"/>
                <w:sz w:val="24"/>
                <w:szCs w:val="24"/>
                <w:highlight w:val="none"/>
                <w:lang w:val="en-US" w:eastAsia="zh-CN"/>
              </w:rPr>
              <w:t>2</w:t>
            </w:r>
            <w:r>
              <w:rPr>
                <w:rFonts w:hint="eastAsia"/>
                <w:color w:val="auto"/>
                <w:sz w:val="24"/>
                <w:szCs w:val="24"/>
                <w:highlight w:val="none"/>
              </w:rPr>
              <w:t>类</w:t>
            </w:r>
            <w:r>
              <w:rPr>
                <w:rFonts w:hint="eastAsia"/>
                <w:color w:val="auto"/>
                <w:sz w:val="24"/>
                <w:szCs w:val="24"/>
                <w:highlight w:val="none"/>
                <w:lang w:eastAsia="zh-CN"/>
              </w:rPr>
              <w:t>。</w:t>
            </w:r>
            <w:r>
              <w:rPr>
                <w:rFonts w:hint="eastAsia"/>
                <w:color w:val="auto"/>
                <w:sz w:val="24"/>
                <w:szCs w:val="24"/>
                <w:highlight w:val="none"/>
              </w:rPr>
              <w:t>因此，通过落实以上噪声治理措施，项目噪声对周围声环境影响不大</w:t>
            </w:r>
            <w:r>
              <w:rPr>
                <w:rFonts w:hint="eastAsia"/>
                <w:color w:val="auto"/>
                <w:sz w:val="24"/>
                <w:szCs w:val="24"/>
                <w:highlight w:val="none"/>
                <w:lang w:eastAsia="zh-CN"/>
              </w:rPr>
              <w:t>。</w:t>
            </w:r>
          </w:p>
          <w:p w14:paraId="7F3D1FCA">
            <w:pPr>
              <w:widowControl/>
              <w:spacing w:line="360" w:lineRule="auto"/>
              <w:ind w:firstLine="480" w:firstLineChars="200"/>
              <w:jc w:val="left"/>
              <w:rPr>
                <w:rFonts w:hint="default"/>
                <w:color w:val="auto"/>
                <w:sz w:val="24"/>
                <w:szCs w:val="24"/>
                <w:highlight w:val="none"/>
                <w:lang w:val="en-US" w:eastAsia="zh-CN"/>
              </w:rPr>
            </w:pPr>
            <w:r>
              <w:rPr>
                <w:rFonts w:hint="eastAsia"/>
                <w:color w:val="auto"/>
                <w:sz w:val="24"/>
                <w:szCs w:val="24"/>
                <w:highlight w:val="none"/>
                <w:lang w:val="en-US" w:eastAsia="zh-CN"/>
              </w:rPr>
              <w:t>（3）噪声达标排放分析</w:t>
            </w:r>
          </w:p>
          <w:p w14:paraId="07578BE8">
            <w:pPr>
              <w:pStyle w:val="131"/>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highlight w:val="none"/>
              </w:rPr>
            </w:pPr>
            <w:r>
              <w:rPr>
                <w:rFonts w:hint="eastAsia"/>
                <w:color w:val="auto"/>
                <w:highlight w:val="none"/>
              </w:rPr>
              <w:t>根据《环境影响评价技术导则 声环境》（HJ2.4—2021）的要求，并结合建设项目声源的噪声排放特点，选择点声源预测模式，预测本项目运营期设备噪声对厂界</w:t>
            </w:r>
            <w:r>
              <w:rPr>
                <w:rFonts w:hint="eastAsia"/>
                <w:color w:val="auto"/>
                <w:highlight w:val="none"/>
                <w:lang w:val="en-US" w:eastAsia="zh-CN"/>
              </w:rPr>
              <w:t>及敏感点</w:t>
            </w:r>
            <w:r>
              <w:rPr>
                <w:rFonts w:hint="eastAsia"/>
                <w:color w:val="auto"/>
                <w:highlight w:val="none"/>
              </w:rPr>
              <w:t>的影响。具体预测模式如下：</w:t>
            </w:r>
          </w:p>
          <w:p w14:paraId="42B5B9BB">
            <w:pPr>
              <w:pStyle w:val="132"/>
              <w:keepNext w:val="0"/>
              <w:keepLines w:val="0"/>
              <w:pageBreakBefore w:val="0"/>
              <w:widowControl w:val="0"/>
              <w:kinsoku/>
              <w:wordWrap/>
              <w:overflowPunct/>
              <w:topLinePunct w:val="0"/>
              <w:autoSpaceDE/>
              <w:autoSpaceDN/>
              <w:bidi w:val="0"/>
              <w:adjustRightInd/>
              <w:snapToGrid/>
              <w:spacing w:after="0"/>
              <w:ind w:firstLine="480" w:firstLineChars="200"/>
              <w:rPr>
                <w:rFonts w:hint="eastAsia"/>
                <w:color w:val="auto"/>
                <w:sz w:val="24"/>
                <w:szCs w:val="24"/>
                <w:highlight w:val="none"/>
                <w:lang w:eastAsia="zh-CN"/>
              </w:rPr>
            </w:pPr>
            <w:r>
              <w:rPr>
                <w:rFonts w:hint="eastAsia" w:ascii="Times New Roman" w:hAnsi="Times New Roman" w:cs="Times New Roman"/>
                <w:color w:val="auto"/>
                <w:sz w:val="24"/>
                <w:szCs w:val="24"/>
                <w:highlight w:val="none"/>
                <w:lang w:eastAsia="zh-CN"/>
              </w:rPr>
              <w:t>噪声预测值计算公式为：</w:t>
            </w:r>
          </w:p>
          <w:p w14:paraId="707B5CEB">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ascii="Times New Roman" w:hAnsi="Times New Roman" w:cs="Times New Roman"/>
                <w:color w:val="auto"/>
                <w:sz w:val="24"/>
                <w:szCs w:val="24"/>
                <w:highlight w:val="none"/>
              </w:rPr>
            </w:pPr>
            <w:r>
              <w:rPr>
                <w:color w:val="auto"/>
                <w:sz w:val="24"/>
                <w:szCs w:val="24"/>
                <w:highlight w:val="none"/>
              </w:rPr>
              <w:drawing>
                <wp:inline distT="0" distB="0" distL="114300" distR="114300">
                  <wp:extent cx="2381250" cy="447675"/>
                  <wp:effectExtent l="0" t="0" r="0" b="952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2"/>
                          <a:stretch>
                            <a:fillRect/>
                          </a:stretch>
                        </pic:blipFill>
                        <pic:spPr>
                          <a:xfrm>
                            <a:off x="0" y="0"/>
                            <a:ext cx="2381250" cy="447675"/>
                          </a:xfrm>
                          <a:prstGeom prst="rect">
                            <a:avLst/>
                          </a:prstGeom>
                          <a:noFill/>
                          <a:ln>
                            <a:noFill/>
                          </a:ln>
                        </pic:spPr>
                      </pic:pic>
                    </a:graphicData>
                  </a:graphic>
                </wp:inline>
              </w:drawing>
            </w:r>
          </w:p>
          <w:p w14:paraId="56316753">
            <w:pPr>
              <w:spacing w:line="360" w:lineRule="auto"/>
              <w:ind w:firstLine="1200" w:firstLineChars="500"/>
              <w:rPr>
                <w:rFonts w:hint="eastAsia" w:ascii="Times New Roman" w:hAnsi="Times New Roman" w:eastAsia="宋体" w:cs="Times New Roman"/>
                <w:color w:val="auto"/>
                <w:sz w:val="24"/>
                <w:szCs w:val="24"/>
                <w:highlight w:val="none"/>
                <w:lang w:eastAsia="zh-CN"/>
              </w:rPr>
            </w:pPr>
            <w:r>
              <w:rPr>
                <w:rFonts w:ascii="Times New Roman" w:hAnsi="Times New Roman" w:cs="Times New Roman"/>
                <w:color w:val="auto"/>
                <w:sz w:val="24"/>
                <w:szCs w:val="24"/>
                <w:highlight w:val="none"/>
              </w:rPr>
              <w:t>其中：L</w:t>
            </w:r>
            <w:r>
              <w:rPr>
                <w:rFonts w:hint="eastAsia" w:ascii="Times New Roman" w:hAnsi="Times New Roman" w:cs="Times New Roman"/>
                <w:color w:val="auto"/>
                <w:sz w:val="24"/>
                <w:szCs w:val="24"/>
                <w:highlight w:val="none"/>
                <w:vertAlign w:val="subscript"/>
                <w:lang w:val="en-US" w:eastAsia="zh-CN"/>
              </w:rPr>
              <w:t>eq</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预测点的噪声预测值，</w:t>
            </w:r>
            <w:r>
              <w:rPr>
                <w:rFonts w:ascii="Times New Roman" w:hAnsi="Times New Roman" w:cs="Times New Roman"/>
                <w:color w:val="auto"/>
                <w:sz w:val="24"/>
                <w:szCs w:val="24"/>
                <w:highlight w:val="none"/>
              </w:rPr>
              <w:t>dB</w:t>
            </w:r>
            <w:r>
              <w:rPr>
                <w:rFonts w:hint="eastAsia" w:ascii="Times New Roman" w:hAnsi="Times New Roman" w:cs="Times New Roman"/>
                <w:color w:val="auto"/>
                <w:sz w:val="24"/>
                <w:szCs w:val="24"/>
                <w:highlight w:val="none"/>
                <w:lang w:eastAsia="zh-CN"/>
              </w:rPr>
              <w:t>；</w:t>
            </w:r>
          </w:p>
          <w:p w14:paraId="3BE1679C">
            <w:pPr>
              <w:spacing w:line="360" w:lineRule="auto"/>
              <w:ind w:firstLine="1920" w:firstLineChars="800"/>
              <w:rPr>
                <w:rFonts w:hint="eastAsia" w:ascii="Times New Roman" w:hAnsi="Times New Roman" w:cs="Times New Roman"/>
                <w:color w:val="auto"/>
                <w:sz w:val="24"/>
                <w:szCs w:val="24"/>
                <w:highlight w:val="none"/>
                <w:lang w:eastAsia="zh-CN"/>
              </w:rPr>
            </w:pPr>
            <w:r>
              <w:rPr>
                <w:rFonts w:ascii="Times New Roman" w:hAnsi="Times New Roman" w:cs="Times New Roman"/>
                <w:color w:val="auto"/>
                <w:sz w:val="24"/>
                <w:szCs w:val="24"/>
                <w:highlight w:val="none"/>
              </w:rPr>
              <w:t>L</w:t>
            </w:r>
            <w:r>
              <w:rPr>
                <w:rFonts w:hint="eastAsia" w:ascii="Times New Roman" w:hAnsi="Times New Roman" w:cs="Times New Roman"/>
                <w:color w:val="auto"/>
                <w:sz w:val="24"/>
                <w:szCs w:val="24"/>
                <w:highlight w:val="none"/>
                <w:vertAlign w:val="subscript"/>
                <w:lang w:val="en-US" w:eastAsia="zh-CN"/>
              </w:rPr>
              <w:t>eqg</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建设项目声源在预测点产生的噪声贡献值，</w:t>
            </w:r>
            <w:r>
              <w:rPr>
                <w:rFonts w:ascii="Times New Roman" w:hAnsi="Times New Roman" w:cs="Times New Roman"/>
                <w:color w:val="auto"/>
                <w:sz w:val="24"/>
                <w:szCs w:val="24"/>
                <w:highlight w:val="none"/>
              </w:rPr>
              <w:t>dB</w:t>
            </w:r>
            <w:r>
              <w:rPr>
                <w:rFonts w:hint="eastAsia" w:ascii="Times New Roman" w:hAnsi="Times New Roman" w:cs="Times New Roman"/>
                <w:color w:val="auto"/>
                <w:sz w:val="24"/>
                <w:szCs w:val="24"/>
                <w:highlight w:val="none"/>
                <w:lang w:eastAsia="zh-CN"/>
              </w:rPr>
              <w:t>；</w:t>
            </w:r>
          </w:p>
          <w:p w14:paraId="068D9B23">
            <w:pPr>
              <w:pStyle w:val="132"/>
              <w:ind w:firstLine="1920" w:firstLineChars="800"/>
              <w:rPr>
                <w:rFonts w:hint="eastAsia" w:ascii="Times New Roman" w:hAnsi="Times New Roman" w:cs="Times New Roman"/>
                <w:color w:val="auto"/>
                <w:sz w:val="24"/>
                <w:szCs w:val="24"/>
                <w:highlight w:val="none"/>
                <w:lang w:eastAsia="zh-CN"/>
              </w:rPr>
            </w:pPr>
            <w:r>
              <w:rPr>
                <w:rFonts w:ascii="Times New Roman" w:hAnsi="Times New Roman" w:cs="Times New Roman"/>
                <w:color w:val="auto"/>
                <w:sz w:val="24"/>
                <w:szCs w:val="24"/>
                <w:highlight w:val="none"/>
              </w:rPr>
              <w:t>L</w:t>
            </w:r>
            <w:r>
              <w:rPr>
                <w:rFonts w:hint="eastAsia" w:ascii="Times New Roman" w:hAnsi="Times New Roman" w:cs="Times New Roman"/>
                <w:color w:val="auto"/>
                <w:sz w:val="24"/>
                <w:szCs w:val="24"/>
                <w:highlight w:val="none"/>
                <w:vertAlign w:val="subscript"/>
                <w:lang w:val="en-US" w:eastAsia="zh-CN"/>
              </w:rPr>
              <w:t>eqb</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预测点的背景噪声值，</w:t>
            </w:r>
            <w:r>
              <w:rPr>
                <w:rFonts w:ascii="Times New Roman" w:hAnsi="Times New Roman" w:cs="Times New Roman"/>
                <w:color w:val="auto"/>
                <w:sz w:val="24"/>
                <w:szCs w:val="24"/>
                <w:highlight w:val="none"/>
              </w:rPr>
              <w:t>dB</w:t>
            </w:r>
            <w:r>
              <w:rPr>
                <w:rFonts w:hint="eastAsia" w:ascii="Times New Roman" w:hAnsi="Times New Roman" w:cs="Times New Roman"/>
                <w:color w:val="auto"/>
                <w:sz w:val="24"/>
                <w:szCs w:val="24"/>
                <w:highlight w:val="none"/>
                <w:lang w:eastAsia="zh-CN"/>
              </w:rPr>
              <w:t>。</w:t>
            </w:r>
          </w:p>
          <w:p w14:paraId="417298D6">
            <w:pPr>
              <w:pStyle w:val="132"/>
              <w:rPr>
                <w:rFonts w:hint="eastAsia"/>
                <w:color w:val="auto"/>
                <w:sz w:val="24"/>
                <w:szCs w:val="24"/>
                <w:highlight w:val="none"/>
                <w:lang w:eastAsia="zh-CN"/>
              </w:rPr>
            </w:pPr>
            <w:r>
              <w:rPr>
                <w:rFonts w:hint="eastAsia" w:ascii="Times New Roman" w:hAnsi="Times New Roman" w:cs="Times New Roman"/>
                <w:color w:val="auto"/>
                <w:sz w:val="24"/>
                <w:szCs w:val="24"/>
                <w:highlight w:val="none"/>
                <w:lang w:eastAsia="zh-CN"/>
              </w:rPr>
              <w:t>点声源距离衰减计算公式为：</w:t>
            </w:r>
          </w:p>
          <w:p w14:paraId="7D8A2A1D">
            <w:pPr>
              <w:pStyle w:val="134"/>
              <w:keepNext w:val="0"/>
              <w:keepLines w:val="0"/>
              <w:pageBreakBefore w:val="0"/>
              <w:widowControl w:val="0"/>
              <w:kinsoku/>
              <w:wordWrap/>
              <w:overflowPunct/>
              <w:topLinePunct w:val="0"/>
              <w:autoSpaceDE/>
              <w:autoSpaceDN/>
              <w:bidi w:val="0"/>
              <w:adjustRightInd/>
              <w:snapToGrid/>
              <w:ind w:firstLine="1200" w:firstLineChars="500"/>
              <w:textAlignment w:val="baseline"/>
              <w:rPr>
                <w:rFonts w:hint="default" w:eastAsia="宋体"/>
                <w:color w:val="auto"/>
                <w:sz w:val="24"/>
                <w:szCs w:val="24"/>
                <w:highlight w:val="none"/>
                <w:lang w:val="en-US" w:eastAsia="zh-CN"/>
              </w:rPr>
            </w:pPr>
            <w:r>
              <w:rPr>
                <w:rFonts w:hint="default" w:ascii="Times New Roman" w:hAnsi="Times New Roman" w:cs="Times New Roman"/>
                <w:b w:val="0"/>
                <w:bCs/>
                <w:color w:val="auto"/>
                <w:sz w:val="24"/>
                <w:szCs w:val="24"/>
                <w:highlight w:val="none"/>
              </w:rPr>
              <w:drawing>
                <wp:inline distT="0" distB="0" distL="114300" distR="114300">
                  <wp:extent cx="2162175" cy="419100"/>
                  <wp:effectExtent l="0" t="0" r="9525" b="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3"/>
                          <a:stretch>
                            <a:fillRect/>
                          </a:stretch>
                        </pic:blipFill>
                        <pic:spPr>
                          <a:xfrm>
                            <a:off x="0" y="0"/>
                            <a:ext cx="2162175" cy="419100"/>
                          </a:xfrm>
                          <a:prstGeom prst="rect">
                            <a:avLst/>
                          </a:prstGeom>
                          <a:noFill/>
                          <a:ln>
                            <a:noFill/>
                          </a:ln>
                        </pic:spPr>
                      </pic:pic>
                    </a:graphicData>
                  </a:graphic>
                </wp:inline>
              </w:drawing>
            </w:r>
          </w:p>
          <w:p w14:paraId="455B065C">
            <w:pPr>
              <w:spacing w:line="360" w:lineRule="auto"/>
              <w:ind w:firstLine="1200" w:firstLineChars="500"/>
              <w:rPr>
                <w:rFonts w:hint="eastAsia" w:ascii="Times New Roman" w:hAnsi="Times New Roman" w:eastAsia="宋体" w:cs="Times New Roman"/>
                <w:color w:val="auto"/>
                <w:sz w:val="24"/>
                <w:szCs w:val="24"/>
                <w:highlight w:val="none"/>
                <w:lang w:eastAsia="zh-CN"/>
              </w:rPr>
            </w:pPr>
            <w:r>
              <w:rPr>
                <w:rFonts w:ascii="Times New Roman" w:hAnsi="Times New Roman" w:cs="Times New Roman"/>
                <w:color w:val="auto"/>
                <w:sz w:val="24"/>
                <w:szCs w:val="24"/>
                <w:highlight w:val="none"/>
              </w:rPr>
              <w:t>其中：L</w:t>
            </w:r>
            <w:r>
              <w:rPr>
                <w:rFonts w:hint="eastAsia" w:ascii="Times New Roman" w:hAnsi="Times New Roman" w:cs="Times New Roman"/>
                <w:color w:val="auto"/>
                <w:sz w:val="24"/>
                <w:szCs w:val="24"/>
                <w:highlight w:val="none"/>
                <w:vertAlign w:val="subscript"/>
                <w:lang w:val="en-US" w:eastAsia="zh-CN"/>
              </w:rPr>
              <w:t>P</w:t>
            </w:r>
            <w:r>
              <w:rPr>
                <w:rFonts w:hint="eastAsia" w:ascii="Times New Roman" w:hAnsi="Times New Roman" w:cs="Times New Roman"/>
                <w:color w:val="auto"/>
                <w:sz w:val="24"/>
                <w:szCs w:val="24"/>
                <w:highlight w:val="none"/>
                <w:vertAlign w:val="baseline"/>
                <w:lang w:val="en-US" w:eastAsia="zh-CN"/>
              </w:rPr>
              <w:t>（r）</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预测点处声压级，</w:t>
            </w:r>
            <w:r>
              <w:rPr>
                <w:rFonts w:ascii="Times New Roman" w:hAnsi="Times New Roman" w:cs="Times New Roman"/>
                <w:color w:val="auto"/>
                <w:sz w:val="24"/>
                <w:szCs w:val="24"/>
                <w:highlight w:val="none"/>
              </w:rPr>
              <w:t>dB</w:t>
            </w:r>
            <w:r>
              <w:rPr>
                <w:rFonts w:hint="eastAsia" w:ascii="Times New Roman" w:hAnsi="Times New Roman" w:cs="Times New Roman"/>
                <w:color w:val="auto"/>
                <w:sz w:val="24"/>
                <w:szCs w:val="24"/>
                <w:highlight w:val="none"/>
                <w:lang w:eastAsia="zh-CN"/>
              </w:rPr>
              <w:t>；</w:t>
            </w:r>
          </w:p>
          <w:p w14:paraId="730E34E6">
            <w:pPr>
              <w:keepNext w:val="0"/>
              <w:keepLines w:val="0"/>
              <w:pageBreakBefore w:val="0"/>
              <w:widowControl w:val="0"/>
              <w:kinsoku/>
              <w:wordWrap/>
              <w:overflowPunct/>
              <w:topLinePunct w:val="0"/>
              <w:autoSpaceDE/>
              <w:autoSpaceDN/>
              <w:bidi w:val="0"/>
              <w:snapToGrid/>
              <w:spacing w:line="360" w:lineRule="auto"/>
              <w:ind w:firstLine="1920" w:firstLineChars="800"/>
              <w:textAlignment w:val="auto"/>
              <w:rPr>
                <w:rFonts w:hint="eastAsia" w:ascii="Times New Roman" w:hAnsi="Times New Roman" w:cs="Times New Roman"/>
                <w:color w:val="auto"/>
                <w:sz w:val="24"/>
                <w:szCs w:val="24"/>
                <w:highlight w:val="none"/>
                <w:lang w:eastAsia="zh-CN"/>
              </w:rPr>
            </w:pPr>
            <w:r>
              <w:rPr>
                <w:rFonts w:ascii="Times New Roman" w:hAnsi="Times New Roman" w:cs="Times New Roman"/>
                <w:color w:val="auto"/>
                <w:sz w:val="24"/>
                <w:szCs w:val="24"/>
                <w:highlight w:val="none"/>
              </w:rPr>
              <w:t>L</w:t>
            </w:r>
            <w:r>
              <w:rPr>
                <w:rFonts w:hint="eastAsia" w:ascii="Times New Roman" w:hAnsi="Times New Roman" w:cs="Times New Roman"/>
                <w:color w:val="auto"/>
                <w:sz w:val="24"/>
                <w:szCs w:val="24"/>
                <w:highlight w:val="none"/>
                <w:vertAlign w:val="subscript"/>
                <w:lang w:val="en-US" w:eastAsia="zh-CN"/>
              </w:rPr>
              <w:t>W</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由点声源产生的倍频带声功率级，</w:t>
            </w:r>
            <w:r>
              <w:rPr>
                <w:rFonts w:ascii="Times New Roman" w:hAnsi="Times New Roman" w:cs="Times New Roman"/>
                <w:color w:val="auto"/>
                <w:sz w:val="24"/>
                <w:szCs w:val="24"/>
                <w:highlight w:val="none"/>
              </w:rPr>
              <w:t>dB</w:t>
            </w:r>
            <w:r>
              <w:rPr>
                <w:rFonts w:hint="eastAsia" w:ascii="Times New Roman" w:hAnsi="Times New Roman" w:cs="Times New Roman"/>
                <w:color w:val="auto"/>
                <w:sz w:val="24"/>
                <w:szCs w:val="24"/>
                <w:highlight w:val="none"/>
                <w:lang w:eastAsia="zh-CN"/>
              </w:rPr>
              <w:t>；</w:t>
            </w:r>
          </w:p>
          <w:p w14:paraId="1289F59C">
            <w:pPr>
              <w:pStyle w:val="132"/>
              <w:ind w:firstLine="1920" w:firstLineChars="800"/>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r</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预测点距声源距离。</w:t>
            </w:r>
          </w:p>
          <w:p w14:paraId="3487B1BD">
            <w:pPr>
              <w:pStyle w:val="132"/>
              <w:rPr>
                <w:rFonts w:hint="eastAsia"/>
                <w:color w:val="auto"/>
                <w:sz w:val="24"/>
                <w:szCs w:val="24"/>
                <w:highlight w:val="none"/>
                <w:lang w:eastAsia="zh-CN"/>
              </w:rPr>
            </w:pPr>
            <w:r>
              <w:rPr>
                <w:rFonts w:hint="eastAsia" w:ascii="Times New Roman" w:hAnsi="Times New Roman" w:cs="Times New Roman"/>
                <w:color w:val="auto"/>
                <w:sz w:val="24"/>
                <w:szCs w:val="24"/>
                <w:highlight w:val="none"/>
                <w:lang w:eastAsia="zh-CN"/>
              </w:rPr>
              <w:t>声源对预测点产生的贡献值计算公式为：</w:t>
            </w:r>
          </w:p>
          <w:p w14:paraId="4FD55BDD">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color w:val="auto"/>
                <w:sz w:val="24"/>
                <w:szCs w:val="24"/>
                <w:highlight w:val="none"/>
              </w:rPr>
            </w:pPr>
            <w:r>
              <w:rPr>
                <w:color w:val="auto"/>
                <w:sz w:val="24"/>
                <w:szCs w:val="24"/>
                <w:highlight w:val="none"/>
              </w:rPr>
              <w:drawing>
                <wp:inline distT="0" distB="0" distL="114300" distR="114300">
                  <wp:extent cx="2533650" cy="704850"/>
                  <wp:effectExtent l="0" t="0" r="0" b="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24"/>
                          <a:stretch>
                            <a:fillRect/>
                          </a:stretch>
                        </pic:blipFill>
                        <pic:spPr>
                          <a:xfrm>
                            <a:off x="0" y="0"/>
                            <a:ext cx="2533650" cy="704850"/>
                          </a:xfrm>
                          <a:prstGeom prst="rect">
                            <a:avLst/>
                          </a:prstGeom>
                          <a:noFill/>
                          <a:ln>
                            <a:noFill/>
                          </a:ln>
                        </pic:spPr>
                      </pic:pic>
                    </a:graphicData>
                  </a:graphic>
                </wp:inline>
              </w:drawing>
            </w:r>
          </w:p>
          <w:p w14:paraId="70FCCD26">
            <w:pPr>
              <w:spacing w:line="360" w:lineRule="auto"/>
              <w:ind w:firstLine="1200" w:firstLineChars="500"/>
              <w:rPr>
                <w:rFonts w:hint="eastAsia" w:ascii="Times New Roman" w:hAnsi="Times New Roman" w:eastAsia="宋体" w:cs="Times New Roman"/>
                <w:color w:val="auto"/>
                <w:sz w:val="24"/>
                <w:szCs w:val="24"/>
                <w:highlight w:val="none"/>
                <w:lang w:eastAsia="zh-CN"/>
              </w:rPr>
            </w:pPr>
            <w:r>
              <w:rPr>
                <w:rFonts w:ascii="Times New Roman" w:hAnsi="Times New Roman" w:cs="Times New Roman"/>
                <w:color w:val="auto"/>
                <w:sz w:val="24"/>
                <w:szCs w:val="24"/>
                <w:highlight w:val="none"/>
              </w:rPr>
              <w:t>其中：L</w:t>
            </w:r>
            <w:r>
              <w:rPr>
                <w:rFonts w:hint="eastAsia" w:ascii="Times New Roman" w:hAnsi="Times New Roman" w:cs="Times New Roman"/>
                <w:color w:val="auto"/>
                <w:sz w:val="24"/>
                <w:szCs w:val="24"/>
                <w:highlight w:val="none"/>
                <w:vertAlign w:val="subscript"/>
                <w:lang w:val="en-US" w:eastAsia="zh-CN"/>
              </w:rPr>
              <w:t>eqg</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噪声贡献值，</w:t>
            </w:r>
            <w:r>
              <w:rPr>
                <w:rFonts w:ascii="Times New Roman" w:hAnsi="Times New Roman" w:cs="Times New Roman"/>
                <w:color w:val="auto"/>
                <w:sz w:val="24"/>
                <w:szCs w:val="24"/>
                <w:highlight w:val="none"/>
              </w:rPr>
              <w:t>dB</w:t>
            </w:r>
            <w:r>
              <w:rPr>
                <w:rFonts w:hint="eastAsia" w:ascii="Times New Roman" w:hAnsi="Times New Roman" w:cs="Times New Roman"/>
                <w:color w:val="auto"/>
                <w:sz w:val="24"/>
                <w:szCs w:val="24"/>
                <w:highlight w:val="none"/>
                <w:lang w:eastAsia="zh-CN"/>
              </w:rPr>
              <w:t>；</w:t>
            </w:r>
          </w:p>
          <w:p w14:paraId="32A6652A">
            <w:pPr>
              <w:keepNext w:val="0"/>
              <w:keepLines w:val="0"/>
              <w:pageBreakBefore w:val="0"/>
              <w:widowControl w:val="0"/>
              <w:kinsoku/>
              <w:wordWrap/>
              <w:overflowPunct/>
              <w:topLinePunct w:val="0"/>
              <w:autoSpaceDE/>
              <w:autoSpaceDN/>
              <w:bidi w:val="0"/>
              <w:snapToGrid/>
              <w:spacing w:line="360" w:lineRule="auto"/>
              <w:ind w:firstLine="1920" w:firstLineChars="800"/>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T</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预测计算的时间段，</w:t>
            </w:r>
            <w:r>
              <w:rPr>
                <w:rFonts w:hint="eastAsia" w:ascii="Times New Roman" w:hAnsi="Times New Roman" w:cs="Times New Roman"/>
                <w:color w:val="auto"/>
                <w:sz w:val="24"/>
                <w:szCs w:val="24"/>
                <w:highlight w:val="none"/>
                <w:lang w:val="en-US" w:eastAsia="zh-CN"/>
              </w:rPr>
              <w:t>S</w:t>
            </w:r>
            <w:r>
              <w:rPr>
                <w:rFonts w:hint="eastAsia" w:ascii="Times New Roman" w:hAnsi="Times New Roman" w:cs="Times New Roman"/>
                <w:color w:val="auto"/>
                <w:sz w:val="24"/>
                <w:szCs w:val="24"/>
                <w:highlight w:val="none"/>
                <w:lang w:eastAsia="zh-CN"/>
              </w:rPr>
              <w:t>；</w:t>
            </w:r>
          </w:p>
          <w:p w14:paraId="71FEE62A">
            <w:pPr>
              <w:keepNext w:val="0"/>
              <w:keepLines w:val="0"/>
              <w:pageBreakBefore w:val="0"/>
              <w:widowControl w:val="0"/>
              <w:kinsoku/>
              <w:wordWrap/>
              <w:overflowPunct/>
              <w:topLinePunct w:val="0"/>
              <w:autoSpaceDE/>
              <w:autoSpaceDN/>
              <w:bidi w:val="0"/>
              <w:snapToGrid/>
              <w:spacing w:line="360" w:lineRule="auto"/>
              <w:ind w:firstLine="1920" w:firstLineChars="800"/>
              <w:textAlignment w:val="auto"/>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t</w:t>
            </w:r>
            <w:r>
              <w:rPr>
                <w:rFonts w:hint="eastAsia" w:ascii="Times New Roman" w:hAnsi="Times New Roman" w:cs="Times New Roman"/>
                <w:color w:val="auto"/>
                <w:sz w:val="24"/>
                <w:szCs w:val="24"/>
                <w:highlight w:val="none"/>
                <w:vertAlign w:val="subscript"/>
                <w:lang w:val="en-US" w:eastAsia="zh-CN"/>
              </w:rPr>
              <w:t>i</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i声源</w:t>
            </w:r>
            <w:r>
              <w:rPr>
                <w:rFonts w:hint="eastAsia" w:ascii="Times New Roman" w:hAnsi="Times New Roman" w:cs="Times New Roman"/>
                <w:color w:val="auto"/>
                <w:sz w:val="24"/>
                <w:szCs w:val="24"/>
                <w:highlight w:val="none"/>
                <w:lang w:eastAsia="zh-CN"/>
              </w:rPr>
              <w:t>在</w:t>
            </w:r>
            <w:r>
              <w:rPr>
                <w:rFonts w:hint="eastAsia" w:ascii="Times New Roman" w:hAnsi="Times New Roman" w:cs="Times New Roman"/>
                <w:color w:val="auto"/>
                <w:sz w:val="24"/>
                <w:szCs w:val="24"/>
                <w:highlight w:val="none"/>
                <w:lang w:val="en-US" w:eastAsia="zh-CN"/>
              </w:rPr>
              <w:t>T时段内的运行时间，S</w:t>
            </w:r>
            <w:r>
              <w:rPr>
                <w:rFonts w:hint="eastAsia" w:ascii="Times New Roman" w:hAnsi="Times New Roman" w:cs="Times New Roman"/>
                <w:color w:val="auto"/>
                <w:sz w:val="24"/>
                <w:szCs w:val="24"/>
                <w:highlight w:val="none"/>
                <w:lang w:eastAsia="zh-CN"/>
              </w:rPr>
              <w:t>；</w:t>
            </w:r>
          </w:p>
          <w:p w14:paraId="3B357024">
            <w:pPr>
              <w:keepNext w:val="0"/>
              <w:keepLines w:val="0"/>
              <w:pageBreakBefore w:val="0"/>
              <w:widowControl w:val="0"/>
              <w:kinsoku/>
              <w:wordWrap/>
              <w:overflowPunct/>
              <w:topLinePunct w:val="0"/>
              <w:autoSpaceDE/>
              <w:autoSpaceDN/>
              <w:bidi w:val="0"/>
              <w:snapToGrid/>
              <w:spacing w:line="360" w:lineRule="auto"/>
              <w:ind w:firstLine="1920" w:firstLineChars="800"/>
              <w:textAlignment w:val="auto"/>
              <w:rPr>
                <w:rFonts w:hint="default" w:ascii="Times New Roman" w:hAnsi="Times New Roman" w:cs="Times New Roman"/>
                <w:bCs/>
                <w:color w:val="auto"/>
                <w:sz w:val="24"/>
                <w:szCs w:val="24"/>
                <w:highlight w:val="none"/>
              </w:rPr>
            </w:pPr>
            <w:r>
              <w:rPr>
                <w:rFonts w:hint="eastAsia" w:ascii="Times New Roman" w:hAnsi="Times New Roman" w:cs="Times New Roman"/>
                <w:color w:val="auto"/>
                <w:sz w:val="24"/>
                <w:szCs w:val="24"/>
                <w:highlight w:val="none"/>
                <w:lang w:val="en-US" w:eastAsia="zh-CN"/>
              </w:rPr>
              <w:t>L</w:t>
            </w:r>
            <w:r>
              <w:rPr>
                <w:rFonts w:hint="eastAsia" w:ascii="Times New Roman" w:hAnsi="Times New Roman" w:cs="Times New Roman"/>
                <w:color w:val="auto"/>
                <w:sz w:val="24"/>
                <w:szCs w:val="24"/>
                <w:highlight w:val="none"/>
                <w:vertAlign w:val="subscript"/>
                <w:lang w:val="en-US" w:eastAsia="zh-CN"/>
              </w:rPr>
              <w:t>Ai</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i声源在预测点产生的等效连续A声级，</w:t>
            </w:r>
            <w:r>
              <w:rPr>
                <w:rFonts w:ascii="Times New Roman" w:hAnsi="Times New Roman" w:cs="Times New Roman"/>
                <w:color w:val="auto"/>
                <w:sz w:val="24"/>
                <w:szCs w:val="24"/>
                <w:highlight w:val="none"/>
              </w:rPr>
              <w:t>dB</w:t>
            </w:r>
            <w:r>
              <w:rPr>
                <w:rFonts w:hint="eastAsia" w:ascii="Times New Roman" w:hAnsi="Times New Roman" w:cs="Times New Roman"/>
                <w:color w:val="auto"/>
                <w:sz w:val="24"/>
                <w:szCs w:val="24"/>
                <w:highlight w:val="none"/>
                <w:lang w:eastAsia="zh-CN"/>
              </w:rPr>
              <w:t>。</w:t>
            </w:r>
          </w:p>
          <w:p w14:paraId="1D1239A6">
            <w:pPr>
              <w:pStyle w:val="100"/>
              <w:adjustRightInd/>
              <w:snapToGrid/>
              <w:spacing w:line="240" w:lineRule="auto"/>
              <w:rPr>
                <w:rFonts w:hint="eastAsia" w:ascii="Times New Roman" w:hAnsi="Times New Roman" w:eastAsia="宋体" w:cs="Times New Roman"/>
                <w:b/>
                <w:bCs w:val="0"/>
                <w:color w:val="auto"/>
                <w:kern w:val="2"/>
                <w:sz w:val="21"/>
                <w:szCs w:val="24"/>
                <w:highlight w:val="yellow"/>
                <w:lang w:val="en-US" w:eastAsia="zh-CN" w:bidi="ar-SA"/>
              </w:rPr>
            </w:pPr>
            <w:r>
              <w:rPr>
                <w:rFonts w:hint="eastAsia" w:ascii="Times New Roman" w:hAnsi="Times New Roman" w:eastAsia="宋体" w:cs="Times New Roman"/>
                <w:b/>
                <w:bCs w:val="0"/>
                <w:color w:val="auto"/>
                <w:kern w:val="2"/>
                <w:sz w:val="21"/>
                <w:szCs w:val="24"/>
                <w:highlight w:val="none"/>
                <w:lang w:val="en-US" w:eastAsia="zh-CN" w:bidi="ar-SA"/>
              </w:rPr>
              <w:t>表4-</w:t>
            </w:r>
            <w:r>
              <w:rPr>
                <w:rFonts w:hint="eastAsia" w:eastAsia="宋体" w:cs="Times New Roman"/>
                <w:b/>
                <w:bCs w:val="0"/>
                <w:color w:val="auto"/>
                <w:kern w:val="2"/>
                <w:sz w:val="21"/>
                <w:szCs w:val="24"/>
                <w:highlight w:val="none"/>
                <w:lang w:val="en-US" w:eastAsia="zh-CN" w:bidi="ar-SA"/>
              </w:rPr>
              <w:t>7</w:t>
            </w:r>
            <w:r>
              <w:rPr>
                <w:rFonts w:hint="eastAsia" w:ascii="Times New Roman" w:hAnsi="Times New Roman" w:eastAsia="宋体" w:cs="Times New Roman"/>
                <w:b/>
                <w:bCs w:val="0"/>
                <w:color w:val="auto"/>
                <w:kern w:val="2"/>
                <w:sz w:val="21"/>
                <w:szCs w:val="24"/>
                <w:highlight w:val="none"/>
                <w:lang w:val="en-US" w:eastAsia="zh-CN" w:bidi="ar-SA"/>
              </w:rPr>
              <w:t xml:space="preserve">  厂界噪声预测结果  单位：dB(A)</w:t>
            </w:r>
          </w:p>
          <w:tbl>
            <w:tblPr>
              <w:tblStyle w:val="31"/>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25"/>
              <w:gridCol w:w="1091"/>
              <w:gridCol w:w="1092"/>
              <w:gridCol w:w="1091"/>
              <w:gridCol w:w="1099"/>
              <w:gridCol w:w="1121"/>
              <w:gridCol w:w="1025"/>
            </w:tblGrid>
            <w:tr w14:paraId="425EFD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4" w:hRule="exact"/>
                <w:jc w:val="center"/>
              </w:trPr>
              <w:tc>
                <w:tcPr>
                  <w:tcW w:w="896" w:type="pct"/>
                  <w:vMerge w:val="restart"/>
                  <w:noWrap w:val="0"/>
                  <w:vAlign w:val="center"/>
                </w:tcPr>
                <w:p w14:paraId="30CF3E76">
                  <w:pPr>
                    <w:jc w:val="center"/>
                    <w:rPr>
                      <w:color w:val="auto"/>
                      <w:sz w:val="21"/>
                      <w:szCs w:val="21"/>
                      <w:highlight w:val="none"/>
                    </w:rPr>
                  </w:pPr>
                  <w:r>
                    <w:rPr>
                      <w:color w:val="auto"/>
                      <w:sz w:val="21"/>
                      <w:szCs w:val="21"/>
                      <w:highlight w:val="none"/>
                    </w:rPr>
                    <w:t>项目</w:t>
                  </w:r>
                </w:p>
              </w:tc>
              <w:tc>
                <w:tcPr>
                  <w:tcW w:w="1373" w:type="pct"/>
                  <w:gridSpan w:val="2"/>
                  <w:noWrap w:val="0"/>
                  <w:vAlign w:val="center"/>
                </w:tcPr>
                <w:p w14:paraId="23D8D2F5">
                  <w:pPr>
                    <w:adjustRightInd w:val="0"/>
                    <w:snapToGrid w:val="0"/>
                    <w:jc w:val="center"/>
                    <w:rPr>
                      <w:rFonts w:hint="eastAsia"/>
                      <w:bCs/>
                      <w:color w:val="auto"/>
                      <w:sz w:val="21"/>
                      <w:szCs w:val="21"/>
                      <w:highlight w:val="none"/>
                    </w:rPr>
                  </w:pPr>
                  <w:r>
                    <w:rPr>
                      <w:bCs/>
                      <w:color w:val="auto"/>
                      <w:sz w:val="21"/>
                      <w:szCs w:val="21"/>
                      <w:highlight w:val="none"/>
                    </w:rPr>
                    <w:t>贡献值</w:t>
                  </w:r>
                </w:p>
              </w:tc>
              <w:tc>
                <w:tcPr>
                  <w:tcW w:w="1378" w:type="pct"/>
                  <w:gridSpan w:val="2"/>
                  <w:noWrap w:val="0"/>
                  <w:vAlign w:val="center"/>
                </w:tcPr>
                <w:p w14:paraId="54FA74A1">
                  <w:pPr>
                    <w:widowControl/>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标准值</w:t>
                  </w:r>
                </w:p>
              </w:tc>
              <w:tc>
                <w:tcPr>
                  <w:tcW w:w="1350" w:type="pct"/>
                  <w:gridSpan w:val="2"/>
                  <w:noWrap w:val="0"/>
                  <w:vAlign w:val="center"/>
                </w:tcPr>
                <w:p w14:paraId="0C854A53">
                  <w:pPr>
                    <w:jc w:val="center"/>
                    <w:rPr>
                      <w:color w:val="auto"/>
                      <w:sz w:val="21"/>
                      <w:szCs w:val="21"/>
                      <w:highlight w:val="none"/>
                    </w:rPr>
                  </w:pPr>
                  <w:r>
                    <w:rPr>
                      <w:rFonts w:ascii="宋体" w:hAnsi="宋体" w:cs="宋体"/>
                      <w:color w:val="auto"/>
                      <w:sz w:val="21"/>
                      <w:szCs w:val="21"/>
                      <w:highlight w:val="none"/>
                    </w:rPr>
                    <w:t>超标和达标情况</w:t>
                  </w:r>
                </w:p>
              </w:tc>
            </w:tr>
            <w:tr w14:paraId="17ECA6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4" w:hRule="exact"/>
                <w:jc w:val="center"/>
              </w:trPr>
              <w:tc>
                <w:tcPr>
                  <w:tcW w:w="896" w:type="pct"/>
                  <w:vMerge w:val="continue"/>
                  <w:noWrap w:val="0"/>
                  <w:vAlign w:val="center"/>
                </w:tcPr>
                <w:p w14:paraId="38F795EE">
                  <w:pPr>
                    <w:jc w:val="center"/>
                    <w:rPr>
                      <w:color w:val="auto"/>
                      <w:sz w:val="21"/>
                      <w:szCs w:val="21"/>
                      <w:highlight w:val="none"/>
                    </w:rPr>
                  </w:pPr>
                </w:p>
              </w:tc>
              <w:tc>
                <w:tcPr>
                  <w:tcW w:w="686" w:type="pct"/>
                  <w:noWrap w:val="0"/>
                  <w:vAlign w:val="center"/>
                </w:tcPr>
                <w:p w14:paraId="53DF66E8">
                  <w:pPr>
                    <w:adjustRightInd w:val="0"/>
                    <w:snapToGrid w:val="0"/>
                    <w:jc w:val="center"/>
                    <w:rPr>
                      <w:rFonts w:hint="eastAsia"/>
                      <w:bCs/>
                      <w:color w:val="auto"/>
                      <w:sz w:val="21"/>
                      <w:szCs w:val="21"/>
                      <w:highlight w:val="none"/>
                    </w:rPr>
                  </w:pPr>
                  <w:r>
                    <w:rPr>
                      <w:rFonts w:hint="eastAsia"/>
                      <w:bCs/>
                      <w:color w:val="auto"/>
                      <w:sz w:val="21"/>
                      <w:szCs w:val="21"/>
                      <w:highlight w:val="none"/>
                    </w:rPr>
                    <w:t>昼间</w:t>
                  </w:r>
                </w:p>
              </w:tc>
              <w:tc>
                <w:tcPr>
                  <w:tcW w:w="687" w:type="pct"/>
                  <w:noWrap w:val="0"/>
                  <w:vAlign w:val="center"/>
                </w:tcPr>
                <w:p w14:paraId="39C501A0">
                  <w:pPr>
                    <w:adjustRightInd w:val="0"/>
                    <w:snapToGrid w:val="0"/>
                    <w:jc w:val="center"/>
                    <w:rPr>
                      <w:rFonts w:hint="eastAsia"/>
                      <w:bCs/>
                      <w:color w:val="auto"/>
                      <w:sz w:val="21"/>
                      <w:szCs w:val="21"/>
                      <w:highlight w:val="none"/>
                    </w:rPr>
                  </w:pPr>
                  <w:r>
                    <w:rPr>
                      <w:rFonts w:hint="eastAsia"/>
                      <w:bCs/>
                      <w:color w:val="auto"/>
                      <w:sz w:val="21"/>
                      <w:szCs w:val="21"/>
                      <w:highlight w:val="none"/>
                    </w:rPr>
                    <w:t>夜间</w:t>
                  </w:r>
                </w:p>
              </w:tc>
              <w:tc>
                <w:tcPr>
                  <w:tcW w:w="686" w:type="pct"/>
                  <w:noWrap w:val="0"/>
                  <w:vAlign w:val="center"/>
                </w:tcPr>
                <w:p w14:paraId="2D107355">
                  <w:pPr>
                    <w:adjustRightInd w:val="0"/>
                    <w:snapToGrid w:val="0"/>
                    <w:jc w:val="center"/>
                    <w:rPr>
                      <w:rFonts w:hint="eastAsia"/>
                      <w:bCs/>
                      <w:color w:val="auto"/>
                      <w:sz w:val="21"/>
                      <w:szCs w:val="21"/>
                      <w:highlight w:val="none"/>
                    </w:rPr>
                  </w:pPr>
                  <w:r>
                    <w:rPr>
                      <w:rFonts w:hint="eastAsia"/>
                      <w:bCs/>
                      <w:color w:val="auto"/>
                      <w:sz w:val="21"/>
                      <w:szCs w:val="21"/>
                      <w:highlight w:val="none"/>
                    </w:rPr>
                    <w:t>昼间</w:t>
                  </w:r>
                </w:p>
              </w:tc>
              <w:tc>
                <w:tcPr>
                  <w:tcW w:w="691" w:type="pct"/>
                  <w:noWrap w:val="0"/>
                  <w:vAlign w:val="center"/>
                </w:tcPr>
                <w:p w14:paraId="4BFC83D0">
                  <w:pPr>
                    <w:adjustRightInd w:val="0"/>
                    <w:snapToGrid w:val="0"/>
                    <w:jc w:val="center"/>
                    <w:rPr>
                      <w:rFonts w:hint="eastAsia"/>
                      <w:bCs/>
                      <w:color w:val="auto"/>
                      <w:sz w:val="21"/>
                      <w:szCs w:val="21"/>
                      <w:highlight w:val="none"/>
                    </w:rPr>
                  </w:pPr>
                  <w:r>
                    <w:rPr>
                      <w:rFonts w:hint="eastAsia"/>
                      <w:bCs/>
                      <w:color w:val="auto"/>
                      <w:sz w:val="21"/>
                      <w:szCs w:val="21"/>
                      <w:highlight w:val="none"/>
                    </w:rPr>
                    <w:t>夜间</w:t>
                  </w:r>
                </w:p>
              </w:tc>
              <w:tc>
                <w:tcPr>
                  <w:tcW w:w="705" w:type="pct"/>
                  <w:noWrap w:val="0"/>
                  <w:vAlign w:val="center"/>
                </w:tcPr>
                <w:p w14:paraId="21F21EC0">
                  <w:pPr>
                    <w:jc w:val="center"/>
                    <w:rPr>
                      <w:rFonts w:hint="eastAsia"/>
                      <w:bCs/>
                      <w:color w:val="auto"/>
                      <w:sz w:val="21"/>
                      <w:szCs w:val="21"/>
                      <w:highlight w:val="none"/>
                    </w:rPr>
                  </w:pPr>
                  <w:r>
                    <w:rPr>
                      <w:rFonts w:ascii="宋体" w:hAnsi="宋体" w:cs="宋体"/>
                      <w:color w:val="auto"/>
                      <w:sz w:val="21"/>
                      <w:szCs w:val="21"/>
                      <w:highlight w:val="none"/>
                    </w:rPr>
                    <w:t>昼间</w:t>
                  </w:r>
                </w:p>
              </w:tc>
              <w:tc>
                <w:tcPr>
                  <w:tcW w:w="645" w:type="pct"/>
                  <w:noWrap w:val="0"/>
                  <w:vAlign w:val="center"/>
                </w:tcPr>
                <w:p w14:paraId="3C2A8D27">
                  <w:pPr>
                    <w:jc w:val="center"/>
                    <w:rPr>
                      <w:rFonts w:hint="eastAsia"/>
                      <w:bCs/>
                      <w:color w:val="auto"/>
                      <w:sz w:val="21"/>
                      <w:szCs w:val="21"/>
                      <w:highlight w:val="none"/>
                    </w:rPr>
                  </w:pPr>
                  <w:r>
                    <w:rPr>
                      <w:rFonts w:ascii="宋体" w:hAnsi="宋体" w:cs="宋体"/>
                      <w:color w:val="auto"/>
                      <w:sz w:val="21"/>
                      <w:szCs w:val="21"/>
                      <w:highlight w:val="none"/>
                    </w:rPr>
                    <w:t>夜间</w:t>
                  </w:r>
                </w:p>
              </w:tc>
            </w:tr>
            <w:tr w14:paraId="0280D8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4" w:hRule="exact"/>
                <w:jc w:val="center"/>
              </w:trPr>
              <w:tc>
                <w:tcPr>
                  <w:tcW w:w="896" w:type="pct"/>
                  <w:noWrap w:val="0"/>
                  <w:vAlign w:val="center"/>
                </w:tcPr>
                <w:p w14:paraId="0575EFFC">
                  <w:pPr>
                    <w:keepNext w:val="0"/>
                    <w:keepLines w:val="0"/>
                    <w:pageBreakBefore w:val="0"/>
                    <w:kinsoku/>
                    <w:wordWrap/>
                    <w:overflowPunct/>
                    <w:topLinePunct w:val="0"/>
                    <w:autoSpaceDE/>
                    <w:autoSpaceDN/>
                    <w:bidi w:val="0"/>
                    <w:jc w:val="center"/>
                    <w:textAlignment w:val="auto"/>
                    <w:rPr>
                      <w:color w:val="auto"/>
                      <w:sz w:val="21"/>
                      <w:szCs w:val="21"/>
                      <w:highlight w:val="none"/>
                    </w:rPr>
                  </w:pPr>
                  <w:r>
                    <w:rPr>
                      <w:rFonts w:hint="eastAsia" w:ascii="Times New Roman" w:hAnsi="Times New Roman" w:cs="Times New Roman"/>
                      <w:color w:val="auto"/>
                      <w:sz w:val="21"/>
                      <w:szCs w:val="21"/>
                      <w:highlight w:val="none"/>
                      <w:lang w:val="en-US" w:eastAsia="zh-CN"/>
                    </w:rPr>
                    <w:t>北侧厂界</w:t>
                  </w:r>
                </w:p>
              </w:tc>
              <w:tc>
                <w:tcPr>
                  <w:tcW w:w="686" w:type="pct"/>
                  <w:noWrap w:val="0"/>
                  <w:vAlign w:val="center"/>
                </w:tcPr>
                <w:p w14:paraId="2E523784">
                  <w:pPr>
                    <w:keepNext w:val="0"/>
                    <w:keepLines w:val="0"/>
                    <w:pageBreakBefore w:val="0"/>
                    <w:widowControl/>
                    <w:suppressLineNumbers w:val="0"/>
                    <w:kinsoku/>
                    <w:wordWrap/>
                    <w:overflowPunct/>
                    <w:topLinePunct w:val="0"/>
                    <w:autoSpaceDE/>
                    <w:autoSpaceDN/>
                    <w:bidi w:val="0"/>
                    <w:jc w:val="center"/>
                    <w:textAlignment w:val="auto"/>
                    <w:rPr>
                      <w:rFonts w:hint="default" w:eastAsia="宋体"/>
                      <w:color w:val="auto"/>
                      <w:sz w:val="21"/>
                      <w:szCs w:val="21"/>
                      <w:highlight w:val="none"/>
                      <w:lang w:val="en-US" w:eastAsia="zh-CN"/>
                    </w:rPr>
                  </w:pPr>
                  <w:r>
                    <w:rPr>
                      <w:rFonts w:hint="eastAsia" w:cs="Times New Roman"/>
                      <w:color w:val="auto"/>
                      <w:sz w:val="21"/>
                      <w:szCs w:val="21"/>
                      <w:highlight w:val="none"/>
                      <w:lang w:val="en-US" w:eastAsia="zh-CN"/>
                    </w:rPr>
                    <w:t>51.18</w:t>
                  </w:r>
                </w:p>
              </w:tc>
              <w:tc>
                <w:tcPr>
                  <w:tcW w:w="687" w:type="pct"/>
                  <w:noWrap w:val="0"/>
                  <w:vAlign w:val="center"/>
                </w:tcPr>
                <w:p w14:paraId="1F7D7CF5">
                  <w:pPr>
                    <w:keepNext w:val="0"/>
                    <w:keepLines w:val="0"/>
                    <w:pageBreakBefore w:val="0"/>
                    <w:widowControl/>
                    <w:suppressLineNumbers w:val="0"/>
                    <w:kinsoku/>
                    <w:wordWrap/>
                    <w:overflowPunct/>
                    <w:topLinePunct w:val="0"/>
                    <w:autoSpaceDE/>
                    <w:autoSpaceDN/>
                    <w:bidi w:val="0"/>
                    <w:jc w:val="center"/>
                    <w:textAlignment w:val="auto"/>
                    <w:rPr>
                      <w:rFonts w:hint="default"/>
                      <w:color w:val="auto"/>
                      <w:sz w:val="21"/>
                      <w:szCs w:val="21"/>
                      <w:highlight w:val="none"/>
                      <w:lang w:val="en-US"/>
                    </w:rPr>
                  </w:pPr>
                  <w:r>
                    <w:rPr>
                      <w:rFonts w:hint="eastAsia" w:eastAsia="宋体" w:cs="Times New Roman"/>
                      <w:color w:val="auto"/>
                      <w:sz w:val="21"/>
                      <w:szCs w:val="21"/>
                      <w:highlight w:val="none"/>
                      <w:lang w:val="en-US" w:eastAsia="zh-CN"/>
                    </w:rPr>
                    <w:t>0</w:t>
                  </w:r>
                </w:p>
              </w:tc>
              <w:tc>
                <w:tcPr>
                  <w:tcW w:w="686" w:type="pct"/>
                  <w:noWrap w:val="0"/>
                  <w:vAlign w:val="center"/>
                </w:tcPr>
                <w:p w14:paraId="64075CC3">
                  <w:pPr>
                    <w:keepNext w:val="0"/>
                    <w:keepLines w:val="0"/>
                    <w:widowControl/>
                    <w:suppressLineNumbers w:val="0"/>
                    <w:adjustRightInd w:val="0"/>
                    <w:snapToGrid w:val="0"/>
                    <w:spacing w:before="0" w:beforeAutospacing="0" w:after="0" w:afterAutospacing="0"/>
                    <w:ind w:left="0" w:leftChars="0" w:right="0" w:rightChars="0"/>
                    <w:jc w:val="center"/>
                    <w:rPr>
                      <w:rFonts w:hint="default" w:eastAsia="宋体"/>
                      <w:color w:val="auto"/>
                      <w:sz w:val="21"/>
                      <w:szCs w:val="21"/>
                      <w:highlight w:val="none"/>
                      <w:lang w:val="en-US" w:eastAsia="zh-CN"/>
                    </w:rPr>
                  </w:pPr>
                  <w:r>
                    <w:rPr>
                      <w:rFonts w:hint="eastAsia"/>
                      <w:szCs w:val="21"/>
                      <w:highlight w:val="none"/>
                      <w:lang w:val="en-US" w:eastAsia="zh-CN"/>
                    </w:rPr>
                    <w:t>60</w:t>
                  </w:r>
                </w:p>
              </w:tc>
              <w:tc>
                <w:tcPr>
                  <w:tcW w:w="691" w:type="pct"/>
                  <w:noWrap w:val="0"/>
                  <w:vAlign w:val="center"/>
                </w:tcPr>
                <w:p w14:paraId="727E1931">
                  <w:pPr>
                    <w:keepNext w:val="0"/>
                    <w:keepLines w:val="0"/>
                    <w:widowControl/>
                    <w:suppressLineNumbers w:val="0"/>
                    <w:adjustRightInd w:val="0"/>
                    <w:snapToGrid w:val="0"/>
                    <w:spacing w:before="0" w:beforeAutospacing="0" w:after="0" w:afterAutospacing="0"/>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50</w:t>
                  </w:r>
                </w:p>
              </w:tc>
              <w:tc>
                <w:tcPr>
                  <w:tcW w:w="705" w:type="pct"/>
                  <w:noWrap w:val="0"/>
                  <w:vAlign w:val="center"/>
                </w:tcPr>
                <w:p w14:paraId="5666558F">
                  <w:pPr>
                    <w:jc w:val="center"/>
                    <w:rPr>
                      <w:rFonts w:hint="eastAsia"/>
                      <w:color w:val="auto"/>
                      <w:sz w:val="21"/>
                      <w:szCs w:val="21"/>
                      <w:highlight w:val="none"/>
                    </w:rPr>
                  </w:pPr>
                  <w:r>
                    <w:rPr>
                      <w:rFonts w:hint="eastAsia"/>
                      <w:color w:val="auto"/>
                      <w:sz w:val="21"/>
                      <w:szCs w:val="21"/>
                      <w:highlight w:val="none"/>
                    </w:rPr>
                    <w:t>达标</w:t>
                  </w:r>
                </w:p>
              </w:tc>
              <w:tc>
                <w:tcPr>
                  <w:tcW w:w="645" w:type="pct"/>
                  <w:noWrap w:val="0"/>
                  <w:vAlign w:val="center"/>
                </w:tcPr>
                <w:p w14:paraId="7DDF490F">
                  <w:pPr>
                    <w:jc w:val="center"/>
                    <w:rPr>
                      <w:rFonts w:hint="eastAsia"/>
                      <w:color w:val="auto"/>
                      <w:sz w:val="21"/>
                      <w:szCs w:val="21"/>
                      <w:highlight w:val="none"/>
                    </w:rPr>
                  </w:pPr>
                  <w:r>
                    <w:rPr>
                      <w:rFonts w:hint="eastAsia"/>
                      <w:color w:val="auto"/>
                      <w:sz w:val="21"/>
                      <w:szCs w:val="21"/>
                      <w:highlight w:val="none"/>
                    </w:rPr>
                    <w:t>达标</w:t>
                  </w:r>
                </w:p>
              </w:tc>
            </w:tr>
            <w:tr w14:paraId="3A2906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4" w:hRule="exact"/>
                <w:jc w:val="center"/>
              </w:trPr>
              <w:tc>
                <w:tcPr>
                  <w:tcW w:w="896" w:type="pct"/>
                  <w:noWrap w:val="0"/>
                  <w:vAlign w:val="center"/>
                </w:tcPr>
                <w:p w14:paraId="37E2AF90">
                  <w:pPr>
                    <w:keepNext w:val="0"/>
                    <w:keepLines w:val="0"/>
                    <w:pageBreakBefore w:val="0"/>
                    <w:kinsoku/>
                    <w:wordWrap/>
                    <w:overflowPunct/>
                    <w:topLinePunct w:val="0"/>
                    <w:autoSpaceDE/>
                    <w:autoSpaceDN/>
                    <w:bidi w:val="0"/>
                    <w:jc w:val="center"/>
                    <w:textAlignment w:val="auto"/>
                    <w:rPr>
                      <w:color w:val="auto"/>
                      <w:sz w:val="21"/>
                      <w:szCs w:val="21"/>
                      <w:highlight w:val="none"/>
                    </w:rPr>
                  </w:pPr>
                  <w:r>
                    <w:rPr>
                      <w:rFonts w:hint="eastAsia" w:cs="Times New Roman"/>
                      <w:color w:val="auto"/>
                      <w:sz w:val="21"/>
                      <w:szCs w:val="21"/>
                      <w:highlight w:val="none"/>
                      <w:lang w:val="en-US" w:eastAsia="zh-CN"/>
                    </w:rPr>
                    <w:t>东</w:t>
                  </w:r>
                  <w:r>
                    <w:rPr>
                      <w:rFonts w:hint="eastAsia" w:ascii="Times New Roman" w:hAnsi="Times New Roman" w:cs="Times New Roman"/>
                      <w:color w:val="auto"/>
                      <w:sz w:val="21"/>
                      <w:szCs w:val="21"/>
                      <w:highlight w:val="none"/>
                      <w:lang w:val="en-US" w:eastAsia="zh-CN"/>
                    </w:rPr>
                    <w:t>侧厂界</w:t>
                  </w:r>
                </w:p>
              </w:tc>
              <w:tc>
                <w:tcPr>
                  <w:tcW w:w="686" w:type="pct"/>
                  <w:noWrap w:val="0"/>
                  <w:vAlign w:val="center"/>
                </w:tcPr>
                <w:p w14:paraId="2D9BA488">
                  <w:pPr>
                    <w:keepNext w:val="0"/>
                    <w:keepLines w:val="0"/>
                    <w:pageBreakBefore w:val="0"/>
                    <w:widowControl/>
                    <w:suppressLineNumbers w:val="0"/>
                    <w:kinsoku/>
                    <w:wordWrap/>
                    <w:overflowPunct/>
                    <w:topLinePunct w:val="0"/>
                    <w:autoSpaceDE/>
                    <w:autoSpaceDN/>
                    <w:bidi w:val="0"/>
                    <w:jc w:val="center"/>
                    <w:textAlignment w:val="auto"/>
                    <w:rPr>
                      <w:rFonts w:hint="default" w:eastAsia="宋体"/>
                      <w:color w:val="auto"/>
                      <w:sz w:val="21"/>
                      <w:szCs w:val="21"/>
                      <w:highlight w:val="none"/>
                      <w:lang w:val="en-US" w:eastAsia="zh-CN"/>
                    </w:rPr>
                  </w:pPr>
                  <w:r>
                    <w:rPr>
                      <w:rFonts w:hint="eastAsia" w:cs="Times New Roman"/>
                      <w:color w:val="auto"/>
                      <w:sz w:val="21"/>
                      <w:szCs w:val="21"/>
                      <w:highlight w:val="none"/>
                      <w:lang w:val="en-US" w:eastAsia="zh-CN"/>
                    </w:rPr>
                    <w:t>58.59</w:t>
                  </w:r>
                </w:p>
              </w:tc>
              <w:tc>
                <w:tcPr>
                  <w:tcW w:w="687" w:type="pct"/>
                  <w:noWrap w:val="0"/>
                  <w:vAlign w:val="center"/>
                </w:tcPr>
                <w:p w14:paraId="7F89EDB4">
                  <w:pPr>
                    <w:keepNext w:val="0"/>
                    <w:keepLines w:val="0"/>
                    <w:pageBreakBefore w:val="0"/>
                    <w:widowControl/>
                    <w:suppressLineNumbers w:val="0"/>
                    <w:kinsoku/>
                    <w:wordWrap/>
                    <w:overflowPunct/>
                    <w:topLinePunct w:val="0"/>
                    <w:autoSpaceDE/>
                    <w:autoSpaceDN/>
                    <w:bidi w:val="0"/>
                    <w:jc w:val="center"/>
                    <w:textAlignment w:val="auto"/>
                    <w:rPr>
                      <w:color w:val="auto"/>
                      <w:sz w:val="21"/>
                      <w:szCs w:val="21"/>
                      <w:highlight w:val="none"/>
                    </w:rPr>
                  </w:pPr>
                  <w:r>
                    <w:rPr>
                      <w:rFonts w:hint="eastAsia" w:eastAsia="宋体" w:cs="Times New Roman"/>
                      <w:color w:val="auto"/>
                      <w:sz w:val="21"/>
                      <w:szCs w:val="21"/>
                      <w:highlight w:val="none"/>
                      <w:lang w:val="en-US" w:eastAsia="zh-CN"/>
                    </w:rPr>
                    <w:t>0</w:t>
                  </w:r>
                </w:p>
              </w:tc>
              <w:tc>
                <w:tcPr>
                  <w:tcW w:w="686" w:type="pct"/>
                  <w:noWrap w:val="0"/>
                  <w:vAlign w:val="center"/>
                </w:tcPr>
                <w:p w14:paraId="2B40B10C">
                  <w:pPr>
                    <w:keepNext w:val="0"/>
                    <w:keepLines w:val="0"/>
                    <w:widowControl/>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rPr>
                  </w:pPr>
                  <w:r>
                    <w:rPr>
                      <w:rFonts w:hint="eastAsia"/>
                      <w:szCs w:val="21"/>
                      <w:highlight w:val="none"/>
                      <w:lang w:val="en-US" w:eastAsia="zh-CN"/>
                    </w:rPr>
                    <w:t>60</w:t>
                  </w:r>
                </w:p>
              </w:tc>
              <w:tc>
                <w:tcPr>
                  <w:tcW w:w="691" w:type="pct"/>
                  <w:noWrap w:val="0"/>
                  <w:vAlign w:val="center"/>
                </w:tcPr>
                <w:p w14:paraId="71042C4A">
                  <w:pPr>
                    <w:keepNext w:val="0"/>
                    <w:keepLines w:val="0"/>
                    <w:widowControl/>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rPr>
                  </w:pPr>
                  <w:r>
                    <w:rPr>
                      <w:rFonts w:hint="eastAsia"/>
                      <w:szCs w:val="21"/>
                      <w:highlight w:val="none"/>
                      <w:lang w:val="en-US" w:eastAsia="zh-CN"/>
                    </w:rPr>
                    <w:t>50</w:t>
                  </w:r>
                </w:p>
              </w:tc>
              <w:tc>
                <w:tcPr>
                  <w:tcW w:w="705" w:type="pct"/>
                  <w:noWrap w:val="0"/>
                  <w:vAlign w:val="center"/>
                </w:tcPr>
                <w:p w14:paraId="27770E91">
                  <w:pPr>
                    <w:jc w:val="center"/>
                    <w:rPr>
                      <w:rFonts w:hint="eastAsia"/>
                      <w:color w:val="auto"/>
                      <w:sz w:val="21"/>
                      <w:szCs w:val="21"/>
                      <w:highlight w:val="none"/>
                    </w:rPr>
                  </w:pPr>
                  <w:r>
                    <w:rPr>
                      <w:rFonts w:hint="eastAsia"/>
                      <w:color w:val="auto"/>
                      <w:sz w:val="21"/>
                      <w:szCs w:val="21"/>
                      <w:highlight w:val="none"/>
                    </w:rPr>
                    <w:t>达标</w:t>
                  </w:r>
                </w:p>
              </w:tc>
              <w:tc>
                <w:tcPr>
                  <w:tcW w:w="645" w:type="pct"/>
                  <w:noWrap w:val="0"/>
                  <w:vAlign w:val="center"/>
                </w:tcPr>
                <w:p w14:paraId="3B502A04">
                  <w:pPr>
                    <w:jc w:val="center"/>
                    <w:rPr>
                      <w:rFonts w:hint="eastAsia"/>
                      <w:color w:val="auto"/>
                      <w:sz w:val="21"/>
                      <w:szCs w:val="21"/>
                      <w:highlight w:val="none"/>
                    </w:rPr>
                  </w:pPr>
                  <w:r>
                    <w:rPr>
                      <w:rFonts w:hint="eastAsia"/>
                      <w:color w:val="auto"/>
                      <w:sz w:val="21"/>
                      <w:szCs w:val="21"/>
                      <w:highlight w:val="none"/>
                    </w:rPr>
                    <w:t>达标</w:t>
                  </w:r>
                </w:p>
              </w:tc>
            </w:tr>
            <w:tr w14:paraId="3F445A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4" w:hRule="exact"/>
                <w:jc w:val="center"/>
              </w:trPr>
              <w:tc>
                <w:tcPr>
                  <w:tcW w:w="896" w:type="pct"/>
                  <w:noWrap w:val="0"/>
                  <w:vAlign w:val="center"/>
                </w:tcPr>
                <w:p w14:paraId="6653A3B4">
                  <w:pPr>
                    <w:keepNext w:val="0"/>
                    <w:keepLines w:val="0"/>
                    <w:pageBreakBefore w:val="0"/>
                    <w:kinsoku/>
                    <w:wordWrap/>
                    <w:overflowPunct/>
                    <w:topLinePunct w:val="0"/>
                    <w:autoSpaceDE/>
                    <w:autoSpaceDN/>
                    <w:bidi w:val="0"/>
                    <w:jc w:val="center"/>
                    <w:textAlignment w:val="auto"/>
                    <w:rPr>
                      <w:color w:val="auto"/>
                      <w:sz w:val="21"/>
                      <w:szCs w:val="21"/>
                      <w:highlight w:val="none"/>
                    </w:rPr>
                  </w:pPr>
                  <w:r>
                    <w:rPr>
                      <w:rFonts w:hint="eastAsia" w:ascii="Times New Roman" w:hAnsi="Times New Roman" w:cs="Times New Roman"/>
                      <w:color w:val="auto"/>
                      <w:kern w:val="2"/>
                      <w:sz w:val="21"/>
                      <w:szCs w:val="21"/>
                      <w:highlight w:val="none"/>
                      <w:lang w:val="en-US" w:eastAsia="zh-CN" w:bidi="ar-SA"/>
                    </w:rPr>
                    <w:t>西侧厂界</w:t>
                  </w:r>
                </w:p>
              </w:tc>
              <w:tc>
                <w:tcPr>
                  <w:tcW w:w="686" w:type="pct"/>
                  <w:noWrap w:val="0"/>
                  <w:vAlign w:val="center"/>
                </w:tcPr>
                <w:p w14:paraId="4DC19B76">
                  <w:pPr>
                    <w:keepNext w:val="0"/>
                    <w:keepLines w:val="0"/>
                    <w:pageBreakBefore w:val="0"/>
                    <w:widowControl/>
                    <w:suppressLineNumbers w:val="0"/>
                    <w:kinsoku/>
                    <w:wordWrap/>
                    <w:overflowPunct/>
                    <w:topLinePunct w:val="0"/>
                    <w:autoSpaceDE/>
                    <w:autoSpaceDN/>
                    <w:bidi w:val="0"/>
                    <w:jc w:val="center"/>
                    <w:textAlignment w:val="auto"/>
                    <w:rPr>
                      <w:rFonts w:hint="default" w:eastAsia="宋体"/>
                      <w:color w:val="auto"/>
                      <w:sz w:val="21"/>
                      <w:szCs w:val="21"/>
                      <w:highlight w:val="none"/>
                      <w:lang w:val="en-US" w:eastAsia="zh-CN"/>
                    </w:rPr>
                  </w:pPr>
                  <w:r>
                    <w:rPr>
                      <w:rFonts w:hint="eastAsia" w:cs="Times New Roman"/>
                      <w:color w:val="auto"/>
                      <w:kern w:val="2"/>
                      <w:sz w:val="21"/>
                      <w:szCs w:val="21"/>
                      <w:highlight w:val="none"/>
                      <w:lang w:val="en-US" w:eastAsia="zh-CN" w:bidi="ar-SA"/>
                    </w:rPr>
                    <w:t>45.93</w:t>
                  </w:r>
                </w:p>
              </w:tc>
              <w:tc>
                <w:tcPr>
                  <w:tcW w:w="687" w:type="pct"/>
                  <w:noWrap w:val="0"/>
                  <w:vAlign w:val="center"/>
                </w:tcPr>
                <w:p w14:paraId="4F4BECE8">
                  <w:pPr>
                    <w:keepNext w:val="0"/>
                    <w:keepLines w:val="0"/>
                    <w:pageBreakBefore w:val="0"/>
                    <w:widowControl/>
                    <w:suppressLineNumbers w:val="0"/>
                    <w:kinsoku/>
                    <w:wordWrap/>
                    <w:overflowPunct/>
                    <w:topLinePunct w:val="0"/>
                    <w:autoSpaceDE/>
                    <w:autoSpaceDN/>
                    <w:bidi w:val="0"/>
                    <w:jc w:val="center"/>
                    <w:textAlignment w:val="auto"/>
                    <w:rPr>
                      <w:color w:val="auto"/>
                      <w:sz w:val="21"/>
                      <w:szCs w:val="21"/>
                      <w:highlight w:val="none"/>
                    </w:rPr>
                  </w:pPr>
                  <w:r>
                    <w:rPr>
                      <w:rFonts w:hint="eastAsia" w:cs="Times New Roman"/>
                      <w:color w:val="auto"/>
                      <w:kern w:val="2"/>
                      <w:sz w:val="21"/>
                      <w:szCs w:val="21"/>
                      <w:highlight w:val="none"/>
                      <w:lang w:val="en-US" w:eastAsia="zh-CN" w:bidi="ar-SA"/>
                    </w:rPr>
                    <w:t>0</w:t>
                  </w:r>
                </w:p>
              </w:tc>
              <w:tc>
                <w:tcPr>
                  <w:tcW w:w="686" w:type="pct"/>
                  <w:noWrap w:val="0"/>
                  <w:vAlign w:val="center"/>
                </w:tcPr>
                <w:p w14:paraId="56B8A28E">
                  <w:pPr>
                    <w:keepNext w:val="0"/>
                    <w:keepLines w:val="0"/>
                    <w:widowControl/>
                    <w:suppressLineNumbers w:val="0"/>
                    <w:adjustRightInd w:val="0"/>
                    <w:snapToGrid w:val="0"/>
                    <w:spacing w:before="0" w:beforeAutospacing="0" w:after="0" w:afterAutospacing="0"/>
                    <w:ind w:left="0" w:leftChars="0" w:right="0" w:rightChars="0"/>
                    <w:jc w:val="center"/>
                    <w:rPr>
                      <w:rFonts w:hint="default" w:eastAsia="宋体"/>
                      <w:color w:val="auto"/>
                      <w:sz w:val="21"/>
                      <w:szCs w:val="21"/>
                      <w:highlight w:val="none"/>
                      <w:lang w:val="en-US" w:eastAsia="zh-CN"/>
                    </w:rPr>
                  </w:pPr>
                  <w:r>
                    <w:rPr>
                      <w:rFonts w:hint="eastAsia"/>
                      <w:szCs w:val="21"/>
                      <w:highlight w:val="none"/>
                      <w:lang w:val="en-US" w:eastAsia="zh-CN"/>
                    </w:rPr>
                    <w:t>60</w:t>
                  </w:r>
                </w:p>
              </w:tc>
              <w:tc>
                <w:tcPr>
                  <w:tcW w:w="691" w:type="pct"/>
                  <w:noWrap w:val="0"/>
                  <w:vAlign w:val="center"/>
                </w:tcPr>
                <w:p w14:paraId="6D9FCD49">
                  <w:pPr>
                    <w:keepNext w:val="0"/>
                    <w:keepLines w:val="0"/>
                    <w:widowControl/>
                    <w:suppressLineNumbers w:val="0"/>
                    <w:adjustRightInd w:val="0"/>
                    <w:snapToGrid w:val="0"/>
                    <w:spacing w:before="0" w:beforeAutospacing="0" w:after="0" w:afterAutospacing="0"/>
                    <w:ind w:left="0" w:leftChars="0" w:right="0" w:rightChars="0"/>
                    <w:jc w:val="center"/>
                    <w:rPr>
                      <w:rFonts w:hint="default" w:eastAsia="宋体"/>
                      <w:color w:val="auto"/>
                      <w:sz w:val="21"/>
                      <w:szCs w:val="21"/>
                      <w:highlight w:val="none"/>
                      <w:lang w:val="en-US" w:eastAsia="zh-CN"/>
                    </w:rPr>
                  </w:pPr>
                  <w:r>
                    <w:rPr>
                      <w:rFonts w:hint="eastAsia"/>
                      <w:szCs w:val="21"/>
                      <w:highlight w:val="none"/>
                      <w:lang w:val="en-US" w:eastAsia="zh-CN"/>
                    </w:rPr>
                    <w:t>50</w:t>
                  </w:r>
                </w:p>
              </w:tc>
              <w:tc>
                <w:tcPr>
                  <w:tcW w:w="705" w:type="pct"/>
                  <w:noWrap w:val="0"/>
                  <w:vAlign w:val="center"/>
                </w:tcPr>
                <w:p w14:paraId="4683A3F4">
                  <w:pPr>
                    <w:jc w:val="center"/>
                    <w:rPr>
                      <w:rFonts w:hint="eastAsia"/>
                      <w:color w:val="auto"/>
                      <w:sz w:val="21"/>
                      <w:szCs w:val="21"/>
                      <w:highlight w:val="none"/>
                    </w:rPr>
                  </w:pPr>
                  <w:r>
                    <w:rPr>
                      <w:rFonts w:hint="eastAsia"/>
                      <w:color w:val="auto"/>
                      <w:sz w:val="21"/>
                      <w:szCs w:val="21"/>
                      <w:highlight w:val="none"/>
                    </w:rPr>
                    <w:t>达标</w:t>
                  </w:r>
                </w:p>
              </w:tc>
              <w:tc>
                <w:tcPr>
                  <w:tcW w:w="645" w:type="pct"/>
                  <w:noWrap w:val="0"/>
                  <w:vAlign w:val="center"/>
                </w:tcPr>
                <w:p w14:paraId="0928F39A">
                  <w:pPr>
                    <w:jc w:val="center"/>
                    <w:rPr>
                      <w:rFonts w:hint="eastAsia"/>
                      <w:color w:val="auto"/>
                      <w:sz w:val="21"/>
                      <w:szCs w:val="21"/>
                      <w:highlight w:val="none"/>
                    </w:rPr>
                  </w:pPr>
                  <w:r>
                    <w:rPr>
                      <w:rFonts w:hint="eastAsia"/>
                      <w:color w:val="auto"/>
                      <w:sz w:val="21"/>
                      <w:szCs w:val="21"/>
                      <w:highlight w:val="none"/>
                    </w:rPr>
                    <w:t>达标</w:t>
                  </w:r>
                </w:p>
              </w:tc>
            </w:tr>
            <w:tr w14:paraId="2A7E32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4" w:hRule="exact"/>
                <w:jc w:val="center"/>
              </w:trPr>
              <w:tc>
                <w:tcPr>
                  <w:tcW w:w="896" w:type="pct"/>
                  <w:noWrap w:val="0"/>
                  <w:vAlign w:val="center"/>
                </w:tcPr>
                <w:p w14:paraId="21DC2309">
                  <w:pPr>
                    <w:keepNext w:val="0"/>
                    <w:keepLines w:val="0"/>
                    <w:pageBreakBefore w:val="0"/>
                    <w:kinsoku/>
                    <w:wordWrap/>
                    <w:overflowPunct/>
                    <w:topLinePunct w:val="0"/>
                    <w:autoSpaceDE/>
                    <w:autoSpaceDN/>
                    <w:bidi w:val="0"/>
                    <w:jc w:val="center"/>
                    <w:textAlignment w:val="auto"/>
                    <w:rPr>
                      <w:color w:val="auto"/>
                      <w:sz w:val="21"/>
                      <w:szCs w:val="21"/>
                      <w:highlight w:val="none"/>
                    </w:rPr>
                  </w:pPr>
                  <w:r>
                    <w:rPr>
                      <w:rFonts w:hint="eastAsia" w:cs="Times New Roman"/>
                      <w:color w:val="auto"/>
                      <w:sz w:val="21"/>
                      <w:szCs w:val="21"/>
                      <w:highlight w:val="none"/>
                      <w:lang w:val="en-US" w:eastAsia="zh-CN"/>
                    </w:rPr>
                    <w:t>南</w:t>
                  </w:r>
                  <w:r>
                    <w:rPr>
                      <w:rFonts w:hint="eastAsia" w:ascii="Times New Roman" w:hAnsi="Times New Roman" w:cs="Times New Roman"/>
                      <w:color w:val="auto"/>
                      <w:sz w:val="21"/>
                      <w:szCs w:val="21"/>
                      <w:highlight w:val="none"/>
                      <w:lang w:val="en-US" w:eastAsia="zh-CN"/>
                    </w:rPr>
                    <w:t>侧厂界</w:t>
                  </w:r>
                </w:p>
              </w:tc>
              <w:tc>
                <w:tcPr>
                  <w:tcW w:w="686" w:type="pct"/>
                  <w:noWrap w:val="0"/>
                  <w:vAlign w:val="center"/>
                </w:tcPr>
                <w:p w14:paraId="7E61AB86">
                  <w:pPr>
                    <w:keepNext w:val="0"/>
                    <w:keepLines w:val="0"/>
                    <w:pageBreakBefore w:val="0"/>
                    <w:widowControl/>
                    <w:suppressLineNumbers w:val="0"/>
                    <w:kinsoku/>
                    <w:wordWrap/>
                    <w:overflowPunct/>
                    <w:topLinePunct w:val="0"/>
                    <w:autoSpaceDE/>
                    <w:autoSpaceDN/>
                    <w:bidi w:val="0"/>
                    <w:jc w:val="center"/>
                    <w:textAlignment w:val="auto"/>
                    <w:rPr>
                      <w:rFonts w:hint="default"/>
                      <w:color w:val="auto"/>
                      <w:sz w:val="21"/>
                      <w:szCs w:val="21"/>
                      <w:highlight w:val="none"/>
                      <w:lang w:val="en-US"/>
                    </w:rPr>
                  </w:pPr>
                  <w:r>
                    <w:rPr>
                      <w:rFonts w:hint="eastAsia" w:cs="Times New Roman"/>
                      <w:color w:val="auto"/>
                      <w:sz w:val="21"/>
                      <w:szCs w:val="21"/>
                      <w:highlight w:val="none"/>
                      <w:lang w:val="en-US" w:eastAsia="zh-CN"/>
                    </w:rPr>
                    <w:t>35.26</w:t>
                  </w:r>
                </w:p>
              </w:tc>
              <w:tc>
                <w:tcPr>
                  <w:tcW w:w="687" w:type="pct"/>
                  <w:noWrap w:val="0"/>
                  <w:vAlign w:val="center"/>
                </w:tcPr>
                <w:p w14:paraId="3C31CEFE">
                  <w:pPr>
                    <w:keepNext w:val="0"/>
                    <w:keepLines w:val="0"/>
                    <w:pageBreakBefore w:val="0"/>
                    <w:widowControl/>
                    <w:suppressLineNumbers w:val="0"/>
                    <w:kinsoku/>
                    <w:wordWrap/>
                    <w:overflowPunct/>
                    <w:topLinePunct w:val="0"/>
                    <w:autoSpaceDE/>
                    <w:autoSpaceDN/>
                    <w:bidi w:val="0"/>
                    <w:jc w:val="center"/>
                    <w:textAlignment w:val="auto"/>
                    <w:rPr>
                      <w:rFonts w:hint="default"/>
                      <w:color w:val="auto"/>
                      <w:sz w:val="21"/>
                      <w:szCs w:val="21"/>
                      <w:highlight w:val="none"/>
                      <w:lang w:val="en-US"/>
                    </w:rPr>
                  </w:pPr>
                  <w:r>
                    <w:rPr>
                      <w:rFonts w:hint="eastAsia" w:eastAsia="宋体" w:cs="Times New Roman"/>
                      <w:color w:val="auto"/>
                      <w:sz w:val="21"/>
                      <w:szCs w:val="21"/>
                      <w:highlight w:val="none"/>
                      <w:lang w:val="en-US" w:eastAsia="zh-CN"/>
                    </w:rPr>
                    <w:t>0</w:t>
                  </w:r>
                </w:p>
              </w:tc>
              <w:tc>
                <w:tcPr>
                  <w:tcW w:w="686" w:type="pct"/>
                  <w:noWrap w:val="0"/>
                  <w:vAlign w:val="center"/>
                </w:tcPr>
                <w:p w14:paraId="4D52B828">
                  <w:pPr>
                    <w:keepNext w:val="0"/>
                    <w:keepLines w:val="0"/>
                    <w:widowControl/>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rPr>
                  </w:pPr>
                  <w:r>
                    <w:rPr>
                      <w:rFonts w:hint="eastAsia"/>
                      <w:szCs w:val="21"/>
                      <w:highlight w:val="none"/>
                      <w:lang w:val="en-US" w:eastAsia="zh-CN"/>
                    </w:rPr>
                    <w:t>60</w:t>
                  </w:r>
                </w:p>
              </w:tc>
              <w:tc>
                <w:tcPr>
                  <w:tcW w:w="691" w:type="pct"/>
                  <w:noWrap w:val="0"/>
                  <w:vAlign w:val="center"/>
                </w:tcPr>
                <w:p w14:paraId="0E899CB6">
                  <w:pPr>
                    <w:keepNext w:val="0"/>
                    <w:keepLines w:val="0"/>
                    <w:widowControl/>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rPr>
                  </w:pPr>
                  <w:r>
                    <w:rPr>
                      <w:rFonts w:hint="eastAsia"/>
                      <w:szCs w:val="21"/>
                      <w:highlight w:val="none"/>
                      <w:lang w:val="en-US" w:eastAsia="zh-CN"/>
                    </w:rPr>
                    <w:t>50</w:t>
                  </w:r>
                </w:p>
              </w:tc>
              <w:tc>
                <w:tcPr>
                  <w:tcW w:w="705" w:type="pct"/>
                  <w:noWrap w:val="0"/>
                  <w:vAlign w:val="center"/>
                </w:tcPr>
                <w:p w14:paraId="2CE9D566">
                  <w:pPr>
                    <w:jc w:val="center"/>
                    <w:rPr>
                      <w:rFonts w:hint="eastAsia"/>
                      <w:color w:val="auto"/>
                      <w:sz w:val="21"/>
                      <w:szCs w:val="21"/>
                      <w:highlight w:val="none"/>
                    </w:rPr>
                  </w:pPr>
                  <w:r>
                    <w:rPr>
                      <w:rFonts w:hint="eastAsia"/>
                      <w:color w:val="auto"/>
                      <w:sz w:val="21"/>
                      <w:szCs w:val="21"/>
                      <w:highlight w:val="none"/>
                    </w:rPr>
                    <w:t>达标</w:t>
                  </w:r>
                </w:p>
              </w:tc>
              <w:tc>
                <w:tcPr>
                  <w:tcW w:w="645" w:type="pct"/>
                  <w:noWrap w:val="0"/>
                  <w:vAlign w:val="center"/>
                </w:tcPr>
                <w:p w14:paraId="054F1C13">
                  <w:pPr>
                    <w:jc w:val="center"/>
                    <w:rPr>
                      <w:rFonts w:hint="eastAsia"/>
                      <w:color w:val="auto"/>
                      <w:sz w:val="21"/>
                      <w:szCs w:val="21"/>
                      <w:highlight w:val="none"/>
                    </w:rPr>
                  </w:pPr>
                  <w:r>
                    <w:rPr>
                      <w:rFonts w:hint="eastAsia"/>
                      <w:color w:val="auto"/>
                      <w:sz w:val="21"/>
                      <w:szCs w:val="21"/>
                      <w:highlight w:val="none"/>
                    </w:rPr>
                    <w:t>达标</w:t>
                  </w:r>
                </w:p>
              </w:tc>
            </w:tr>
          </w:tbl>
          <w:p w14:paraId="3682D2FC">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drawing>
                <wp:inline distT="0" distB="0" distL="114300" distR="114300">
                  <wp:extent cx="4261485" cy="2711450"/>
                  <wp:effectExtent l="0" t="0" r="5715" b="12700"/>
                  <wp:docPr id="4" name="图片 4" descr="2d6fd94741c3421fd840b7ec2256a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d6fd94741c3421fd840b7ec2256aaf"/>
                          <pic:cNvPicPr>
                            <a:picLocks noChangeAspect="1"/>
                          </pic:cNvPicPr>
                        </pic:nvPicPr>
                        <pic:blipFill>
                          <a:blip r:embed="rId25"/>
                          <a:stretch>
                            <a:fillRect/>
                          </a:stretch>
                        </pic:blipFill>
                        <pic:spPr>
                          <a:xfrm>
                            <a:off x="0" y="0"/>
                            <a:ext cx="4261485" cy="2711450"/>
                          </a:xfrm>
                          <a:prstGeom prst="rect">
                            <a:avLst/>
                          </a:prstGeom>
                        </pic:spPr>
                      </pic:pic>
                    </a:graphicData>
                  </a:graphic>
                </wp:inline>
              </w:drawing>
            </w:r>
          </w:p>
          <w:p w14:paraId="039467E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color w:val="auto"/>
                <w:sz w:val="24"/>
                <w:szCs w:val="24"/>
                <w:highlight w:val="yellow"/>
                <w:lang w:val="en-US" w:eastAsia="zh-CN"/>
              </w:rPr>
            </w:pPr>
            <w:r>
              <w:rPr>
                <w:rFonts w:hint="eastAsia" w:ascii="Times New Roman" w:hAnsi="Times New Roman" w:eastAsia="宋体" w:cs="Times New Roman"/>
                <w:color w:val="auto"/>
                <w:sz w:val="24"/>
                <w:szCs w:val="24"/>
                <w:highlight w:val="none"/>
                <w:lang w:val="en-US" w:eastAsia="zh-CN"/>
              </w:rPr>
              <w:t>综上所述，本项目噪声源采取封闭厂房选用隔声减震设备，同时采取减振、消声、吸声装置降噪，正常工况下，厂界昼间噪声贡献值为</w:t>
            </w:r>
            <w:r>
              <w:rPr>
                <w:rFonts w:hint="eastAsia" w:cs="Times New Roman"/>
                <w:color w:val="auto"/>
                <w:sz w:val="24"/>
                <w:szCs w:val="24"/>
                <w:highlight w:val="none"/>
                <w:lang w:val="en-US" w:eastAsia="zh-CN"/>
              </w:rPr>
              <w:t>35.26</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58.59</w:t>
            </w:r>
            <w:r>
              <w:rPr>
                <w:rFonts w:hint="eastAsia" w:ascii="Times New Roman" w:hAnsi="Times New Roman" w:eastAsia="宋体" w:cs="Times New Roman"/>
                <w:color w:val="auto"/>
                <w:sz w:val="24"/>
                <w:szCs w:val="24"/>
                <w:highlight w:val="none"/>
                <w:lang w:val="en-US" w:eastAsia="zh-CN"/>
              </w:rPr>
              <w:t>dB(A)，夜间不生产。厂界噪声可满足《工业企业厂界环境噪声排放标准》（GB12348-2008）表1中2类标准的要求。项目建设不会改变现有的声环境质量，对声环境的影响是可以接受的。从声环境保护角度而言，本工程的建设是可行的。</w:t>
            </w:r>
          </w:p>
          <w:p w14:paraId="18ED53A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w:t>
            </w:r>
            <w:r>
              <w:rPr>
                <w:rFonts w:hint="eastAsia" w:cs="Times New Roman"/>
                <w:bCs/>
                <w:color w:val="auto"/>
                <w:sz w:val="24"/>
                <w:szCs w:val="24"/>
                <w:highlight w:val="none"/>
                <w:lang w:val="en-US" w:eastAsia="zh-CN"/>
              </w:rPr>
              <w:t>4</w:t>
            </w:r>
            <w:r>
              <w:rPr>
                <w:rFonts w:hint="default" w:ascii="Times New Roman" w:hAnsi="Times New Roman" w:cs="Times New Roman"/>
                <w:bCs/>
                <w:color w:val="auto"/>
                <w:sz w:val="24"/>
                <w:szCs w:val="24"/>
                <w:highlight w:val="none"/>
              </w:rPr>
              <w:t>）监测要求</w:t>
            </w:r>
          </w:p>
          <w:p w14:paraId="021B376C">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根据《排污单位自行监测技术指南 总则》（HJ819-2017）</w:t>
            </w:r>
            <w:r>
              <w:rPr>
                <w:rFonts w:hint="eastAsia" w:cs="Times New Roman"/>
                <w:bCs/>
                <w:color w:val="auto"/>
                <w:sz w:val="24"/>
                <w:szCs w:val="24"/>
                <w:highlight w:val="none"/>
                <w:lang w:val="en-US" w:eastAsia="zh-CN"/>
              </w:rPr>
              <w:t>和《排污许可证申请与核发技术规范 工业噪声（HJ 1301—2023）》</w:t>
            </w:r>
            <w:r>
              <w:rPr>
                <w:rFonts w:hint="default" w:ascii="Times New Roman" w:hAnsi="Times New Roman" w:cs="Times New Roman"/>
                <w:bCs/>
                <w:color w:val="auto"/>
                <w:sz w:val="24"/>
                <w:szCs w:val="24"/>
                <w:highlight w:val="none"/>
              </w:rPr>
              <w:t>，噪声监测要求详见表4-</w:t>
            </w:r>
            <w:r>
              <w:rPr>
                <w:rFonts w:hint="eastAsia" w:cs="Times New Roman"/>
                <w:bCs/>
                <w:color w:val="auto"/>
                <w:sz w:val="24"/>
                <w:szCs w:val="24"/>
                <w:highlight w:val="none"/>
                <w:lang w:val="en-US" w:eastAsia="zh-CN"/>
              </w:rPr>
              <w:t>8</w:t>
            </w:r>
            <w:r>
              <w:rPr>
                <w:rFonts w:hint="default" w:ascii="Times New Roman" w:hAnsi="Times New Roman" w:cs="Times New Roman"/>
                <w:bCs/>
                <w:color w:val="auto"/>
                <w:sz w:val="24"/>
                <w:szCs w:val="24"/>
                <w:highlight w:val="none"/>
              </w:rPr>
              <w:t>。</w:t>
            </w:r>
          </w:p>
          <w:p w14:paraId="04EE216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
                <w:color w:val="auto"/>
                <w:sz w:val="24"/>
                <w:szCs w:val="24"/>
                <w:highlight w:val="none"/>
              </w:rPr>
              <w:t>表4-</w:t>
            </w:r>
            <w:r>
              <w:rPr>
                <w:rFonts w:hint="eastAsia" w:cs="Times New Roman"/>
                <w:b/>
                <w:color w:val="auto"/>
                <w:sz w:val="24"/>
                <w:szCs w:val="24"/>
                <w:highlight w:val="none"/>
                <w:lang w:val="en-US" w:eastAsia="zh-CN"/>
              </w:rPr>
              <w:t>8</w:t>
            </w:r>
            <w:r>
              <w:rPr>
                <w:rFonts w:hint="default" w:ascii="Times New Roman" w:hAnsi="Times New Roman" w:cs="Times New Roman"/>
                <w:b/>
                <w:color w:val="auto"/>
                <w:sz w:val="24"/>
                <w:szCs w:val="24"/>
                <w:highlight w:val="none"/>
              </w:rPr>
              <w:t xml:space="preserve">  监测要求</w:t>
            </w:r>
          </w:p>
          <w:tbl>
            <w:tblPr>
              <w:tblStyle w:val="31"/>
              <w:tblW w:w="5000" w:type="pct"/>
              <w:jc w:val="center"/>
              <w:tblBorders>
                <w:top w:val="single" w:color="auto" w:sz="12" w:space="0"/>
                <w:left w:val="single" w:color="FEFEFE" w:sz="8" w:space="0"/>
                <w:bottom w:val="single" w:color="auto" w:sz="12" w:space="0"/>
                <w:right w:val="single" w:color="FEFEFE"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638"/>
              <w:gridCol w:w="2008"/>
              <w:gridCol w:w="3280"/>
            </w:tblGrid>
            <w:tr w14:paraId="2C4A11A3">
              <w:tblPrEx>
                <w:tblBorders>
                  <w:top w:val="single" w:color="auto" w:sz="12" w:space="0"/>
                  <w:left w:val="single" w:color="FEFEFE" w:sz="8" w:space="0"/>
                  <w:bottom w:val="single" w:color="auto" w:sz="12" w:space="0"/>
                  <w:right w:val="single" w:color="FEFEFE" w:sz="8" w:space="0"/>
                  <w:insideH w:val="single" w:color="auto" w:sz="4" w:space="0"/>
                  <w:insideV w:val="single" w:color="auto" w:sz="4" w:space="0"/>
                </w:tblBorders>
                <w:shd w:val="clear" w:color="auto" w:fill="auto"/>
              </w:tblPrEx>
              <w:trPr>
                <w:trHeight w:val="283" w:hRule="atLeast"/>
                <w:jc w:val="center"/>
              </w:trPr>
              <w:tc>
                <w:tcPr>
                  <w:tcW w:w="1664" w:type="pct"/>
                  <w:tcBorders>
                    <w:tl2br w:val="nil"/>
                    <w:tr2bl w:val="nil"/>
                  </w:tcBorders>
                  <w:shd w:val="clear" w:color="auto" w:fill="auto"/>
                  <w:noWrap w:val="0"/>
                  <w:vAlign w:val="center"/>
                </w:tcPr>
                <w:p w14:paraId="3FA5F7CB">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监测点位</w:t>
                  </w:r>
                </w:p>
              </w:tc>
              <w:tc>
                <w:tcPr>
                  <w:tcW w:w="1266" w:type="pct"/>
                  <w:tcBorders>
                    <w:tl2br w:val="nil"/>
                    <w:tr2bl w:val="nil"/>
                  </w:tcBorders>
                  <w:shd w:val="clear" w:color="auto" w:fill="auto"/>
                  <w:noWrap w:val="0"/>
                  <w:vAlign w:val="center"/>
                </w:tcPr>
                <w:p w14:paraId="0898F72D">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监测频次</w:t>
                  </w:r>
                </w:p>
              </w:tc>
              <w:tc>
                <w:tcPr>
                  <w:tcW w:w="2068" w:type="pct"/>
                  <w:tcBorders>
                    <w:tl2br w:val="nil"/>
                    <w:tr2bl w:val="nil"/>
                  </w:tcBorders>
                  <w:shd w:val="clear" w:color="auto" w:fill="auto"/>
                  <w:noWrap w:val="0"/>
                  <w:vAlign w:val="center"/>
                </w:tcPr>
                <w:p w14:paraId="103055D5">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执行标准</w:t>
                  </w:r>
                </w:p>
              </w:tc>
            </w:tr>
            <w:tr w14:paraId="02686952">
              <w:tblPrEx>
                <w:tblBorders>
                  <w:top w:val="single" w:color="auto" w:sz="12" w:space="0"/>
                  <w:left w:val="single" w:color="FEFEFE" w:sz="8" w:space="0"/>
                  <w:bottom w:val="single" w:color="auto" w:sz="12" w:space="0"/>
                  <w:right w:val="single" w:color="FEFEFE"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664" w:type="pct"/>
                  <w:tcBorders>
                    <w:tl2br w:val="nil"/>
                    <w:tr2bl w:val="nil"/>
                  </w:tcBorders>
                  <w:shd w:val="clear" w:color="auto" w:fill="auto"/>
                  <w:noWrap w:val="0"/>
                  <w:vAlign w:val="center"/>
                </w:tcPr>
                <w:p w14:paraId="3998491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厂界四周各设置1个监测点位</w:t>
                  </w:r>
                </w:p>
              </w:tc>
              <w:tc>
                <w:tcPr>
                  <w:tcW w:w="1266" w:type="pct"/>
                  <w:tcBorders>
                    <w:tl2br w:val="nil"/>
                    <w:tr2bl w:val="nil"/>
                  </w:tcBorders>
                  <w:shd w:val="clear" w:color="auto" w:fill="auto"/>
                  <w:noWrap w:val="0"/>
                  <w:vAlign w:val="center"/>
                </w:tcPr>
                <w:p w14:paraId="7917178B">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季度</w:t>
                  </w:r>
                </w:p>
              </w:tc>
              <w:tc>
                <w:tcPr>
                  <w:tcW w:w="2068" w:type="pct"/>
                  <w:tcBorders>
                    <w:tl2br w:val="nil"/>
                    <w:tr2bl w:val="nil"/>
                  </w:tcBorders>
                  <w:shd w:val="clear" w:color="auto" w:fill="auto"/>
                  <w:noWrap w:val="0"/>
                  <w:vAlign w:val="center"/>
                </w:tcPr>
                <w:p w14:paraId="32BB7CD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rPr>
                    <w:t>《工业企业厂界环境噪声排放标准》（GB12348-2008）中</w:t>
                  </w:r>
                  <w:r>
                    <w:rPr>
                      <w:rFonts w:hint="eastAsia" w:cs="Times New Roman"/>
                      <w:bCs/>
                      <w:color w:val="000000"/>
                      <w:sz w:val="21"/>
                      <w:szCs w:val="21"/>
                      <w:highlight w:val="none"/>
                      <w:lang w:val="en-US" w:eastAsia="zh-CN"/>
                    </w:rPr>
                    <w:t>2类</w:t>
                  </w:r>
                </w:p>
              </w:tc>
            </w:tr>
          </w:tbl>
          <w:p w14:paraId="77C056C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Times New Roman" w:hAnsi="Times New Roman" w:eastAsia="宋体" w:cs="Times New Roman"/>
                <w:b/>
                <w:bCs w:val="0"/>
                <w:color w:val="auto"/>
                <w:sz w:val="24"/>
                <w:szCs w:val="24"/>
                <w:highlight w:val="none"/>
                <w:lang w:eastAsia="zh-CN"/>
              </w:rPr>
            </w:pPr>
            <w:r>
              <w:rPr>
                <w:rFonts w:hint="eastAsia" w:ascii="Times New Roman" w:hAnsi="Times New Roman" w:eastAsia="宋体" w:cs="Times New Roman"/>
                <w:b/>
                <w:bCs w:val="0"/>
                <w:color w:val="auto"/>
                <w:sz w:val="24"/>
                <w:szCs w:val="24"/>
                <w:highlight w:val="none"/>
                <w:lang w:val="en-US" w:eastAsia="zh-CN"/>
              </w:rPr>
              <w:t>四、</w:t>
            </w:r>
            <w:r>
              <w:rPr>
                <w:rFonts w:hint="default" w:ascii="Times New Roman" w:hAnsi="Times New Roman" w:eastAsia="宋体" w:cs="Times New Roman"/>
                <w:b/>
                <w:bCs w:val="0"/>
                <w:color w:val="auto"/>
                <w:sz w:val="24"/>
                <w:szCs w:val="24"/>
                <w:highlight w:val="none"/>
              </w:rPr>
              <w:t>固体废弃物</w:t>
            </w:r>
          </w:p>
          <w:p w14:paraId="31D9742C">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本项目产生的固体废物主要为</w:t>
            </w:r>
            <w:r>
              <w:rPr>
                <w:rFonts w:hint="eastAsia" w:cs="Times New Roman"/>
                <w:bCs/>
                <w:color w:val="auto"/>
                <w:sz w:val="24"/>
                <w:szCs w:val="24"/>
                <w:highlight w:val="none"/>
                <w:lang w:val="en-US" w:eastAsia="zh-CN"/>
              </w:rPr>
              <w:t>布袋除尘器收集粉尘</w:t>
            </w:r>
            <w:r>
              <w:rPr>
                <w:rFonts w:hint="eastAsia" w:ascii="Times New Roman" w:hAnsi="Times New Roman" w:eastAsia="宋体" w:cs="Times New Roman"/>
                <w:bCs/>
                <w:color w:val="auto"/>
                <w:sz w:val="24"/>
                <w:szCs w:val="24"/>
                <w:highlight w:val="none"/>
              </w:rPr>
              <w:t>、</w:t>
            </w:r>
            <w:r>
              <w:rPr>
                <w:rFonts w:hint="eastAsia" w:cs="Times New Roman"/>
                <w:bCs/>
                <w:color w:val="auto"/>
                <w:sz w:val="24"/>
                <w:szCs w:val="24"/>
                <w:highlight w:val="none"/>
                <w:lang w:val="en-US" w:eastAsia="zh-CN"/>
              </w:rPr>
              <w:t>废布袋、废钢筋头、沉淀池泥沙、废离子交换树脂及</w:t>
            </w:r>
            <w:r>
              <w:rPr>
                <w:rFonts w:hint="eastAsia" w:ascii="Times New Roman" w:hAnsi="Times New Roman" w:eastAsia="宋体" w:cs="Times New Roman"/>
                <w:bCs/>
                <w:color w:val="auto"/>
                <w:sz w:val="24"/>
                <w:szCs w:val="24"/>
                <w:highlight w:val="none"/>
                <w:lang w:val="en-US" w:eastAsia="zh-CN"/>
              </w:rPr>
              <w:t>生产固废</w:t>
            </w:r>
            <w:r>
              <w:rPr>
                <w:rFonts w:hint="default" w:ascii="Times New Roman" w:hAnsi="Times New Roman" w:eastAsia="宋体" w:cs="Times New Roman"/>
                <w:bCs/>
                <w:color w:val="auto"/>
                <w:sz w:val="24"/>
                <w:szCs w:val="24"/>
                <w:highlight w:val="none"/>
              </w:rPr>
              <w:t>及员工产生的生活垃圾。</w:t>
            </w:r>
          </w:p>
          <w:p w14:paraId="07D3DD5C">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bCs/>
                <w:color w:val="auto"/>
                <w:sz w:val="24"/>
                <w:szCs w:val="24"/>
                <w:highlight w:val="none"/>
              </w:rPr>
            </w:pPr>
            <w:r>
              <w:rPr>
                <w:rFonts w:hint="eastAsia" w:ascii="Times New Roman" w:hAnsi="Times New Roman" w:eastAsia="宋体" w:cs="Times New Roman"/>
                <w:bCs/>
                <w:color w:val="auto"/>
                <w:sz w:val="24"/>
                <w:szCs w:val="24"/>
                <w:highlight w:val="none"/>
                <w:lang w:val="en-US" w:eastAsia="zh-CN"/>
              </w:rPr>
              <w:t>1</w:t>
            </w:r>
            <w:r>
              <w:rPr>
                <w:rFonts w:hint="eastAsia" w:ascii="Times New Roman" w:hAnsi="Times New Roman" w:eastAsia="宋体" w:cs="Times New Roman"/>
                <w:bCs/>
                <w:color w:val="auto"/>
                <w:sz w:val="24"/>
                <w:szCs w:val="24"/>
                <w:highlight w:val="none"/>
              </w:rPr>
              <w:t>、生活垃圾</w:t>
            </w:r>
          </w:p>
          <w:p w14:paraId="43F5D2B4">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sz w:val="24"/>
                <w:szCs w:val="24"/>
                <w:highlight w:val="none"/>
              </w:rPr>
            </w:pPr>
            <w:r>
              <w:rPr>
                <w:rFonts w:hint="eastAsia" w:ascii="Times New Roman" w:hAnsi="Times New Roman" w:eastAsia="宋体" w:cs="Times New Roman"/>
                <w:bCs/>
                <w:color w:val="auto"/>
                <w:sz w:val="24"/>
                <w:szCs w:val="24"/>
                <w:highlight w:val="none"/>
              </w:rPr>
              <w:t>本项目员工人数约</w:t>
            </w:r>
            <w:r>
              <w:rPr>
                <w:rFonts w:hint="eastAsia" w:cs="Times New Roman"/>
                <w:bCs/>
                <w:color w:val="auto"/>
                <w:sz w:val="24"/>
                <w:szCs w:val="24"/>
                <w:highlight w:val="none"/>
                <w:lang w:val="en-US" w:eastAsia="zh-CN"/>
              </w:rPr>
              <w:t>10</w:t>
            </w:r>
            <w:r>
              <w:rPr>
                <w:rFonts w:hint="eastAsia" w:ascii="Times New Roman" w:hAnsi="Times New Roman" w:eastAsia="宋体" w:cs="Times New Roman"/>
                <w:bCs/>
                <w:color w:val="auto"/>
                <w:sz w:val="24"/>
                <w:szCs w:val="24"/>
                <w:highlight w:val="none"/>
              </w:rPr>
              <w:t>人，年工作</w:t>
            </w:r>
            <w:r>
              <w:rPr>
                <w:rFonts w:hint="eastAsia" w:cs="Times New Roman"/>
                <w:bCs/>
                <w:color w:val="auto"/>
                <w:sz w:val="24"/>
                <w:szCs w:val="24"/>
                <w:highlight w:val="none"/>
                <w:lang w:val="en-US" w:eastAsia="zh-CN"/>
              </w:rPr>
              <w:t>210</w:t>
            </w:r>
            <w:r>
              <w:rPr>
                <w:rFonts w:hint="eastAsia" w:ascii="Times New Roman" w:hAnsi="Times New Roman" w:eastAsia="宋体" w:cs="Times New Roman"/>
                <w:bCs/>
                <w:color w:val="auto"/>
                <w:sz w:val="24"/>
                <w:szCs w:val="24"/>
                <w:highlight w:val="none"/>
              </w:rPr>
              <w:t>天，工作人员生活垃圾排放量按0.5kg/人•d计，则生活垃圾排放量为</w:t>
            </w:r>
            <w:r>
              <w:rPr>
                <w:rFonts w:hint="eastAsia" w:cs="Times New Roman"/>
                <w:bCs/>
                <w:color w:val="auto"/>
                <w:sz w:val="24"/>
                <w:szCs w:val="24"/>
                <w:highlight w:val="none"/>
                <w:lang w:val="en-US" w:eastAsia="zh-CN"/>
              </w:rPr>
              <w:t>1.05</w:t>
            </w:r>
            <w:r>
              <w:rPr>
                <w:rFonts w:hint="eastAsia" w:ascii="Times New Roman" w:hAnsi="Times New Roman" w:eastAsia="宋体" w:cs="Times New Roman"/>
                <w:bCs/>
                <w:color w:val="auto"/>
                <w:sz w:val="24"/>
                <w:szCs w:val="24"/>
                <w:highlight w:val="none"/>
              </w:rPr>
              <w:t>t/a，集中收集，</w:t>
            </w:r>
            <w:r>
              <w:rPr>
                <w:rFonts w:hint="eastAsia" w:ascii="Times New Roman" w:hAnsi="Times New Roman" w:eastAsia="宋体" w:cs="Times New Roman"/>
                <w:bCs/>
                <w:color w:val="auto"/>
                <w:sz w:val="24"/>
                <w:szCs w:val="24"/>
                <w:highlight w:val="none"/>
                <w:lang w:val="en-US" w:eastAsia="zh-CN"/>
              </w:rPr>
              <w:t>市政部门统一清理</w:t>
            </w:r>
            <w:r>
              <w:rPr>
                <w:rFonts w:hint="eastAsia" w:ascii="Times New Roman" w:hAnsi="Times New Roman" w:eastAsia="宋体" w:cs="Times New Roman"/>
                <w:bCs/>
                <w:color w:val="auto"/>
                <w:sz w:val="24"/>
                <w:szCs w:val="24"/>
                <w:highlight w:val="none"/>
              </w:rPr>
              <w:t>。</w:t>
            </w:r>
          </w:p>
          <w:p w14:paraId="78BAC58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2、布袋除尘器收尘</w:t>
            </w:r>
          </w:p>
          <w:p w14:paraId="07D67AED">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sz w:val="24"/>
                <w:szCs w:val="24"/>
                <w:highlight w:val="yellow"/>
              </w:rPr>
            </w:pPr>
            <w:r>
              <w:rPr>
                <w:rFonts w:hint="eastAsia" w:ascii="Times New Roman" w:hAnsi="Times New Roman" w:eastAsia="宋体" w:cs="Times New Roman"/>
                <w:bCs/>
                <w:color w:val="auto"/>
                <w:sz w:val="24"/>
                <w:szCs w:val="24"/>
                <w:highlight w:val="none"/>
                <w:lang w:val="en-US" w:eastAsia="zh-CN"/>
              </w:rPr>
              <w:t>本项目水泥筒仓和搅拌设备的布袋除尘器收集的粉尘量共</w:t>
            </w:r>
            <w:r>
              <w:rPr>
                <w:rFonts w:hint="eastAsia" w:cs="Times New Roman"/>
                <w:bCs/>
                <w:color w:val="auto"/>
                <w:sz w:val="24"/>
                <w:szCs w:val="24"/>
                <w:highlight w:val="none"/>
                <w:lang w:val="en-US" w:eastAsia="zh-CN"/>
              </w:rPr>
              <w:t>49.7601</w:t>
            </w:r>
            <w:r>
              <w:rPr>
                <w:rFonts w:hint="default" w:ascii="Times New Roman" w:hAnsi="Times New Roman" w:eastAsia="宋体" w:cs="Times New Roman"/>
                <w:bCs/>
                <w:color w:val="auto"/>
                <w:sz w:val="24"/>
                <w:szCs w:val="24"/>
                <w:highlight w:val="none"/>
                <w:lang w:val="en-US" w:eastAsia="zh-CN"/>
              </w:rPr>
              <w:t>t/a</w:t>
            </w:r>
            <w:r>
              <w:rPr>
                <w:rFonts w:hint="eastAsia" w:ascii="Times New Roman" w:hAnsi="Times New Roman" w:eastAsia="宋体" w:cs="Times New Roman"/>
                <w:bCs/>
                <w:color w:val="auto"/>
                <w:sz w:val="24"/>
                <w:szCs w:val="24"/>
                <w:highlight w:val="none"/>
                <w:lang w:val="en-US" w:eastAsia="zh-CN"/>
              </w:rPr>
              <w:t>，收集后回用于生产，不外排。</w:t>
            </w:r>
          </w:p>
          <w:p w14:paraId="1BEDA69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3、废布袋</w:t>
            </w:r>
          </w:p>
          <w:p w14:paraId="7078C61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bCs/>
                <w:color w:val="auto"/>
                <w:sz w:val="24"/>
                <w:szCs w:val="24"/>
                <w:highlight w:val="yellow"/>
              </w:rPr>
            </w:pPr>
            <w:r>
              <w:rPr>
                <w:rFonts w:hint="eastAsia" w:ascii="Times New Roman" w:hAnsi="Times New Roman" w:eastAsia="宋体" w:cs="Times New Roman"/>
                <w:bCs/>
                <w:color w:val="auto"/>
                <w:sz w:val="24"/>
                <w:szCs w:val="24"/>
                <w:highlight w:val="none"/>
                <w:lang w:val="en-US" w:eastAsia="zh-CN"/>
              </w:rPr>
              <w:t>废布袋产生量约为0.01t/a，更换时交由厂家回收利用。</w:t>
            </w:r>
          </w:p>
          <w:p w14:paraId="247008CA">
            <w:pPr>
              <w:numPr>
                <w:ilvl w:val="0"/>
                <w:numId w:val="0"/>
              </w:numPr>
              <w:spacing w:line="360" w:lineRule="auto"/>
              <w:ind w:firstLine="480" w:firstLineChars="200"/>
              <w:rPr>
                <w:rFonts w:hint="default" w:cs="Times New Roman"/>
                <w:bCs/>
                <w:color w:val="auto"/>
                <w:sz w:val="24"/>
                <w:szCs w:val="24"/>
                <w:highlight w:val="none"/>
                <w:lang w:val="en-US" w:eastAsia="zh-CN"/>
              </w:rPr>
            </w:pPr>
            <w:r>
              <w:rPr>
                <w:rFonts w:hint="eastAsia" w:cs="Times New Roman"/>
                <w:bCs/>
                <w:color w:val="auto"/>
                <w:sz w:val="24"/>
                <w:szCs w:val="24"/>
                <w:highlight w:val="none"/>
                <w:lang w:val="en-US" w:eastAsia="zh-CN"/>
              </w:rPr>
              <w:t>4、废离子交换树脂</w:t>
            </w:r>
          </w:p>
          <w:p w14:paraId="316E3063">
            <w:pPr>
              <w:numPr>
                <w:ilvl w:val="0"/>
                <w:numId w:val="0"/>
              </w:numPr>
              <w:spacing w:line="360" w:lineRule="auto"/>
              <w:ind w:firstLine="480" w:firstLineChars="200"/>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本项目废离子交换树脂产生量约为0.02t/a，</w:t>
            </w:r>
            <w:r>
              <w:rPr>
                <w:rFonts w:hint="eastAsia" w:ascii="Times New Roman" w:hAnsi="Times New Roman" w:eastAsia="宋体" w:cs="Times New Roman"/>
                <w:color w:val="auto"/>
                <w:kern w:val="0"/>
                <w:sz w:val="24"/>
                <w:szCs w:val="24"/>
                <w:highlight w:val="none"/>
                <w:lang w:val="en-US" w:eastAsia="zh-CN" w:bidi="ar-SA"/>
              </w:rPr>
              <w:t>废离子交换树脂产生后由生产厂家回收。</w:t>
            </w:r>
          </w:p>
          <w:p w14:paraId="4C42709B">
            <w:pPr>
              <w:numPr>
                <w:ilvl w:val="0"/>
                <w:numId w:val="0"/>
              </w:numPr>
              <w:spacing w:line="360" w:lineRule="auto"/>
              <w:ind w:firstLine="480" w:firstLineChars="200"/>
              <w:rPr>
                <w:rFonts w:hint="eastAsia" w:cs="Times New Roman"/>
                <w:bCs/>
                <w:color w:val="auto"/>
                <w:sz w:val="24"/>
                <w:szCs w:val="24"/>
                <w:highlight w:val="none"/>
                <w:lang w:val="en-US" w:eastAsia="zh-CN"/>
              </w:rPr>
            </w:pPr>
            <w:r>
              <w:rPr>
                <w:rFonts w:hint="eastAsia" w:cs="Times New Roman"/>
                <w:bCs/>
                <w:color w:val="auto"/>
                <w:sz w:val="24"/>
                <w:szCs w:val="24"/>
                <w:highlight w:val="none"/>
                <w:lang w:val="en-US" w:eastAsia="zh-CN"/>
              </w:rPr>
              <w:t>5、废钢筋头</w:t>
            </w:r>
          </w:p>
          <w:p w14:paraId="2AF6BF35">
            <w:pPr>
              <w:numPr>
                <w:ilvl w:val="0"/>
                <w:numId w:val="0"/>
              </w:numPr>
              <w:spacing w:line="360" w:lineRule="auto"/>
              <w:ind w:firstLine="480" w:firstLineChars="200"/>
              <w:rPr>
                <w:rFonts w:hint="eastAsia" w:cs="Times New Roman"/>
                <w:bCs/>
                <w:color w:val="auto"/>
                <w:sz w:val="24"/>
                <w:szCs w:val="24"/>
                <w:highlight w:val="none"/>
                <w:lang w:val="en-US" w:eastAsia="zh-CN"/>
              </w:rPr>
            </w:pPr>
            <w:r>
              <w:rPr>
                <w:rFonts w:hint="eastAsia" w:cs="Times New Roman"/>
                <w:bCs/>
                <w:color w:val="auto"/>
                <w:sz w:val="24"/>
                <w:szCs w:val="24"/>
                <w:highlight w:val="none"/>
                <w:lang w:val="en-US" w:eastAsia="zh-CN"/>
              </w:rPr>
              <w:t xml:space="preserve">本项目在钢筋加工区对钢筋进行简单加工，加工过程中会产生废钢筋头，类比同类项目，废钢筋头产生量按 </w:t>
            </w:r>
            <w:r>
              <w:rPr>
                <w:rFonts w:hint="default" w:cs="Times New Roman"/>
                <w:bCs/>
                <w:color w:val="auto"/>
                <w:sz w:val="24"/>
                <w:szCs w:val="24"/>
                <w:highlight w:val="none"/>
                <w:lang w:val="en-US" w:eastAsia="zh-CN"/>
              </w:rPr>
              <w:t>0.1kg/t-</w:t>
            </w:r>
            <w:r>
              <w:rPr>
                <w:rFonts w:hint="eastAsia" w:cs="Times New Roman"/>
                <w:bCs/>
                <w:color w:val="auto"/>
                <w:sz w:val="24"/>
                <w:szCs w:val="24"/>
                <w:highlight w:val="none"/>
                <w:lang w:val="en-US" w:eastAsia="zh-CN"/>
              </w:rPr>
              <w:t>原料计，本项目年加工钢筋 4660</w:t>
            </w:r>
            <w:r>
              <w:rPr>
                <w:rFonts w:hint="default" w:cs="Times New Roman"/>
                <w:bCs/>
                <w:color w:val="auto"/>
                <w:sz w:val="24"/>
                <w:szCs w:val="24"/>
                <w:highlight w:val="none"/>
                <w:lang w:val="en-US" w:eastAsia="zh-CN"/>
              </w:rPr>
              <w:t>t/a</w:t>
            </w:r>
            <w:r>
              <w:rPr>
                <w:rFonts w:hint="eastAsia" w:cs="Times New Roman"/>
                <w:bCs/>
                <w:color w:val="auto"/>
                <w:sz w:val="24"/>
                <w:szCs w:val="24"/>
                <w:highlight w:val="none"/>
                <w:lang w:val="en-US" w:eastAsia="zh-CN"/>
              </w:rPr>
              <w:t>，废钢筋头产生量为0.466</w:t>
            </w:r>
            <w:r>
              <w:rPr>
                <w:rFonts w:hint="default" w:cs="Times New Roman"/>
                <w:bCs/>
                <w:color w:val="auto"/>
                <w:sz w:val="24"/>
                <w:szCs w:val="24"/>
                <w:highlight w:val="none"/>
                <w:lang w:val="en-US" w:eastAsia="zh-CN"/>
              </w:rPr>
              <w:t>t/a</w:t>
            </w:r>
            <w:r>
              <w:rPr>
                <w:rFonts w:hint="eastAsia" w:cs="Times New Roman"/>
                <w:bCs/>
                <w:color w:val="auto"/>
                <w:sz w:val="24"/>
                <w:szCs w:val="24"/>
                <w:highlight w:val="none"/>
                <w:lang w:val="en-US" w:eastAsia="zh-CN"/>
              </w:rPr>
              <w:t>，集中收集后暂存于钢筋加工区，定期清理（</w:t>
            </w:r>
            <w:r>
              <w:rPr>
                <w:rFonts w:hint="default" w:cs="Times New Roman"/>
                <w:bCs/>
                <w:color w:val="auto"/>
                <w:sz w:val="24"/>
                <w:szCs w:val="24"/>
                <w:highlight w:val="none"/>
                <w:lang w:val="en-US" w:eastAsia="zh-CN"/>
              </w:rPr>
              <w:t>30</w:t>
            </w:r>
            <w:r>
              <w:rPr>
                <w:rFonts w:hint="eastAsia" w:cs="Times New Roman"/>
                <w:bCs/>
                <w:color w:val="auto"/>
                <w:sz w:val="24"/>
                <w:szCs w:val="24"/>
                <w:highlight w:val="none"/>
                <w:lang w:val="en-US" w:eastAsia="zh-CN"/>
              </w:rPr>
              <w:t>天</w:t>
            </w:r>
            <w:r>
              <w:rPr>
                <w:rFonts w:hint="default" w:cs="Times New Roman"/>
                <w:bCs/>
                <w:color w:val="auto"/>
                <w:sz w:val="24"/>
                <w:szCs w:val="24"/>
                <w:highlight w:val="none"/>
                <w:lang w:val="en-US" w:eastAsia="zh-CN"/>
              </w:rPr>
              <w:t>/</w:t>
            </w:r>
            <w:r>
              <w:rPr>
                <w:rFonts w:hint="eastAsia" w:cs="Times New Roman"/>
                <w:bCs/>
                <w:color w:val="auto"/>
                <w:sz w:val="24"/>
                <w:szCs w:val="24"/>
                <w:highlight w:val="none"/>
                <w:lang w:val="en-US" w:eastAsia="zh-CN"/>
              </w:rPr>
              <w:t>次）外售。</w:t>
            </w:r>
          </w:p>
          <w:p w14:paraId="0485FF0B">
            <w:pPr>
              <w:numPr>
                <w:ilvl w:val="0"/>
                <w:numId w:val="0"/>
              </w:numPr>
              <w:spacing w:line="360" w:lineRule="auto"/>
              <w:ind w:firstLine="480" w:firstLineChars="200"/>
              <w:rPr>
                <w:rFonts w:hint="default" w:cs="Times New Roman"/>
                <w:bCs/>
                <w:color w:val="auto"/>
                <w:sz w:val="24"/>
                <w:szCs w:val="24"/>
                <w:highlight w:val="none"/>
                <w:lang w:val="en-US" w:eastAsia="zh-CN"/>
              </w:rPr>
            </w:pPr>
            <w:r>
              <w:rPr>
                <w:rFonts w:hint="eastAsia" w:cs="Times New Roman"/>
                <w:bCs/>
                <w:color w:val="auto"/>
                <w:sz w:val="24"/>
                <w:szCs w:val="24"/>
                <w:highlight w:val="none"/>
                <w:lang w:val="en-US" w:eastAsia="zh-CN"/>
              </w:rPr>
              <w:t>6、沉淀池泥沙</w:t>
            </w:r>
          </w:p>
          <w:p w14:paraId="557369D3">
            <w:pPr>
              <w:numPr>
                <w:ilvl w:val="0"/>
                <w:numId w:val="0"/>
              </w:numPr>
              <w:spacing w:line="360" w:lineRule="auto"/>
              <w:ind w:firstLine="480" w:firstLineChars="200"/>
              <w:rPr>
                <w:rFonts w:hint="eastAsia" w:cs="Times New Roman"/>
                <w:bCs/>
                <w:color w:val="auto"/>
                <w:sz w:val="24"/>
                <w:szCs w:val="24"/>
                <w:highlight w:val="none"/>
                <w:lang w:val="en-US" w:eastAsia="zh-CN"/>
              </w:rPr>
            </w:pPr>
            <w:r>
              <w:rPr>
                <w:rFonts w:hint="eastAsia" w:cs="Times New Roman"/>
                <w:bCs/>
                <w:color w:val="auto"/>
                <w:sz w:val="24"/>
                <w:szCs w:val="24"/>
                <w:highlight w:val="none"/>
                <w:lang w:val="en-US" w:eastAsia="zh-CN"/>
              </w:rPr>
              <w:t>本项目混凝土搅拌设备在每次生产周期结束后需要冲洗，冲洗水经沉淀池沉淀后回用于生产，用于混凝土搅拌，搅拌设备冲洗水产生量 460</w:t>
            </w:r>
            <w:r>
              <w:rPr>
                <w:rFonts w:hint="default" w:cs="Times New Roman"/>
                <w:bCs/>
                <w:color w:val="auto"/>
                <w:sz w:val="24"/>
                <w:szCs w:val="24"/>
                <w:highlight w:val="none"/>
                <w:lang w:val="en-US" w:eastAsia="zh-CN"/>
              </w:rPr>
              <w:t>m</w:t>
            </w:r>
            <w:r>
              <w:rPr>
                <w:rFonts w:hint="default" w:cs="Times New Roman"/>
                <w:bCs/>
                <w:color w:val="auto"/>
                <w:sz w:val="24"/>
                <w:szCs w:val="24"/>
                <w:highlight w:val="none"/>
                <w:vertAlign w:val="superscript"/>
                <w:lang w:val="en-US" w:eastAsia="zh-CN"/>
              </w:rPr>
              <w:t>3</w:t>
            </w:r>
            <w:r>
              <w:rPr>
                <w:rFonts w:hint="default" w:cs="Times New Roman"/>
                <w:bCs/>
                <w:color w:val="auto"/>
                <w:sz w:val="24"/>
                <w:szCs w:val="24"/>
                <w:highlight w:val="none"/>
                <w:lang w:val="en-US" w:eastAsia="zh-CN"/>
              </w:rPr>
              <w:t xml:space="preserve"> /a</w:t>
            </w:r>
            <w:r>
              <w:rPr>
                <w:rFonts w:hint="eastAsia" w:cs="Times New Roman"/>
                <w:bCs/>
                <w:color w:val="auto"/>
                <w:sz w:val="24"/>
                <w:szCs w:val="24"/>
                <w:highlight w:val="none"/>
                <w:lang w:val="en-US" w:eastAsia="zh-CN"/>
              </w:rPr>
              <w:t xml:space="preserve">，类比同类项目搅拌设备冲洗水中 </w:t>
            </w:r>
            <w:r>
              <w:rPr>
                <w:rFonts w:hint="default" w:cs="Times New Roman"/>
                <w:bCs/>
                <w:color w:val="auto"/>
                <w:sz w:val="24"/>
                <w:szCs w:val="24"/>
                <w:highlight w:val="none"/>
                <w:lang w:val="en-US" w:eastAsia="zh-CN"/>
              </w:rPr>
              <w:t xml:space="preserve">SS </w:t>
            </w:r>
            <w:r>
              <w:rPr>
                <w:rFonts w:hint="eastAsia" w:cs="Times New Roman"/>
                <w:bCs/>
                <w:color w:val="auto"/>
                <w:sz w:val="24"/>
                <w:szCs w:val="24"/>
                <w:highlight w:val="none"/>
                <w:lang w:val="en-US" w:eastAsia="zh-CN"/>
              </w:rPr>
              <w:t xml:space="preserve">浓度大致为 </w:t>
            </w:r>
            <w:r>
              <w:rPr>
                <w:rFonts w:hint="default" w:cs="Times New Roman"/>
                <w:bCs/>
                <w:color w:val="auto"/>
                <w:sz w:val="24"/>
                <w:szCs w:val="24"/>
                <w:highlight w:val="none"/>
                <w:lang w:val="en-US" w:eastAsia="zh-CN"/>
              </w:rPr>
              <w:t>3000mg/L</w:t>
            </w:r>
            <w:r>
              <w:rPr>
                <w:rFonts w:hint="eastAsia" w:cs="Times New Roman"/>
                <w:bCs/>
                <w:color w:val="auto"/>
                <w:sz w:val="24"/>
                <w:szCs w:val="24"/>
                <w:highlight w:val="none"/>
                <w:lang w:val="en-US" w:eastAsia="zh-CN"/>
              </w:rPr>
              <w:t xml:space="preserve">，沉淀池泥沙量为 </w:t>
            </w:r>
            <w:r>
              <w:rPr>
                <w:rFonts w:hint="default" w:cs="Times New Roman"/>
                <w:bCs/>
                <w:color w:val="auto"/>
                <w:sz w:val="24"/>
                <w:szCs w:val="24"/>
                <w:highlight w:val="none"/>
                <w:lang w:val="en-US" w:eastAsia="zh-CN"/>
              </w:rPr>
              <w:t>1.</w:t>
            </w:r>
            <w:r>
              <w:rPr>
                <w:rFonts w:hint="eastAsia" w:cs="Times New Roman"/>
                <w:bCs/>
                <w:color w:val="auto"/>
                <w:sz w:val="24"/>
                <w:szCs w:val="24"/>
                <w:highlight w:val="none"/>
                <w:lang w:val="en-US" w:eastAsia="zh-CN"/>
              </w:rPr>
              <w:t>2</w:t>
            </w:r>
            <w:r>
              <w:rPr>
                <w:rFonts w:hint="default" w:cs="Times New Roman"/>
                <w:bCs/>
                <w:color w:val="auto"/>
                <w:sz w:val="24"/>
                <w:szCs w:val="24"/>
                <w:highlight w:val="none"/>
                <w:lang w:val="en-US" w:eastAsia="zh-CN"/>
              </w:rPr>
              <w:t>6t/a</w:t>
            </w:r>
            <w:r>
              <w:rPr>
                <w:rFonts w:hint="eastAsia" w:cs="Times New Roman"/>
                <w:bCs/>
                <w:color w:val="auto"/>
                <w:sz w:val="24"/>
                <w:szCs w:val="24"/>
                <w:highlight w:val="none"/>
                <w:lang w:val="en-US" w:eastAsia="zh-CN"/>
              </w:rPr>
              <w:t>，沉淀池泥沙在每次沉淀结束后进行清掏，外售铺路综合利用。</w:t>
            </w:r>
          </w:p>
          <w:p w14:paraId="177E207C">
            <w:pPr>
              <w:numPr>
                <w:ilvl w:val="0"/>
                <w:numId w:val="0"/>
              </w:numPr>
              <w:spacing w:line="360" w:lineRule="auto"/>
              <w:ind w:firstLine="480" w:firstLineChars="200"/>
              <w:rPr>
                <w:rFonts w:hint="eastAsia" w:cs="Times New Roman"/>
                <w:bCs/>
                <w:color w:val="auto"/>
                <w:sz w:val="24"/>
                <w:szCs w:val="24"/>
                <w:highlight w:val="none"/>
                <w:lang w:val="en-US" w:eastAsia="zh-CN"/>
              </w:rPr>
            </w:pPr>
            <w:r>
              <w:rPr>
                <w:rFonts w:hint="eastAsia" w:cs="Times New Roman"/>
                <w:bCs/>
                <w:color w:val="auto"/>
                <w:sz w:val="24"/>
                <w:szCs w:val="24"/>
                <w:highlight w:val="none"/>
                <w:lang w:val="en-US" w:eastAsia="zh-CN"/>
              </w:rPr>
              <w:t>7、锅炉灰渣</w:t>
            </w:r>
          </w:p>
          <w:p w14:paraId="27E5B629">
            <w:pPr>
              <w:numPr>
                <w:ilvl w:val="0"/>
                <w:numId w:val="0"/>
              </w:numPr>
              <w:spacing w:line="360" w:lineRule="auto"/>
              <w:ind w:firstLine="480" w:firstLineChars="200"/>
              <w:rPr>
                <w:rFonts w:hint="eastAsia" w:eastAsia="宋体" w:cs="Times New Roman"/>
                <w:bCs/>
                <w:color w:val="auto"/>
                <w:sz w:val="24"/>
                <w:szCs w:val="24"/>
                <w:highlight w:val="none"/>
                <w:lang w:val="en-US" w:eastAsia="zh-CN"/>
              </w:rPr>
            </w:pPr>
            <w:r>
              <w:rPr>
                <w:rFonts w:hint="eastAsia" w:eastAsia="宋体" w:cs="Times New Roman"/>
                <w:bCs/>
                <w:color w:val="auto"/>
                <w:sz w:val="24"/>
                <w:szCs w:val="24"/>
                <w:highlight w:val="none"/>
                <w:lang w:val="en-US" w:eastAsia="zh-CN"/>
              </w:rPr>
              <w:t xml:space="preserve">根据《污染源源强核算技术指南 准则》（HJ884-2018）及《污染源源强核算技术指南 锅炉》（HJ 991-2018），本项目锅炉灰渣污染物采取物料衡算法计算。 </w:t>
            </w:r>
          </w:p>
          <w:p w14:paraId="152AF87B">
            <w:pPr>
              <w:numPr>
                <w:ilvl w:val="0"/>
                <w:numId w:val="0"/>
              </w:numPr>
              <w:spacing w:line="360" w:lineRule="auto"/>
              <w:ind w:firstLine="480" w:firstLineChars="200"/>
              <w:rPr>
                <w:rFonts w:hint="eastAsia" w:eastAsia="宋体" w:cs="Times New Roman"/>
                <w:bCs/>
                <w:color w:val="auto"/>
                <w:sz w:val="24"/>
                <w:szCs w:val="24"/>
                <w:highlight w:val="none"/>
                <w:lang w:val="en-US" w:eastAsia="zh-CN"/>
              </w:rPr>
            </w:pPr>
            <w:r>
              <w:rPr>
                <w:rFonts w:hint="eastAsia" w:eastAsia="宋体" w:cs="Times New Roman"/>
                <w:bCs/>
                <w:color w:val="auto"/>
                <w:sz w:val="24"/>
                <w:szCs w:val="24"/>
                <w:highlight w:val="none"/>
                <w:lang w:val="en-US" w:eastAsia="zh-CN"/>
              </w:rPr>
              <w:drawing>
                <wp:inline distT="0" distB="0" distL="114300" distR="114300">
                  <wp:extent cx="2266950" cy="666750"/>
                  <wp:effectExtent l="0" t="0" r="0" b="0"/>
                  <wp:docPr id="52" name="图片 52" descr="2c1e8b5d673cf851c64f4eb5d4cb5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c1e8b5d673cf851c64f4eb5d4cb56c"/>
                          <pic:cNvPicPr>
                            <a:picLocks noChangeAspect="1"/>
                          </pic:cNvPicPr>
                        </pic:nvPicPr>
                        <pic:blipFill>
                          <a:blip r:embed="rId26"/>
                          <a:stretch>
                            <a:fillRect/>
                          </a:stretch>
                        </pic:blipFill>
                        <pic:spPr>
                          <a:xfrm>
                            <a:off x="0" y="0"/>
                            <a:ext cx="2266950" cy="666750"/>
                          </a:xfrm>
                          <a:prstGeom prst="rect">
                            <a:avLst/>
                          </a:prstGeom>
                        </pic:spPr>
                      </pic:pic>
                    </a:graphicData>
                  </a:graphic>
                </wp:inline>
              </w:drawing>
            </w:r>
          </w:p>
          <w:p w14:paraId="41AF669D">
            <w:pPr>
              <w:numPr>
                <w:ilvl w:val="0"/>
                <w:numId w:val="0"/>
              </w:numPr>
              <w:spacing w:line="360" w:lineRule="auto"/>
              <w:ind w:firstLine="480" w:firstLineChars="200"/>
              <w:rPr>
                <w:rFonts w:hint="eastAsia" w:eastAsia="宋体" w:cs="Times New Roman"/>
                <w:bCs/>
                <w:color w:val="auto"/>
                <w:sz w:val="24"/>
                <w:szCs w:val="24"/>
                <w:highlight w:val="none"/>
                <w:lang w:val="en-US" w:eastAsia="zh-CN"/>
              </w:rPr>
            </w:pPr>
            <w:r>
              <w:rPr>
                <w:rFonts w:hint="eastAsia" w:eastAsia="宋体" w:cs="Times New Roman"/>
                <w:bCs/>
                <w:color w:val="auto"/>
                <w:sz w:val="24"/>
                <w:szCs w:val="24"/>
                <w:highlight w:val="none"/>
                <w:lang w:val="en-US" w:eastAsia="zh-CN"/>
              </w:rPr>
              <w:t>式中：Eh——核算时段内灰渣产生量，t；</w:t>
            </w:r>
          </w:p>
          <w:p w14:paraId="513D6BF9">
            <w:pPr>
              <w:numPr>
                <w:ilvl w:val="0"/>
                <w:numId w:val="0"/>
              </w:numPr>
              <w:spacing w:line="360" w:lineRule="auto"/>
              <w:ind w:firstLine="480" w:firstLineChars="200"/>
              <w:rPr>
                <w:rFonts w:hint="eastAsia" w:eastAsia="宋体" w:cs="Times New Roman"/>
                <w:bCs/>
                <w:color w:val="auto"/>
                <w:sz w:val="24"/>
                <w:szCs w:val="24"/>
                <w:highlight w:val="none"/>
                <w:lang w:val="en-US" w:eastAsia="zh-CN"/>
              </w:rPr>
            </w:pPr>
            <w:r>
              <w:rPr>
                <w:rFonts w:hint="eastAsia" w:eastAsia="宋体" w:cs="Times New Roman"/>
                <w:bCs/>
                <w:color w:val="auto"/>
                <w:sz w:val="24"/>
                <w:szCs w:val="24"/>
                <w:highlight w:val="none"/>
                <w:lang w:val="en-US" w:eastAsia="zh-CN"/>
              </w:rPr>
              <w:t>R——核算时段内锅炉燃料耗量，t，9150.4；</w:t>
            </w:r>
          </w:p>
          <w:p w14:paraId="6534398B">
            <w:pPr>
              <w:numPr>
                <w:ilvl w:val="0"/>
                <w:numId w:val="0"/>
              </w:numPr>
              <w:spacing w:line="360" w:lineRule="auto"/>
              <w:ind w:firstLine="480" w:firstLineChars="200"/>
              <w:rPr>
                <w:rFonts w:hint="eastAsia" w:eastAsia="宋体" w:cs="Times New Roman"/>
                <w:bCs/>
                <w:color w:val="auto"/>
                <w:sz w:val="24"/>
                <w:szCs w:val="24"/>
                <w:highlight w:val="none"/>
                <w:lang w:val="en-US" w:eastAsia="zh-CN"/>
              </w:rPr>
            </w:pPr>
            <w:r>
              <w:rPr>
                <w:rFonts w:hint="eastAsia" w:eastAsia="宋体" w:cs="Times New Roman"/>
                <w:bCs/>
                <w:color w:val="auto"/>
                <w:sz w:val="24"/>
                <w:szCs w:val="24"/>
                <w:highlight w:val="none"/>
                <w:lang w:val="en-US" w:eastAsia="zh-CN"/>
              </w:rPr>
              <w:t xml:space="preserve"> Aar——收到基灰分的质量分数，%，</w:t>
            </w:r>
            <w:r>
              <w:rPr>
                <w:rFonts w:hint="default" w:ascii="Times New Roman" w:hAnsi="Times New Roman" w:eastAsia="宋体" w:cs="Times New Roman"/>
                <w:color w:val="auto"/>
                <w:kern w:val="2"/>
                <w:sz w:val="24"/>
                <w:szCs w:val="24"/>
                <w:highlight w:val="none"/>
                <w:lang w:val="en-US" w:eastAsia="zh-CN" w:bidi="ar-SA"/>
              </w:rPr>
              <w:t>收到基灰分质量分数（根据生物质成分分析报告换算得出：Aar=</w:t>
            </w:r>
            <w:r>
              <w:rPr>
                <w:rFonts w:hint="eastAsia" w:cs="Times New Roman"/>
                <w:color w:val="auto"/>
                <w:kern w:val="2"/>
                <w:sz w:val="24"/>
                <w:szCs w:val="24"/>
                <w:highlight w:val="none"/>
                <w:lang w:val="en-US" w:eastAsia="zh-CN" w:bidi="ar-SA"/>
              </w:rPr>
              <w:t>干燥基</w:t>
            </w:r>
            <w:r>
              <w:rPr>
                <w:rFonts w:hint="default" w:ascii="Times New Roman" w:hAnsi="Times New Roman" w:eastAsia="宋体" w:cs="Times New Roman"/>
                <w:color w:val="auto"/>
                <w:kern w:val="2"/>
                <w:sz w:val="24"/>
                <w:szCs w:val="24"/>
                <w:highlight w:val="none"/>
                <w:lang w:val="en-US" w:eastAsia="zh-CN" w:bidi="ar-SA"/>
              </w:rPr>
              <w:t>（100-</w:t>
            </w:r>
            <w:r>
              <w:rPr>
                <w:rFonts w:hint="eastAsia" w:cs="Times New Roman"/>
                <w:color w:val="auto"/>
                <w:kern w:val="2"/>
                <w:sz w:val="24"/>
                <w:szCs w:val="24"/>
                <w:highlight w:val="none"/>
                <w:lang w:val="en-US" w:eastAsia="zh-CN" w:bidi="ar-SA"/>
              </w:rPr>
              <w:t>全水分质量分数</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100</w:t>
            </w:r>
            <w:r>
              <w:rPr>
                <w:rFonts w:hint="eastAsia" w:cs="Times New Roman"/>
                <w:color w:val="auto"/>
                <w:kern w:val="2"/>
                <w:sz w:val="24"/>
                <w:szCs w:val="24"/>
                <w:highlight w:val="none"/>
                <w:lang w:val="en-US" w:eastAsia="zh-CN" w:bidi="ar-SA"/>
              </w:rPr>
              <w:t>-空气干燥基水分）</w:t>
            </w:r>
            <w:r>
              <w:rPr>
                <w:rFonts w:hint="default" w:ascii="Times New Roman" w:hAnsi="Times New Roman" w:eastAsia="宋体" w:cs="Times New Roman"/>
                <w:color w:val="auto"/>
                <w:kern w:val="2"/>
                <w:sz w:val="24"/>
                <w:szCs w:val="24"/>
                <w:highlight w:val="none"/>
                <w:lang w:val="en-US" w:eastAsia="zh-CN" w:bidi="ar-SA"/>
              </w:rPr>
              <w:t>），%，收到基灰分质量分数为</w:t>
            </w:r>
            <w:r>
              <w:rPr>
                <w:rFonts w:hint="eastAsia" w:cs="Times New Roman"/>
                <w:color w:val="auto"/>
                <w:kern w:val="2"/>
                <w:sz w:val="24"/>
                <w:szCs w:val="24"/>
                <w:highlight w:val="none"/>
                <w:lang w:val="en-US" w:eastAsia="zh-CN" w:bidi="ar-SA"/>
              </w:rPr>
              <w:t>12.36</w:t>
            </w:r>
            <w:r>
              <w:rPr>
                <w:rFonts w:hint="default" w:ascii="Times New Roman" w:hAnsi="Times New Roman" w:eastAsia="宋体" w:cs="Times New Roman"/>
                <w:color w:val="auto"/>
                <w:kern w:val="2"/>
                <w:sz w:val="24"/>
                <w:szCs w:val="24"/>
                <w:highlight w:val="none"/>
                <w:lang w:val="en-US" w:eastAsia="zh-CN" w:bidi="ar-SA"/>
              </w:rPr>
              <w:t>%；</w:t>
            </w:r>
            <w:r>
              <w:rPr>
                <w:rFonts w:hint="eastAsia" w:eastAsia="宋体" w:cs="Times New Roman"/>
                <w:bCs/>
                <w:color w:val="auto"/>
                <w:sz w:val="24"/>
                <w:szCs w:val="24"/>
                <w:highlight w:val="none"/>
                <w:lang w:val="en-US" w:eastAsia="zh-CN"/>
              </w:rPr>
              <w:t>；</w:t>
            </w:r>
          </w:p>
          <w:p w14:paraId="44D8DC96">
            <w:pPr>
              <w:numPr>
                <w:ilvl w:val="0"/>
                <w:numId w:val="0"/>
              </w:numPr>
              <w:spacing w:line="360" w:lineRule="auto"/>
              <w:ind w:firstLine="480" w:firstLineChars="200"/>
              <w:rPr>
                <w:rFonts w:hint="eastAsia" w:eastAsia="宋体" w:cs="Times New Roman"/>
                <w:bCs/>
                <w:color w:val="auto"/>
                <w:sz w:val="24"/>
                <w:szCs w:val="24"/>
                <w:highlight w:val="none"/>
                <w:lang w:val="en-US" w:eastAsia="zh-CN"/>
              </w:rPr>
            </w:pPr>
            <w:r>
              <w:rPr>
                <w:rFonts w:hint="eastAsia" w:eastAsia="宋体" w:cs="Times New Roman"/>
                <w:bCs/>
                <w:color w:val="auto"/>
                <w:sz w:val="24"/>
                <w:szCs w:val="24"/>
                <w:highlight w:val="none"/>
                <w:lang w:val="en-US" w:eastAsia="zh-CN"/>
              </w:rPr>
              <w:t>q4——锅炉机械不完全燃烧热损失，%，本项目取7；</w:t>
            </w:r>
          </w:p>
          <w:p w14:paraId="23715C5B">
            <w:pPr>
              <w:numPr>
                <w:ilvl w:val="0"/>
                <w:numId w:val="0"/>
              </w:numPr>
              <w:spacing w:line="360" w:lineRule="auto"/>
              <w:ind w:firstLine="480" w:firstLineChars="200"/>
              <w:rPr>
                <w:rFonts w:hint="eastAsia" w:eastAsia="宋体" w:cs="Times New Roman"/>
                <w:bCs/>
                <w:color w:val="auto"/>
                <w:sz w:val="24"/>
                <w:szCs w:val="24"/>
                <w:highlight w:val="none"/>
                <w:lang w:val="en-US" w:eastAsia="zh-CN"/>
              </w:rPr>
            </w:pPr>
            <w:r>
              <w:rPr>
                <w:rFonts w:hint="eastAsia" w:eastAsia="宋体" w:cs="Times New Roman"/>
                <w:bCs/>
                <w:color w:val="auto"/>
                <w:sz w:val="24"/>
                <w:szCs w:val="24"/>
                <w:highlight w:val="none"/>
                <w:lang w:val="en-US" w:eastAsia="zh-CN"/>
              </w:rPr>
              <w:t>Qnet，ar——收到基低位发热量，kJ/kg，根据生物质颗粒燃料检测报告，取3480。 经计算，本项目锅炉灰渣产生量为133.19t/a。锅炉炉渣加湿后袋装暂存于锅炉房内，集中收集，外售综合利用。</w:t>
            </w:r>
          </w:p>
          <w:p w14:paraId="55945340">
            <w:pPr>
              <w:adjustRightInd w:val="0"/>
              <w:snapToGrid w:val="0"/>
              <w:spacing w:line="360" w:lineRule="auto"/>
              <w:ind w:firstLine="480" w:firstLineChars="200"/>
              <w:rPr>
                <w:rFonts w:hint="eastAsia" w:ascii="Times New Roman" w:hAnsi="Times New Roman" w:eastAsia="宋体" w:cs="Times New Roman"/>
                <w:bCs/>
                <w:color w:val="auto"/>
                <w:sz w:val="24"/>
                <w:szCs w:val="24"/>
                <w:highlight w:val="none"/>
                <w:lang w:val="en-US" w:eastAsia="zh-CN"/>
              </w:rPr>
            </w:pPr>
            <w:r>
              <w:rPr>
                <w:rFonts w:hint="eastAsia" w:cs="Times New Roman"/>
                <w:bCs/>
                <w:color w:val="auto"/>
                <w:sz w:val="24"/>
                <w:szCs w:val="24"/>
                <w:highlight w:val="none"/>
                <w:lang w:val="en-US" w:eastAsia="zh-CN"/>
              </w:rPr>
              <w:t>8、</w:t>
            </w:r>
            <w:r>
              <w:rPr>
                <w:rFonts w:hint="eastAsia" w:ascii="Times New Roman" w:hAnsi="Times New Roman" w:eastAsia="宋体" w:cs="Times New Roman"/>
                <w:color w:val="auto"/>
                <w:sz w:val="24"/>
                <w:szCs w:val="24"/>
                <w:highlight w:val="none"/>
              </w:rPr>
              <w:t>根据《国家危险废物名录（</w:t>
            </w:r>
            <w:r>
              <w:rPr>
                <w:rFonts w:hint="eastAsia" w:ascii="Times New Roman" w:hAnsi="Times New Roman" w:eastAsia="宋体" w:cs="Times New Roman"/>
                <w:color w:val="auto"/>
                <w:sz w:val="24"/>
                <w:szCs w:val="24"/>
                <w:highlight w:val="none"/>
                <w:lang w:val="en-US" w:eastAsia="zh-CN"/>
              </w:rPr>
              <w:t>2025</w:t>
            </w:r>
            <w:r>
              <w:rPr>
                <w:rFonts w:hint="eastAsia" w:ascii="Times New Roman" w:hAnsi="Times New Roman" w:eastAsia="宋体" w:cs="Times New Roman"/>
                <w:color w:val="auto"/>
                <w:sz w:val="24"/>
                <w:szCs w:val="24"/>
                <w:highlight w:val="none"/>
              </w:rPr>
              <w:t>年版）》，设备维护和检修期间产生的废</w:t>
            </w:r>
            <w:r>
              <w:rPr>
                <w:rFonts w:hint="eastAsia" w:cs="Times New Roman"/>
                <w:color w:val="auto"/>
                <w:sz w:val="24"/>
                <w:szCs w:val="24"/>
                <w:highlight w:val="none"/>
                <w:lang w:val="en-US" w:eastAsia="zh-CN"/>
              </w:rPr>
              <w:t>润滑油</w:t>
            </w:r>
            <w:r>
              <w:rPr>
                <w:rFonts w:hint="eastAsia" w:ascii="Times New Roman" w:hAnsi="Times New Roman" w:eastAsia="宋体" w:cs="Times New Roman"/>
                <w:bCs/>
                <w:color w:val="auto"/>
                <w:sz w:val="24"/>
                <w:szCs w:val="24"/>
                <w:highlight w:val="none"/>
                <w:lang w:val="en-US" w:eastAsia="zh-CN"/>
              </w:rPr>
              <w:t>、含油抹布、废</w:t>
            </w:r>
            <w:r>
              <w:rPr>
                <w:rFonts w:hint="eastAsia" w:cs="Times New Roman"/>
                <w:bCs/>
                <w:color w:val="auto"/>
                <w:sz w:val="24"/>
                <w:szCs w:val="24"/>
                <w:highlight w:val="none"/>
                <w:lang w:val="en-US" w:eastAsia="zh-CN"/>
              </w:rPr>
              <w:t>润滑油</w:t>
            </w:r>
            <w:r>
              <w:rPr>
                <w:rFonts w:hint="eastAsia" w:ascii="Times New Roman" w:hAnsi="Times New Roman" w:eastAsia="宋体" w:cs="Times New Roman"/>
                <w:bCs/>
                <w:color w:val="auto"/>
                <w:sz w:val="24"/>
                <w:szCs w:val="24"/>
                <w:highlight w:val="none"/>
                <w:lang w:val="en-US" w:eastAsia="zh-CN"/>
              </w:rPr>
              <w:t>桶等属于危险废物。</w:t>
            </w:r>
          </w:p>
          <w:p w14:paraId="4053AFCB">
            <w:pPr>
              <w:adjustRightInd w:val="0"/>
              <w:snapToGrid w:val="0"/>
              <w:spacing w:line="360" w:lineRule="auto"/>
              <w:ind w:firstLine="480" w:firstLineChars="200"/>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项目生产过程中产生</w:t>
            </w:r>
            <w:r>
              <w:rPr>
                <w:rFonts w:hint="eastAsia" w:ascii="Times New Roman" w:hAnsi="Times New Roman" w:eastAsia="宋体" w:cs="Times New Roman"/>
                <w:bCs/>
                <w:color w:val="auto"/>
                <w:sz w:val="24"/>
                <w:szCs w:val="24"/>
                <w:highlight w:val="none"/>
                <w:lang w:val="en-US" w:eastAsia="zh-CN"/>
              </w:rPr>
              <w:t>废</w:t>
            </w:r>
            <w:r>
              <w:rPr>
                <w:rFonts w:hint="eastAsia" w:cs="Times New Roman"/>
                <w:bCs/>
                <w:color w:val="auto"/>
                <w:sz w:val="24"/>
                <w:szCs w:val="24"/>
                <w:highlight w:val="none"/>
                <w:lang w:val="en-US" w:eastAsia="zh-CN"/>
              </w:rPr>
              <w:t>润滑油</w:t>
            </w:r>
            <w:r>
              <w:rPr>
                <w:rFonts w:hint="eastAsia" w:ascii="Times New Roman" w:hAnsi="Times New Roman" w:eastAsia="宋体" w:cs="Times New Roman"/>
                <w:bCs/>
                <w:color w:val="auto"/>
                <w:sz w:val="24"/>
                <w:szCs w:val="24"/>
                <w:highlight w:val="none"/>
                <w:lang w:val="en-US" w:eastAsia="zh-CN"/>
              </w:rPr>
              <w:t>产生量约为0.1t/a，</w:t>
            </w:r>
            <w:r>
              <w:rPr>
                <w:rFonts w:hint="default" w:ascii="Times New Roman" w:hAnsi="Times New Roman" w:eastAsia="宋体" w:cs="Times New Roman"/>
                <w:bCs/>
                <w:color w:val="auto"/>
                <w:sz w:val="24"/>
                <w:szCs w:val="24"/>
                <w:highlight w:val="none"/>
                <w:lang w:val="en-US" w:eastAsia="zh-CN"/>
              </w:rPr>
              <w:t>项目生产过程中产生的废</w:t>
            </w:r>
            <w:r>
              <w:rPr>
                <w:rFonts w:hint="eastAsia" w:cs="Times New Roman"/>
                <w:bCs/>
                <w:color w:val="auto"/>
                <w:sz w:val="24"/>
                <w:szCs w:val="24"/>
                <w:highlight w:val="none"/>
                <w:lang w:val="en-US" w:eastAsia="zh-CN"/>
              </w:rPr>
              <w:t>润滑油</w:t>
            </w:r>
            <w:r>
              <w:rPr>
                <w:rFonts w:hint="default" w:ascii="Times New Roman" w:hAnsi="Times New Roman" w:eastAsia="宋体" w:cs="Times New Roman"/>
                <w:bCs/>
                <w:color w:val="auto"/>
                <w:sz w:val="24"/>
                <w:szCs w:val="24"/>
                <w:highlight w:val="none"/>
                <w:lang w:val="en-US" w:eastAsia="zh-CN"/>
              </w:rPr>
              <w:t>桶，产生量为</w:t>
            </w:r>
            <w:r>
              <w:rPr>
                <w:rFonts w:hint="eastAsia" w:ascii="Times New Roman" w:hAnsi="Times New Roman" w:eastAsia="宋体" w:cs="Times New Roman"/>
                <w:bCs/>
                <w:color w:val="auto"/>
                <w:sz w:val="24"/>
                <w:szCs w:val="24"/>
                <w:highlight w:val="none"/>
                <w:lang w:val="en-US" w:eastAsia="zh-CN"/>
              </w:rPr>
              <w:t>100</w:t>
            </w:r>
            <w:r>
              <w:rPr>
                <w:rFonts w:hint="default" w:ascii="Times New Roman" w:hAnsi="Times New Roman" w:eastAsia="宋体" w:cs="Times New Roman"/>
                <w:bCs/>
                <w:color w:val="auto"/>
                <w:sz w:val="24"/>
                <w:szCs w:val="24"/>
                <w:highlight w:val="none"/>
                <w:lang w:val="en-US" w:eastAsia="zh-CN"/>
              </w:rPr>
              <w:t>个，</w:t>
            </w:r>
            <w:r>
              <w:rPr>
                <w:rFonts w:hint="eastAsia" w:ascii="Times New Roman" w:hAnsi="Times New Roman" w:eastAsia="宋体" w:cs="Times New Roman"/>
                <w:bCs/>
                <w:color w:val="auto"/>
                <w:sz w:val="24"/>
                <w:szCs w:val="24"/>
                <w:highlight w:val="none"/>
                <w:lang w:val="en-US" w:eastAsia="zh-CN"/>
              </w:rPr>
              <w:t>空</w:t>
            </w:r>
            <w:r>
              <w:rPr>
                <w:rFonts w:hint="eastAsia" w:cs="Times New Roman"/>
                <w:bCs/>
                <w:color w:val="auto"/>
                <w:sz w:val="24"/>
                <w:szCs w:val="24"/>
                <w:highlight w:val="none"/>
                <w:lang w:val="en-US" w:eastAsia="zh-CN"/>
              </w:rPr>
              <w:t>润滑油</w:t>
            </w:r>
            <w:r>
              <w:rPr>
                <w:rFonts w:hint="default" w:ascii="Times New Roman" w:hAnsi="Times New Roman" w:eastAsia="宋体" w:cs="Times New Roman"/>
                <w:bCs/>
                <w:color w:val="auto"/>
                <w:sz w:val="24"/>
                <w:szCs w:val="24"/>
                <w:highlight w:val="none"/>
                <w:lang w:val="en-US" w:eastAsia="zh-CN"/>
              </w:rPr>
              <w:t>桶0.6kg/个，合计0.</w:t>
            </w:r>
            <w:r>
              <w:rPr>
                <w:rFonts w:hint="eastAsia" w:ascii="Times New Roman" w:hAnsi="Times New Roman" w:eastAsia="宋体" w:cs="Times New Roman"/>
                <w:bCs/>
                <w:color w:val="auto"/>
                <w:sz w:val="24"/>
                <w:szCs w:val="24"/>
                <w:highlight w:val="none"/>
                <w:lang w:val="en-US" w:eastAsia="zh-CN"/>
              </w:rPr>
              <w:t>06</w:t>
            </w:r>
            <w:r>
              <w:rPr>
                <w:rFonts w:hint="default" w:ascii="Times New Roman" w:hAnsi="Times New Roman" w:eastAsia="宋体" w:cs="Times New Roman"/>
                <w:bCs/>
                <w:color w:val="auto"/>
                <w:sz w:val="24"/>
                <w:szCs w:val="24"/>
                <w:highlight w:val="none"/>
                <w:lang w:val="en-US" w:eastAsia="zh-CN"/>
              </w:rPr>
              <w:t>t/a</w:t>
            </w:r>
            <w:r>
              <w:rPr>
                <w:rFonts w:hint="eastAsia"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bCs/>
                <w:color w:val="auto"/>
                <w:sz w:val="24"/>
                <w:szCs w:val="24"/>
                <w:highlight w:val="none"/>
                <w:lang w:val="en-US" w:eastAsia="zh-CN"/>
              </w:rPr>
              <w:t>含油抹布产生量为</w:t>
            </w:r>
            <w:r>
              <w:rPr>
                <w:rFonts w:hint="eastAsia" w:ascii="Times New Roman" w:hAnsi="Times New Roman" w:eastAsia="宋体" w:cs="Times New Roman"/>
                <w:bCs/>
                <w:color w:val="auto"/>
                <w:sz w:val="24"/>
                <w:szCs w:val="24"/>
                <w:highlight w:val="none"/>
                <w:lang w:val="en-US" w:eastAsia="zh-CN"/>
              </w:rPr>
              <w:t>30</w:t>
            </w:r>
            <w:r>
              <w:rPr>
                <w:rFonts w:hint="default" w:ascii="Times New Roman" w:hAnsi="Times New Roman" w:eastAsia="宋体" w:cs="Times New Roman"/>
                <w:bCs/>
                <w:color w:val="auto"/>
                <w:sz w:val="24"/>
                <w:szCs w:val="24"/>
                <w:highlight w:val="none"/>
                <w:lang w:val="en-US" w:eastAsia="zh-CN"/>
              </w:rPr>
              <w:t>kg/a</w:t>
            </w:r>
            <w:r>
              <w:rPr>
                <w:rFonts w:hint="eastAsia" w:ascii="Times New Roman" w:hAnsi="Times New Roman" w:eastAsia="宋体" w:cs="Times New Roman"/>
                <w:bCs/>
                <w:color w:val="auto"/>
                <w:sz w:val="24"/>
                <w:szCs w:val="24"/>
                <w:highlight w:val="none"/>
                <w:lang w:val="en-US" w:eastAsia="zh-CN"/>
              </w:rPr>
              <w:t>。废</w:t>
            </w:r>
            <w:r>
              <w:rPr>
                <w:rFonts w:hint="eastAsia" w:cs="Times New Roman"/>
                <w:bCs/>
                <w:color w:val="auto"/>
                <w:sz w:val="24"/>
                <w:szCs w:val="24"/>
                <w:highlight w:val="none"/>
                <w:lang w:val="en-US" w:eastAsia="zh-CN"/>
              </w:rPr>
              <w:t>润滑油</w:t>
            </w:r>
            <w:r>
              <w:rPr>
                <w:rFonts w:hint="default" w:ascii="Times New Roman" w:hAnsi="Times New Roman" w:eastAsia="宋体" w:cs="Times New Roman"/>
                <w:bCs/>
                <w:color w:val="auto"/>
                <w:sz w:val="24"/>
                <w:szCs w:val="24"/>
                <w:highlight w:val="none"/>
                <w:lang w:val="en-US" w:eastAsia="zh-CN"/>
              </w:rPr>
              <w:t>废物类别为HW49其他废物，废物代码:900-041-49</w:t>
            </w:r>
            <w:r>
              <w:rPr>
                <w:rFonts w:hint="eastAsia" w:ascii="Times New Roman" w:hAnsi="Times New Roman" w:eastAsia="宋体" w:cs="Times New Roman"/>
                <w:bCs/>
                <w:color w:val="auto"/>
                <w:sz w:val="24"/>
                <w:szCs w:val="24"/>
                <w:highlight w:val="none"/>
                <w:lang w:val="en-US" w:eastAsia="zh-CN"/>
              </w:rPr>
              <w:t>；废</w:t>
            </w:r>
            <w:r>
              <w:rPr>
                <w:rFonts w:hint="eastAsia" w:cs="Times New Roman"/>
                <w:bCs/>
                <w:color w:val="auto"/>
                <w:sz w:val="24"/>
                <w:szCs w:val="24"/>
                <w:highlight w:val="none"/>
                <w:lang w:val="en-US" w:eastAsia="zh-CN"/>
              </w:rPr>
              <w:t>润滑油</w:t>
            </w:r>
            <w:r>
              <w:rPr>
                <w:rFonts w:hint="eastAsia" w:ascii="Times New Roman" w:hAnsi="Times New Roman" w:eastAsia="宋体" w:cs="Times New Roman"/>
                <w:bCs/>
                <w:color w:val="auto"/>
                <w:sz w:val="24"/>
                <w:szCs w:val="24"/>
                <w:highlight w:val="none"/>
                <w:lang w:val="en-US" w:eastAsia="zh-CN"/>
              </w:rPr>
              <w:t>桶、含油抹布</w:t>
            </w:r>
            <w:r>
              <w:rPr>
                <w:rFonts w:hint="default" w:ascii="Times New Roman" w:hAnsi="Times New Roman" w:eastAsia="宋体" w:cs="Times New Roman"/>
                <w:bCs/>
                <w:color w:val="auto"/>
                <w:sz w:val="24"/>
                <w:szCs w:val="24"/>
                <w:highlight w:val="none"/>
                <w:lang w:val="en-US" w:eastAsia="zh-CN"/>
              </w:rPr>
              <w:t>废物类别为HW49其他废物，废物代码为900-047-49。暂存于危险废物贮存点中，定期委托有资质单位处置。</w:t>
            </w:r>
          </w:p>
          <w:p w14:paraId="2F172E7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rPr>
              <w:t>固体废物</w:t>
            </w:r>
            <w:r>
              <w:rPr>
                <w:rFonts w:hint="eastAsia" w:cs="Times New Roman"/>
                <w:bCs/>
                <w:color w:val="auto"/>
                <w:sz w:val="24"/>
                <w:szCs w:val="24"/>
                <w:highlight w:val="none"/>
                <w:lang w:val="en-US" w:eastAsia="zh-CN"/>
              </w:rPr>
              <w:t>产生</w:t>
            </w:r>
            <w:r>
              <w:rPr>
                <w:rFonts w:hint="default" w:ascii="Times New Roman" w:hAnsi="Times New Roman" w:cs="Times New Roman"/>
                <w:bCs/>
                <w:color w:val="auto"/>
                <w:sz w:val="24"/>
                <w:szCs w:val="24"/>
                <w:highlight w:val="none"/>
              </w:rPr>
              <w:t>排放信息</w:t>
            </w:r>
            <w:r>
              <w:rPr>
                <w:rFonts w:hint="eastAsia" w:cs="Times New Roman"/>
                <w:bCs/>
                <w:color w:val="auto"/>
                <w:sz w:val="24"/>
                <w:szCs w:val="24"/>
                <w:highlight w:val="none"/>
                <w:lang w:val="en-US" w:eastAsia="zh-CN"/>
              </w:rPr>
              <w:t>见表4-9。</w:t>
            </w:r>
          </w:p>
          <w:p w14:paraId="7070DA30">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
                <w:color w:val="auto"/>
                <w:sz w:val="24"/>
                <w:szCs w:val="24"/>
                <w:highlight w:val="yellow"/>
              </w:rPr>
            </w:pPr>
            <w:r>
              <w:rPr>
                <w:rFonts w:hint="default" w:ascii="Times New Roman" w:hAnsi="Times New Roman" w:cs="Times New Roman"/>
                <w:b/>
                <w:color w:val="auto"/>
                <w:sz w:val="24"/>
                <w:szCs w:val="24"/>
                <w:highlight w:val="yellow"/>
              </w:rPr>
              <w:t>表4-</w:t>
            </w:r>
            <w:r>
              <w:rPr>
                <w:rFonts w:hint="eastAsia" w:cs="Times New Roman"/>
                <w:b/>
                <w:color w:val="auto"/>
                <w:sz w:val="24"/>
                <w:szCs w:val="24"/>
                <w:highlight w:val="yellow"/>
                <w:lang w:val="en-US" w:eastAsia="zh-CN"/>
              </w:rPr>
              <w:t>9</w:t>
            </w:r>
            <w:r>
              <w:rPr>
                <w:rFonts w:hint="default" w:ascii="Times New Roman" w:hAnsi="Times New Roman" w:cs="Times New Roman"/>
                <w:b/>
                <w:color w:val="auto"/>
                <w:sz w:val="24"/>
                <w:szCs w:val="24"/>
                <w:highlight w:val="yellow"/>
              </w:rPr>
              <w:t xml:space="preserve">  固体废物排放信息</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2"/>
              <w:gridCol w:w="950"/>
              <w:gridCol w:w="1450"/>
              <w:gridCol w:w="994"/>
              <w:gridCol w:w="889"/>
              <w:gridCol w:w="978"/>
              <w:gridCol w:w="978"/>
              <w:gridCol w:w="985"/>
            </w:tblGrid>
            <w:tr w14:paraId="482B6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2" w:type="dxa"/>
                  <w:tcBorders>
                    <w:tl2br w:val="nil"/>
                    <w:tr2bl w:val="nil"/>
                  </w:tcBorders>
                  <w:noWrap w:val="0"/>
                  <w:vAlign w:val="center"/>
                </w:tcPr>
                <w:p w14:paraId="7784BC8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产生环节</w:t>
                  </w:r>
                </w:p>
              </w:tc>
              <w:tc>
                <w:tcPr>
                  <w:tcW w:w="950" w:type="dxa"/>
                  <w:tcBorders>
                    <w:tl2br w:val="nil"/>
                    <w:tr2bl w:val="nil"/>
                  </w:tcBorders>
                  <w:noWrap w:val="0"/>
                  <w:vAlign w:val="center"/>
                </w:tcPr>
                <w:p w14:paraId="0B60052E">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类别代码</w:t>
                  </w:r>
                </w:p>
              </w:tc>
              <w:tc>
                <w:tcPr>
                  <w:tcW w:w="1450" w:type="dxa"/>
                  <w:tcBorders>
                    <w:tl2br w:val="nil"/>
                    <w:tr2bl w:val="nil"/>
                  </w:tcBorders>
                  <w:noWrap w:val="0"/>
                  <w:vAlign w:val="center"/>
                </w:tcPr>
                <w:p w14:paraId="45AC2C40">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名称</w:t>
                  </w:r>
                </w:p>
              </w:tc>
              <w:tc>
                <w:tcPr>
                  <w:tcW w:w="994" w:type="dxa"/>
                  <w:tcBorders>
                    <w:tl2br w:val="nil"/>
                    <w:tr2bl w:val="nil"/>
                  </w:tcBorders>
                  <w:noWrap w:val="0"/>
                  <w:vAlign w:val="center"/>
                </w:tcPr>
                <w:p w14:paraId="40CB52E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属性</w:t>
                  </w:r>
                </w:p>
              </w:tc>
              <w:tc>
                <w:tcPr>
                  <w:tcW w:w="889" w:type="dxa"/>
                  <w:tcBorders>
                    <w:tl2br w:val="nil"/>
                    <w:tr2bl w:val="nil"/>
                  </w:tcBorders>
                  <w:noWrap w:val="0"/>
                  <w:vAlign w:val="center"/>
                </w:tcPr>
                <w:p w14:paraId="796ED11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年产生量t/a</w:t>
                  </w:r>
                </w:p>
              </w:tc>
              <w:tc>
                <w:tcPr>
                  <w:tcW w:w="978" w:type="dxa"/>
                  <w:tcBorders>
                    <w:tl2br w:val="nil"/>
                    <w:tr2bl w:val="nil"/>
                  </w:tcBorders>
                  <w:noWrap w:val="0"/>
                  <w:vAlign w:val="center"/>
                </w:tcPr>
                <w:p w14:paraId="7670509C">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贮存方式</w:t>
                  </w:r>
                </w:p>
              </w:tc>
              <w:tc>
                <w:tcPr>
                  <w:tcW w:w="978" w:type="dxa"/>
                  <w:tcBorders>
                    <w:tl2br w:val="nil"/>
                    <w:tr2bl w:val="nil"/>
                  </w:tcBorders>
                  <w:noWrap w:val="0"/>
                  <w:vAlign w:val="center"/>
                </w:tcPr>
                <w:p w14:paraId="69250B6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处置方式和去向</w:t>
                  </w:r>
                </w:p>
              </w:tc>
              <w:tc>
                <w:tcPr>
                  <w:tcW w:w="985" w:type="dxa"/>
                  <w:tcBorders>
                    <w:tl2br w:val="nil"/>
                    <w:tr2bl w:val="nil"/>
                  </w:tcBorders>
                  <w:noWrap w:val="0"/>
                  <w:vAlign w:val="center"/>
                </w:tcPr>
                <w:p w14:paraId="63822CE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处置或利用量t/a</w:t>
                  </w:r>
                </w:p>
              </w:tc>
            </w:tr>
            <w:tr w14:paraId="5D5D1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2" w:type="dxa"/>
                  <w:tcBorders>
                    <w:tl2br w:val="nil"/>
                    <w:tr2bl w:val="nil"/>
                  </w:tcBorders>
                  <w:noWrap w:val="0"/>
                  <w:vAlign w:val="center"/>
                </w:tcPr>
                <w:p w14:paraId="4EAEC67E">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员工</w:t>
                  </w:r>
                </w:p>
              </w:tc>
              <w:tc>
                <w:tcPr>
                  <w:tcW w:w="950" w:type="dxa"/>
                  <w:tcBorders>
                    <w:tl2br w:val="nil"/>
                    <w:tr2bl w:val="nil"/>
                  </w:tcBorders>
                  <w:noWrap w:val="0"/>
                  <w:vAlign w:val="center"/>
                </w:tcPr>
                <w:p w14:paraId="6EBE591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lang w:val="en-US"/>
                    </w:rPr>
                  </w:pPr>
                  <w:r>
                    <w:rPr>
                      <w:rFonts w:eastAsia="宋体"/>
                      <w:b w:val="0"/>
                      <w:bCs w:val="0"/>
                      <w:color w:val="auto"/>
                      <w:sz w:val="21"/>
                      <w:szCs w:val="21"/>
                      <w:highlight w:val="none"/>
                    </w:rPr>
                    <w:t>900-099-S64</w:t>
                  </w:r>
                </w:p>
              </w:tc>
              <w:tc>
                <w:tcPr>
                  <w:tcW w:w="1450" w:type="dxa"/>
                  <w:tcBorders>
                    <w:tl2br w:val="nil"/>
                    <w:tr2bl w:val="nil"/>
                  </w:tcBorders>
                  <w:noWrap w:val="0"/>
                  <w:vAlign w:val="center"/>
                </w:tcPr>
                <w:p w14:paraId="518F2AD1">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生活垃圾</w:t>
                  </w:r>
                </w:p>
              </w:tc>
              <w:tc>
                <w:tcPr>
                  <w:tcW w:w="994" w:type="dxa"/>
                  <w:tcBorders>
                    <w:tl2br w:val="nil"/>
                    <w:tr2bl w:val="nil"/>
                  </w:tcBorders>
                  <w:noWrap w:val="0"/>
                  <w:vAlign w:val="center"/>
                </w:tcPr>
                <w:p w14:paraId="38DE5A5F">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eastAsia="zh-CN"/>
                    </w:rPr>
                    <w:t>生活垃圾</w:t>
                  </w:r>
                </w:p>
              </w:tc>
              <w:tc>
                <w:tcPr>
                  <w:tcW w:w="889" w:type="dxa"/>
                  <w:tcBorders>
                    <w:tl2br w:val="nil"/>
                    <w:tr2bl w:val="nil"/>
                  </w:tcBorders>
                  <w:noWrap w:val="0"/>
                  <w:vAlign w:val="center"/>
                </w:tcPr>
                <w:p w14:paraId="7AD26970">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1.05</w:t>
                  </w:r>
                </w:p>
              </w:tc>
              <w:tc>
                <w:tcPr>
                  <w:tcW w:w="978" w:type="dxa"/>
                  <w:tcBorders>
                    <w:tl2br w:val="nil"/>
                    <w:tr2bl w:val="nil"/>
                  </w:tcBorders>
                  <w:noWrap w:val="0"/>
                  <w:vAlign w:val="center"/>
                </w:tcPr>
                <w:p w14:paraId="3F96CC71">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垃圾桶</w:t>
                  </w:r>
                </w:p>
              </w:tc>
              <w:tc>
                <w:tcPr>
                  <w:tcW w:w="978" w:type="dxa"/>
                  <w:tcBorders>
                    <w:tl2br w:val="nil"/>
                    <w:tr2bl w:val="nil"/>
                  </w:tcBorders>
                  <w:noWrap w:val="0"/>
                  <w:vAlign w:val="center"/>
                </w:tcPr>
                <w:p w14:paraId="29E3AB5B">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市政部门统一处理</w:t>
                  </w:r>
                </w:p>
              </w:tc>
              <w:tc>
                <w:tcPr>
                  <w:tcW w:w="985" w:type="dxa"/>
                  <w:tcBorders>
                    <w:tl2br w:val="nil"/>
                    <w:tr2bl w:val="nil"/>
                  </w:tcBorders>
                  <w:noWrap w:val="0"/>
                  <w:vAlign w:val="center"/>
                </w:tcPr>
                <w:p w14:paraId="6747821D">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1.05</w:t>
                  </w:r>
                </w:p>
              </w:tc>
            </w:tr>
            <w:tr w14:paraId="171F19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2" w:type="dxa"/>
                  <w:vMerge w:val="restart"/>
                  <w:tcBorders>
                    <w:tl2br w:val="nil"/>
                    <w:tr2bl w:val="nil"/>
                  </w:tcBorders>
                  <w:noWrap w:val="0"/>
                  <w:vAlign w:val="center"/>
                </w:tcPr>
                <w:p w14:paraId="5208097C">
                  <w:pPr>
                    <w:keepNext w:val="0"/>
                    <w:keepLines w:val="0"/>
                    <w:pageBreakBefore w:val="0"/>
                    <w:widowControl w:val="0"/>
                    <w:kinsoku/>
                    <w:wordWrap/>
                    <w:overflowPunct/>
                    <w:topLinePunct w:val="0"/>
                    <w:autoSpaceDE/>
                    <w:autoSpaceDN/>
                    <w:bidi w:val="0"/>
                    <w:ind w:left="0" w:leftChars="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生产加工</w:t>
                  </w:r>
                </w:p>
                <w:p w14:paraId="0FFAB6C2">
                  <w:pPr>
                    <w:keepNext w:val="0"/>
                    <w:keepLines w:val="0"/>
                    <w:pageBreakBefore w:val="0"/>
                    <w:widowControl w:val="0"/>
                    <w:kinsoku/>
                    <w:wordWrap/>
                    <w:overflowPunct/>
                    <w:topLinePunct w:val="0"/>
                    <w:autoSpaceDE/>
                    <w:autoSpaceDN/>
                    <w:bidi w:val="0"/>
                    <w:ind w:left="0" w:leftChars="0"/>
                    <w:jc w:val="center"/>
                    <w:textAlignment w:val="auto"/>
                    <w:rPr>
                      <w:rFonts w:hint="default" w:ascii="Times New Roman" w:hAnsi="Times New Roman" w:cs="Times New Roman"/>
                      <w:bCs/>
                      <w:color w:val="auto"/>
                      <w:sz w:val="21"/>
                      <w:szCs w:val="21"/>
                      <w:highlight w:val="none"/>
                      <w:lang w:val="en-US" w:eastAsia="zh-CN"/>
                    </w:rPr>
                  </w:pPr>
                </w:p>
              </w:tc>
              <w:tc>
                <w:tcPr>
                  <w:tcW w:w="950" w:type="dxa"/>
                  <w:tcBorders>
                    <w:tl2br w:val="nil"/>
                    <w:tr2bl w:val="nil"/>
                  </w:tcBorders>
                  <w:noWrap w:val="0"/>
                  <w:vAlign w:val="center"/>
                </w:tcPr>
                <w:p w14:paraId="0CBC6DE7">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eastAsia="宋体"/>
                      <w:b w:val="0"/>
                      <w:bCs w:val="0"/>
                      <w:color w:val="auto"/>
                      <w:sz w:val="21"/>
                      <w:szCs w:val="21"/>
                      <w:highlight w:val="none"/>
                    </w:rPr>
                  </w:pPr>
                  <w:r>
                    <w:rPr>
                      <w:rFonts w:eastAsia="宋体"/>
                      <w:b w:val="0"/>
                      <w:bCs w:val="0"/>
                      <w:color w:val="auto"/>
                      <w:sz w:val="21"/>
                      <w:szCs w:val="21"/>
                      <w:highlight w:val="none"/>
                    </w:rPr>
                    <w:t>900-099-S03</w:t>
                  </w:r>
                </w:p>
              </w:tc>
              <w:tc>
                <w:tcPr>
                  <w:tcW w:w="1450" w:type="dxa"/>
                  <w:tcBorders>
                    <w:tl2br w:val="nil"/>
                    <w:tr2bl w:val="nil"/>
                  </w:tcBorders>
                  <w:noWrap w:val="0"/>
                  <w:vAlign w:val="center"/>
                </w:tcPr>
                <w:p w14:paraId="0AE27867">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锅炉灰渣</w:t>
                  </w:r>
                </w:p>
              </w:tc>
              <w:tc>
                <w:tcPr>
                  <w:tcW w:w="994" w:type="dxa"/>
                  <w:tcBorders>
                    <w:tl2br w:val="nil"/>
                    <w:tr2bl w:val="nil"/>
                  </w:tcBorders>
                  <w:noWrap w:val="0"/>
                  <w:vAlign w:val="center"/>
                </w:tcPr>
                <w:p w14:paraId="7F66F8C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rPr>
                    <w:t>一般工业固体废物</w:t>
                  </w:r>
                </w:p>
              </w:tc>
              <w:tc>
                <w:tcPr>
                  <w:tcW w:w="889" w:type="dxa"/>
                  <w:tcBorders>
                    <w:tl2br w:val="nil"/>
                    <w:tr2bl w:val="nil"/>
                  </w:tcBorders>
                  <w:noWrap w:val="0"/>
                  <w:vAlign w:val="center"/>
                </w:tcPr>
                <w:p w14:paraId="6C19B20B">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133.19</w:t>
                  </w:r>
                </w:p>
              </w:tc>
              <w:tc>
                <w:tcPr>
                  <w:tcW w:w="978" w:type="dxa"/>
                  <w:tcBorders>
                    <w:tl2br w:val="nil"/>
                    <w:tr2bl w:val="nil"/>
                  </w:tcBorders>
                  <w:noWrap w:val="0"/>
                  <w:vAlign w:val="center"/>
                </w:tcPr>
                <w:p w14:paraId="3EC49062">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外售综合利用</w:t>
                  </w:r>
                </w:p>
              </w:tc>
              <w:tc>
                <w:tcPr>
                  <w:tcW w:w="978" w:type="dxa"/>
                  <w:tcBorders>
                    <w:tl2br w:val="nil"/>
                    <w:tr2bl w:val="nil"/>
                  </w:tcBorders>
                  <w:noWrap w:val="0"/>
                  <w:vAlign w:val="center"/>
                </w:tcPr>
                <w:p w14:paraId="244C383E">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外售综合利用</w:t>
                  </w:r>
                </w:p>
              </w:tc>
              <w:tc>
                <w:tcPr>
                  <w:tcW w:w="985" w:type="dxa"/>
                  <w:tcBorders>
                    <w:tl2br w:val="nil"/>
                    <w:tr2bl w:val="nil"/>
                  </w:tcBorders>
                  <w:noWrap w:val="0"/>
                  <w:vAlign w:val="center"/>
                </w:tcPr>
                <w:p w14:paraId="0CCFAA37">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133.19</w:t>
                  </w:r>
                </w:p>
              </w:tc>
            </w:tr>
            <w:tr w14:paraId="21A7B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722" w:type="dxa"/>
                  <w:vMerge w:val="continue"/>
                  <w:tcBorders>
                    <w:tl2br w:val="nil"/>
                    <w:tr2bl w:val="nil"/>
                  </w:tcBorders>
                  <w:noWrap w:val="0"/>
                  <w:vAlign w:val="center"/>
                </w:tcPr>
                <w:p w14:paraId="58A49B06">
                  <w:pPr>
                    <w:keepNext w:val="0"/>
                    <w:keepLines w:val="0"/>
                    <w:pageBreakBefore w:val="0"/>
                    <w:widowControl w:val="0"/>
                    <w:kinsoku/>
                    <w:wordWrap/>
                    <w:overflowPunct/>
                    <w:topLinePunct w:val="0"/>
                    <w:autoSpaceDE/>
                    <w:autoSpaceDN/>
                    <w:bidi w:val="0"/>
                    <w:ind w:left="0" w:leftChars="0"/>
                    <w:jc w:val="center"/>
                    <w:textAlignment w:val="auto"/>
                    <w:rPr>
                      <w:rFonts w:hint="default" w:ascii="Times New Roman" w:hAnsi="Times New Roman" w:cs="Times New Roman"/>
                      <w:bCs/>
                      <w:color w:val="auto"/>
                      <w:sz w:val="21"/>
                      <w:szCs w:val="21"/>
                      <w:highlight w:val="none"/>
                      <w:lang w:val="en-US" w:eastAsia="zh-CN"/>
                    </w:rPr>
                  </w:pPr>
                </w:p>
              </w:tc>
              <w:tc>
                <w:tcPr>
                  <w:tcW w:w="950" w:type="dxa"/>
                  <w:tcBorders>
                    <w:tl2br w:val="nil"/>
                    <w:tr2bl w:val="nil"/>
                  </w:tcBorders>
                  <w:noWrap w:val="0"/>
                  <w:vAlign w:val="center"/>
                </w:tcPr>
                <w:p w14:paraId="2F7E9657">
                  <w:pPr>
                    <w:keepNext w:val="0"/>
                    <w:keepLines w:val="0"/>
                    <w:pageBreakBefore w:val="0"/>
                    <w:widowControl w:val="0"/>
                    <w:kinsoku/>
                    <w:wordWrap/>
                    <w:overflowPunct/>
                    <w:topLinePunct w:val="0"/>
                    <w:autoSpaceDE/>
                    <w:autoSpaceDN/>
                    <w:bidi w:val="0"/>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b w:val="0"/>
                      <w:bCs w:val="0"/>
                      <w:color w:val="auto"/>
                      <w:sz w:val="21"/>
                      <w:szCs w:val="21"/>
                      <w:highlight w:val="none"/>
                    </w:rPr>
                    <w:t>900-099-S16</w:t>
                  </w:r>
                </w:p>
              </w:tc>
              <w:tc>
                <w:tcPr>
                  <w:tcW w:w="1450" w:type="dxa"/>
                  <w:tcBorders>
                    <w:tl2br w:val="nil"/>
                    <w:tr2bl w:val="nil"/>
                  </w:tcBorders>
                  <w:noWrap w:val="0"/>
                  <w:vAlign w:val="center"/>
                </w:tcPr>
                <w:p w14:paraId="15D01C2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布袋除尘器收尘</w:t>
                  </w:r>
                </w:p>
              </w:tc>
              <w:tc>
                <w:tcPr>
                  <w:tcW w:w="994" w:type="dxa"/>
                  <w:tcBorders>
                    <w:tl2br w:val="nil"/>
                    <w:tr2bl w:val="nil"/>
                  </w:tcBorders>
                  <w:noWrap w:val="0"/>
                  <w:vAlign w:val="center"/>
                </w:tcPr>
                <w:p w14:paraId="6D6482A0">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一般工业固体废物</w:t>
                  </w:r>
                </w:p>
              </w:tc>
              <w:tc>
                <w:tcPr>
                  <w:tcW w:w="889" w:type="dxa"/>
                  <w:tcBorders>
                    <w:tl2br w:val="nil"/>
                    <w:tr2bl w:val="nil"/>
                  </w:tcBorders>
                  <w:noWrap w:val="0"/>
                  <w:vAlign w:val="center"/>
                </w:tcPr>
                <w:p w14:paraId="3F6B2275">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49.7601</w:t>
                  </w:r>
                </w:p>
              </w:tc>
              <w:tc>
                <w:tcPr>
                  <w:tcW w:w="978" w:type="dxa"/>
                  <w:tcBorders>
                    <w:tl2br w:val="nil"/>
                    <w:tr2bl w:val="nil"/>
                  </w:tcBorders>
                  <w:noWrap w:val="0"/>
                  <w:vAlign w:val="center"/>
                </w:tcPr>
                <w:p w14:paraId="3C899CB0">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lang w:val="en-US"/>
                    </w:rPr>
                  </w:pPr>
                  <w:r>
                    <w:rPr>
                      <w:rFonts w:hint="eastAsia" w:cs="Times New Roman"/>
                      <w:bCs/>
                      <w:color w:val="auto"/>
                      <w:sz w:val="21"/>
                      <w:szCs w:val="21"/>
                      <w:highlight w:val="none"/>
                      <w:lang w:val="en-US" w:eastAsia="zh-CN"/>
                    </w:rPr>
                    <w:t>回用于生产</w:t>
                  </w:r>
                </w:p>
              </w:tc>
              <w:tc>
                <w:tcPr>
                  <w:tcW w:w="978" w:type="dxa"/>
                  <w:tcBorders>
                    <w:tl2br w:val="nil"/>
                    <w:tr2bl w:val="nil"/>
                  </w:tcBorders>
                  <w:noWrap w:val="0"/>
                  <w:vAlign w:val="center"/>
                </w:tcPr>
                <w:p w14:paraId="27439CA5">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回用于生产</w:t>
                  </w:r>
                </w:p>
              </w:tc>
              <w:tc>
                <w:tcPr>
                  <w:tcW w:w="985" w:type="dxa"/>
                  <w:tcBorders>
                    <w:tl2br w:val="nil"/>
                    <w:tr2bl w:val="nil"/>
                  </w:tcBorders>
                  <w:noWrap w:val="0"/>
                  <w:vAlign w:val="center"/>
                </w:tcPr>
                <w:p w14:paraId="3044BE8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49.7601</w:t>
                  </w:r>
                </w:p>
              </w:tc>
            </w:tr>
            <w:tr w14:paraId="63E99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722" w:type="dxa"/>
                  <w:vMerge w:val="continue"/>
                  <w:tcBorders>
                    <w:tl2br w:val="nil"/>
                    <w:tr2bl w:val="nil"/>
                  </w:tcBorders>
                  <w:noWrap w:val="0"/>
                  <w:vAlign w:val="center"/>
                </w:tcPr>
                <w:p w14:paraId="5BDCFE1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eastAsia="zh-CN"/>
                    </w:rPr>
                  </w:pPr>
                </w:p>
              </w:tc>
              <w:tc>
                <w:tcPr>
                  <w:tcW w:w="950" w:type="dxa"/>
                  <w:tcBorders>
                    <w:tl2br w:val="nil"/>
                    <w:tr2bl w:val="nil"/>
                  </w:tcBorders>
                  <w:noWrap w:val="0"/>
                  <w:vAlign w:val="center"/>
                </w:tcPr>
                <w:p w14:paraId="5C0E31E9">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eastAsia="zh-CN"/>
                    </w:rPr>
                  </w:pPr>
                  <w:r>
                    <w:rPr>
                      <w:rFonts w:hint="eastAsia" w:eastAsia="宋体"/>
                      <w:b w:val="0"/>
                      <w:bCs w:val="0"/>
                      <w:color w:val="auto"/>
                      <w:sz w:val="21"/>
                      <w:szCs w:val="21"/>
                      <w:highlight w:val="none"/>
                    </w:rPr>
                    <w:t>900-099-S59</w:t>
                  </w:r>
                </w:p>
              </w:tc>
              <w:tc>
                <w:tcPr>
                  <w:tcW w:w="1450" w:type="dxa"/>
                  <w:tcBorders>
                    <w:tl2br w:val="nil"/>
                    <w:tr2bl w:val="nil"/>
                  </w:tcBorders>
                  <w:noWrap w:val="0"/>
                  <w:vAlign w:val="center"/>
                </w:tcPr>
                <w:p w14:paraId="072DBCDC">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废布袋</w:t>
                  </w:r>
                </w:p>
              </w:tc>
              <w:tc>
                <w:tcPr>
                  <w:tcW w:w="994" w:type="dxa"/>
                  <w:tcBorders>
                    <w:tl2br w:val="nil"/>
                    <w:tr2bl w:val="nil"/>
                  </w:tcBorders>
                  <w:noWrap w:val="0"/>
                  <w:vAlign w:val="center"/>
                </w:tcPr>
                <w:p w14:paraId="61DD0E2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rPr>
                    <w:t>一般工业固体废物</w:t>
                  </w:r>
                </w:p>
              </w:tc>
              <w:tc>
                <w:tcPr>
                  <w:tcW w:w="889" w:type="dxa"/>
                  <w:tcBorders>
                    <w:tl2br w:val="nil"/>
                    <w:tr2bl w:val="nil"/>
                  </w:tcBorders>
                  <w:noWrap w:val="0"/>
                  <w:vAlign w:val="center"/>
                </w:tcPr>
                <w:p w14:paraId="73A541A9">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0.01</w:t>
                  </w:r>
                </w:p>
              </w:tc>
              <w:tc>
                <w:tcPr>
                  <w:tcW w:w="978" w:type="dxa"/>
                  <w:tcBorders>
                    <w:tl2br w:val="nil"/>
                    <w:tr2bl w:val="nil"/>
                  </w:tcBorders>
                  <w:noWrap w:val="0"/>
                  <w:vAlign w:val="center"/>
                </w:tcPr>
                <w:p w14:paraId="448C1EE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eastAsia="zh-CN"/>
                    </w:rPr>
                  </w:pPr>
                  <w:r>
                    <w:rPr>
                      <w:rFonts w:hint="eastAsia" w:cs="Times New Roman"/>
                      <w:bCs/>
                      <w:color w:val="auto"/>
                      <w:spacing w:val="0"/>
                      <w:sz w:val="21"/>
                      <w:szCs w:val="21"/>
                      <w:highlight w:val="none"/>
                      <w:lang w:val="en-US" w:eastAsia="zh-CN"/>
                    </w:rPr>
                    <w:t>由生产厂家回收</w:t>
                  </w:r>
                </w:p>
              </w:tc>
              <w:tc>
                <w:tcPr>
                  <w:tcW w:w="978" w:type="dxa"/>
                  <w:tcBorders>
                    <w:tl2br w:val="nil"/>
                    <w:tr2bl w:val="nil"/>
                  </w:tcBorders>
                  <w:noWrap w:val="0"/>
                  <w:vAlign w:val="center"/>
                </w:tcPr>
                <w:p w14:paraId="15FB44E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
                      <w:bCs w:val="0"/>
                      <w:color w:val="auto"/>
                      <w:sz w:val="21"/>
                      <w:szCs w:val="21"/>
                      <w:highlight w:val="none"/>
                      <w:lang w:eastAsia="zh-CN"/>
                    </w:rPr>
                  </w:pPr>
                  <w:r>
                    <w:rPr>
                      <w:rFonts w:hint="eastAsia" w:cs="Times New Roman"/>
                      <w:bCs/>
                      <w:color w:val="auto"/>
                      <w:spacing w:val="0"/>
                      <w:sz w:val="21"/>
                      <w:szCs w:val="21"/>
                      <w:highlight w:val="none"/>
                      <w:lang w:val="en-US" w:eastAsia="zh-CN"/>
                    </w:rPr>
                    <w:t>由生产厂家回收</w:t>
                  </w:r>
                </w:p>
              </w:tc>
              <w:tc>
                <w:tcPr>
                  <w:tcW w:w="985" w:type="dxa"/>
                  <w:tcBorders>
                    <w:tl2br w:val="nil"/>
                    <w:tr2bl w:val="nil"/>
                  </w:tcBorders>
                  <w:noWrap w:val="0"/>
                  <w:vAlign w:val="center"/>
                </w:tcPr>
                <w:p w14:paraId="0A738B4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0.01</w:t>
                  </w:r>
                </w:p>
              </w:tc>
            </w:tr>
            <w:tr w14:paraId="09028E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2" w:type="dxa"/>
                  <w:vMerge w:val="continue"/>
                  <w:tcBorders>
                    <w:tl2br w:val="nil"/>
                    <w:tr2bl w:val="nil"/>
                  </w:tcBorders>
                  <w:noWrap w:val="0"/>
                  <w:vAlign w:val="center"/>
                </w:tcPr>
                <w:p w14:paraId="393AC2FD">
                  <w:pPr>
                    <w:keepNext w:val="0"/>
                    <w:keepLines w:val="0"/>
                    <w:pageBreakBefore w:val="0"/>
                    <w:widowControl w:val="0"/>
                    <w:kinsoku/>
                    <w:wordWrap/>
                    <w:overflowPunct/>
                    <w:topLinePunct w:val="0"/>
                    <w:autoSpaceDE/>
                    <w:autoSpaceDN/>
                    <w:bidi w:val="0"/>
                    <w:ind w:left="0" w:leftChars="0"/>
                    <w:jc w:val="center"/>
                    <w:textAlignment w:val="auto"/>
                    <w:rPr>
                      <w:rFonts w:hint="default" w:ascii="Times New Roman" w:hAnsi="Times New Roman" w:cs="Times New Roman"/>
                      <w:bCs/>
                      <w:color w:val="auto"/>
                      <w:sz w:val="21"/>
                      <w:szCs w:val="21"/>
                      <w:highlight w:val="none"/>
                      <w:lang w:val="en-US" w:eastAsia="zh-CN"/>
                    </w:rPr>
                  </w:pPr>
                </w:p>
              </w:tc>
              <w:tc>
                <w:tcPr>
                  <w:tcW w:w="950" w:type="dxa"/>
                  <w:tcBorders>
                    <w:tl2br w:val="nil"/>
                    <w:tr2bl w:val="nil"/>
                  </w:tcBorders>
                  <w:noWrap w:val="0"/>
                  <w:vAlign w:val="center"/>
                </w:tcPr>
                <w:p w14:paraId="67C41916">
                  <w:pPr>
                    <w:keepNext w:val="0"/>
                    <w:keepLines w:val="0"/>
                    <w:pageBreakBefore w:val="0"/>
                    <w:widowControl w:val="0"/>
                    <w:kinsoku/>
                    <w:wordWrap/>
                    <w:overflowPunct/>
                    <w:topLinePunct w:val="0"/>
                    <w:autoSpaceDE/>
                    <w:autoSpaceDN/>
                    <w:bidi w:val="0"/>
                    <w:ind w:left="0" w:lef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900-009-S59</w:t>
                  </w:r>
                </w:p>
              </w:tc>
              <w:tc>
                <w:tcPr>
                  <w:tcW w:w="1450" w:type="dxa"/>
                  <w:tcBorders>
                    <w:tl2br w:val="nil"/>
                    <w:tr2bl w:val="nil"/>
                  </w:tcBorders>
                  <w:noWrap w:val="0"/>
                  <w:vAlign w:val="center"/>
                </w:tcPr>
                <w:p w14:paraId="1114CFFD">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废离子交换树脂</w:t>
                  </w:r>
                </w:p>
              </w:tc>
              <w:tc>
                <w:tcPr>
                  <w:tcW w:w="994" w:type="dxa"/>
                  <w:tcBorders>
                    <w:tl2br w:val="nil"/>
                    <w:tr2bl w:val="nil"/>
                  </w:tcBorders>
                  <w:noWrap w:val="0"/>
                  <w:vAlign w:val="center"/>
                </w:tcPr>
                <w:p w14:paraId="7132E97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一般工业固体废物</w:t>
                  </w:r>
                </w:p>
              </w:tc>
              <w:tc>
                <w:tcPr>
                  <w:tcW w:w="889" w:type="dxa"/>
                  <w:tcBorders>
                    <w:tl2br w:val="nil"/>
                    <w:tr2bl w:val="nil"/>
                  </w:tcBorders>
                  <w:noWrap w:val="0"/>
                  <w:vAlign w:val="center"/>
                </w:tcPr>
                <w:p w14:paraId="225326D9">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0.02</w:t>
                  </w:r>
                </w:p>
              </w:tc>
              <w:tc>
                <w:tcPr>
                  <w:tcW w:w="978" w:type="dxa"/>
                  <w:tcBorders>
                    <w:tl2br w:val="nil"/>
                    <w:tr2bl w:val="nil"/>
                  </w:tcBorders>
                  <w:noWrap w:val="0"/>
                  <w:vAlign w:val="center"/>
                </w:tcPr>
                <w:p w14:paraId="42405D2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lang w:val="en-US" w:eastAsia="zh-CN"/>
                    </w:rPr>
                  </w:pPr>
                  <w:r>
                    <w:rPr>
                      <w:rFonts w:hint="eastAsia" w:cs="Times New Roman"/>
                      <w:bCs/>
                      <w:color w:val="auto"/>
                      <w:spacing w:val="0"/>
                      <w:sz w:val="21"/>
                      <w:szCs w:val="21"/>
                      <w:highlight w:val="none"/>
                      <w:lang w:val="en-US" w:eastAsia="zh-CN"/>
                    </w:rPr>
                    <w:t>由生产厂家回收</w:t>
                  </w:r>
                </w:p>
              </w:tc>
              <w:tc>
                <w:tcPr>
                  <w:tcW w:w="978" w:type="dxa"/>
                  <w:tcBorders>
                    <w:tl2br w:val="nil"/>
                    <w:tr2bl w:val="nil"/>
                  </w:tcBorders>
                  <w:noWrap w:val="0"/>
                  <w:vAlign w:val="center"/>
                </w:tcPr>
                <w:p w14:paraId="402FB650">
                  <w:pPr>
                    <w:jc w:val="center"/>
                    <w:rPr>
                      <w:rFonts w:hint="default" w:cs="Times New Roman"/>
                      <w:bCs/>
                      <w:color w:val="auto"/>
                      <w:sz w:val="21"/>
                      <w:szCs w:val="21"/>
                      <w:highlight w:val="none"/>
                      <w:lang w:val="en-US" w:eastAsia="zh-CN"/>
                    </w:rPr>
                  </w:pPr>
                  <w:r>
                    <w:rPr>
                      <w:rFonts w:hint="eastAsia" w:cs="Times New Roman"/>
                      <w:bCs/>
                      <w:color w:val="auto"/>
                      <w:spacing w:val="0"/>
                      <w:sz w:val="21"/>
                      <w:szCs w:val="21"/>
                      <w:highlight w:val="none"/>
                      <w:lang w:val="en-US" w:eastAsia="zh-CN"/>
                    </w:rPr>
                    <w:t>由生产厂家回收</w:t>
                  </w:r>
                </w:p>
              </w:tc>
              <w:tc>
                <w:tcPr>
                  <w:tcW w:w="985" w:type="dxa"/>
                  <w:tcBorders>
                    <w:tl2br w:val="nil"/>
                    <w:tr2bl w:val="nil"/>
                  </w:tcBorders>
                  <w:noWrap w:val="0"/>
                  <w:vAlign w:val="center"/>
                </w:tcPr>
                <w:p w14:paraId="6EC7616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0.02</w:t>
                  </w:r>
                </w:p>
              </w:tc>
            </w:tr>
            <w:tr w14:paraId="383BA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2" w:type="dxa"/>
                  <w:vMerge w:val="continue"/>
                  <w:tcBorders>
                    <w:tl2br w:val="nil"/>
                    <w:tr2bl w:val="nil"/>
                  </w:tcBorders>
                  <w:noWrap w:val="0"/>
                  <w:vAlign w:val="center"/>
                </w:tcPr>
                <w:p w14:paraId="2987A403">
                  <w:pPr>
                    <w:keepNext w:val="0"/>
                    <w:keepLines w:val="0"/>
                    <w:pageBreakBefore w:val="0"/>
                    <w:widowControl w:val="0"/>
                    <w:kinsoku/>
                    <w:wordWrap/>
                    <w:overflowPunct/>
                    <w:topLinePunct w:val="0"/>
                    <w:autoSpaceDE/>
                    <w:autoSpaceDN/>
                    <w:bidi w:val="0"/>
                    <w:ind w:left="0" w:leftChars="0"/>
                    <w:jc w:val="center"/>
                    <w:textAlignment w:val="auto"/>
                    <w:rPr>
                      <w:rFonts w:hint="default" w:ascii="Times New Roman" w:hAnsi="Times New Roman" w:cs="Times New Roman"/>
                      <w:bCs/>
                      <w:color w:val="auto"/>
                      <w:sz w:val="21"/>
                      <w:szCs w:val="21"/>
                      <w:highlight w:val="none"/>
                      <w:lang w:val="en-US" w:eastAsia="zh-CN"/>
                    </w:rPr>
                  </w:pPr>
                </w:p>
              </w:tc>
              <w:tc>
                <w:tcPr>
                  <w:tcW w:w="950" w:type="dxa"/>
                  <w:tcBorders>
                    <w:tl2br w:val="nil"/>
                    <w:tr2bl w:val="nil"/>
                  </w:tcBorders>
                  <w:noWrap w:val="0"/>
                  <w:vAlign w:val="center"/>
                </w:tcPr>
                <w:p w14:paraId="3B670165">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900-001-S17</w:t>
                  </w:r>
                </w:p>
              </w:tc>
              <w:tc>
                <w:tcPr>
                  <w:tcW w:w="1450" w:type="dxa"/>
                  <w:tcBorders>
                    <w:tl2br w:val="nil"/>
                    <w:tr2bl w:val="nil"/>
                  </w:tcBorders>
                  <w:noWrap w:val="0"/>
                  <w:vAlign w:val="center"/>
                </w:tcPr>
                <w:p w14:paraId="324B6256">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废钢筋头</w:t>
                  </w:r>
                </w:p>
              </w:tc>
              <w:tc>
                <w:tcPr>
                  <w:tcW w:w="994" w:type="dxa"/>
                  <w:tcBorders>
                    <w:tl2br w:val="nil"/>
                    <w:tr2bl w:val="nil"/>
                  </w:tcBorders>
                  <w:noWrap w:val="0"/>
                  <w:vAlign w:val="center"/>
                </w:tcPr>
                <w:p w14:paraId="6D69F2D7">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一般工业固体废物</w:t>
                  </w:r>
                </w:p>
              </w:tc>
              <w:tc>
                <w:tcPr>
                  <w:tcW w:w="889" w:type="dxa"/>
                  <w:tcBorders>
                    <w:tl2br w:val="nil"/>
                    <w:tr2bl w:val="nil"/>
                  </w:tcBorders>
                  <w:noWrap w:val="0"/>
                  <w:vAlign w:val="center"/>
                </w:tcPr>
                <w:p w14:paraId="54D59BE7">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0.466</w:t>
                  </w:r>
                </w:p>
              </w:tc>
              <w:tc>
                <w:tcPr>
                  <w:tcW w:w="978" w:type="dxa"/>
                  <w:tcBorders>
                    <w:tl2br w:val="nil"/>
                    <w:tr2bl w:val="nil"/>
                  </w:tcBorders>
                  <w:noWrap w:val="0"/>
                  <w:vAlign w:val="center"/>
                </w:tcPr>
                <w:p w14:paraId="1B6052B0">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外售综合利用</w:t>
                  </w:r>
                </w:p>
              </w:tc>
              <w:tc>
                <w:tcPr>
                  <w:tcW w:w="978" w:type="dxa"/>
                  <w:tcBorders>
                    <w:tl2br w:val="nil"/>
                    <w:tr2bl w:val="nil"/>
                  </w:tcBorders>
                  <w:noWrap w:val="0"/>
                  <w:vAlign w:val="center"/>
                </w:tcPr>
                <w:p w14:paraId="3DF466D1">
                  <w:pPr>
                    <w:jc w:val="center"/>
                    <w:rPr>
                      <w:rFonts w:hint="default"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外售综合利用</w:t>
                  </w:r>
                </w:p>
              </w:tc>
              <w:tc>
                <w:tcPr>
                  <w:tcW w:w="985" w:type="dxa"/>
                  <w:tcBorders>
                    <w:tl2br w:val="nil"/>
                    <w:tr2bl w:val="nil"/>
                  </w:tcBorders>
                  <w:noWrap w:val="0"/>
                  <w:vAlign w:val="center"/>
                </w:tcPr>
                <w:p w14:paraId="347A719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0.466</w:t>
                  </w:r>
                </w:p>
              </w:tc>
            </w:tr>
            <w:tr w14:paraId="698FF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2" w:type="dxa"/>
                  <w:vMerge w:val="continue"/>
                  <w:tcBorders>
                    <w:tl2br w:val="nil"/>
                    <w:tr2bl w:val="nil"/>
                  </w:tcBorders>
                  <w:noWrap w:val="0"/>
                  <w:vAlign w:val="center"/>
                </w:tcPr>
                <w:p w14:paraId="553A4FCF">
                  <w:pPr>
                    <w:keepNext w:val="0"/>
                    <w:keepLines w:val="0"/>
                    <w:pageBreakBefore w:val="0"/>
                    <w:widowControl w:val="0"/>
                    <w:kinsoku/>
                    <w:wordWrap/>
                    <w:overflowPunct/>
                    <w:topLinePunct w:val="0"/>
                    <w:autoSpaceDE/>
                    <w:autoSpaceDN/>
                    <w:bidi w:val="0"/>
                    <w:ind w:left="0" w:leftChars="0"/>
                    <w:jc w:val="center"/>
                    <w:textAlignment w:val="auto"/>
                    <w:rPr>
                      <w:rFonts w:hint="default" w:ascii="Times New Roman" w:hAnsi="Times New Roman" w:cs="Times New Roman"/>
                      <w:bCs/>
                      <w:color w:val="auto"/>
                      <w:sz w:val="21"/>
                      <w:szCs w:val="21"/>
                      <w:highlight w:val="none"/>
                      <w:lang w:val="en-US" w:eastAsia="zh-CN"/>
                    </w:rPr>
                  </w:pPr>
                </w:p>
              </w:tc>
              <w:tc>
                <w:tcPr>
                  <w:tcW w:w="950" w:type="dxa"/>
                  <w:tcBorders>
                    <w:tl2br w:val="nil"/>
                    <w:tr2bl w:val="nil"/>
                  </w:tcBorders>
                  <w:noWrap w:val="0"/>
                  <w:vAlign w:val="center"/>
                </w:tcPr>
                <w:p w14:paraId="5B25E582">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color w:val="auto"/>
                      <w:sz w:val="21"/>
                      <w:szCs w:val="21"/>
                      <w:highlight w:val="none"/>
                      <w:lang w:val="en-US" w:eastAsia="zh-CN"/>
                    </w:rPr>
                  </w:pPr>
                  <w:r>
                    <w:rPr>
                      <w:rFonts w:hint="eastAsia" w:eastAsia="宋体"/>
                      <w:b w:val="0"/>
                      <w:bCs w:val="0"/>
                      <w:color w:val="auto"/>
                      <w:sz w:val="21"/>
                      <w:szCs w:val="21"/>
                      <w:highlight w:val="none"/>
                    </w:rPr>
                    <w:t>900-099-S16</w:t>
                  </w:r>
                </w:p>
              </w:tc>
              <w:tc>
                <w:tcPr>
                  <w:tcW w:w="1450" w:type="dxa"/>
                  <w:tcBorders>
                    <w:tl2br w:val="nil"/>
                    <w:tr2bl w:val="nil"/>
                  </w:tcBorders>
                  <w:noWrap w:val="0"/>
                  <w:vAlign w:val="center"/>
                </w:tcPr>
                <w:p w14:paraId="22943087">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沉淀池泥沙</w:t>
                  </w:r>
                </w:p>
              </w:tc>
              <w:tc>
                <w:tcPr>
                  <w:tcW w:w="994" w:type="dxa"/>
                  <w:tcBorders>
                    <w:tl2br w:val="nil"/>
                    <w:tr2bl w:val="nil"/>
                  </w:tcBorders>
                  <w:noWrap w:val="0"/>
                  <w:vAlign w:val="center"/>
                </w:tcPr>
                <w:p w14:paraId="614ACDB5">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一般工业固体废物</w:t>
                  </w:r>
                </w:p>
              </w:tc>
              <w:tc>
                <w:tcPr>
                  <w:tcW w:w="889" w:type="dxa"/>
                  <w:tcBorders>
                    <w:tl2br w:val="nil"/>
                    <w:tr2bl w:val="nil"/>
                  </w:tcBorders>
                  <w:noWrap w:val="0"/>
                  <w:vAlign w:val="center"/>
                </w:tcPr>
                <w:p w14:paraId="4E6F6048">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1.26</w:t>
                  </w:r>
                </w:p>
              </w:tc>
              <w:tc>
                <w:tcPr>
                  <w:tcW w:w="978" w:type="dxa"/>
                  <w:tcBorders>
                    <w:tl2br w:val="nil"/>
                    <w:tr2bl w:val="nil"/>
                  </w:tcBorders>
                  <w:noWrap w:val="0"/>
                  <w:vAlign w:val="center"/>
                </w:tcPr>
                <w:p w14:paraId="6893205B">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外售综合利用</w:t>
                  </w:r>
                </w:p>
              </w:tc>
              <w:tc>
                <w:tcPr>
                  <w:tcW w:w="978" w:type="dxa"/>
                  <w:tcBorders>
                    <w:tl2br w:val="nil"/>
                    <w:tr2bl w:val="nil"/>
                  </w:tcBorders>
                  <w:noWrap w:val="0"/>
                  <w:vAlign w:val="center"/>
                </w:tcPr>
                <w:p w14:paraId="52A0DEDD">
                  <w:pPr>
                    <w:jc w:val="center"/>
                    <w:rPr>
                      <w:rFonts w:hint="eastAsia"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外售综合利用</w:t>
                  </w:r>
                </w:p>
              </w:tc>
              <w:tc>
                <w:tcPr>
                  <w:tcW w:w="985" w:type="dxa"/>
                  <w:tcBorders>
                    <w:tl2br w:val="nil"/>
                    <w:tr2bl w:val="nil"/>
                  </w:tcBorders>
                  <w:noWrap w:val="0"/>
                  <w:vAlign w:val="center"/>
                </w:tcPr>
                <w:p w14:paraId="40715C58">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1.26</w:t>
                  </w:r>
                </w:p>
              </w:tc>
            </w:tr>
          </w:tbl>
          <w:p w14:paraId="76AB2FA8">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b/>
                <w:color w:val="auto"/>
                <w:sz w:val="24"/>
                <w:szCs w:val="24"/>
                <w:highlight w:val="none"/>
              </w:rPr>
            </w:pPr>
            <w:r>
              <w:rPr>
                <w:rFonts w:hint="eastAsia" w:ascii="Times New Roman" w:hAnsi="Times New Roman" w:eastAsia="宋体" w:cs="Times New Roman"/>
                <w:b/>
                <w:color w:val="auto"/>
                <w:sz w:val="24"/>
                <w:szCs w:val="24"/>
                <w:highlight w:val="none"/>
              </w:rPr>
              <w:t>表4-</w:t>
            </w:r>
            <w:r>
              <w:rPr>
                <w:rFonts w:hint="eastAsia" w:ascii="Times New Roman" w:hAnsi="Times New Roman" w:eastAsia="宋体" w:cs="Times New Roman"/>
                <w:b/>
                <w:color w:val="auto"/>
                <w:sz w:val="24"/>
                <w:szCs w:val="24"/>
                <w:highlight w:val="none"/>
                <w:lang w:val="en-US" w:eastAsia="zh-CN"/>
              </w:rPr>
              <w:t xml:space="preserve">10  </w:t>
            </w:r>
            <w:r>
              <w:rPr>
                <w:rFonts w:hint="eastAsia" w:ascii="Times New Roman" w:hAnsi="Times New Roman" w:eastAsia="宋体" w:cs="Times New Roman"/>
                <w:b/>
                <w:color w:val="auto"/>
                <w:sz w:val="24"/>
                <w:szCs w:val="24"/>
                <w:highlight w:val="none"/>
                <w:lang w:val="zh-CN"/>
              </w:rPr>
              <w:t>本</w:t>
            </w:r>
            <w:r>
              <w:rPr>
                <w:rFonts w:hint="eastAsia" w:ascii="Times New Roman" w:hAnsi="Times New Roman" w:eastAsia="宋体" w:cs="Times New Roman"/>
                <w:b/>
                <w:color w:val="auto"/>
                <w:sz w:val="24"/>
                <w:szCs w:val="24"/>
                <w:highlight w:val="none"/>
              </w:rPr>
              <w:t>项目危险废物汇总表</w:t>
            </w:r>
          </w:p>
          <w:tbl>
            <w:tblPr>
              <w:tblStyle w:val="31"/>
              <w:tblW w:w="499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8"/>
              <w:gridCol w:w="1031"/>
              <w:gridCol w:w="778"/>
              <w:gridCol w:w="1238"/>
              <w:gridCol w:w="717"/>
              <w:gridCol w:w="729"/>
              <w:gridCol w:w="650"/>
              <w:gridCol w:w="778"/>
              <w:gridCol w:w="722"/>
              <w:gridCol w:w="892"/>
            </w:tblGrid>
            <w:tr w14:paraId="266992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0" w:type="pct"/>
                  <w:noWrap w:val="0"/>
                  <w:vAlign w:val="center"/>
                </w:tcPr>
                <w:p w14:paraId="008152E2">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序号</w:t>
                  </w:r>
                </w:p>
              </w:tc>
              <w:tc>
                <w:tcPr>
                  <w:tcW w:w="649" w:type="pct"/>
                  <w:noWrap w:val="0"/>
                  <w:vAlign w:val="center"/>
                </w:tcPr>
                <w:p w14:paraId="159F296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危险废物名称</w:t>
                  </w:r>
                </w:p>
              </w:tc>
              <w:tc>
                <w:tcPr>
                  <w:tcW w:w="490" w:type="pct"/>
                  <w:noWrap w:val="0"/>
                  <w:vAlign w:val="center"/>
                </w:tcPr>
                <w:p w14:paraId="4FF03DDC">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危险废物类别</w:t>
                  </w:r>
                </w:p>
              </w:tc>
              <w:tc>
                <w:tcPr>
                  <w:tcW w:w="780" w:type="pct"/>
                  <w:noWrap w:val="0"/>
                  <w:vAlign w:val="center"/>
                </w:tcPr>
                <w:p w14:paraId="166E138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危险废物代码</w:t>
                  </w:r>
                </w:p>
              </w:tc>
              <w:tc>
                <w:tcPr>
                  <w:tcW w:w="451" w:type="pct"/>
                  <w:noWrap w:val="0"/>
                  <w:vAlign w:val="center"/>
                </w:tcPr>
                <w:p w14:paraId="3B21D6E0">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产生量t/a</w:t>
                  </w:r>
                </w:p>
              </w:tc>
              <w:tc>
                <w:tcPr>
                  <w:tcW w:w="459" w:type="pct"/>
                  <w:noWrap w:val="0"/>
                  <w:vAlign w:val="center"/>
                </w:tcPr>
                <w:p w14:paraId="73075BEE">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产生工序及装置</w:t>
                  </w:r>
                </w:p>
              </w:tc>
              <w:tc>
                <w:tcPr>
                  <w:tcW w:w="409" w:type="pct"/>
                  <w:noWrap w:val="0"/>
                  <w:vAlign w:val="center"/>
                </w:tcPr>
                <w:p w14:paraId="01A4C77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形态</w:t>
                  </w:r>
                </w:p>
              </w:tc>
              <w:tc>
                <w:tcPr>
                  <w:tcW w:w="490" w:type="pct"/>
                  <w:noWrap w:val="0"/>
                  <w:vAlign w:val="center"/>
                </w:tcPr>
                <w:p w14:paraId="02EE149F">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产生周期</w:t>
                  </w:r>
                </w:p>
              </w:tc>
              <w:tc>
                <w:tcPr>
                  <w:tcW w:w="454" w:type="pct"/>
                  <w:noWrap w:val="0"/>
                  <w:vAlign w:val="center"/>
                </w:tcPr>
                <w:p w14:paraId="235D581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危险特性</w:t>
                  </w:r>
                </w:p>
              </w:tc>
              <w:tc>
                <w:tcPr>
                  <w:tcW w:w="561" w:type="pct"/>
                  <w:noWrap w:val="0"/>
                  <w:vAlign w:val="center"/>
                </w:tcPr>
                <w:p w14:paraId="5B19F93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污染防治措施</w:t>
                  </w:r>
                </w:p>
              </w:tc>
            </w:tr>
            <w:tr w14:paraId="046401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0" w:type="pct"/>
                  <w:noWrap w:val="0"/>
                  <w:vAlign w:val="center"/>
                </w:tcPr>
                <w:p w14:paraId="12E038DB">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1</w:t>
                  </w:r>
                </w:p>
              </w:tc>
              <w:tc>
                <w:tcPr>
                  <w:tcW w:w="649" w:type="pct"/>
                  <w:noWrap w:val="0"/>
                  <w:vAlign w:val="center"/>
                </w:tcPr>
                <w:p w14:paraId="3D3CDB3B">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w:t>
                  </w:r>
                  <w:r>
                    <w:rPr>
                      <w:rFonts w:hint="eastAsia" w:cs="Times New Roman"/>
                      <w:bCs/>
                      <w:color w:val="auto"/>
                      <w:sz w:val="21"/>
                      <w:szCs w:val="21"/>
                      <w:highlight w:val="none"/>
                      <w:lang w:val="en-US" w:eastAsia="zh-CN"/>
                    </w:rPr>
                    <w:t>润滑油</w:t>
                  </w:r>
                </w:p>
              </w:tc>
              <w:tc>
                <w:tcPr>
                  <w:tcW w:w="490" w:type="pct"/>
                  <w:noWrap w:val="0"/>
                  <w:vAlign w:val="center"/>
                </w:tcPr>
                <w:p w14:paraId="094C7031">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HW08</w:t>
                  </w:r>
                </w:p>
              </w:tc>
              <w:tc>
                <w:tcPr>
                  <w:tcW w:w="780" w:type="pct"/>
                  <w:noWrap w:val="0"/>
                  <w:vAlign w:val="center"/>
                </w:tcPr>
                <w:p w14:paraId="5D62D32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900-217-08</w:t>
                  </w:r>
                </w:p>
              </w:tc>
              <w:tc>
                <w:tcPr>
                  <w:tcW w:w="451" w:type="pct"/>
                  <w:noWrap w:val="0"/>
                  <w:vAlign w:val="center"/>
                </w:tcPr>
                <w:p w14:paraId="635D7635">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0.1</w:t>
                  </w:r>
                </w:p>
              </w:tc>
              <w:tc>
                <w:tcPr>
                  <w:tcW w:w="459" w:type="pct"/>
                  <w:vMerge w:val="restart"/>
                  <w:noWrap w:val="0"/>
                  <w:vAlign w:val="center"/>
                </w:tcPr>
                <w:p w14:paraId="5A4822F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lang w:val="en-US" w:eastAsia="zh-CN"/>
                    </w:rPr>
                    <w:t>设备</w:t>
                  </w:r>
                  <w:r>
                    <w:rPr>
                      <w:rFonts w:hint="default" w:ascii="Times New Roman" w:hAnsi="Times New Roman" w:eastAsia="宋体" w:cs="Times New Roman"/>
                      <w:bCs/>
                      <w:color w:val="auto"/>
                      <w:sz w:val="21"/>
                      <w:szCs w:val="21"/>
                      <w:highlight w:val="none"/>
                    </w:rPr>
                    <w:t>维修</w:t>
                  </w:r>
                </w:p>
              </w:tc>
              <w:tc>
                <w:tcPr>
                  <w:tcW w:w="409" w:type="pct"/>
                  <w:noWrap w:val="0"/>
                  <w:vAlign w:val="center"/>
                </w:tcPr>
                <w:p w14:paraId="628D8468">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液态</w:t>
                  </w:r>
                </w:p>
              </w:tc>
              <w:tc>
                <w:tcPr>
                  <w:tcW w:w="490" w:type="pct"/>
                  <w:noWrap w:val="0"/>
                  <w:vAlign w:val="center"/>
                </w:tcPr>
                <w:p w14:paraId="29F8778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不定期</w:t>
                  </w:r>
                </w:p>
              </w:tc>
              <w:tc>
                <w:tcPr>
                  <w:tcW w:w="454" w:type="pct"/>
                  <w:noWrap w:val="0"/>
                  <w:vAlign w:val="center"/>
                </w:tcPr>
                <w:p w14:paraId="60776C9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rPr>
                    <w:t>T</w:t>
                  </w:r>
                  <w:r>
                    <w:rPr>
                      <w:rFonts w:hint="eastAsia" w:ascii="Times New Roman" w:hAnsi="Times New Roman" w:eastAsia="宋体" w:cs="Times New Roman"/>
                      <w:bCs/>
                      <w:color w:val="auto"/>
                      <w:sz w:val="21"/>
                      <w:szCs w:val="21"/>
                      <w:highlight w:val="none"/>
                    </w:rPr>
                    <w:t>，</w:t>
                  </w:r>
                  <w:r>
                    <w:rPr>
                      <w:rFonts w:hint="eastAsia" w:ascii="Times New Roman" w:hAnsi="Times New Roman" w:eastAsia="宋体" w:cs="Times New Roman"/>
                      <w:bCs/>
                      <w:color w:val="auto"/>
                      <w:sz w:val="21"/>
                      <w:szCs w:val="21"/>
                      <w:highlight w:val="none"/>
                      <w:lang w:val="en-US"/>
                    </w:rPr>
                    <w:t>I</w:t>
                  </w:r>
                </w:p>
              </w:tc>
              <w:tc>
                <w:tcPr>
                  <w:tcW w:w="561" w:type="pct"/>
                  <w:vMerge w:val="restart"/>
                  <w:noWrap w:val="0"/>
                  <w:vAlign w:val="center"/>
                </w:tcPr>
                <w:p w14:paraId="789D9355">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分类放置于危险废物贮存点内，定期交由有资质单位统一处置。</w:t>
                  </w:r>
                </w:p>
              </w:tc>
            </w:tr>
            <w:tr w14:paraId="699B4C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0" w:type="pct"/>
                  <w:noWrap w:val="0"/>
                  <w:vAlign w:val="center"/>
                </w:tcPr>
                <w:p w14:paraId="7B972575">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2</w:t>
                  </w:r>
                </w:p>
              </w:tc>
              <w:tc>
                <w:tcPr>
                  <w:tcW w:w="649" w:type="pct"/>
                  <w:noWrap w:val="0"/>
                  <w:vAlign w:val="center"/>
                </w:tcPr>
                <w:p w14:paraId="284800B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lang w:val="en-US" w:eastAsia="zh-CN"/>
                    </w:rPr>
                    <w:t>废</w:t>
                  </w:r>
                  <w:r>
                    <w:rPr>
                      <w:rFonts w:hint="eastAsia" w:cs="Times New Roman"/>
                      <w:bCs/>
                      <w:color w:val="auto"/>
                      <w:sz w:val="21"/>
                      <w:szCs w:val="21"/>
                      <w:highlight w:val="none"/>
                      <w:lang w:val="en-US" w:eastAsia="zh-CN"/>
                    </w:rPr>
                    <w:t>润滑油</w:t>
                  </w:r>
                  <w:r>
                    <w:rPr>
                      <w:rFonts w:hint="eastAsia" w:ascii="Times New Roman" w:hAnsi="Times New Roman" w:eastAsia="宋体" w:cs="Times New Roman"/>
                      <w:bCs/>
                      <w:color w:val="auto"/>
                      <w:sz w:val="21"/>
                      <w:szCs w:val="21"/>
                      <w:highlight w:val="none"/>
                      <w:lang w:val="en-US" w:eastAsia="zh-CN"/>
                    </w:rPr>
                    <w:t>桶</w:t>
                  </w:r>
                </w:p>
              </w:tc>
              <w:tc>
                <w:tcPr>
                  <w:tcW w:w="490" w:type="pct"/>
                  <w:noWrap w:val="0"/>
                  <w:vAlign w:val="center"/>
                </w:tcPr>
                <w:p w14:paraId="303B51B5">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HW49</w:t>
                  </w:r>
                </w:p>
              </w:tc>
              <w:tc>
                <w:tcPr>
                  <w:tcW w:w="780" w:type="pct"/>
                  <w:noWrap w:val="0"/>
                  <w:vAlign w:val="center"/>
                </w:tcPr>
                <w:p w14:paraId="196AEE6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900-041-49</w:t>
                  </w:r>
                </w:p>
              </w:tc>
              <w:tc>
                <w:tcPr>
                  <w:tcW w:w="451" w:type="pct"/>
                  <w:noWrap w:val="0"/>
                  <w:vAlign w:val="center"/>
                </w:tcPr>
                <w:p w14:paraId="12A622B1">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0.06</w:t>
                  </w:r>
                </w:p>
              </w:tc>
              <w:tc>
                <w:tcPr>
                  <w:tcW w:w="459" w:type="pct"/>
                  <w:vMerge w:val="continue"/>
                  <w:noWrap w:val="0"/>
                  <w:vAlign w:val="center"/>
                </w:tcPr>
                <w:p w14:paraId="18A9FB2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p>
              </w:tc>
              <w:tc>
                <w:tcPr>
                  <w:tcW w:w="409" w:type="pct"/>
                  <w:noWrap w:val="0"/>
                  <w:vAlign w:val="center"/>
                </w:tcPr>
                <w:p w14:paraId="7A4D23A0">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固态</w:t>
                  </w:r>
                </w:p>
              </w:tc>
              <w:tc>
                <w:tcPr>
                  <w:tcW w:w="490" w:type="pct"/>
                  <w:noWrap w:val="0"/>
                  <w:vAlign w:val="center"/>
                </w:tcPr>
                <w:p w14:paraId="451288BE">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不定期</w:t>
                  </w:r>
                </w:p>
              </w:tc>
              <w:tc>
                <w:tcPr>
                  <w:tcW w:w="454" w:type="pct"/>
                  <w:noWrap w:val="0"/>
                  <w:vAlign w:val="center"/>
                </w:tcPr>
                <w:p w14:paraId="6989B020">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T/In</w:t>
                  </w:r>
                </w:p>
              </w:tc>
              <w:tc>
                <w:tcPr>
                  <w:tcW w:w="561" w:type="pct"/>
                  <w:vMerge w:val="continue"/>
                  <w:noWrap w:val="0"/>
                  <w:vAlign w:val="center"/>
                </w:tcPr>
                <w:p w14:paraId="327DE768">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p>
              </w:tc>
            </w:tr>
            <w:tr w14:paraId="31AF9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0" w:type="pct"/>
                  <w:noWrap w:val="0"/>
                  <w:vAlign w:val="center"/>
                </w:tcPr>
                <w:p w14:paraId="1AD2098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3</w:t>
                  </w:r>
                </w:p>
              </w:tc>
              <w:tc>
                <w:tcPr>
                  <w:tcW w:w="649" w:type="pct"/>
                  <w:noWrap w:val="0"/>
                  <w:vAlign w:val="center"/>
                </w:tcPr>
                <w:p w14:paraId="39BA9C87">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lang w:val="en-US" w:eastAsia="zh-CN"/>
                    </w:rPr>
                    <w:t>含油抹布</w:t>
                  </w:r>
                </w:p>
              </w:tc>
              <w:tc>
                <w:tcPr>
                  <w:tcW w:w="490" w:type="pct"/>
                  <w:noWrap w:val="0"/>
                  <w:vAlign w:val="center"/>
                </w:tcPr>
                <w:p w14:paraId="4CB6F62E">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HW49</w:t>
                  </w:r>
                </w:p>
              </w:tc>
              <w:tc>
                <w:tcPr>
                  <w:tcW w:w="780" w:type="pct"/>
                  <w:noWrap w:val="0"/>
                  <w:vAlign w:val="center"/>
                </w:tcPr>
                <w:p w14:paraId="66B5DD1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900-047-49</w:t>
                  </w:r>
                </w:p>
              </w:tc>
              <w:tc>
                <w:tcPr>
                  <w:tcW w:w="451" w:type="pct"/>
                  <w:noWrap w:val="0"/>
                  <w:vAlign w:val="center"/>
                </w:tcPr>
                <w:p w14:paraId="4625595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rPr>
                    <w:t>0.0</w:t>
                  </w:r>
                  <w:r>
                    <w:rPr>
                      <w:rFonts w:hint="eastAsia" w:ascii="Times New Roman" w:hAnsi="Times New Roman" w:eastAsia="宋体" w:cs="Times New Roman"/>
                      <w:bCs/>
                      <w:color w:val="auto"/>
                      <w:sz w:val="21"/>
                      <w:szCs w:val="21"/>
                      <w:highlight w:val="none"/>
                      <w:lang w:val="en-US" w:eastAsia="zh-CN"/>
                    </w:rPr>
                    <w:t>3</w:t>
                  </w:r>
                </w:p>
              </w:tc>
              <w:tc>
                <w:tcPr>
                  <w:tcW w:w="459" w:type="pct"/>
                  <w:vMerge w:val="continue"/>
                  <w:noWrap w:val="0"/>
                  <w:vAlign w:val="center"/>
                </w:tcPr>
                <w:p w14:paraId="0F24E3A8">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p>
              </w:tc>
              <w:tc>
                <w:tcPr>
                  <w:tcW w:w="409" w:type="pct"/>
                  <w:noWrap w:val="0"/>
                  <w:vAlign w:val="center"/>
                </w:tcPr>
                <w:p w14:paraId="43C9BB35">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固态</w:t>
                  </w:r>
                </w:p>
              </w:tc>
              <w:tc>
                <w:tcPr>
                  <w:tcW w:w="490" w:type="pct"/>
                  <w:noWrap w:val="0"/>
                  <w:vAlign w:val="center"/>
                </w:tcPr>
                <w:p w14:paraId="692468A8">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不定期</w:t>
                  </w:r>
                </w:p>
              </w:tc>
              <w:tc>
                <w:tcPr>
                  <w:tcW w:w="454" w:type="pct"/>
                  <w:noWrap w:val="0"/>
                  <w:vAlign w:val="center"/>
                </w:tcPr>
                <w:p w14:paraId="0734757B">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T/C/I/R</w:t>
                  </w:r>
                </w:p>
              </w:tc>
              <w:tc>
                <w:tcPr>
                  <w:tcW w:w="561" w:type="pct"/>
                  <w:vMerge w:val="continue"/>
                  <w:noWrap w:val="0"/>
                  <w:vAlign w:val="center"/>
                </w:tcPr>
                <w:p w14:paraId="5995D26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sz w:val="21"/>
                      <w:szCs w:val="21"/>
                      <w:highlight w:val="none"/>
                    </w:rPr>
                  </w:pPr>
                </w:p>
              </w:tc>
            </w:tr>
          </w:tbl>
          <w:p w14:paraId="5AEEFD1E">
            <w:pPr>
              <w:spacing w:line="360" w:lineRule="auto"/>
              <w:ind w:firstLine="482" w:firstLineChars="200"/>
              <w:rPr>
                <w:rFonts w:hint="eastAsia"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val="en-US" w:eastAsia="zh-CN"/>
              </w:rPr>
              <w:t>五</w:t>
            </w:r>
            <w:r>
              <w:rPr>
                <w:rFonts w:hint="eastAsia" w:ascii="Times New Roman" w:hAnsi="Times New Roman" w:eastAsia="宋体" w:cs="Times New Roman"/>
                <w:b/>
                <w:bCs/>
                <w:color w:val="auto"/>
                <w:sz w:val="24"/>
                <w:szCs w:val="24"/>
                <w:highlight w:val="none"/>
              </w:rPr>
              <w:t>、地下水及土壤</w:t>
            </w:r>
            <w:r>
              <w:rPr>
                <w:rFonts w:hint="default" w:ascii="Times New Roman" w:hAnsi="Times New Roman" w:eastAsia="宋体" w:cs="Times New Roman"/>
                <w:b/>
                <w:bCs/>
                <w:color w:val="auto"/>
                <w:sz w:val="24"/>
                <w:szCs w:val="24"/>
                <w:highlight w:val="none"/>
              </w:rPr>
              <w:t>影响</w:t>
            </w:r>
            <w:r>
              <w:rPr>
                <w:rFonts w:hint="eastAsia" w:ascii="Times New Roman" w:hAnsi="Times New Roman" w:eastAsia="宋体" w:cs="Times New Roman"/>
                <w:b/>
                <w:bCs/>
                <w:color w:val="auto"/>
                <w:sz w:val="24"/>
                <w:szCs w:val="24"/>
                <w:highlight w:val="none"/>
                <w:lang w:val="en-US" w:eastAsia="zh-CN"/>
              </w:rPr>
              <w:t>环境</w:t>
            </w:r>
            <w:r>
              <w:rPr>
                <w:rFonts w:hint="default" w:ascii="Times New Roman" w:hAnsi="Times New Roman" w:eastAsia="宋体" w:cs="Times New Roman"/>
                <w:b/>
                <w:bCs/>
                <w:color w:val="auto"/>
                <w:sz w:val="24"/>
                <w:szCs w:val="24"/>
                <w:highlight w:val="none"/>
              </w:rPr>
              <w:t>保护措施</w:t>
            </w:r>
          </w:p>
          <w:p w14:paraId="5A5862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本项目原料和产品均不涉及有毒有害危险品，</w:t>
            </w:r>
            <w:r>
              <w:rPr>
                <w:rFonts w:hint="default" w:ascii="Times New Roman" w:hAnsi="Times New Roman" w:eastAsia="宋体" w:cs="Times New Roman"/>
                <w:color w:val="auto"/>
                <w:sz w:val="24"/>
                <w:szCs w:val="24"/>
                <w:highlight w:val="none"/>
              </w:rPr>
              <w:t>厂区内不设置维修车间，设备维修拉运</w:t>
            </w:r>
            <w:r>
              <w:rPr>
                <w:rFonts w:hint="eastAsia" w:ascii="Times New Roman" w:hAnsi="Times New Roman" w:eastAsia="宋体" w:cs="Times New Roman"/>
                <w:color w:val="auto"/>
                <w:sz w:val="24"/>
                <w:szCs w:val="24"/>
                <w:highlight w:val="none"/>
                <w:lang w:val="en-US" w:eastAsia="zh-CN"/>
              </w:rPr>
              <w:t>厂</w:t>
            </w:r>
            <w:r>
              <w:rPr>
                <w:rFonts w:hint="default" w:ascii="Times New Roman" w:hAnsi="Times New Roman" w:eastAsia="宋体" w:cs="Times New Roman"/>
                <w:color w:val="auto"/>
                <w:sz w:val="24"/>
                <w:szCs w:val="24"/>
                <w:highlight w:val="none"/>
              </w:rPr>
              <w:t>外专业维</w:t>
            </w:r>
            <w:r>
              <w:rPr>
                <w:rFonts w:hint="default"/>
                <w:color w:val="auto"/>
                <w:sz w:val="24"/>
                <w:szCs w:val="24"/>
                <w:highlight w:val="none"/>
              </w:rPr>
              <w:t>修厂进行，</w:t>
            </w:r>
            <w:r>
              <w:rPr>
                <w:rFonts w:hint="eastAsia"/>
                <w:color w:val="auto"/>
                <w:sz w:val="24"/>
                <w:szCs w:val="24"/>
                <w:highlight w:val="none"/>
                <w:lang w:val="en-US" w:eastAsia="zh-CN"/>
              </w:rPr>
              <w:t>各设备定期维护所产生的废润滑油等危险废物立即由有资质单位拉运处理，不在厂区暂存</w:t>
            </w:r>
            <w:r>
              <w:rPr>
                <w:rFonts w:hint="eastAsia"/>
                <w:sz w:val="24"/>
                <w:szCs w:val="24"/>
                <w:highlight w:val="none"/>
                <w:lang w:val="en-US" w:eastAsia="zh-CN"/>
              </w:rPr>
              <w:t>。沉淀池为一般防治污染区（采取(防渗系数K</w:t>
            </w:r>
            <w:r>
              <w:rPr>
                <w:rFonts w:hint="default" w:ascii="Arial" w:hAnsi="Arial" w:cs="Arial"/>
                <w:sz w:val="24"/>
                <w:szCs w:val="24"/>
                <w:highlight w:val="none"/>
                <w:lang w:val="en-US" w:eastAsia="zh-CN"/>
              </w:rPr>
              <w:t>×</w:t>
            </w:r>
            <w:r>
              <w:rPr>
                <w:rFonts w:hint="eastAsia"/>
                <w:sz w:val="24"/>
                <w:szCs w:val="24"/>
                <w:highlight w:val="none"/>
                <w:lang w:val="en-US" w:eastAsia="zh-CN"/>
              </w:rPr>
              <w:t>10</w:t>
            </w:r>
            <w:r>
              <w:rPr>
                <w:rFonts w:hint="eastAsia"/>
                <w:sz w:val="24"/>
                <w:szCs w:val="24"/>
                <w:highlight w:val="none"/>
                <w:vertAlign w:val="superscript"/>
                <w:lang w:val="en-US" w:eastAsia="zh-CN"/>
              </w:rPr>
              <w:t>-7</w:t>
            </w:r>
            <w:r>
              <w:rPr>
                <w:rFonts w:hint="eastAsia"/>
                <w:sz w:val="24"/>
                <w:szCs w:val="24"/>
                <w:highlight w:val="none"/>
                <w:lang w:val="en-US" w:eastAsia="zh-CN"/>
              </w:rPr>
              <w:t>cm/s)2mm厚的HDPE土工膜及无纺布（两布一膜）作为主防渗层。在主防渗层以上采用混凝土浇筑，危险废物贮存点</w:t>
            </w:r>
            <w:r>
              <w:rPr>
                <w:rFonts w:hint="eastAsia" w:ascii="Times New Roman" w:hAnsi="Times New Roman" w:eastAsia="宋体" w:cs="Times New Roman"/>
                <w:color w:val="auto"/>
                <w:kern w:val="2"/>
                <w:sz w:val="24"/>
                <w:szCs w:val="24"/>
                <w:highlight w:val="none"/>
                <w:lang w:val="en-US" w:eastAsia="zh-CN" w:bidi="ar-SA"/>
              </w:rPr>
              <w:t>危险废物贮存点需地面硬化，采用2mm厚的高密度聚乙烯，渗透系数≤10</w:t>
            </w:r>
            <w:r>
              <w:rPr>
                <w:rFonts w:hint="eastAsia" w:ascii="Times New Roman" w:hAnsi="Times New Roman" w:eastAsia="宋体" w:cs="Times New Roman"/>
                <w:color w:val="auto"/>
                <w:kern w:val="2"/>
                <w:sz w:val="24"/>
                <w:szCs w:val="24"/>
                <w:highlight w:val="none"/>
                <w:vertAlign w:val="superscript"/>
                <w:lang w:val="en-US" w:eastAsia="zh-CN" w:bidi="ar-SA"/>
              </w:rPr>
              <w:t>-10</w:t>
            </w:r>
            <w:r>
              <w:rPr>
                <w:rFonts w:hint="eastAsia" w:ascii="Times New Roman" w:hAnsi="Times New Roman" w:eastAsia="宋体" w:cs="Times New Roman"/>
                <w:color w:val="auto"/>
                <w:kern w:val="2"/>
                <w:sz w:val="24"/>
                <w:szCs w:val="24"/>
                <w:highlight w:val="none"/>
                <w:lang w:val="en-US" w:eastAsia="zh-CN" w:bidi="ar-SA"/>
              </w:rPr>
              <w:t>cm/s。</w:t>
            </w:r>
            <w:r>
              <w:rPr>
                <w:rFonts w:hint="eastAsia"/>
                <w:sz w:val="24"/>
                <w:szCs w:val="24"/>
                <w:highlight w:val="none"/>
                <w:lang w:val="en-US" w:eastAsia="zh-CN"/>
              </w:rPr>
              <w:t>因此，项目运行过程中不会对地下水及土壤造成污染。</w:t>
            </w:r>
          </w:p>
          <w:p w14:paraId="35948AA4">
            <w:pPr>
              <w:spacing w:line="360" w:lineRule="auto"/>
              <w:ind w:firstLine="482" w:firstLineChars="200"/>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六、环保投资估算</w:t>
            </w:r>
          </w:p>
          <w:p w14:paraId="5532BA86">
            <w:pPr>
              <w:pStyle w:val="110"/>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本项目总投资</w:t>
            </w:r>
            <w:r>
              <w:rPr>
                <w:rFonts w:hint="eastAsia" w:cs="Times New Roman"/>
                <w:color w:val="auto"/>
                <w:kern w:val="2"/>
                <w:sz w:val="24"/>
                <w:szCs w:val="24"/>
                <w:highlight w:val="none"/>
                <w:lang w:val="en-US" w:eastAsia="zh-CN" w:bidi="ar-SA"/>
              </w:rPr>
              <w:t>2000</w:t>
            </w:r>
            <w:r>
              <w:rPr>
                <w:rFonts w:hint="eastAsia" w:ascii="Times New Roman" w:hAnsi="Times New Roman" w:eastAsia="宋体" w:cs="Times New Roman"/>
                <w:color w:val="auto"/>
                <w:kern w:val="2"/>
                <w:sz w:val="24"/>
                <w:szCs w:val="24"/>
                <w:highlight w:val="none"/>
                <w:lang w:val="en-US" w:eastAsia="zh-CN" w:bidi="ar-SA"/>
              </w:rPr>
              <w:t>万元，环保投资约</w:t>
            </w:r>
            <w:r>
              <w:rPr>
                <w:rFonts w:hint="eastAsia" w:cs="Times New Roman"/>
                <w:color w:val="auto"/>
                <w:kern w:val="2"/>
                <w:sz w:val="24"/>
                <w:szCs w:val="24"/>
                <w:highlight w:val="none"/>
                <w:lang w:val="en-US" w:eastAsia="zh-CN" w:bidi="ar-SA"/>
              </w:rPr>
              <w:t>55.5</w:t>
            </w:r>
            <w:r>
              <w:rPr>
                <w:rFonts w:hint="eastAsia" w:ascii="Times New Roman" w:hAnsi="Times New Roman" w:eastAsia="宋体" w:cs="Times New Roman"/>
                <w:color w:val="auto"/>
                <w:kern w:val="2"/>
                <w:sz w:val="24"/>
                <w:szCs w:val="24"/>
                <w:highlight w:val="none"/>
                <w:lang w:val="en-US" w:eastAsia="zh-CN" w:bidi="ar-SA"/>
              </w:rPr>
              <w:t>万元，约占总投资额的</w:t>
            </w:r>
            <w:r>
              <w:rPr>
                <w:rFonts w:hint="eastAsia" w:cs="Times New Roman"/>
                <w:color w:val="auto"/>
                <w:kern w:val="2"/>
                <w:sz w:val="24"/>
                <w:szCs w:val="24"/>
                <w:highlight w:val="none"/>
                <w:lang w:val="en-US" w:eastAsia="zh-CN" w:bidi="ar-SA"/>
              </w:rPr>
              <w:t>2.8</w:t>
            </w:r>
            <w:r>
              <w:rPr>
                <w:rFonts w:hint="eastAsia" w:ascii="Times New Roman" w:hAnsi="Times New Roman" w:eastAsia="宋体" w:cs="Times New Roman"/>
                <w:color w:val="auto"/>
                <w:kern w:val="2"/>
                <w:sz w:val="24"/>
                <w:szCs w:val="24"/>
                <w:highlight w:val="none"/>
                <w:lang w:val="en-US" w:eastAsia="zh-CN" w:bidi="ar-SA"/>
              </w:rPr>
              <w:t>%，环保投资估算见表4-</w:t>
            </w:r>
            <w:r>
              <w:rPr>
                <w:rFonts w:hint="eastAsia" w:cs="Times New Roman"/>
                <w:color w:val="auto"/>
                <w:kern w:val="2"/>
                <w:sz w:val="24"/>
                <w:szCs w:val="24"/>
                <w:highlight w:val="none"/>
                <w:lang w:val="en-US" w:eastAsia="zh-CN" w:bidi="ar-SA"/>
              </w:rPr>
              <w:t>11</w:t>
            </w:r>
            <w:r>
              <w:rPr>
                <w:rFonts w:hint="eastAsia" w:ascii="Times New Roman" w:hAnsi="Times New Roman" w:eastAsia="宋体" w:cs="Times New Roman"/>
                <w:color w:val="auto"/>
                <w:kern w:val="2"/>
                <w:sz w:val="24"/>
                <w:szCs w:val="24"/>
                <w:highlight w:val="none"/>
                <w:lang w:val="en-US" w:eastAsia="zh-CN" w:bidi="ar-SA"/>
              </w:rPr>
              <w:t>。</w:t>
            </w:r>
          </w:p>
          <w:p w14:paraId="7B7D53BB">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b/>
                <w:color w:val="auto"/>
                <w:sz w:val="24"/>
                <w:szCs w:val="24"/>
                <w:highlight w:val="cyan"/>
                <w:lang w:eastAsia="zh-CN"/>
              </w:rPr>
            </w:pPr>
            <w:r>
              <w:rPr>
                <w:rFonts w:hint="default" w:ascii="Times New Roman" w:hAnsi="Times New Roman" w:eastAsia="宋体" w:cs="Times New Roman"/>
                <w:b/>
                <w:color w:val="auto"/>
                <w:sz w:val="24"/>
                <w:szCs w:val="24"/>
                <w:highlight w:val="none"/>
                <w:lang w:val="en-US" w:eastAsia="zh-CN"/>
              </w:rPr>
              <w:t>表4-</w:t>
            </w:r>
            <w:r>
              <w:rPr>
                <w:rFonts w:hint="eastAsia" w:cs="Times New Roman"/>
                <w:b/>
                <w:color w:val="auto"/>
                <w:sz w:val="24"/>
                <w:szCs w:val="24"/>
                <w:highlight w:val="none"/>
                <w:lang w:val="en-US" w:eastAsia="zh-CN"/>
              </w:rPr>
              <w:t>11</w:t>
            </w:r>
            <w:r>
              <w:rPr>
                <w:rFonts w:hint="default" w:ascii="Times New Roman" w:hAnsi="Times New Roman" w:eastAsia="宋体" w:cs="Times New Roman"/>
                <w:b/>
                <w:color w:val="auto"/>
                <w:sz w:val="24"/>
                <w:szCs w:val="24"/>
                <w:highlight w:val="none"/>
                <w:lang w:val="en-US" w:eastAsia="zh-CN"/>
              </w:rPr>
              <w:t xml:space="preserve"> </w:t>
            </w:r>
            <w:r>
              <w:rPr>
                <w:rFonts w:hint="default" w:ascii="Times New Roman" w:hAnsi="Times New Roman" w:eastAsia="宋体" w:cs="Times New Roman"/>
                <w:b/>
                <w:color w:val="auto"/>
                <w:sz w:val="24"/>
                <w:szCs w:val="24"/>
                <w:highlight w:val="none"/>
              </w:rPr>
              <w:t xml:space="preserve"> 环保投资估算一览表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481"/>
              <w:gridCol w:w="4578"/>
              <w:gridCol w:w="1197"/>
            </w:tblGrid>
            <w:tr w14:paraId="751FA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tcBorders>
                    <w:tl2br w:val="nil"/>
                    <w:tr2bl w:val="nil"/>
                  </w:tcBorders>
                  <w:noWrap w:val="0"/>
                  <w:vAlign w:val="center"/>
                </w:tcPr>
                <w:p w14:paraId="1DC9D264">
                  <w:pPr>
                    <w:pStyle w:val="101"/>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序号</w:t>
                  </w:r>
                </w:p>
              </w:tc>
              <w:tc>
                <w:tcPr>
                  <w:tcW w:w="932" w:type="pct"/>
                  <w:tcBorders>
                    <w:tl2br w:val="nil"/>
                    <w:tr2bl w:val="nil"/>
                  </w:tcBorders>
                  <w:noWrap w:val="0"/>
                  <w:vAlign w:val="center"/>
                </w:tcPr>
                <w:p w14:paraId="7AD73466">
                  <w:pPr>
                    <w:pStyle w:val="101"/>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类别</w:t>
                  </w:r>
                </w:p>
              </w:tc>
              <w:tc>
                <w:tcPr>
                  <w:tcW w:w="2880" w:type="pct"/>
                  <w:tcBorders>
                    <w:tl2br w:val="nil"/>
                    <w:tr2bl w:val="nil"/>
                  </w:tcBorders>
                  <w:noWrap w:val="0"/>
                  <w:vAlign w:val="center"/>
                </w:tcPr>
                <w:p w14:paraId="5F56E8BF">
                  <w:pPr>
                    <w:pStyle w:val="101"/>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治理措施</w:t>
                  </w:r>
                </w:p>
              </w:tc>
              <w:tc>
                <w:tcPr>
                  <w:tcW w:w="753" w:type="pct"/>
                  <w:tcBorders>
                    <w:tl2br w:val="nil"/>
                    <w:tr2bl w:val="nil"/>
                  </w:tcBorders>
                  <w:noWrap w:val="0"/>
                  <w:vAlign w:val="center"/>
                </w:tcPr>
                <w:p w14:paraId="5B694ACF">
                  <w:pPr>
                    <w:pStyle w:val="101"/>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投资(万元)</w:t>
                  </w:r>
                </w:p>
              </w:tc>
            </w:tr>
            <w:tr w14:paraId="50BF73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tcBorders>
                    <w:tl2br w:val="nil"/>
                    <w:tr2bl w:val="nil"/>
                  </w:tcBorders>
                  <w:noWrap w:val="0"/>
                  <w:vAlign w:val="center"/>
                </w:tcPr>
                <w:p w14:paraId="7210DE8F">
                  <w:pPr>
                    <w:pStyle w:val="101"/>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932" w:type="pct"/>
                  <w:tcBorders>
                    <w:tl2br w:val="nil"/>
                    <w:tr2bl w:val="nil"/>
                  </w:tcBorders>
                  <w:noWrap w:val="0"/>
                  <w:vAlign w:val="center"/>
                </w:tcPr>
                <w:p w14:paraId="796EC13A">
                  <w:pPr>
                    <w:pStyle w:val="101"/>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废气防治措施</w:t>
                  </w:r>
                </w:p>
              </w:tc>
              <w:tc>
                <w:tcPr>
                  <w:tcW w:w="2880" w:type="pct"/>
                  <w:tcBorders>
                    <w:tl2br w:val="nil"/>
                    <w:tr2bl w:val="nil"/>
                  </w:tcBorders>
                  <w:noWrap w:val="0"/>
                  <w:vAlign w:val="center"/>
                </w:tcPr>
                <w:p w14:paraId="32AD291C">
                  <w:pPr>
                    <w:pStyle w:val="101"/>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低氮燃烧器+脉冲除尘+布袋除尘器、</w:t>
                  </w:r>
                </w:p>
              </w:tc>
              <w:tc>
                <w:tcPr>
                  <w:tcW w:w="753" w:type="pct"/>
                  <w:tcBorders>
                    <w:tl2br w:val="nil"/>
                    <w:tr2bl w:val="nil"/>
                  </w:tcBorders>
                  <w:noWrap w:val="0"/>
                  <w:vAlign w:val="center"/>
                </w:tcPr>
                <w:p w14:paraId="3444F7FB">
                  <w:pPr>
                    <w:pStyle w:val="101"/>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20</w:t>
                  </w:r>
                </w:p>
              </w:tc>
            </w:tr>
            <w:tr w14:paraId="49AC6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tcBorders>
                    <w:tl2br w:val="nil"/>
                    <w:tr2bl w:val="nil"/>
                  </w:tcBorders>
                  <w:noWrap w:val="0"/>
                  <w:vAlign w:val="center"/>
                </w:tcPr>
                <w:p w14:paraId="6C2F5598">
                  <w:pPr>
                    <w:pStyle w:val="101"/>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932" w:type="pct"/>
                  <w:tcBorders>
                    <w:tl2br w:val="nil"/>
                    <w:tr2bl w:val="nil"/>
                  </w:tcBorders>
                  <w:noWrap w:val="0"/>
                  <w:vAlign w:val="center"/>
                </w:tcPr>
                <w:p w14:paraId="7F89F0C1">
                  <w:pPr>
                    <w:pStyle w:val="101"/>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噪声防治措施</w:t>
                  </w:r>
                </w:p>
              </w:tc>
              <w:tc>
                <w:tcPr>
                  <w:tcW w:w="2880" w:type="pct"/>
                  <w:tcBorders>
                    <w:tl2br w:val="nil"/>
                    <w:tr2bl w:val="nil"/>
                  </w:tcBorders>
                  <w:noWrap w:val="0"/>
                  <w:vAlign w:val="center"/>
                </w:tcPr>
                <w:p w14:paraId="45B3F7FC">
                  <w:pPr>
                    <w:pStyle w:val="101"/>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基础减振、隔声</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低噪声设备</w:t>
                  </w:r>
                  <w:r>
                    <w:rPr>
                      <w:color w:val="000000" w:themeColor="text1"/>
                      <w:sz w:val="21"/>
                      <w:szCs w:val="21"/>
                      <w:highlight w:val="none"/>
                      <w14:textFill>
                        <w14:solidFill>
                          <w14:schemeClr w14:val="tx1"/>
                        </w14:solidFill>
                      </w14:textFill>
                    </w:rPr>
                    <w:t>等</w:t>
                  </w:r>
                </w:p>
              </w:tc>
              <w:tc>
                <w:tcPr>
                  <w:tcW w:w="753" w:type="pct"/>
                  <w:tcBorders>
                    <w:tl2br w:val="nil"/>
                    <w:tr2bl w:val="nil"/>
                  </w:tcBorders>
                  <w:noWrap w:val="0"/>
                  <w:vAlign w:val="center"/>
                </w:tcPr>
                <w:p w14:paraId="0887DF46">
                  <w:pPr>
                    <w:pStyle w:val="101"/>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w:t>
                  </w:r>
                </w:p>
              </w:tc>
            </w:tr>
            <w:tr w14:paraId="3CA87B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tcBorders>
                    <w:tl2br w:val="nil"/>
                    <w:tr2bl w:val="nil"/>
                  </w:tcBorders>
                  <w:noWrap w:val="0"/>
                  <w:vAlign w:val="center"/>
                </w:tcPr>
                <w:p w14:paraId="6C1B1D98">
                  <w:pPr>
                    <w:pStyle w:val="101"/>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w:t>
                  </w:r>
                </w:p>
              </w:tc>
              <w:tc>
                <w:tcPr>
                  <w:tcW w:w="932" w:type="pct"/>
                  <w:tcBorders>
                    <w:tl2br w:val="nil"/>
                    <w:tr2bl w:val="nil"/>
                  </w:tcBorders>
                  <w:noWrap w:val="0"/>
                  <w:vAlign w:val="center"/>
                </w:tcPr>
                <w:p w14:paraId="1D07B42E">
                  <w:pPr>
                    <w:pStyle w:val="101"/>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固废防治措施</w:t>
                  </w:r>
                </w:p>
              </w:tc>
              <w:tc>
                <w:tcPr>
                  <w:tcW w:w="2880" w:type="pct"/>
                  <w:tcBorders>
                    <w:tl2br w:val="nil"/>
                    <w:tr2bl w:val="nil"/>
                  </w:tcBorders>
                  <w:noWrap w:val="0"/>
                  <w:vAlign w:val="center"/>
                </w:tcPr>
                <w:p w14:paraId="639194CA">
                  <w:pPr>
                    <w:pStyle w:val="101"/>
                    <w:rPr>
                      <w:rFonts w:hint="default" w:eastAsia="宋体"/>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固废收集</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贮存设施</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危险废物处置费</w:t>
                  </w:r>
                </w:p>
              </w:tc>
              <w:tc>
                <w:tcPr>
                  <w:tcW w:w="753" w:type="pct"/>
                  <w:tcBorders>
                    <w:tl2br w:val="nil"/>
                    <w:tr2bl w:val="nil"/>
                  </w:tcBorders>
                  <w:noWrap w:val="0"/>
                  <w:vAlign w:val="center"/>
                </w:tcPr>
                <w:p w14:paraId="55114FB6">
                  <w:pPr>
                    <w:pStyle w:val="101"/>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10.5</w:t>
                  </w:r>
                </w:p>
              </w:tc>
            </w:tr>
            <w:tr w14:paraId="14036A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tcBorders>
                    <w:tl2br w:val="nil"/>
                    <w:tr2bl w:val="nil"/>
                  </w:tcBorders>
                  <w:noWrap w:val="0"/>
                  <w:vAlign w:val="center"/>
                </w:tcPr>
                <w:p w14:paraId="51A66AB8">
                  <w:pPr>
                    <w:pStyle w:val="101"/>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w:t>
                  </w:r>
                </w:p>
              </w:tc>
              <w:tc>
                <w:tcPr>
                  <w:tcW w:w="932" w:type="pct"/>
                  <w:tcBorders>
                    <w:tl2br w:val="nil"/>
                    <w:tr2bl w:val="nil"/>
                  </w:tcBorders>
                  <w:noWrap w:val="0"/>
                  <w:vAlign w:val="center"/>
                </w:tcPr>
                <w:p w14:paraId="3C96681C">
                  <w:pPr>
                    <w:pStyle w:val="101"/>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废水防治措施</w:t>
                  </w:r>
                </w:p>
              </w:tc>
              <w:tc>
                <w:tcPr>
                  <w:tcW w:w="2880" w:type="pct"/>
                  <w:tcBorders>
                    <w:tl2br w:val="nil"/>
                    <w:tr2bl w:val="nil"/>
                  </w:tcBorders>
                  <w:noWrap w:val="0"/>
                  <w:vAlign w:val="center"/>
                </w:tcPr>
                <w:p w14:paraId="2007C10F">
                  <w:pPr>
                    <w:pStyle w:val="101"/>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离子交换树脂、沉淀池</w:t>
                  </w:r>
                </w:p>
              </w:tc>
              <w:tc>
                <w:tcPr>
                  <w:tcW w:w="753" w:type="pct"/>
                  <w:tcBorders>
                    <w:tl2br w:val="nil"/>
                    <w:tr2bl w:val="nil"/>
                  </w:tcBorders>
                  <w:noWrap w:val="0"/>
                  <w:vAlign w:val="center"/>
                </w:tcPr>
                <w:p w14:paraId="30BF46CE">
                  <w:pPr>
                    <w:pStyle w:val="101"/>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p>
              </w:tc>
            </w:tr>
            <w:tr w14:paraId="58F6E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tcBorders>
                    <w:tl2br w:val="nil"/>
                    <w:tr2bl w:val="nil"/>
                  </w:tcBorders>
                  <w:noWrap w:val="0"/>
                  <w:vAlign w:val="center"/>
                </w:tcPr>
                <w:p w14:paraId="73C421F5">
                  <w:pPr>
                    <w:pStyle w:val="101"/>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p>
              </w:tc>
              <w:tc>
                <w:tcPr>
                  <w:tcW w:w="3812" w:type="pct"/>
                  <w:gridSpan w:val="2"/>
                  <w:tcBorders>
                    <w:tl2br w:val="nil"/>
                    <w:tr2bl w:val="nil"/>
                  </w:tcBorders>
                  <w:noWrap w:val="0"/>
                  <w:vAlign w:val="center"/>
                </w:tcPr>
                <w:p w14:paraId="496EB06D">
                  <w:pPr>
                    <w:pStyle w:val="101"/>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环保设施运行维护费用</w:t>
                  </w:r>
                </w:p>
              </w:tc>
              <w:tc>
                <w:tcPr>
                  <w:tcW w:w="753" w:type="pct"/>
                  <w:tcBorders>
                    <w:tl2br w:val="nil"/>
                    <w:tr2bl w:val="nil"/>
                  </w:tcBorders>
                  <w:noWrap w:val="0"/>
                  <w:vAlign w:val="center"/>
                </w:tcPr>
                <w:p w14:paraId="7E4DA695">
                  <w:pPr>
                    <w:pStyle w:val="101"/>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10</w:t>
                  </w:r>
                </w:p>
              </w:tc>
            </w:tr>
            <w:tr w14:paraId="66687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6" w:type="pct"/>
                  <w:gridSpan w:val="3"/>
                  <w:tcBorders>
                    <w:tl2br w:val="nil"/>
                    <w:tr2bl w:val="nil"/>
                  </w:tcBorders>
                  <w:noWrap w:val="0"/>
                  <w:vAlign w:val="center"/>
                </w:tcPr>
                <w:p w14:paraId="0EE6A116">
                  <w:pPr>
                    <w:pStyle w:val="101"/>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合计</w:t>
                  </w:r>
                </w:p>
              </w:tc>
              <w:tc>
                <w:tcPr>
                  <w:tcW w:w="753" w:type="pct"/>
                  <w:tcBorders>
                    <w:tl2br w:val="nil"/>
                    <w:tr2bl w:val="nil"/>
                  </w:tcBorders>
                  <w:noWrap w:val="0"/>
                  <w:vAlign w:val="center"/>
                </w:tcPr>
                <w:p w14:paraId="509F737C">
                  <w:pPr>
                    <w:pStyle w:val="101"/>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55.5</w:t>
                  </w:r>
                </w:p>
              </w:tc>
            </w:tr>
          </w:tbl>
          <w:p w14:paraId="7B1B9D9F">
            <w:pPr>
              <w:spacing w:line="360" w:lineRule="auto"/>
              <w:ind w:firstLine="482" w:firstLineChars="200"/>
              <w:rPr>
                <w:rFonts w:hint="default" w:ascii="Times New Roman" w:hAnsi="Times New Roman" w:cs="Times New Roman"/>
                <w:b/>
                <w:bCs/>
                <w:color w:val="auto"/>
                <w:sz w:val="24"/>
                <w:szCs w:val="24"/>
                <w:highlight w:val="none"/>
              </w:rPr>
            </w:pPr>
            <w:r>
              <w:rPr>
                <w:rFonts w:hint="eastAsia" w:cs="Times New Roman"/>
                <w:b/>
                <w:bCs/>
                <w:color w:val="auto"/>
                <w:sz w:val="24"/>
                <w:szCs w:val="24"/>
                <w:highlight w:val="none"/>
                <w:lang w:val="en-US" w:eastAsia="zh-CN"/>
              </w:rPr>
              <w:t>七</w:t>
            </w:r>
            <w:r>
              <w:rPr>
                <w:rFonts w:hint="default" w:ascii="Times New Roman" w:hAnsi="Times New Roman" w:cs="Times New Roman"/>
                <w:b/>
                <w:bCs/>
                <w:color w:val="auto"/>
                <w:sz w:val="24"/>
                <w:szCs w:val="24"/>
                <w:highlight w:val="none"/>
              </w:rPr>
              <w:t>、环境风险</w:t>
            </w:r>
          </w:p>
          <w:p w14:paraId="14D9C813">
            <w:pPr>
              <w:spacing w:line="360" w:lineRule="auto"/>
              <w:ind w:firstLine="482"/>
              <w:rPr>
                <w:rFonts w:hint="eastAsia" w:ascii="Times New Roman" w:hAnsi="Times New Roman" w:eastAsia="宋体" w:cs="Times New Roman"/>
                <w:sz w:val="24"/>
                <w:highlight w:val="none"/>
              </w:rPr>
            </w:pPr>
            <w:r>
              <w:rPr>
                <w:rFonts w:hint="eastAsia" w:ascii="Times New Roman" w:hAnsi="Times New Roman" w:eastAsia="宋体" w:cs="Times New Roman"/>
                <w:sz w:val="24"/>
                <w:highlight w:val="none"/>
              </w:rPr>
              <w:t>1、环境风险评价依据</w:t>
            </w:r>
          </w:p>
          <w:p w14:paraId="7A8E723C">
            <w:pPr>
              <w:widowControl w:val="0"/>
              <w:spacing w:before="0" w:beforeLines="0" w:after="0" w:afterLines="0" w:line="360" w:lineRule="auto"/>
              <w:ind w:firstLine="480" w:firstLineChars="200"/>
              <w:jc w:val="both"/>
              <w:rPr>
                <w:rFonts w:hint="eastAsia" w:ascii="Times New Roman" w:hAnsi="Times New Roman" w:eastAsia="宋体" w:cs="Times New Roman"/>
                <w:kern w:val="2"/>
                <w:sz w:val="24"/>
                <w:szCs w:val="24"/>
                <w:highlight w:val="none"/>
                <w:lang w:val="en-US" w:eastAsia="zh-CN" w:bidi="ar-SA"/>
              </w:rPr>
            </w:pPr>
            <w:r>
              <w:rPr>
                <w:rFonts w:hint="eastAsia" w:ascii="Times New Roman" w:hAnsi="Times New Roman" w:eastAsia="宋体" w:cs="Times New Roman"/>
                <w:kern w:val="2"/>
                <w:sz w:val="24"/>
                <w:szCs w:val="24"/>
                <w:highlight w:val="none"/>
                <w:lang w:val="en-US" w:eastAsia="zh-CN" w:bidi="ar-SA"/>
              </w:rPr>
              <w:t>（1）风险调查</w:t>
            </w:r>
          </w:p>
          <w:p w14:paraId="1ABC06A1">
            <w:pPr>
              <w:spacing w:line="360" w:lineRule="auto"/>
              <w:ind w:firstLine="482"/>
              <w:rPr>
                <w:rFonts w:ascii="Times New Roman" w:hAnsi="Times New Roman" w:eastAsia="宋体" w:cs="Times New Roman"/>
                <w:sz w:val="24"/>
                <w:highlight w:val="none"/>
              </w:rPr>
            </w:pPr>
            <w:r>
              <w:rPr>
                <w:rFonts w:ascii="Times New Roman" w:hAnsi="Times New Roman" w:eastAsia="宋体" w:cs="Times New Roman"/>
                <w:sz w:val="24"/>
                <w:highlight w:val="none"/>
              </w:rPr>
              <w:t>本项目危险物质为</w:t>
            </w:r>
            <w:r>
              <w:rPr>
                <w:rFonts w:hint="eastAsia" w:ascii="Times New Roman" w:hAnsi="Times New Roman" w:eastAsia="宋体" w:cs="Times New Roman"/>
                <w:sz w:val="24"/>
                <w:highlight w:val="none"/>
                <w:lang w:eastAsia="zh-CN"/>
              </w:rPr>
              <w:t>废</w:t>
            </w:r>
            <w:r>
              <w:rPr>
                <w:rFonts w:hint="eastAsia" w:cs="Times New Roman"/>
                <w:sz w:val="24"/>
                <w:highlight w:val="none"/>
                <w:lang w:val="en-US" w:eastAsia="zh-CN"/>
              </w:rPr>
              <w:t>润滑油</w:t>
            </w:r>
            <w:r>
              <w:rPr>
                <w:rFonts w:hint="eastAsia" w:ascii="Times New Roman" w:hAnsi="Times New Roman" w:eastAsia="宋体" w:cs="Times New Roman"/>
                <w:sz w:val="24"/>
                <w:highlight w:val="none"/>
                <w:lang w:eastAsia="zh-CN"/>
              </w:rPr>
              <w:t>、废</w:t>
            </w:r>
            <w:r>
              <w:rPr>
                <w:rFonts w:hint="eastAsia" w:cs="Times New Roman"/>
                <w:sz w:val="24"/>
                <w:highlight w:val="none"/>
                <w:lang w:val="en-US" w:eastAsia="zh-CN"/>
              </w:rPr>
              <w:t>润滑油</w:t>
            </w:r>
            <w:r>
              <w:rPr>
                <w:rFonts w:hint="eastAsia" w:ascii="Times New Roman" w:hAnsi="Times New Roman" w:eastAsia="宋体" w:cs="Times New Roman"/>
                <w:sz w:val="24"/>
                <w:highlight w:val="none"/>
                <w:lang w:eastAsia="zh-CN"/>
              </w:rPr>
              <w:t>桶及含油抹布</w:t>
            </w:r>
            <w:r>
              <w:rPr>
                <w:rFonts w:ascii="Times New Roman" w:hAnsi="Times New Roman" w:eastAsia="宋体" w:cs="Times New Roman"/>
                <w:sz w:val="24"/>
                <w:highlight w:val="none"/>
              </w:rPr>
              <w:t>，</w:t>
            </w:r>
            <w:r>
              <w:rPr>
                <w:rFonts w:hint="eastAsia" w:ascii="Times New Roman" w:hAnsi="Times New Roman" w:eastAsia="宋体" w:cs="Times New Roman"/>
                <w:sz w:val="24"/>
                <w:highlight w:val="none"/>
                <w:lang w:eastAsia="zh-CN"/>
              </w:rPr>
              <w:t>废</w:t>
            </w:r>
            <w:r>
              <w:rPr>
                <w:rFonts w:hint="eastAsia" w:cs="Times New Roman"/>
                <w:sz w:val="24"/>
                <w:highlight w:val="none"/>
                <w:lang w:val="en-US" w:eastAsia="zh-CN"/>
              </w:rPr>
              <w:t>润滑油</w:t>
            </w:r>
            <w:r>
              <w:rPr>
                <w:rFonts w:hint="eastAsia" w:ascii="Times New Roman" w:hAnsi="Times New Roman" w:eastAsia="宋体" w:cs="Times New Roman"/>
                <w:sz w:val="24"/>
                <w:highlight w:val="none"/>
              </w:rPr>
              <w:t>的存储量为</w:t>
            </w:r>
            <w:r>
              <w:rPr>
                <w:rFonts w:hint="eastAsia" w:ascii="Times New Roman" w:hAnsi="Times New Roman" w:eastAsia="宋体" w:cs="Times New Roman"/>
                <w:sz w:val="24"/>
                <w:highlight w:val="none"/>
                <w:lang w:val="en-US" w:eastAsia="zh-CN"/>
              </w:rPr>
              <w:t>0.1</w:t>
            </w:r>
            <w:r>
              <w:rPr>
                <w:rFonts w:hint="eastAsia" w:ascii="Times New Roman" w:hAnsi="Times New Roman" w:eastAsia="宋体" w:cs="Times New Roman"/>
                <w:sz w:val="24"/>
                <w:highlight w:val="none"/>
              </w:rPr>
              <w:t>t，</w:t>
            </w:r>
            <w:r>
              <w:rPr>
                <w:rFonts w:hint="eastAsia" w:ascii="Times New Roman" w:hAnsi="Times New Roman" w:eastAsia="宋体" w:cs="Times New Roman"/>
                <w:sz w:val="24"/>
                <w:highlight w:val="none"/>
                <w:lang w:eastAsia="zh-CN"/>
              </w:rPr>
              <w:t>废</w:t>
            </w:r>
            <w:r>
              <w:rPr>
                <w:rFonts w:hint="eastAsia" w:cs="Times New Roman"/>
                <w:sz w:val="24"/>
                <w:highlight w:val="none"/>
                <w:lang w:val="en-US" w:eastAsia="zh-CN"/>
              </w:rPr>
              <w:t>润滑油</w:t>
            </w:r>
            <w:r>
              <w:rPr>
                <w:rFonts w:hint="eastAsia" w:ascii="Times New Roman" w:hAnsi="Times New Roman" w:eastAsia="宋体" w:cs="Times New Roman"/>
                <w:sz w:val="24"/>
                <w:highlight w:val="none"/>
                <w:lang w:eastAsia="zh-CN"/>
              </w:rPr>
              <w:t>桶存储量为</w:t>
            </w:r>
            <w:r>
              <w:rPr>
                <w:rFonts w:hint="eastAsia" w:ascii="Times New Roman" w:hAnsi="Times New Roman" w:eastAsia="宋体" w:cs="Times New Roman"/>
                <w:sz w:val="24"/>
                <w:highlight w:val="none"/>
                <w:lang w:val="en-US" w:eastAsia="zh-CN"/>
              </w:rPr>
              <w:t>0.06</w:t>
            </w:r>
            <w:r>
              <w:rPr>
                <w:rFonts w:hint="eastAsia" w:ascii="Times New Roman" w:hAnsi="Times New Roman" w:eastAsia="宋体" w:cs="Times New Roman"/>
                <w:sz w:val="24"/>
                <w:highlight w:val="none"/>
              </w:rPr>
              <w:t>t、</w:t>
            </w:r>
            <w:r>
              <w:rPr>
                <w:rFonts w:hint="eastAsia" w:ascii="Times New Roman" w:hAnsi="Times New Roman" w:eastAsia="宋体" w:cs="Times New Roman"/>
                <w:sz w:val="24"/>
                <w:highlight w:val="none"/>
                <w:lang w:eastAsia="zh-CN"/>
              </w:rPr>
              <w:t>含油抹布</w:t>
            </w:r>
            <w:r>
              <w:rPr>
                <w:rFonts w:hint="eastAsia" w:ascii="Times New Roman" w:hAnsi="Times New Roman" w:eastAsia="宋体" w:cs="Times New Roman"/>
                <w:sz w:val="24"/>
                <w:highlight w:val="none"/>
              </w:rPr>
              <w:t>的存储量为</w:t>
            </w:r>
            <w:r>
              <w:rPr>
                <w:rFonts w:hint="eastAsia" w:ascii="Times New Roman" w:hAnsi="Times New Roman" w:eastAsia="宋体" w:cs="Times New Roman"/>
                <w:sz w:val="24"/>
                <w:highlight w:val="none"/>
                <w:lang w:val="en-US" w:eastAsia="zh-CN"/>
              </w:rPr>
              <w:t>0.03</w:t>
            </w:r>
            <w:r>
              <w:rPr>
                <w:rFonts w:hint="eastAsia" w:ascii="Times New Roman" w:hAnsi="Times New Roman" w:eastAsia="宋体" w:cs="Times New Roman"/>
                <w:sz w:val="24"/>
                <w:highlight w:val="none"/>
              </w:rPr>
              <w:t>t，即本项目所涉及的危险物质最大存在量与临界量比值Q＜1，因此本项目环境风险进行简单分析。本项目危险物质Q值的确定见表4-1</w:t>
            </w:r>
            <w:r>
              <w:rPr>
                <w:rFonts w:hint="eastAsia" w:ascii="Times New Roman" w:hAnsi="Times New Roman" w:eastAsia="宋体" w:cs="Times New Roman"/>
                <w:sz w:val="24"/>
                <w:highlight w:val="none"/>
                <w:lang w:val="en-US" w:eastAsia="zh-CN"/>
              </w:rPr>
              <w:t>2</w:t>
            </w:r>
            <w:r>
              <w:rPr>
                <w:rFonts w:hint="eastAsia" w:ascii="Times New Roman" w:hAnsi="Times New Roman" w:eastAsia="宋体" w:cs="Times New Roman"/>
                <w:sz w:val="24"/>
                <w:highlight w:val="none"/>
              </w:rPr>
              <w:t>。</w:t>
            </w:r>
          </w:p>
          <w:p w14:paraId="77BE120E">
            <w:pPr>
              <w:pStyle w:val="88"/>
              <w:ind w:firstLine="0"/>
              <w:jc w:val="center"/>
              <w:rPr>
                <w:rFonts w:hint="eastAsia" w:ascii="Times New Roman" w:hAnsi="Times New Roman" w:eastAsia="黑体" w:cs="Times New Roman"/>
                <w:bCs/>
                <w:szCs w:val="21"/>
                <w:highlight w:val="none"/>
              </w:rPr>
            </w:pPr>
            <w:r>
              <w:rPr>
                <w:rFonts w:hint="eastAsia" w:ascii="Times New Roman" w:hAnsi="Times New Roman" w:eastAsia="黑体" w:cs="Times New Roman"/>
                <w:bCs/>
                <w:szCs w:val="21"/>
                <w:highlight w:val="none"/>
              </w:rPr>
              <w:t>表4-1</w:t>
            </w:r>
            <w:r>
              <w:rPr>
                <w:rFonts w:hint="eastAsia" w:ascii="Times New Roman" w:hAnsi="Times New Roman" w:eastAsia="黑体" w:cs="Times New Roman"/>
                <w:bCs/>
                <w:szCs w:val="21"/>
                <w:highlight w:val="none"/>
                <w:lang w:val="en-US" w:eastAsia="zh-CN"/>
              </w:rPr>
              <w:t>2</w:t>
            </w:r>
            <w:r>
              <w:rPr>
                <w:rFonts w:hint="eastAsia" w:ascii="Times New Roman" w:hAnsi="Times New Roman" w:eastAsia="黑体" w:cs="Times New Roman"/>
                <w:bCs/>
                <w:szCs w:val="21"/>
                <w:highlight w:val="none"/>
              </w:rPr>
              <w:t xml:space="preserve">  </w:t>
            </w:r>
            <w:r>
              <w:rPr>
                <w:rFonts w:ascii="Times New Roman" w:hAnsi="Times New Roman" w:eastAsia="黑体" w:cs="Times New Roman"/>
                <w:bCs/>
                <w:szCs w:val="21"/>
                <w:highlight w:val="none"/>
              </w:rPr>
              <w:t>建设项目Q值确定表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52"/>
              <w:gridCol w:w="1557"/>
              <w:gridCol w:w="1140"/>
              <w:gridCol w:w="2278"/>
              <w:gridCol w:w="1155"/>
              <w:gridCol w:w="1161"/>
            </w:tblGrid>
            <w:tr w14:paraId="16AF4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407" w:type="pct"/>
                  <w:noWrap w:val="0"/>
                  <w:vAlign w:val="center"/>
                </w:tcPr>
                <w:p w14:paraId="2EC627B4">
                  <w:pPr>
                    <w:pStyle w:val="138"/>
                    <w:spacing w:line="240" w:lineRule="auto"/>
                    <w:ind w:firstLine="0" w:firstLineChars="0"/>
                    <w:jc w:val="center"/>
                    <w:rPr>
                      <w:rFonts w:ascii="Times New Roman" w:hAnsi="Times New Roman" w:eastAsia="宋体" w:cs="Times New Roman"/>
                      <w:bCs/>
                      <w:sz w:val="21"/>
                      <w:szCs w:val="21"/>
                      <w:highlight w:val="none"/>
                    </w:rPr>
                  </w:pPr>
                  <w:r>
                    <w:rPr>
                      <w:rFonts w:ascii="Times New Roman" w:hAnsi="Times New Roman" w:eastAsia="宋体" w:cs="Times New Roman"/>
                      <w:bCs/>
                      <w:sz w:val="21"/>
                      <w:szCs w:val="21"/>
                      <w:highlight w:val="none"/>
                    </w:rPr>
                    <w:t>序号</w:t>
                  </w:r>
                </w:p>
              </w:tc>
              <w:tc>
                <w:tcPr>
                  <w:tcW w:w="973" w:type="pct"/>
                  <w:noWrap w:val="0"/>
                  <w:vAlign w:val="center"/>
                </w:tcPr>
                <w:p w14:paraId="30663B25">
                  <w:pPr>
                    <w:wordWrap w:val="0"/>
                    <w:jc w:val="center"/>
                    <w:rPr>
                      <w:rFonts w:ascii="Times New Roman" w:hAnsi="Times New Roman" w:eastAsia="宋体" w:cs="Times New Roman"/>
                      <w:bCs/>
                      <w:szCs w:val="21"/>
                      <w:highlight w:val="none"/>
                    </w:rPr>
                  </w:pPr>
                  <w:r>
                    <w:rPr>
                      <w:rFonts w:ascii="Times New Roman" w:hAnsi="Times New Roman" w:eastAsia="宋体" w:cs="Times New Roman"/>
                      <w:bCs/>
                      <w:szCs w:val="21"/>
                      <w:highlight w:val="none"/>
                    </w:rPr>
                    <w:t>危险物质名称</w:t>
                  </w:r>
                </w:p>
              </w:tc>
              <w:tc>
                <w:tcPr>
                  <w:tcW w:w="712" w:type="pct"/>
                  <w:noWrap w:val="0"/>
                  <w:vAlign w:val="center"/>
                </w:tcPr>
                <w:p w14:paraId="00BA86C0">
                  <w:pPr>
                    <w:wordWrap w:val="0"/>
                    <w:jc w:val="center"/>
                    <w:rPr>
                      <w:rFonts w:ascii="Times New Roman" w:hAnsi="Times New Roman" w:eastAsia="宋体" w:cs="Times New Roman"/>
                      <w:bCs/>
                      <w:szCs w:val="21"/>
                      <w:highlight w:val="none"/>
                    </w:rPr>
                  </w:pPr>
                  <w:r>
                    <w:rPr>
                      <w:rFonts w:ascii="Times New Roman" w:hAnsi="Times New Roman" w:eastAsia="宋体" w:cs="Times New Roman"/>
                      <w:bCs/>
                      <w:szCs w:val="21"/>
                      <w:highlight w:val="none"/>
                    </w:rPr>
                    <w:t>CAS号</w:t>
                  </w:r>
                </w:p>
              </w:tc>
              <w:tc>
                <w:tcPr>
                  <w:tcW w:w="1423" w:type="pct"/>
                  <w:noWrap w:val="0"/>
                  <w:vAlign w:val="center"/>
                </w:tcPr>
                <w:p w14:paraId="173CC574">
                  <w:pPr>
                    <w:wordWrap w:val="0"/>
                    <w:jc w:val="center"/>
                    <w:rPr>
                      <w:rFonts w:ascii="Times New Roman" w:hAnsi="Times New Roman" w:eastAsia="宋体" w:cs="Times New Roman"/>
                      <w:bCs/>
                      <w:szCs w:val="21"/>
                      <w:highlight w:val="none"/>
                    </w:rPr>
                  </w:pPr>
                  <w:r>
                    <w:rPr>
                      <w:rFonts w:ascii="Times New Roman" w:hAnsi="Times New Roman" w:eastAsia="宋体" w:cs="Times New Roman"/>
                      <w:bCs/>
                      <w:szCs w:val="21"/>
                      <w:highlight w:val="none"/>
                    </w:rPr>
                    <w:t>最大存在总量（qn/t）</w:t>
                  </w:r>
                </w:p>
              </w:tc>
              <w:tc>
                <w:tcPr>
                  <w:tcW w:w="751" w:type="pct"/>
                  <w:noWrap w:val="0"/>
                  <w:vAlign w:val="center"/>
                </w:tcPr>
                <w:p w14:paraId="65BFDEA8">
                  <w:pPr>
                    <w:wordWrap w:val="0"/>
                    <w:jc w:val="center"/>
                    <w:rPr>
                      <w:rFonts w:ascii="Times New Roman" w:hAnsi="Times New Roman" w:eastAsia="宋体" w:cs="Times New Roman"/>
                      <w:bCs/>
                      <w:szCs w:val="21"/>
                      <w:highlight w:val="none"/>
                    </w:rPr>
                  </w:pPr>
                  <w:r>
                    <w:rPr>
                      <w:rFonts w:ascii="Times New Roman" w:hAnsi="Times New Roman" w:eastAsia="宋体" w:cs="Times New Roman"/>
                      <w:bCs/>
                      <w:szCs w:val="21"/>
                      <w:highlight w:val="none"/>
                    </w:rPr>
                    <w:t>临界量（t）</w:t>
                  </w:r>
                </w:p>
              </w:tc>
              <w:tc>
                <w:tcPr>
                  <w:tcW w:w="730" w:type="pct"/>
                  <w:noWrap w:val="0"/>
                  <w:vAlign w:val="center"/>
                </w:tcPr>
                <w:p w14:paraId="677ECFF6">
                  <w:pPr>
                    <w:pStyle w:val="138"/>
                    <w:spacing w:line="240" w:lineRule="auto"/>
                    <w:ind w:firstLine="0" w:firstLineChars="0"/>
                    <w:jc w:val="center"/>
                    <w:rPr>
                      <w:rFonts w:ascii="Times New Roman" w:hAnsi="Times New Roman" w:eastAsia="宋体" w:cs="Times New Roman"/>
                      <w:bCs/>
                      <w:sz w:val="21"/>
                      <w:szCs w:val="21"/>
                      <w:highlight w:val="none"/>
                    </w:rPr>
                  </w:pPr>
                  <w:r>
                    <w:rPr>
                      <w:rFonts w:ascii="Times New Roman" w:hAnsi="Times New Roman" w:eastAsia="宋体" w:cs="Times New Roman"/>
                      <w:bCs/>
                      <w:sz w:val="21"/>
                      <w:szCs w:val="21"/>
                      <w:highlight w:val="none"/>
                    </w:rPr>
                    <w:t>Q值</w:t>
                  </w:r>
                </w:p>
              </w:tc>
            </w:tr>
            <w:tr w14:paraId="3829C6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407" w:type="pct"/>
                  <w:noWrap w:val="0"/>
                  <w:vAlign w:val="center"/>
                </w:tcPr>
                <w:p w14:paraId="59AF2362">
                  <w:pPr>
                    <w:jc w:val="center"/>
                    <w:rPr>
                      <w:rFonts w:ascii="Times New Roman" w:hAnsi="Times New Roman" w:eastAsia="宋体" w:cs="Times New Roman"/>
                      <w:szCs w:val="21"/>
                      <w:highlight w:val="none"/>
                    </w:rPr>
                  </w:pPr>
                  <w:r>
                    <w:rPr>
                      <w:rFonts w:hint="eastAsia" w:ascii="Times New Roman" w:hAnsi="Times New Roman" w:eastAsia="宋体" w:cs="Times New Roman"/>
                      <w:szCs w:val="21"/>
                      <w:highlight w:val="none"/>
                    </w:rPr>
                    <w:t>3</w:t>
                  </w:r>
                </w:p>
              </w:tc>
              <w:tc>
                <w:tcPr>
                  <w:tcW w:w="973" w:type="pct"/>
                  <w:noWrap w:val="0"/>
                  <w:vAlign w:val="center"/>
                </w:tcPr>
                <w:p w14:paraId="2C98CD3C">
                  <w:pPr>
                    <w:jc w:val="center"/>
                    <w:rPr>
                      <w:rFonts w:ascii="Times New Roman" w:hAnsi="Times New Roman" w:eastAsia="宋体" w:cs="Times New Roman"/>
                      <w:bCs/>
                      <w:szCs w:val="21"/>
                      <w:highlight w:val="none"/>
                    </w:rPr>
                  </w:pPr>
                  <w:r>
                    <w:rPr>
                      <w:rFonts w:ascii="Times New Roman" w:hAnsi="Times New Roman" w:eastAsia="宋体" w:cs="Times New Roman"/>
                      <w:bCs/>
                      <w:szCs w:val="21"/>
                      <w:highlight w:val="none"/>
                    </w:rPr>
                    <w:t>废</w:t>
                  </w:r>
                  <w:r>
                    <w:rPr>
                      <w:rFonts w:hint="eastAsia" w:cs="Times New Roman"/>
                      <w:bCs/>
                      <w:szCs w:val="21"/>
                      <w:highlight w:val="none"/>
                      <w:lang w:val="en-US" w:eastAsia="zh-CN"/>
                    </w:rPr>
                    <w:t>润滑油</w:t>
                  </w:r>
                </w:p>
              </w:tc>
              <w:tc>
                <w:tcPr>
                  <w:tcW w:w="712" w:type="pct"/>
                  <w:noWrap w:val="0"/>
                  <w:vAlign w:val="center"/>
                </w:tcPr>
                <w:p w14:paraId="18824ACF">
                  <w:pPr>
                    <w:wordWrap w:val="0"/>
                    <w:jc w:val="center"/>
                    <w:rPr>
                      <w:rFonts w:hint="eastAsia" w:ascii="Times New Roman" w:hAnsi="Times New Roman" w:eastAsia="宋体" w:cs="Times New Roman"/>
                      <w:bCs/>
                      <w:szCs w:val="21"/>
                      <w:highlight w:val="none"/>
                    </w:rPr>
                  </w:pPr>
                  <w:r>
                    <w:rPr>
                      <w:rFonts w:hint="eastAsia" w:ascii="Times New Roman" w:hAnsi="Times New Roman" w:eastAsia="宋体" w:cs="Times New Roman"/>
                      <w:bCs/>
                      <w:szCs w:val="21"/>
                      <w:highlight w:val="none"/>
                    </w:rPr>
                    <w:t>/</w:t>
                  </w:r>
                </w:p>
              </w:tc>
              <w:tc>
                <w:tcPr>
                  <w:tcW w:w="1423" w:type="pct"/>
                  <w:noWrap w:val="0"/>
                  <w:vAlign w:val="center"/>
                </w:tcPr>
                <w:p w14:paraId="510E8C8F">
                  <w:pPr>
                    <w:wordWrap w:val="0"/>
                    <w:jc w:val="center"/>
                    <w:rPr>
                      <w:rFonts w:hint="default" w:ascii="Times New Roman" w:hAnsi="Times New Roman" w:eastAsia="宋体" w:cs="Times New Roman"/>
                      <w:bCs/>
                      <w:szCs w:val="21"/>
                      <w:highlight w:val="none"/>
                      <w:lang w:val="en-US" w:eastAsia="zh-CN"/>
                    </w:rPr>
                  </w:pPr>
                  <w:r>
                    <w:rPr>
                      <w:rFonts w:hint="eastAsia" w:ascii="Times New Roman" w:hAnsi="Times New Roman" w:eastAsia="宋体" w:cs="Times New Roman"/>
                      <w:bCs/>
                      <w:szCs w:val="21"/>
                      <w:highlight w:val="none"/>
                      <w:lang w:val="en-US" w:eastAsia="zh-CN"/>
                    </w:rPr>
                    <w:t>0.1</w:t>
                  </w:r>
                </w:p>
              </w:tc>
              <w:tc>
                <w:tcPr>
                  <w:tcW w:w="751" w:type="pct"/>
                  <w:noWrap w:val="0"/>
                  <w:vAlign w:val="center"/>
                </w:tcPr>
                <w:p w14:paraId="5B928F93">
                  <w:pPr>
                    <w:jc w:val="center"/>
                    <w:rPr>
                      <w:rFonts w:ascii="Times New Roman" w:hAnsi="Times New Roman" w:eastAsia="宋体" w:cs="Times New Roman"/>
                      <w:bCs/>
                      <w:kern w:val="0"/>
                      <w:szCs w:val="21"/>
                      <w:highlight w:val="none"/>
                    </w:rPr>
                  </w:pPr>
                  <w:r>
                    <w:rPr>
                      <w:rFonts w:hint="eastAsia" w:ascii="Times New Roman" w:hAnsi="Times New Roman" w:eastAsia="宋体" w:cs="Times New Roman"/>
                      <w:bCs/>
                      <w:kern w:val="0"/>
                      <w:szCs w:val="21"/>
                      <w:highlight w:val="none"/>
                    </w:rPr>
                    <w:t>2500</w:t>
                  </w:r>
                </w:p>
              </w:tc>
              <w:tc>
                <w:tcPr>
                  <w:tcW w:w="730" w:type="pct"/>
                  <w:noWrap w:val="0"/>
                  <w:vAlign w:val="center"/>
                </w:tcPr>
                <w:p w14:paraId="1A3EF12F">
                  <w:pPr>
                    <w:widowControl/>
                    <w:jc w:val="center"/>
                    <w:rPr>
                      <w:rFonts w:hint="default" w:ascii="Times New Roman" w:hAnsi="Times New Roman" w:eastAsia="宋体" w:cs="Times New Roman"/>
                      <w:bCs/>
                      <w:kern w:val="0"/>
                      <w:szCs w:val="21"/>
                      <w:highlight w:val="none"/>
                      <w:lang w:val="en-US" w:eastAsia="zh-CN"/>
                    </w:rPr>
                  </w:pPr>
                  <w:r>
                    <w:rPr>
                      <w:rFonts w:hint="eastAsia" w:ascii="Times New Roman" w:hAnsi="Times New Roman" w:eastAsia="宋体" w:cs="Times New Roman"/>
                      <w:bCs/>
                      <w:kern w:val="0"/>
                      <w:szCs w:val="21"/>
                      <w:highlight w:val="none"/>
                      <w:lang w:val="en-US" w:eastAsia="zh-CN"/>
                    </w:rPr>
                    <w:t>0.00004</w:t>
                  </w:r>
                </w:p>
              </w:tc>
            </w:tr>
            <w:tr w14:paraId="07C7D6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4269" w:type="pct"/>
                  <w:gridSpan w:val="5"/>
                  <w:noWrap w:val="0"/>
                  <w:vAlign w:val="center"/>
                </w:tcPr>
                <w:p w14:paraId="37D503F5">
                  <w:pPr>
                    <w:jc w:val="center"/>
                    <w:rPr>
                      <w:rFonts w:ascii="Times New Roman" w:hAnsi="Times New Roman" w:eastAsia="宋体" w:cs="Times New Roman"/>
                      <w:bCs/>
                      <w:kern w:val="0"/>
                      <w:szCs w:val="21"/>
                      <w:highlight w:val="none"/>
                    </w:rPr>
                  </w:pPr>
                  <w:r>
                    <w:rPr>
                      <w:rFonts w:hint="eastAsia" w:ascii="Times New Roman" w:hAnsi="Times New Roman" w:eastAsia="宋体" w:cs="Times New Roman"/>
                      <w:bCs/>
                      <w:kern w:val="0"/>
                      <w:szCs w:val="21"/>
                      <w:highlight w:val="none"/>
                    </w:rPr>
                    <w:t>合计</w:t>
                  </w:r>
                </w:p>
              </w:tc>
              <w:tc>
                <w:tcPr>
                  <w:tcW w:w="730" w:type="pct"/>
                  <w:noWrap w:val="0"/>
                  <w:vAlign w:val="center"/>
                </w:tcPr>
                <w:p w14:paraId="7D5DBB80">
                  <w:pPr>
                    <w:widowControl/>
                    <w:jc w:val="center"/>
                    <w:rPr>
                      <w:rFonts w:hint="eastAsia" w:ascii="Times New Roman" w:hAnsi="Times New Roman" w:eastAsia="宋体" w:cs="Times New Roman"/>
                      <w:bCs/>
                      <w:kern w:val="0"/>
                      <w:szCs w:val="21"/>
                      <w:highlight w:val="none"/>
                      <w:lang w:eastAsia="zh-CN"/>
                    </w:rPr>
                  </w:pPr>
                  <w:r>
                    <w:rPr>
                      <w:rFonts w:hint="eastAsia" w:ascii="Times New Roman" w:hAnsi="Times New Roman" w:eastAsia="宋体" w:cs="Times New Roman"/>
                      <w:bCs/>
                      <w:kern w:val="0"/>
                      <w:szCs w:val="21"/>
                      <w:highlight w:val="none"/>
                      <w:lang w:val="en-US" w:eastAsia="zh-CN"/>
                    </w:rPr>
                    <w:t>0.00004</w:t>
                  </w:r>
                </w:p>
              </w:tc>
            </w:tr>
          </w:tbl>
          <w:p w14:paraId="286E5FE9">
            <w:pPr>
              <w:widowControl w:val="0"/>
              <w:spacing w:before="0" w:beforeLines="0" w:after="0" w:afterLines="0" w:line="360" w:lineRule="auto"/>
              <w:ind w:firstLine="480" w:firstLineChars="200"/>
              <w:jc w:val="both"/>
              <w:rPr>
                <w:rFonts w:ascii="Times New Roman" w:hAnsi="Times New Roman" w:eastAsia="宋体" w:cs="Times New Roman"/>
                <w:kern w:val="2"/>
                <w:sz w:val="24"/>
                <w:szCs w:val="24"/>
                <w:highlight w:val="none"/>
                <w:lang w:val="en-US" w:eastAsia="zh-CN" w:bidi="ar-SA"/>
              </w:rPr>
            </w:pPr>
            <w:r>
              <w:rPr>
                <w:rFonts w:ascii="Times New Roman" w:hAnsi="Times New Roman" w:eastAsia="宋体" w:cs="Times New Roman"/>
                <w:kern w:val="2"/>
                <w:sz w:val="24"/>
                <w:szCs w:val="24"/>
                <w:highlight w:val="none"/>
                <w:lang w:val="en-US" w:eastAsia="zh-CN" w:bidi="ar-SA"/>
              </w:rPr>
              <w:t>由上表可知，本项目Q</w:t>
            </w:r>
            <w:r>
              <w:rPr>
                <w:rFonts w:hint="eastAsia" w:ascii="Times New Roman" w:hAnsi="Times New Roman" w:eastAsia="宋体" w:cs="Times New Roman"/>
                <w:kern w:val="2"/>
                <w:sz w:val="24"/>
                <w:szCs w:val="24"/>
                <w:highlight w:val="none"/>
                <w:lang w:val="en-US" w:eastAsia="zh-CN" w:bidi="ar-SA"/>
              </w:rPr>
              <w:t>=0.00004</w:t>
            </w:r>
            <w:r>
              <w:rPr>
                <w:rFonts w:ascii="Times New Roman" w:hAnsi="Times New Roman" w:eastAsia="宋体" w:cs="Times New Roman"/>
                <w:kern w:val="2"/>
                <w:sz w:val="24"/>
                <w:szCs w:val="24"/>
                <w:highlight w:val="none"/>
                <w:lang w:val="en-US" w:eastAsia="zh-CN" w:bidi="ar-SA"/>
              </w:rPr>
              <w:t>＜1，因此本项目环境风险潜势为Ⅰ。</w:t>
            </w:r>
          </w:p>
          <w:p w14:paraId="17B563DF">
            <w:pPr>
              <w:widowControl w:val="0"/>
              <w:spacing w:before="0" w:beforeLines="0" w:after="0" w:afterLines="0" w:line="360" w:lineRule="auto"/>
              <w:ind w:firstLine="480" w:firstLineChars="200"/>
              <w:jc w:val="both"/>
              <w:rPr>
                <w:rFonts w:ascii="Times New Roman" w:hAnsi="Times New Roman" w:eastAsia="宋体" w:cs="Times New Roman"/>
                <w:kern w:val="2"/>
                <w:sz w:val="24"/>
                <w:szCs w:val="24"/>
                <w:highlight w:val="none"/>
                <w:lang w:val="en-US" w:eastAsia="zh-CN" w:bidi="ar-SA"/>
              </w:rPr>
            </w:pPr>
            <w:r>
              <w:rPr>
                <w:rFonts w:ascii="Times New Roman" w:hAnsi="Times New Roman" w:eastAsia="宋体" w:cs="Times New Roman"/>
                <w:kern w:val="2"/>
                <w:sz w:val="24"/>
                <w:szCs w:val="24"/>
                <w:highlight w:val="none"/>
                <w:lang w:val="en-US" w:eastAsia="zh-CN" w:bidi="ar-SA"/>
              </w:rPr>
              <w:t>（2）风险潜势初判</w:t>
            </w:r>
          </w:p>
          <w:p w14:paraId="0978A817">
            <w:pPr>
              <w:widowControl w:val="0"/>
              <w:spacing w:before="0" w:beforeLines="0" w:after="0" w:afterLines="0" w:line="360" w:lineRule="auto"/>
              <w:ind w:firstLine="480" w:firstLineChars="200"/>
              <w:jc w:val="both"/>
              <w:rPr>
                <w:rFonts w:hint="eastAsia" w:ascii="Times New Roman" w:hAnsi="Times New Roman" w:eastAsia="宋体" w:cs="Times New Roman"/>
                <w:kern w:val="2"/>
                <w:sz w:val="24"/>
                <w:szCs w:val="24"/>
                <w:highlight w:val="none"/>
                <w:lang w:val="en-US" w:eastAsia="zh-CN" w:bidi="ar-SA"/>
              </w:rPr>
            </w:pPr>
            <w:r>
              <w:rPr>
                <w:rFonts w:ascii="Times New Roman" w:hAnsi="Times New Roman" w:eastAsia="宋体" w:cs="Times New Roman"/>
                <w:kern w:val="2"/>
                <w:sz w:val="24"/>
                <w:szCs w:val="24"/>
                <w:highlight w:val="none"/>
                <w:lang w:val="en-US" w:eastAsia="zh-CN" w:bidi="ar-SA"/>
              </w:rPr>
              <w:t>本项目危险物质为</w:t>
            </w:r>
            <w:r>
              <w:rPr>
                <w:rFonts w:hint="eastAsia" w:ascii="Times New Roman" w:hAnsi="Times New Roman" w:eastAsia="宋体" w:cs="Times New Roman"/>
                <w:kern w:val="2"/>
                <w:sz w:val="24"/>
                <w:szCs w:val="24"/>
                <w:highlight w:val="none"/>
                <w:lang w:val="en-US" w:eastAsia="zh-CN" w:bidi="ar-SA"/>
              </w:rPr>
              <w:t>废</w:t>
            </w:r>
            <w:r>
              <w:rPr>
                <w:rFonts w:hint="eastAsia" w:cs="Times New Roman"/>
                <w:kern w:val="2"/>
                <w:sz w:val="24"/>
                <w:szCs w:val="24"/>
                <w:highlight w:val="none"/>
                <w:lang w:val="en-US" w:eastAsia="zh-CN" w:bidi="ar-SA"/>
              </w:rPr>
              <w:t>润滑油</w:t>
            </w:r>
            <w:r>
              <w:rPr>
                <w:rFonts w:hint="eastAsia" w:ascii="Times New Roman" w:hAnsi="Times New Roman" w:eastAsia="宋体" w:cs="Times New Roman"/>
                <w:kern w:val="2"/>
                <w:sz w:val="24"/>
                <w:szCs w:val="24"/>
                <w:highlight w:val="none"/>
                <w:lang w:val="en-US" w:eastAsia="zh-CN" w:bidi="ar-SA"/>
              </w:rPr>
              <w:t>、废</w:t>
            </w:r>
            <w:r>
              <w:rPr>
                <w:rFonts w:hint="eastAsia" w:cs="Times New Roman"/>
                <w:kern w:val="2"/>
                <w:sz w:val="24"/>
                <w:szCs w:val="24"/>
                <w:highlight w:val="none"/>
                <w:lang w:val="en-US" w:eastAsia="zh-CN" w:bidi="ar-SA"/>
              </w:rPr>
              <w:t>润滑油</w:t>
            </w:r>
            <w:r>
              <w:rPr>
                <w:rFonts w:hint="eastAsia" w:ascii="Times New Roman" w:hAnsi="Times New Roman" w:eastAsia="宋体" w:cs="Times New Roman"/>
                <w:kern w:val="2"/>
                <w:sz w:val="24"/>
                <w:szCs w:val="24"/>
                <w:highlight w:val="none"/>
                <w:lang w:val="en-US" w:eastAsia="zh-CN" w:bidi="ar-SA"/>
              </w:rPr>
              <w:t>桶及含油抹布。</w:t>
            </w:r>
          </w:p>
          <w:p w14:paraId="0A6540E1">
            <w:pPr>
              <w:widowControl w:val="0"/>
              <w:adjustRightInd/>
              <w:snapToGrid/>
              <w:spacing w:line="240" w:lineRule="auto"/>
              <w:jc w:val="center"/>
              <w:rPr>
                <w:rFonts w:hint="eastAsia" w:ascii="Times New Roman" w:hAnsi="Times New Roman" w:eastAsia="黑体" w:cs="Times New Roman"/>
                <w:bCs/>
                <w:kern w:val="2"/>
                <w:sz w:val="21"/>
                <w:szCs w:val="21"/>
                <w:highlight w:val="none"/>
                <w:lang w:val="en-US" w:eastAsia="zh-CN" w:bidi="ar-SA"/>
              </w:rPr>
            </w:pPr>
            <w:r>
              <w:rPr>
                <w:rFonts w:hint="eastAsia" w:ascii="Times New Roman" w:hAnsi="Times New Roman" w:eastAsia="黑体" w:cs="Times New Roman"/>
                <w:bCs/>
                <w:kern w:val="2"/>
                <w:sz w:val="21"/>
                <w:szCs w:val="21"/>
                <w:highlight w:val="none"/>
                <w:lang w:val="en-US" w:eastAsia="zh-CN" w:bidi="ar-SA"/>
              </w:rPr>
              <w:t>表4-1</w:t>
            </w:r>
            <w:r>
              <w:rPr>
                <w:rFonts w:hint="eastAsia" w:eastAsia="黑体" w:cs="Times New Roman"/>
                <w:bCs/>
                <w:kern w:val="2"/>
                <w:sz w:val="21"/>
                <w:szCs w:val="21"/>
                <w:highlight w:val="none"/>
                <w:lang w:val="en-US" w:eastAsia="zh-CN" w:bidi="ar-SA"/>
              </w:rPr>
              <w:t>3</w:t>
            </w:r>
            <w:r>
              <w:rPr>
                <w:rFonts w:hint="eastAsia" w:ascii="Times New Roman" w:hAnsi="Times New Roman" w:eastAsia="黑体" w:cs="Times New Roman"/>
                <w:bCs/>
                <w:kern w:val="2"/>
                <w:sz w:val="21"/>
                <w:szCs w:val="21"/>
                <w:highlight w:val="none"/>
                <w:lang w:val="en-US" w:eastAsia="zh-CN" w:bidi="ar-SA"/>
              </w:rPr>
              <w:t xml:space="preserve"> 废</w:t>
            </w:r>
            <w:r>
              <w:rPr>
                <w:rFonts w:hint="eastAsia" w:eastAsia="黑体" w:cs="Times New Roman"/>
                <w:bCs/>
                <w:kern w:val="2"/>
                <w:sz w:val="21"/>
                <w:szCs w:val="21"/>
                <w:highlight w:val="none"/>
                <w:lang w:val="en-US" w:eastAsia="zh-CN" w:bidi="ar-SA"/>
              </w:rPr>
              <w:t>润滑油</w:t>
            </w:r>
            <w:r>
              <w:rPr>
                <w:rFonts w:hint="eastAsia" w:ascii="Times New Roman" w:hAnsi="Times New Roman" w:eastAsia="黑体" w:cs="Times New Roman"/>
                <w:bCs/>
                <w:kern w:val="2"/>
                <w:sz w:val="21"/>
                <w:szCs w:val="21"/>
                <w:highlight w:val="none"/>
                <w:lang w:val="en-US" w:eastAsia="zh-CN" w:bidi="ar-SA"/>
              </w:rPr>
              <w:t>的理化性质及危险、危害特性一览表</w:t>
            </w:r>
          </w:p>
          <w:tbl>
            <w:tblPr>
              <w:tblStyle w:val="31"/>
              <w:tblW w:w="506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02"/>
              <w:gridCol w:w="2220"/>
              <w:gridCol w:w="2100"/>
              <w:gridCol w:w="2734"/>
            </w:tblGrid>
            <w:tr w14:paraId="246C05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jc w:val="center"/>
              </w:trPr>
              <w:tc>
                <w:tcPr>
                  <w:tcW w:w="621" w:type="pct"/>
                  <w:vMerge w:val="restart"/>
                  <w:noWrap w:val="0"/>
                  <w:vAlign w:val="center"/>
                </w:tcPr>
                <w:p w14:paraId="4E810587">
                  <w:pPr>
                    <w:jc w:val="center"/>
                    <w:rPr>
                      <w:rFonts w:ascii="Times New Roman" w:hAnsi="Times New Roman" w:eastAsia="宋体" w:cs="Times New Roman"/>
                      <w:szCs w:val="21"/>
                      <w:highlight w:val="none"/>
                    </w:rPr>
                  </w:pPr>
                  <w:r>
                    <w:rPr>
                      <w:rFonts w:ascii="Times New Roman" w:hAnsi="Times New Roman" w:eastAsia="宋体" w:cs="Times New Roman"/>
                      <w:spacing w:val="7"/>
                      <w:szCs w:val="21"/>
                      <w:highlight w:val="none"/>
                    </w:rPr>
                    <w:t>标识</w:t>
                  </w:r>
                </w:p>
              </w:tc>
              <w:tc>
                <w:tcPr>
                  <w:tcW w:w="1377" w:type="pct"/>
                  <w:noWrap w:val="0"/>
                  <w:vAlign w:val="center"/>
                </w:tcPr>
                <w:p w14:paraId="57E64C41">
                  <w:pPr>
                    <w:jc w:val="center"/>
                    <w:rPr>
                      <w:rFonts w:ascii="Times New Roman" w:hAnsi="Times New Roman" w:eastAsia="宋体" w:cs="Times New Roman"/>
                      <w:szCs w:val="21"/>
                      <w:highlight w:val="none"/>
                    </w:rPr>
                  </w:pPr>
                  <w:r>
                    <w:rPr>
                      <w:rFonts w:ascii="Times New Roman" w:hAnsi="Times New Roman" w:eastAsia="宋体" w:cs="Times New Roman"/>
                      <w:spacing w:val="1"/>
                      <w:szCs w:val="21"/>
                      <w:highlight w:val="none"/>
                    </w:rPr>
                    <w:t>中文名：</w:t>
                  </w:r>
                  <w:r>
                    <w:rPr>
                      <w:rFonts w:hint="eastAsia" w:cs="Times New Roman"/>
                      <w:spacing w:val="1"/>
                      <w:szCs w:val="21"/>
                      <w:highlight w:val="none"/>
                      <w:lang w:val="en-US" w:eastAsia="zh-CN"/>
                    </w:rPr>
                    <w:t>润滑油</w:t>
                  </w:r>
                </w:p>
              </w:tc>
              <w:tc>
                <w:tcPr>
                  <w:tcW w:w="1304" w:type="pct"/>
                  <w:noWrap w:val="0"/>
                  <w:vAlign w:val="center"/>
                </w:tcPr>
                <w:p w14:paraId="260E0606">
                  <w:pPr>
                    <w:jc w:val="center"/>
                    <w:rPr>
                      <w:rFonts w:hint="eastAsia" w:ascii="Times New Roman" w:hAnsi="Times New Roman" w:eastAsia="宋体" w:cs="Times New Roman"/>
                      <w:szCs w:val="21"/>
                      <w:highlight w:val="none"/>
                    </w:rPr>
                  </w:pPr>
                  <w:r>
                    <w:rPr>
                      <w:rFonts w:ascii="Times New Roman" w:hAnsi="Times New Roman" w:eastAsia="宋体" w:cs="Times New Roman"/>
                      <w:spacing w:val="19"/>
                      <w:szCs w:val="21"/>
                      <w:highlight w:val="none"/>
                    </w:rPr>
                    <w:t>分子式：</w:t>
                  </w:r>
                  <w:r>
                    <w:rPr>
                      <w:rFonts w:hint="eastAsia" w:ascii="Times New Roman" w:hAnsi="Times New Roman" w:eastAsia="宋体" w:cs="Times New Roman"/>
                      <w:spacing w:val="19"/>
                      <w:szCs w:val="21"/>
                      <w:highlight w:val="none"/>
                    </w:rPr>
                    <w:t>/</w:t>
                  </w:r>
                </w:p>
              </w:tc>
              <w:tc>
                <w:tcPr>
                  <w:tcW w:w="1697" w:type="pct"/>
                  <w:noWrap w:val="0"/>
                  <w:vAlign w:val="center"/>
                </w:tcPr>
                <w:p w14:paraId="13FA71AB">
                  <w:pPr>
                    <w:jc w:val="center"/>
                    <w:rPr>
                      <w:rFonts w:ascii="Times New Roman" w:hAnsi="Times New Roman" w:eastAsia="宋体" w:cs="Times New Roman"/>
                      <w:szCs w:val="21"/>
                      <w:highlight w:val="none"/>
                    </w:rPr>
                  </w:pPr>
                  <w:r>
                    <w:rPr>
                      <w:rFonts w:ascii="Times New Roman" w:hAnsi="Times New Roman" w:eastAsia="宋体" w:cs="Times New Roman"/>
                      <w:spacing w:val="1"/>
                      <w:szCs w:val="21"/>
                      <w:highlight w:val="none"/>
                    </w:rPr>
                    <w:t>分子量：230~500</w:t>
                  </w:r>
                </w:p>
              </w:tc>
            </w:tr>
            <w:tr w14:paraId="0D22BC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9" w:hRule="atLeast"/>
                <w:jc w:val="center"/>
              </w:trPr>
              <w:tc>
                <w:tcPr>
                  <w:tcW w:w="621" w:type="pct"/>
                  <w:vMerge w:val="continue"/>
                  <w:noWrap w:val="0"/>
                  <w:vAlign w:val="center"/>
                </w:tcPr>
                <w:p w14:paraId="569CF72B">
                  <w:pPr>
                    <w:jc w:val="center"/>
                    <w:rPr>
                      <w:rFonts w:ascii="Times New Roman" w:hAnsi="Times New Roman" w:eastAsia="宋体" w:cs="Times New Roman"/>
                      <w:szCs w:val="21"/>
                      <w:highlight w:val="none"/>
                    </w:rPr>
                  </w:pPr>
                </w:p>
              </w:tc>
              <w:tc>
                <w:tcPr>
                  <w:tcW w:w="1377" w:type="pct"/>
                  <w:noWrap w:val="0"/>
                  <w:vAlign w:val="center"/>
                </w:tcPr>
                <w:p w14:paraId="2EBC4966">
                  <w:pPr>
                    <w:jc w:val="center"/>
                    <w:rPr>
                      <w:rFonts w:ascii="Times New Roman" w:hAnsi="Times New Roman" w:eastAsia="宋体" w:cs="Times New Roman"/>
                      <w:szCs w:val="21"/>
                      <w:highlight w:val="none"/>
                    </w:rPr>
                  </w:pPr>
                  <w:r>
                    <w:rPr>
                      <w:rFonts w:ascii="Times New Roman" w:hAnsi="Times New Roman" w:eastAsia="宋体" w:cs="Times New Roman"/>
                      <w:spacing w:val="28"/>
                      <w:szCs w:val="21"/>
                      <w:highlight w:val="none"/>
                    </w:rPr>
                    <w:t>英文名：lubricating oil ; Lube oil</w:t>
                  </w:r>
                </w:p>
              </w:tc>
              <w:tc>
                <w:tcPr>
                  <w:tcW w:w="1304" w:type="pct"/>
                  <w:noWrap w:val="0"/>
                  <w:vAlign w:val="center"/>
                </w:tcPr>
                <w:p w14:paraId="6C34A6C9">
                  <w:pPr>
                    <w:jc w:val="center"/>
                    <w:rPr>
                      <w:rFonts w:hint="eastAsia" w:ascii="Times New Roman" w:hAnsi="Times New Roman" w:eastAsia="宋体" w:cs="Times New Roman"/>
                      <w:szCs w:val="21"/>
                      <w:highlight w:val="none"/>
                    </w:rPr>
                  </w:pPr>
                  <w:r>
                    <w:rPr>
                      <w:rFonts w:ascii="Times New Roman" w:hAnsi="Times New Roman" w:eastAsia="宋体" w:cs="Times New Roman"/>
                      <w:spacing w:val="-1"/>
                      <w:szCs w:val="21"/>
                      <w:highlight w:val="none"/>
                    </w:rPr>
                    <w:t>CAS号：</w:t>
                  </w:r>
                  <w:r>
                    <w:rPr>
                      <w:rFonts w:hint="eastAsia" w:ascii="Times New Roman" w:hAnsi="Times New Roman" w:eastAsia="宋体" w:cs="Times New Roman"/>
                      <w:spacing w:val="-1"/>
                      <w:szCs w:val="21"/>
                      <w:highlight w:val="none"/>
                    </w:rPr>
                    <w:t>/</w:t>
                  </w:r>
                </w:p>
              </w:tc>
              <w:tc>
                <w:tcPr>
                  <w:tcW w:w="1697" w:type="pct"/>
                  <w:noWrap w:val="0"/>
                  <w:vAlign w:val="center"/>
                </w:tcPr>
                <w:p w14:paraId="3B5200F6">
                  <w:pPr>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危险化学品目录序号:</w:t>
                  </w:r>
                  <w:r>
                    <w:rPr>
                      <w:rFonts w:hint="eastAsia" w:ascii="Times New Roman" w:hAnsi="Times New Roman" w:eastAsia="宋体" w:cs="Times New Roman"/>
                      <w:szCs w:val="21"/>
                      <w:highlight w:val="none"/>
                    </w:rPr>
                    <w:t>/</w:t>
                  </w:r>
                </w:p>
              </w:tc>
            </w:tr>
            <w:tr w14:paraId="601876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621" w:type="pct"/>
                  <w:vMerge w:val="continue"/>
                  <w:noWrap w:val="0"/>
                  <w:vAlign w:val="center"/>
                </w:tcPr>
                <w:p w14:paraId="2AD19940">
                  <w:pPr>
                    <w:jc w:val="center"/>
                    <w:rPr>
                      <w:rFonts w:ascii="Times New Roman" w:hAnsi="Times New Roman" w:eastAsia="宋体" w:cs="Times New Roman"/>
                      <w:szCs w:val="21"/>
                      <w:highlight w:val="none"/>
                    </w:rPr>
                  </w:pPr>
                </w:p>
              </w:tc>
              <w:tc>
                <w:tcPr>
                  <w:tcW w:w="4378" w:type="pct"/>
                  <w:gridSpan w:val="3"/>
                  <w:noWrap w:val="0"/>
                  <w:vAlign w:val="center"/>
                </w:tcPr>
                <w:p w14:paraId="03C00CE3">
                  <w:pPr>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危险性类别：第3.2类中闪点易燃液体。</w:t>
                  </w:r>
                </w:p>
              </w:tc>
            </w:tr>
            <w:tr w14:paraId="49A556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8" w:hRule="atLeast"/>
                <w:jc w:val="center"/>
              </w:trPr>
              <w:tc>
                <w:tcPr>
                  <w:tcW w:w="621" w:type="pct"/>
                  <w:vMerge w:val="restart"/>
                  <w:noWrap w:val="0"/>
                  <w:vAlign w:val="center"/>
                </w:tcPr>
                <w:p w14:paraId="2433F4F0">
                  <w:pPr>
                    <w:jc w:val="center"/>
                    <w:rPr>
                      <w:rFonts w:ascii="Times New Roman" w:hAnsi="Times New Roman" w:eastAsia="宋体" w:cs="Times New Roman"/>
                      <w:szCs w:val="21"/>
                      <w:highlight w:val="none"/>
                    </w:rPr>
                  </w:pPr>
                  <w:r>
                    <w:rPr>
                      <w:rFonts w:ascii="Times New Roman" w:hAnsi="Times New Roman" w:eastAsia="宋体" w:cs="Times New Roman"/>
                      <w:spacing w:val="6"/>
                      <w:szCs w:val="21"/>
                      <w:highlight w:val="none"/>
                    </w:rPr>
                    <w:t>理化性质</w:t>
                  </w:r>
                </w:p>
              </w:tc>
              <w:tc>
                <w:tcPr>
                  <w:tcW w:w="1377" w:type="pct"/>
                  <w:noWrap w:val="0"/>
                  <w:vAlign w:val="center"/>
                </w:tcPr>
                <w:p w14:paraId="1A6BA601">
                  <w:pPr>
                    <w:jc w:val="center"/>
                    <w:rPr>
                      <w:rFonts w:ascii="Times New Roman" w:hAnsi="Times New Roman" w:eastAsia="宋体" w:cs="Times New Roman"/>
                      <w:szCs w:val="21"/>
                      <w:highlight w:val="none"/>
                    </w:rPr>
                  </w:pPr>
                  <w:r>
                    <w:rPr>
                      <w:rFonts w:ascii="Times New Roman" w:hAnsi="Times New Roman" w:eastAsia="宋体" w:cs="Times New Roman"/>
                      <w:spacing w:val="2"/>
                      <w:szCs w:val="21"/>
                      <w:highlight w:val="none"/>
                    </w:rPr>
                    <w:t>外观与性状</w:t>
                  </w:r>
                </w:p>
              </w:tc>
              <w:tc>
                <w:tcPr>
                  <w:tcW w:w="3001" w:type="pct"/>
                  <w:gridSpan w:val="2"/>
                  <w:noWrap w:val="0"/>
                  <w:vAlign w:val="center"/>
                </w:tcPr>
                <w:p w14:paraId="367D41CC">
                  <w:pPr>
                    <w:widowControl/>
                    <w:jc w:val="center"/>
                    <w:textAlignment w:val="bottom"/>
                    <w:rPr>
                      <w:rFonts w:ascii="Times New Roman" w:hAnsi="Times New Roman" w:eastAsia="宋体" w:cs="Times New Roman"/>
                      <w:color w:val="000000"/>
                      <w:szCs w:val="21"/>
                      <w:highlight w:val="none"/>
                    </w:rPr>
                  </w:pPr>
                  <w:r>
                    <w:rPr>
                      <w:rFonts w:ascii="Times New Roman" w:hAnsi="Times New Roman" w:eastAsia="宋体" w:cs="Times New Roman"/>
                      <w:spacing w:val="2"/>
                      <w:szCs w:val="21"/>
                      <w:highlight w:val="none"/>
                    </w:rPr>
                    <w:t>油状液体，淡黄色至褐色，无气味或略带异味。</w:t>
                  </w:r>
                </w:p>
              </w:tc>
            </w:tr>
            <w:tr w14:paraId="07EF36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6" w:hRule="atLeast"/>
                <w:jc w:val="center"/>
              </w:trPr>
              <w:tc>
                <w:tcPr>
                  <w:tcW w:w="621" w:type="pct"/>
                  <w:vMerge w:val="continue"/>
                  <w:noWrap w:val="0"/>
                  <w:vAlign w:val="center"/>
                </w:tcPr>
                <w:p w14:paraId="2AC33284">
                  <w:pPr>
                    <w:jc w:val="center"/>
                    <w:rPr>
                      <w:rFonts w:ascii="Times New Roman" w:hAnsi="Times New Roman" w:eastAsia="宋体" w:cs="Times New Roman"/>
                      <w:szCs w:val="21"/>
                      <w:highlight w:val="none"/>
                    </w:rPr>
                  </w:pPr>
                </w:p>
              </w:tc>
              <w:tc>
                <w:tcPr>
                  <w:tcW w:w="2681" w:type="pct"/>
                  <w:gridSpan w:val="2"/>
                  <w:noWrap w:val="0"/>
                  <w:vAlign w:val="center"/>
                </w:tcPr>
                <w:p w14:paraId="27A647B8">
                  <w:pPr>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相对密度(水=1):&lt;1</w:t>
                  </w:r>
                </w:p>
              </w:tc>
              <w:tc>
                <w:tcPr>
                  <w:tcW w:w="1697" w:type="pct"/>
                  <w:noWrap w:val="0"/>
                  <w:vAlign w:val="center"/>
                </w:tcPr>
                <w:p w14:paraId="46BD0AA1">
                  <w:pPr>
                    <w:jc w:val="center"/>
                    <w:rPr>
                      <w:rFonts w:ascii="Times New Roman" w:hAnsi="Times New Roman" w:eastAsia="宋体" w:cs="Times New Roman"/>
                      <w:szCs w:val="21"/>
                      <w:highlight w:val="none"/>
                    </w:rPr>
                  </w:pPr>
                  <w:r>
                    <w:rPr>
                      <w:rFonts w:ascii="Times New Roman" w:hAnsi="Times New Roman" w:eastAsia="宋体" w:cs="Times New Roman"/>
                      <w:spacing w:val="13"/>
                      <w:szCs w:val="21"/>
                      <w:highlight w:val="none"/>
                    </w:rPr>
                    <w:t>溶解性：</w:t>
                  </w:r>
                  <w:r>
                    <w:rPr>
                      <w:rFonts w:hint="eastAsia" w:ascii="Times New Roman" w:hAnsi="Times New Roman" w:eastAsia="宋体" w:cs="Times New Roman"/>
                      <w:spacing w:val="13"/>
                      <w:szCs w:val="21"/>
                      <w:highlight w:val="none"/>
                    </w:rPr>
                    <w:t>不</w:t>
                  </w:r>
                  <w:r>
                    <w:rPr>
                      <w:rFonts w:ascii="Times New Roman" w:hAnsi="Times New Roman" w:eastAsia="宋体" w:cs="Times New Roman"/>
                      <w:spacing w:val="13"/>
                      <w:szCs w:val="21"/>
                      <w:highlight w:val="none"/>
                    </w:rPr>
                    <w:t>溶于水</w:t>
                  </w:r>
                </w:p>
              </w:tc>
            </w:tr>
            <w:tr w14:paraId="3D9E10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621" w:type="pct"/>
                  <w:vMerge w:val="restart"/>
                  <w:noWrap w:val="0"/>
                  <w:vAlign w:val="center"/>
                </w:tcPr>
                <w:p w14:paraId="47D008F5">
                  <w:pPr>
                    <w:jc w:val="center"/>
                    <w:rPr>
                      <w:rFonts w:ascii="Times New Roman" w:hAnsi="Times New Roman" w:eastAsia="宋体" w:cs="Times New Roman"/>
                      <w:szCs w:val="21"/>
                      <w:highlight w:val="none"/>
                    </w:rPr>
                  </w:pPr>
                  <w:r>
                    <w:rPr>
                      <w:rFonts w:ascii="Times New Roman" w:hAnsi="Times New Roman" w:eastAsia="宋体" w:cs="Times New Roman"/>
                      <w:spacing w:val="2"/>
                      <w:szCs w:val="21"/>
                      <w:highlight w:val="none"/>
                    </w:rPr>
                    <w:t>毒性及健</w:t>
                  </w:r>
                  <w:r>
                    <w:rPr>
                      <w:rFonts w:ascii="Times New Roman" w:hAnsi="Times New Roman" w:eastAsia="宋体" w:cs="Times New Roman"/>
                      <w:spacing w:val="5"/>
                      <w:szCs w:val="21"/>
                      <w:highlight w:val="none"/>
                    </w:rPr>
                    <w:t>康危害</w:t>
                  </w:r>
                </w:p>
              </w:tc>
              <w:tc>
                <w:tcPr>
                  <w:tcW w:w="1377" w:type="pct"/>
                  <w:noWrap w:val="0"/>
                  <w:vAlign w:val="center"/>
                </w:tcPr>
                <w:p w14:paraId="484CCFC1">
                  <w:pPr>
                    <w:jc w:val="center"/>
                    <w:rPr>
                      <w:rFonts w:ascii="Times New Roman" w:hAnsi="Times New Roman" w:eastAsia="宋体" w:cs="Times New Roman"/>
                      <w:szCs w:val="21"/>
                      <w:highlight w:val="none"/>
                    </w:rPr>
                  </w:pPr>
                  <w:r>
                    <w:rPr>
                      <w:rFonts w:ascii="Times New Roman" w:hAnsi="Times New Roman" w:eastAsia="宋体" w:cs="Times New Roman"/>
                      <w:spacing w:val="3"/>
                      <w:szCs w:val="21"/>
                      <w:highlight w:val="none"/>
                    </w:rPr>
                    <w:t>侵入途径</w:t>
                  </w:r>
                </w:p>
              </w:tc>
              <w:tc>
                <w:tcPr>
                  <w:tcW w:w="1304" w:type="pct"/>
                  <w:noWrap w:val="0"/>
                  <w:vAlign w:val="center"/>
                </w:tcPr>
                <w:p w14:paraId="410A66C9">
                  <w:pPr>
                    <w:jc w:val="center"/>
                    <w:rPr>
                      <w:rFonts w:ascii="Times New Roman" w:hAnsi="Times New Roman" w:eastAsia="宋体" w:cs="Times New Roman"/>
                      <w:szCs w:val="21"/>
                      <w:highlight w:val="none"/>
                    </w:rPr>
                  </w:pPr>
                  <w:r>
                    <w:rPr>
                      <w:rFonts w:ascii="Times New Roman" w:hAnsi="Times New Roman" w:eastAsia="宋体" w:cs="Times New Roman"/>
                      <w:spacing w:val="10"/>
                      <w:szCs w:val="21"/>
                      <w:highlight w:val="none"/>
                    </w:rPr>
                    <w:t>吸入、食入、经皮吸收。</w:t>
                  </w:r>
                </w:p>
              </w:tc>
              <w:tc>
                <w:tcPr>
                  <w:tcW w:w="1697" w:type="pct"/>
                  <w:noWrap w:val="0"/>
                  <w:vAlign w:val="center"/>
                </w:tcPr>
                <w:p w14:paraId="18465FAE">
                  <w:pPr>
                    <w:jc w:val="center"/>
                    <w:rPr>
                      <w:rFonts w:ascii="Times New Roman" w:hAnsi="Times New Roman" w:eastAsia="宋体" w:cs="Times New Roman"/>
                      <w:szCs w:val="21"/>
                      <w:highlight w:val="none"/>
                    </w:rPr>
                  </w:pPr>
                  <w:r>
                    <w:rPr>
                      <w:rFonts w:ascii="Times New Roman" w:hAnsi="Times New Roman" w:eastAsia="宋体" w:cs="Times New Roman"/>
                      <w:spacing w:val="14"/>
                      <w:szCs w:val="21"/>
                      <w:highlight w:val="none"/>
                    </w:rPr>
                    <w:t>毒性：LD</w:t>
                  </w:r>
                  <w:r>
                    <w:rPr>
                      <w:rFonts w:hint="eastAsia" w:ascii="Times New Roman" w:hAnsi="Times New Roman" w:eastAsia="宋体" w:cs="Times New Roman"/>
                      <w:spacing w:val="14"/>
                      <w:szCs w:val="21"/>
                      <w:highlight w:val="none"/>
                      <w:vertAlign w:val="subscript"/>
                    </w:rPr>
                    <w:t>50</w:t>
                  </w:r>
                  <w:r>
                    <w:rPr>
                      <w:rFonts w:ascii="Times New Roman" w:hAnsi="Times New Roman" w:eastAsia="宋体" w:cs="Times New Roman"/>
                      <w:spacing w:val="14"/>
                      <w:szCs w:val="21"/>
                      <w:highlight w:val="none"/>
                    </w:rPr>
                    <w:t>(mg/kg，大鼠经口)</w:t>
                  </w:r>
                </w:p>
              </w:tc>
            </w:tr>
            <w:tr w14:paraId="55A37B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21" w:type="pct"/>
                  <w:vMerge w:val="continue"/>
                  <w:noWrap w:val="0"/>
                  <w:vAlign w:val="center"/>
                </w:tcPr>
                <w:p w14:paraId="29FBA879">
                  <w:pPr>
                    <w:jc w:val="center"/>
                    <w:rPr>
                      <w:rFonts w:ascii="Times New Roman" w:hAnsi="Times New Roman" w:eastAsia="宋体" w:cs="Times New Roman"/>
                      <w:szCs w:val="21"/>
                      <w:highlight w:val="none"/>
                    </w:rPr>
                  </w:pPr>
                </w:p>
              </w:tc>
              <w:tc>
                <w:tcPr>
                  <w:tcW w:w="1377" w:type="pct"/>
                  <w:noWrap w:val="0"/>
                  <w:vAlign w:val="center"/>
                </w:tcPr>
                <w:p w14:paraId="4BAE7094">
                  <w:pPr>
                    <w:jc w:val="center"/>
                    <w:rPr>
                      <w:rFonts w:ascii="Times New Roman" w:hAnsi="Times New Roman" w:eastAsia="宋体" w:cs="Times New Roman"/>
                      <w:szCs w:val="21"/>
                      <w:highlight w:val="none"/>
                    </w:rPr>
                  </w:pPr>
                  <w:r>
                    <w:rPr>
                      <w:rFonts w:ascii="Times New Roman" w:hAnsi="Times New Roman" w:eastAsia="宋体" w:cs="Times New Roman"/>
                      <w:spacing w:val="3"/>
                      <w:szCs w:val="21"/>
                      <w:highlight w:val="none"/>
                    </w:rPr>
                    <w:t>健康危害</w:t>
                  </w:r>
                </w:p>
              </w:tc>
              <w:tc>
                <w:tcPr>
                  <w:tcW w:w="3001" w:type="pct"/>
                  <w:gridSpan w:val="2"/>
                  <w:noWrap w:val="0"/>
                  <w:vAlign w:val="center"/>
                </w:tcPr>
                <w:p w14:paraId="12F0153A">
                  <w:pPr>
                    <w:rPr>
                      <w:rFonts w:ascii="Times New Roman" w:hAnsi="Times New Roman" w:eastAsia="宋体" w:cs="Times New Roman"/>
                      <w:szCs w:val="21"/>
                      <w:highlight w:val="none"/>
                    </w:rPr>
                  </w:pPr>
                  <w:r>
                    <w:rPr>
                      <w:rFonts w:ascii="Times New Roman" w:hAnsi="Times New Roman" w:eastAsia="宋体" w:cs="Times New Roman"/>
                      <w:spacing w:val="-3"/>
                      <w:szCs w:val="21"/>
                      <w:highlight w:val="none"/>
                    </w:rPr>
                    <w:t>侵入途径</w:t>
                  </w:r>
                  <w:r>
                    <w:rPr>
                      <w:rFonts w:hint="eastAsia" w:ascii="Times New Roman" w:hAnsi="Times New Roman" w:eastAsia="宋体" w:cs="Times New Roman"/>
                      <w:spacing w:val="-3"/>
                      <w:szCs w:val="21"/>
                      <w:highlight w:val="none"/>
                    </w:rPr>
                    <w:t>：</w:t>
                  </w:r>
                  <w:r>
                    <w:rPr>
                      <w:rFonts w:ascii="Times New Roman" w:hAnsi="Times New Roman" w:eastAsia="宋体" w:cs="Times New Roman"/>
                      <w:spacing w:val="-3"/>
                      <w:szCs w:val="21"/>
                      <w:highlight w:val="none"/>
                    </w:rPr>
                    <w:t>吸</w:t>
                  </w:r>
                  <w:r>
                    <w:rPr>
                      <w:rFonts w:hint="eastAsia" w:ascii="Times New Roman" w:hAnsi="Times New Roman" w:eastAsia="宋体" w:cs="Times New Roman"/>
                      <w:spacing w:val="-3"/>
                      <w:szCs w:val="21"/>
                      <w:highlight w:val="none"/>
                    </w:rPr>
                    <w:t>入</w:t>
                  </w:r>
                  <w:r>
                    <w:rPr>
                      <w:rFonts w:ascii="Times New Roman" w:hAnsi="Times New Roman" w:eastAsia="宋体" w:cs="Times New Roman"/>
                      <w:spacing w:val="-3"/>
                      <w:szCs w:val="21"/>
                      <w:highlight w:val="none"/>
                    </w:rPr>
                    <w:t>、食入</w:t>
                  </w:r>
                  <w:r>
                    <w:rPr>
                      <w:rFonts w:hint="eastAsia" w:ascii="Times New Roman" w:hAnsi="Times New Roman" w:eastAsia="宋体" w:cs="Times New Roman"/>
                      <w:spacing w:val="-3"/>
                      <w:szCs w:val="21"/>
                      <w:highlight w:val="none"/>
                    </w:rPr>
                    <w:t>：</w:t>
                  </w:r>
                  <w:r>
                    <w:rPr>
                      <w:rFonts w:ascii="Times New Roman" w:hAnsi="Times New Roman" w:eastAsia="宋体" w:cs="Times New Roman"/>
                      <w:spacing w:val="-3"/>
                      <w:szCs w:val="21"/>
                      <w:highlight w:val="none"/>
                    </w:rPr>
                    <w:t>急性吸入，可出现乏力、头晕、头痛、恶心，严重者可引起油脂性肺炎。慢接触者，暴露部位可发生油性痤疮和接触性皮炎。可引起神经衰弱综合征，呼吸道和眼刺激症状及慢性油脂性肺炎有资料报道，接触石油</w:t>
                  </w:r>
                  <w:r>
                    <w:rPr>
                      <w:rFonts w:hint="eastAsia" w:cs="Times New Roman"/>
                      <w:spacing w:val="-3"/>
                      <w:szCs w:val="21"/>
                      <w:highlight w:val="none"/>
                      <w:lang w:val="en-US" w:eastAsia="zh-CN"/>
                    </w:rPr>
                    <w:t>润滑油</w:t>
                  </w:r>
                  <w:r>
                    <w:rPr>
                      <w:rFonts w:ascii="Times New Roman" w:hAnsi="Times New Roman" w:eastAsia="宋体" w:cs="Times New Roman"/>
                      <w:spacing w:val="-3"/>
                      <w:szCs w:val="21"/>
                      <w:highlight w:val="none"/>
                    </w:rPr>
                    <w:t>类的工人，有致癌的病例报告。</w:t>
                  </w:r>
                </w:p>
              </w:tc>
            </w:tr>
            <w:tr w14:paraId="6C6A7A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21" w:type="pct"/>
                  <w:vMerge w:val="restart"/>
                  <w:noWrap w:val="0"/>
                  <w:vAlign w:val="center"/>
                </w:tcPr>
                <w:p w14:paraId="2FD6D17B">
                  <w:pPr>
                    <w:jc w:val="center"/>
                    <w:rPr>
                      <w:rFonts w:ascii="Times New Roman" w:hAnsi="Times New Roman" w:eastAsia="宋体" w:cs="Times New Roman"/>
                      <w:szCs w:val="21"/>
                      <w:highlight w:val="none"/>
                    </w:rPr>
                  </w:pPr>
                  <w:r>
                    <w:rPr>
                      <w:rFonts w:ascii="Times New Roman" w:hAnsi="Times New Roman" w:eastAsia="宋体" w:cs="Times New Roman"/>
                      <w:spacing w:val="-3"/>
                      <w:szCs w:val="21"/>
                      <w:highlight w:val="none"/>
                    </w:rPr>
                    <w:t>燃烧、爆</w:t>
                  </w:r>
                  <w:r>
                    <w:rPr>
                      <w:rFonts w:ascii="Times New Roman" w:hAnsi="Times New Roman" w:eastAsia="宋体" w:cs="Times New Roman"/>
                      <w:spacing w:val="2"/>
                      <w:szCs w:val="21"/>
                      <w:highlight w:val="none"/>
                    </w:rPr>
                    <w:t>炸危险性</w:t>
                  </w:r>
                </w:p>
              </w:tc>
              <w:tc>
                <w:tcPr>
                  <w:tcW w:w="4378" w:type="pct"/>
                  <w:gridSpan w:val="3"/>
                  <w:noWrap w:val="0"/>
                  <w:vAlign w:val="center"/>
                </w:tcPr>
                <w:p w14:paraId="435B4FAF">
                  <w:pPr>
                    <w:jc w:val="center"/>
                    <w:rPr>
                      <w:rFonts w:ascii="Times New Roman" w:hAnsi="Times New Roman" w:eastAsia="宋体" w:cs="Times New Roman"/>
                      <w:szCs w:val="21"/>
                      <w:highlight w:val="none"/>
                    </w:rPr>
                  </w:pPr>
                  <w:r>
                    <w:rPr>
                      <w:rFonts w:ascii="Times New Roman" w:hAnsi="Times New Roman" w:eastAsia="宋体" w:cs="Times New Roman"/>
                      <w:spacing w:val="1"/>
                      <w:szCs w:val="21"/>
                      <w:highlight w:val="none"/>
                    </w:rPr>
                    <w:t>闪点(℃)：</w:t>
                  </w:r>
                  <w:r>
                    <w:rPr>
                      <w:rFonts w:hint="eastAsia" w:ascii="Times New Roman" w:hAnsi="Times New Roman" w:eastAsia="宋体" w:cs="Times New Roman"/>
                      <w:spacing w:val="1"/>
                      <w:szCs w:val="21"/>
                      <w:highlight w:val="none"/>
                    </w:rPr>
                    <w:t>76</w:t>
                  </w:r>
                </w:p>
              </w:tc>
            </w:tr>
            <w:tr w14:paraId="17CC79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621" w:type="pct"/>
                  <w:vMerge w:val="continue"/>
                  <w:noWrap w:val="0"/>
                  <w:vAlign w:val="center"/>
                </w:tcPr>
                <w:p w14:paraId="2283588C">
                  <w:pPr>
                    <w:jc w:val="center"/>
                    <w:rPr>
                      <w:rFonts w:ascii="Times New Roman" w:hAnsi="Times New Roman" w:eastAsia="宋体" w:cs="Times New Roman"/>
                      <w:szCs w:val="21"/>
                      <w:highlight w:val="none"/>
                    </w:rPr>
                  </w:pPr>
                </w:p>
              </w:tc>
              <w:tc>
                <w:tcPr>
                  <w:tcW w:w="4378" w:type="pct"/>
                  <w:gridSpan w:val="3"/>
                  <w:noWrap w:val="0"/>
                  <w:vAlign w:val="center"/>
                </w:tcPr>
                <w:p w14:paraId="7143A305">
                  <w:pPr>
                    <w:jc w:val="center"/>
                    <w:rPr>
                      <w:rFonts w:ascii="Times New Roman" w:hAnsi="Times New Roman" w:eastAsia="宋体" w:cs="Times New Roman"/>
                      <w:szCs w:val="21"/>
                      <w:highlight w:val="none"/>
                    </w:rPr>
                  </w:pPr>
                  <w:r>
                    <w:rPr>
                      <w:rFonts w:ascii="Times New Roman" w:hAnsi="Times New Roman" w:eastAsia="宋体" w:cs="Times New Roman"/>
                      <w:spacing w:val="-5"/>
                      <w:szCs w:val="21"/>
                      <w:highlight w:val="none"/>
                    </w:rPr>
                    <w:t>有害燃烧产物：一氧化碳、二氧化碳。</w:t>
                  </w:r>
                </w:p>
              </w:tc>
            </w:tr>
            <w:tr w14:paraId="76E780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39" w:hRule="atLeast"/>
                <w:jc w:val="center"/>
              </w:trPr>
              <w:tc>
                <w:tcPr>
                  <w:tcW w:w="621" w:type="pct"/>
                  <w:vMerge w:val="continue"/>
                  <w:noWrap w:val="0"/>
                  <w:vAlign w:val="center"/>
                </w:tcPr>
                <w:p w14:paraId="0D83CB34">
                  <w:pPr>
                    <w:jc w:val="center"/>
                    <w:rPr>
                      <w:rFonts w:ascii="Times New Roman" w:hAnsi="Times New Roman" w:eastAsia="宋体" w:cs="Times New Roman"/>
                      <w:szCs w:val="21"/>
                      <w:highlight w:val="none"/>
                    </w:rPr>
                  </w:pPr>
                </w:p>
              </w:tc>
              <w:tc>
                <w:tcPr>
                  <w:tcW w:w="1377" w:type="pct"/>
                  <w:noWrap w:val="0"/>
                  <w:vAlign w:val="center"/>
                </w:tcPr>
                <w:p w14:paraId="47B57BA0">
                  <w:pPr>
                    <w:jc w:val="center"/>
                    <w:rPr>
                      <w:rFonts w:ascii="Times New Roman" w:hAnsi="Times New Roman" w:eastAsia="宋体" w:cs="Times New Roman"/>
                      <w:szCs w:val="21"/>
                      <w:highlight w:val="none"/>
                    </w:rPr>
                  </w:pPr>
                  <w:r>
                    <w:rPr>
                      <w:rFonts w:ascii="Times New Roman" w:hAnsi="Times New Roman" w:eastAsia="宋体" w:cs="Times New Roman"/>
                      <w:spacing w:val="2"/>
                      <w:szCs w:val="21"/>
                      <w:highlight w:val="none"/>
                    </w:rPr>
                    <w:t>危险特性</w:t>
                  </w:r>
                </w:p>
              </w:tc>
              <w:tc>
                <w:tcPr>
                  <w:tcW w:w="3001" w:type="pct"/>
                  <w:gridSpan w:val="2"/>
                  <w:noWrap w:val="0"/>
                  <w:vAlign w:val="center"/>
                </w:tcPr>
                <w:p w14:paraId="630D0220">
                  <w:pPr>
                    <w:rPr>
                      <w:rFonts w:ascii="Times New Roman" w:hAnsi="Times New Roman" w:eastAsia="宋体" w:cs="Times New Roman"/>
                      <w:szCs w:val="21"/>
                      <w:highlight w:val="none"/>
                    </w:rPr>
                  </w:pPr>
                  <w:r>
                    <w:rPr>
                      <w:rFonts w:ascii="Times New Roman" w:hAnsi="Times New Roman" w:eastAsia="宋体" w:cs="Times New Roman"/>
                      <w:spacing w:val="8"/>
                      <w:szCs w:val="21"/>
                      <w:highlight w:val="none"/>
                    </w:rPr>
                    <w:t>危险特征：遇明火、高热或与氧化剂接触，有引起燃烧爆炸的危险。若遇高热，容器内压增大，有开裂和爆炸的危险</w:t>
                  </w:r>
                  <w:r>
                    <w:rPr>
                      <w:rFonts w:ascii="Times New Roman" w:hAnsi="Times New Roman" w:eastAsia="宋体" w:cs="Times New Roman"/>
                      <w:spacing w:val="12"/>
                      <w:szCs w:val="21"/>
                      <w:highlight w:val="none"/>
                    </w:rPr>
                    <w:t>。</w:t>
                  </w:r>
                </w:p>
              </w:tc>
            </w:tr>
            <w:tr w14:paraId="1CC040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95" w:hRule="atLeast"/>
                <w:jc w:val="center"/>
              </w:trPr>
              <w:tc>
                <w:tcPr>
                  <w:tcW w:w="621" w:type="pct"/>
                  <w:vMerge w:val="continue"/>
                  <w:noWrap w:val="0"/>
                  <w:vAlign w:val="center"/>
                </w:tcPr>
                <w:p w14:paraId="5BC4D8FD">
                  <w:pPr>
                    <w:jc w:val="center"/>
                    <w:rPr>
                      <w:rFonts w:ascii="Times New Roman" w:hAnsi="Times New Roman" w:eastAsia="宋体" w:cs="Times New Roman"/>
                      <w:szCs w:val="21"/>
                      <w:highlight w:val="none"/>
                    </w:rPr>
                  </w:pPr>
                </w:p>
              </w:tc>
              <w:tc>
                <w:tcPr>
                  <w:tcW w:w="1377" w:type="pct"/>
                  <w:noWrap w:val="0"/>
                  <w:vAlign w:val="center"/>
                </w:tcPr>
                <w:p w14:paraId="6F94A234">
                  <w:pPr>
                    <w:jc w:val="center"/>
                    <w:rPr>
                      <w:rFonts w:ascii="Times New Roman" w:hAnsi="Times New Roman" w:eastAsia="宋体" w:cs="Times New Roman"/>
                      <w:szCs w:val="21"/>
                      <w:highlight w:val="none"/>
                    </w:rPr>
                  </w:pPr>
                  <w:r>
                    <w:rPr>
                      <w:rFonts w:ascii="Times New Roman" w:hAnsi="Times New Roman" w:eastAsia="宋体" w:cs="Times New Roman"/>
                      <w:spacing w:val="2"/>
                      <w:szCs w:val="21"/>
                      <w:highlight w:val="none"/>
                    </w:rPr>
                    <w:t>灭火方法</w:t>
                  </w:r>
                </w:p>
              </w:tc>
              <w:tc>
                <w:tcPr>
                  <w:tcW w:w="3001" w:type="pct"/>
                  <w:gridSpan w:val="2"/>
                  <w:noWrap w:val="0"/>
                  <w:vAlign w:val="center"/>
                </w:tcPr>
                <w:p w14:paraId="3A5690BE">
                  <w:pPr>
                    <w:rPr>
                      <w:rFonts w:ascii="Times New Roman" w:hAnsi="Times New Roman" w:eastAsia="宋体" w:cs="Times New Roman"/>
                      <w:spacing w:val="21"/>
                      <w:szCs w:val="21"/>
                      <w:highlight w:val="none"/>
                    </w:rPr>
                  </w:pPr>
                  <w:r>
                    <w:rPr>
                      <w:rFonts w:ascii="Times New Roman" w:hAnsi="Times New Roman" w:eastAsia="宋体" w:cs="Times New Roman"/>
                      <w:spacing w:val="8"/>
                      <w:szCs w:val="21"/>
                      <w:highlight w:val="none"/>
                    </w:rPr>
                    <w:t>灭火方法：尽可能将容器从火场移至空旷处。喷雾状水保持火场容器</w:t>
                  </w:r>
                  <w:r>
                    <w:rPr>
                      <w:rFonts w:ascii="Times New Roman" w:hAnsi="Times New Roman" w:eastAsia="宋体" w:cs="Times New Roman"/>
                      <w:spacing w:val="21"/>
                      <w:szCs w:val="21"/>
                      <w:highlight w:val="none"/>
                    </w:rPr>
                    <w:t>冷却，直至灭火结束。</w:t>
                  </w:r>
                </w:p>
                <w:p w14:paraId="4444C8CB">
                  <w:pPr>
                    <w:rPr>
                      <w:rFonts w:ascii="Times New Roman" w:hAnsi="Times New Roman" w:eastAsia="宋体" w:cs="Times New Roman"/>
                      <w:szCs w:val="21"/>
                      <w:highlight w:val="none"/>
                    </w:rPr>
                  </w:pPr>
                  <w:r>
                    <w:rPr>
                      <w:rFonts w:ascii="Times New Roman" w:hAnsi="Times New Roman" w:eastAsia="宋体" w:cs="Times New Roman"/>
                      <w:spacing w:val="-5"/>
                      <w:szCs w:val="21"/>
                      <w:highlight w:val="none"/>
                    </w:rPr>
                    <w:t>灭火剂：雾状水、泡沫、干粉、二氧化碳、砂土。</w:t>
                  </w:r>
                </w:p>
              </w:tc>
            </w:tr>
            <w:tr w14:paraId="175377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8" w:hRule="atLeast"/>
                <w:jc w:val="center"/>
              </w:trPr>
              <w:tc>
                <w:tcPr>
                  <w:tcW w:w="621" w:type="pct"/>
                  <w:noWrap w:val="0"/>
                  <w:vAlign w:val="center"/>
                </w:tcPr>
                <w:p w14:paraId="78D10522">
                  <w:pPr>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泄漏应急处理</w:t>
                  </w:r>
                </w:p>
              </w:tc>
              <w:tc>
                <w:tcPr>
                  <w:tcW w:w="4378" w:type="pct"/>
                  <w:gridSpan w:val="3"/>
                  <w:noWrap w:val="0"/>
                  <w:vAlign w:val="center"/>
                </w:tcPr>
                <w:p w14:paraId="4648EEDD">
                  <w:pPr>
                    <w:ind w:firstLine="424" w:firstLineChars="200"/>
                    <w:rPr>
                      <w:rFonts w:ascii="Times New Roman" w:hAnsi="Times New Roman" w:eastAsia="宋体" w:cs="Times New Roman"/>
                      <w:spacing w:val="1"/>
                      <w:szCs w:val="21"/>
                      <w:highlight w:val="none"/>
                    </w:rPr>
                  </w:pPr>
                  <w:r>
                    <w:rPr>
                      <w:rFonts w:ascii="Times New Roman" w:hAnsi="Times New Roman" w:eastAsia="宋体" w:cs="Times New Roman"/>
                      <w:spacing w:val="1"/>
                      <w:szCs w:val="21"/>
                      <w:highlight w:val="none"/>
                    </w:rPr>
                    <w:t>迅速撤离泄漏污染区人员至安全区，并进行隔离，严格限制出入。切断火源。建议应急处理人员戴自给正压式呼吸器</w:t>
                  </w:r>
                  <w:r>
                    <w:rPr>
                      <w:rFonts w:hint="eastAsia" w:ascii="Times New Roman" w:hAnsi="Times New Roman" w:eastAsia="宋体" w:cs="Times New Roman"/>
                      <w:spacing w:val="1"/>
                      <w:szCs w:val="21"/>
                      <w:highlight w:val="none"/>
                    </w:rPr>
                    <w:t>，</w:t>
                  </w:r>
                  <w:r>
                    <w:rPr>
                      <w:rFonts w:ascii="Times New Roman" w:hAnsi="Times New Roman" w:eastAsia="宋体" w:cs="Times New Roman"/>
                      <w:spacing w:val="1"/>
                      <w:szCs w:val="21"/>
                      <w:highlight w:val="none"/>
                    </w:rPr>
                    <w:t>穿防毒服</w:t>
                  </w:r>
                  <w:r>
                    <w:rPr>
                      <w:rFonts w:hint="eastAsia" w:ascii="Times New Roman" w:hAnsi="Times New Roman" w:eastAsia="宋体" w:cs="Times New Roman"/>
                      <w:spacing w:val="1"/>
                      <w:szCs w:val="21"/>
                      <w:highlight w:val="none"/>
                    </w:rPr>
                    <w:t>。</w:t>
                  </w:r>
                  <w:r>
                    <w:rPr>
                      <w:rFonts w:ascii="Times New Roman" w:hAnsi="Times New Roman" w:eastAsia="宋体" w:cs="Times New Roman"/>
                      <w:spacing w:val="1"/>
                      <w:szCs w:val="21"/>
                      <w:highlight w:val="none"/>
                    </w:rPr>
                    <w:t>尽可能切断泄漏源。防止流入下水道、排洪沟等限制性空间。</w:t>
                  </w:r>
                </w:p>
                <w:p w14:paraId="577CD262">
                  <w:pPr>
                    <w:ind w:firstLine="424" w:firstLineChars="200"/>
                    <w:rPr>
                      <w:rFonts w:ascii="Times New Roman" w:hAnsi="Times New Roman" w:eastAsia="宋体" w:cs="Times New Roman"/>
                      <w:spacing w:val="1"/>
                      <w:szCs w:val="21"/>
                      <w:highlight w:val="none"/>
                    </w:rPr>
                  </w:pPr>
                  <w:r>
                    <w:rPr>
                      <w:rFonts w:ascii="Times New Roman" w:hAnsi="Times New Roman" w:eastAsia="宋体" w:cs="Times New Roman"/>
                      <w:spacing w:val="1"/>
                      <w:szCs w:val="21"/>
                      <w:highlight w:val="none"/>
                    </w:rPr>
                    <w:t>小量泄漏</w:t>
                  </w:r>
                  <w:r>
                    <w:rPr>
                      <w:rFonts w:hint="eastAsia" w:ascii="Times New Roman" w:hAnsi="Times New Roman" w:eastAsia="宋体" w:cs="Times New Roman"/>
                      <w:spacing w:val="1"/>
                      <w:szCs w:val="21"/>
                      <w:highlight w:val="none"/>
                    </w:rPr>
                    <w:t>：</w:t>
                  </w:r>
                  <w:r>
                    <w:rPr>
                      <w:rFonts w:ascii="Times New Roman" w:hAnsi="Times New Roman" w:eastAsia="宋体" w:cs="Times New Roman"/>
                      <w:spacing w:val="1"/>
                      <w:szCs w:val="21"/>
                      <w:highlight w:val="none"/>
                    </w:rPr>
                    <w:t>用砂土或其它不燃材料吸附或吸收。</w:t>
                  </w:r>
                </w:p>
                <w:p w14:paraId="4D7694D7">
                  <w:pPr>
                    <w:ind w:firstLine="424" w:firstLineChars="200"/>
                    <w:rPr>
                      <w:rFonts w:ascii="Times New Roman" w:hAnsi="Times New Roman" w:eastAsia="宋体" w:cs="Times New Roman"/>
                      <w:b/>
                      <w:bCs/>
                      <w:spacing w:val="-5"/>
                      <w:szCs w:val="21"/>
                      <w:highlight w:val="none"/>
                    </w:rPr>
                  </w:pPr>
                  <w:r>
                    <w:rPr>
                      <w:rFonts w:ascii="Times New Roman" w:hAnsi="Times New Roman" w:eastAsia="宋体" w:cs="Times New Roman"/>
                      <w:spacing w:val="1"/>
                      <w:szCs w:val="21"/>
                      <w:highlight w:val="none"/>
                    </w:rPr>
                    <w:t>大量泄漏</w:t>
                  </w:r>
                  <w:r>
                    <w:rPr>
                      <w:rFonts w:hint="eastAsia" w:ascii="Times New Roman" w:hAnsi="Times New Roman" w:eastAsia="宋体" w:cs="Times New Roman"/>
                      <w:spacing w:val="1"/>
                      <w:szCs w:val="21"/>
                      <w:highlight w:val="none"/>
                    </w:rPr>
                    <w:t>：</w:t>
                  </w:r>
                  <w:r>
                    <w:rPr>
                      <w:rFonts w:ascii="Times New Roman" w:hAnsi="Times New Roman" w:eastAsia="宋体" w:cs="Times New Roman"/>
                      <w:spacing w:val="1"/>
                      <w:szCs w:val="21"/>
                      <w:highlight w:val="none"/>
                    </w:rPr>
                    <w:t>构筑围堤或挖坑收容。用泵转移至槽车或专用收集器内，回收或运至废物处理场所处置。</w:t>
                  </w:r>
                </w:p>
              </w:tc>
            </w:tr>
            <w:tr w14:paraId="1F3960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8" w:hRule="atLeast"/>
                <w:jc w:val="center"/>
              </w:trPr>
              <w:tc>
                <w:tcPr>
                  <w:tcW w:w="621" w:type="pct"/>
                  <w:noWrap w:val="0"/>
                  <w:vAlign w:val="center"/>
                </w:tcPr>
                <w:p w14:paraId="10549624">
                  <w:pPr>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储运注意事项</w:t>
                  </w:r>
                </w:p>
              </w:tc>
              <w:tc>
                <w:tcPr>
                  <w:tcW w:w="4378" w:type="pct"/>
                  <w:gridSpan w:val="3"/>
                  <w:noWrap w:val="0"/>
                  <w:vAlign w:val="center"/>
                </w:tcPr>
                <w:p w14:paraId="65BDD75A">
                  <w:pPr>
                    <w:ind w:firstLine="424" w:firstLineChars="200"/>
                    <w:rPr>
                      <w:rFonts w:ascii="Times New Roman" w:hAnsi="Times New Roman" w:eastAsia="宋体" w:cs="Times New Roman"/>
                      <w:spacing w:val="1"/>
                      <w:szCs w:val="21"/>
                      <w:highlight w:val="none"/>
                    </w:rPr>
                  </w:pPr>
                  <w:r>
                    <w:rPr>
                      <w:rFonts w:ascii="Times New Roman" w:hAnsi="Times New Roman" w:eastAsia="宋体" w:cs="Times New Roman"/>
                      <w:spacing w:val="1"/>
                      <w:szCs w:val="21"/>
                      <w:highlight w:val="none"/>
                    </w:rPr>
                    <w:t>储存于阴凉、通风的库房。远离火种、热源。应与氧化剂分开存放，切忌混储。配备相应品种和数量的消防器材。储区应备有泄漏应急处理设备和合适的收容材料。</w:t>
                  </w:r>
                </w:p>
                <w:p w14:paraId="7A4B87EA">
                  <w:pPr>
                    <w:ind w:firstLine="424" w:firstLineChars="200"/>
                    <w:rPr>
                      <w:rFonts w:ascii="Times New Roman" w:hAnsi="Times New Roman" w:eastAsia="宋体" w:cs="Times New Roman"/>
                      <w:b/>
                      <w:bCs/>
                      <w:spacing w:val="-5"/>
                      <w:szCs w:val="21"/>
                      <w:highlight w:val="none"/>
                    </w:rPr>
                  </w:pPr>
                  <w:r>
                    <w:rPr>
                      <w:rFonts w:ascii="Times New Roman" w:hAnsi="Times New Roman" w:eastAsia="宋体" w:cs="Times New Roman"/>
                      <w:spacing w:val="1"/>
                      <w:szCs w:val="21"/>
                      <w:highlight w:val="none"/>
                    </w:rPr>
                    <w:t>运输前应先检查包装容器是否完整、密封，运输过程中要确保容器不泄漏、不倒塌、不落、不损坏。严禁与氧化剂食用化学品等混装混运。运输车船必须彻底清洗、消毒，否则不得装运其它物品。船运时，配装位置应远离卧室、厨房并与机舱、电源、火源等部位隔离。公路运输时要按规定路线行驶。</w:t>
                  </w:r>
                </w:p>
              </w:tc>
            </w:tr>
          </w:tbl>
          <w:p w14:paraId="5016F8D3">
            <w:pPr>
              <w:widowControl w:val="0"/>
              <w:adjustRightInd w:val="0"/>
              <w:snapToGrid w:val="0"/>
              <w:spacing w:line="360" w:lineRule="auto"/>
              <w:ind w:firstLine="480" w:firstLineChars="200"/>
              <w:jc w:val="left"/>
              <w:rPr>
                <w:rFonts w:ascii="Times New Roman" w:hAnsi="Times New Roman" w:eastAsia="宋体" w:cs="Times New Roman"/>
                <w:bCs/>
                <w:kern w:val="2"/>
                <w:sz w:val="24"/>
                <w:szCs w:val="24"/>
                <w:highlight w:val="none"/>
                <w:lang w:val="en-US" w:eastAsia="zh-CN" w:bidi="ar-SA"/>
              </w:rPr>
            </w:pPr>
            <w:r>
              <w:rPr>
                <w:rFonts w:ascii="Times New Roman" w:hAnsi="Times New Roman" w:eastAsia="宋体" w:cs="Times New Roman"/>
                <w:bCs/>
                <w:kern w:val="2"/>
                <w:sz w:val="24"/>
                <w:szCs w:val="24"/>
                <w:highlight w:val="none"/>
                <w:lang w:val="en-US" w:eastAsia="zh-CN" w:bidi="ar-SA"/>
              </w:rPr>
              <w:t>2、评价工作等级</w:t>
            </w:r>
          </w:p>
          <w:p w14:paraId="62D45075">
            <w:pPr>
              <w:widowControl w:val="0"/>
              <w:adjustRightInd w:val="0"/>
              <w:snapToGrid w:val="0"/>
              <w:spacing w:line="360" w:lineRule="auto"/>
              <w:ind w:firstLine="480" w:firstLineChars="200"/>
              <w:jc w:val="left"/>
              <w:rPr>
                <w:rFonts w:ascii="Times New Roman" w:hAnsi="Times New Roman" w:eastAsia="宋体" w:cs="Times New Roman"/>
                <w:bCs/>
                <w:kern w:val="2"/>
                <w:sz w:val="24"/>
                <w:szCs w:val="24"/>
                <w:highlight w:val="none"/>
                <w:lang w:val="en-US" w:eastAsia="zh-CN" w:bidi="ar-SA"/>
              </w:rPr>
            </w:pPr>
            <w:r>
              <w:rPr>
                <w:rFonts w:ascii="Times New Roman" w:hAnsi="Times New Roman" w:eastAsia="宋体" w:cs="Times New Roman"/>
                <w:bCs/>
                <w:kern w:val="2"/>
                <w:sz w:val="24"/>
                <w:szCs w:val="24"/>
                <w:highlight w:val="none"/>
                <w:lang w:val="en-US" w:eastAsia="zh-CN" w:bidi="ar-SA"/>
              </w:rPr>
              <w:t>根据《建设项目环境风险评价技术导则》（HJ169-2018）中的规定，环境风险评价工作等级划分判据详见下表。</w:t>
            </w:r>
          </w:p>
          <w:p w14:paraId="5A4D7CE8">
            <w:pPr>
              <w:widowControl w:val="0"/>
              <w:spacing w:line="240" w:lineRule="auto"/>
              <w:ind w:firstLine="0" w:firstLineChars="0"/>
              <w:jc w:val="center"/>
              <w:rPr>
                <w:rFonts w:ascii="Times New Roman" w:hAnsi="Times New Roman" w:eastAsia="黑体" w:cs="Times New Roman"/>
                <w:bCs/>
                <w:kern w:val="2"/>
                <w:sz w:val="21"/>
                <w:szCs w:val="21"/>
                <w:highlight w:val="none"/>
                <w:lang w:val="en-US" w:eastAsia="zh-CN" w:bidi="ar-SA"/>
              </w:rPr>
            </w:pPr>
            <w:r>
              <w:rPr>
                <w:rFonts w:ascii="Times New Roman" w:hAnsi="Times New Roman" w:eastAsia="黑体" w:cs="Times New Roman"/>
                <w:bCs/>
                <w:kern w:val="2"/>
                <w:sz w:val="21"/>
                <w:szCs w:val="21"/>
                <w:highlight w:val="none"/>
                <w:lang w:val="en-US" w:eastAsia="zh-CN" w:bidi="ar-SA"/>
              </w:rPr>
              <w:t>表4-1</w:t>
            </w:r>
            <w:r>
              <w:rPr>
                <w:rFonts w:hint="eastAsia" w:eastAsia="黑体" w:cs="Times New Roman"/>
                <w:bCs/>
                <w:kern w:val="2"/>
                <w:sz w:val="21"/>
                <w:szCs w:val="21"/>
                <w:highlight w:val="none"/>
                <w:lang w:val="en-US" w:eastAsia="zh-CN" w:bidi="ar-SA"/>
              </w:rPr>
              <w:t>4</w:t>
            </w:r>
            <w:r>
              <w:rPr>
                <w:rFonts w:ascii="Times New Roman" w:hAnsi="Times New Roman" w:eastAsia="黑体" w:cs="Times New Roman"/>
                <w:bCs/>
                <w:kern w:val="2"/>
                <w:sz w:val="21"/>
                <w:szCs w:val="21"/>
                <w:highlight w:val="none"/>
                <w:lang w:val="en-US" w:eastAsia="zh-CN" w:bidi="ar-SA"/>
              </w:rPr>
              <w:t xml:space="preserve"> 评价工作等级</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0"/>
              <w:gridCol w:w="1589"/>
              <w:gridCol w:w="1588"/>
              <w:gridCol w:w="1589"/>
              <w:gridCol w:w="1589"/>
            </w:tblGrid>
            <w:tr w14:paraId="6E2241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1731" w:type="dxa"/>
                  <w:noWrap w:val="0"/>
                  <w:vAlign w:val="center"/>
                </w:tcPr>
                <w:p w14:paraId="47F7F862">
                  <w:pPr>
                    <w:widowControl w:val="0"/>
                    <w:adjustRightInd w:val="0"/>
                    <w:snapToGrid w:val="0"/>
                    <w:spacing w:before="0" w:beforeLines="0" w:after="0" w:afterLines="0" w:line="320" w:lineRule="exact"/>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环境风险潜势</w:t>
                  </w:r>
                </w:p>
              </w:tc>
              <w:tc>
                <w:tcPr>
                  <w:tcW w:w="1730" w:type="dxa"/>
                  <w:noWrap w:val="0"/>
                  <w:vAlign w:val="center"/>
                </w:tcPr>
                <w:p w14:paraId="5DD9CD8A">
                  <w:pPr>
                    <w:widowControl w:val="0"/>
                    <w:adjustRightInd w:val="0"/>
                    <w:snapToGrid w:val="0"/>
                    <w:spacing w:before="0" w:beforeLines="0" w:after="0" w:afterLines="0" w:line="320" w:lineRule="exact"/>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Ⅳ、Ⅳ+</w:t>
                  </w:r>
                </w:p>
              </w:tc>
              <w:tc>
                <w:tcPr>
                  <w:tcW w:w="1728" w:type="dxa"/>
                  <w:noWrap w:val="0"/>
                  <w:vAlign w:val="center"/>
                </w:tcPr>
                <w:p w14:paraId="3FABB642">
                  <w:pPr>
                    <w:widowControl w:val="0"/>
                    <w:adjustRightInd w:val="0"/>
                    <w:snapToGrid w:val="0"/>
                    <w:spacing w:before="0" w:beforeLines="0" w:after="0" w:afterLines="0" w:line="320" w:lineRule="exact"/>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Ⅲ</w:t>
                  </w:r>
                </w:p>
              </w:tc>
              <w:tc>
                <w:tcPr>
                  <w:tcW w:w="1729" w:type="dxa"/>
                  <w:noWrap w:val="0"/>
                  <w:vAlign w:val="center"/>
                </w:tcPr>
                <w:p w14:paraId="6F09A8FF">
                  <w:pPr>
                    <w:widowControl w:val="0"/>
                    <w:adjustRightInd w:val="0"/>
                    <w:snapToGrid w:val="0"/>
                    <w:spacing w:before="0" w:beforeLines="0" w:after="0" w:afterLines="0" w:line="320" w:lineRule="exact"/>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Ⅱ</w:t>
                  </w:r>
                </w:p>
              </w:tc>
              <w:tc>
                <w:tcPr>
                  <w:tcW w:w="1729" w:type="dxa"/>
                  <w:noWrap w:val="0"/>
                  <w:vAlign w:val="center"/>
                </w:tcPr>
                <w:p w14:paraId="7726E8A1">
                  <w:pPr>
                    <w:widowControl w:val="0"/>
                    <w:adjustRightInd w:val="0"/>
                    <w:snapToGrid w:val="0"/>
                    <w:spacing w:before="0" w:beforeLines="0" w:after="0" w:afterLines="0" w:line="320" w:lineRule="exact"/>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Ⅰ</w:t>
                  </w:r>
                </w:p>
              </w:tc>
            </w:tr>
            <w:tr w14:paraId="728E88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731" w:type="dxa"/>
                  <w:noWrap w:val="0"/>
                  <w:vAlign w:val="center"/>
                </w:tcPr>
                <w:p w14:paraId="4BECD888">
                  <w:pPr>
                    <w:widowControl w:val="0"/>
                    <w:adjustRightInd w:val="0"/>
                    <w:snapToGrid w:val="0"/>
                    <w:spacing w:before="0" w:beforeLines="0" w:after="0" w:afterLines="0" w:line="320" w:lineRule="exact"/>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评价工作等级</w:t>
                  </w:r>
                </w:p>
              </w:tc>
              <w:tc>
                <w:tcPr>
                  <w:tcW w:w="1730" w:type="dxa"/>
                  <w:noWrap w:val="0"/>
                  <w:vAlign w:val="center"/>
                </w:tcPr>
                <w:p w14:paraId="0B4FE381">
                  <w:pPr>
                    <w:widowControl w:val="0"/>
                    <w:adjustRightInd w:val="0"/>
                    <w:snapToGrid w:val="0"/>
                    <w:spacing w:before="0" w:beforeLines="0" w:after="0" w:afterLines="0" w:line="320" w:lineRule="exact"/>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一</w:t>
                  </w:r>
                </w:p>
              </w:tc>
              <w:tc>
                <w:tcPr>
                  <w:tcW w:w="1728" w:type="dxa"/>
                  <w:noWrap w:val="0"/>
                  <w:vAlign w:val="center"/>
                </w:tcPr>
                <w:p w14:paraId="440EAE06">
                  <w:pPr>
                    <w:widowControl w:val="0"/>
                    <w:adjustRightInd w:val="0"/>
                    <w:snapToGrid w:val="0"/>
                    <w:spacing w:before="0" w:beforeLines="0" w:after="0" w:afterLines="0" w:line="320" w:lineRule="exact"/>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二</w:t>
                  </w:r>
                </w:p>
              </w:tc>
              <w:tc>
                <w:tcPr>
                  <w:tcW w:w="1729" w:type="dxa"/>
                  <w:noWrap w:val="0"/>
                  <w:vAlign w:val="center"/>
                </w:tcPr>
                <w:p w14:paraId="0CA85104">
                  <w:pPr>
                    <w:widowControl w:val="0"/>
                    <w:adjustRightInd w:val="0"/>
                    <w:snapToGrid w:val="0"/>
                    <w:spacing w:before="0" w:beforeLines="0" w:after="0" w:afterLines="0" w:line="320" w:lineRule="exact"/>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三</w:t>
                  </w:r>
                </w:p>
              </w:tc>
              <w:tc>
                <w:tcPr>
                  <w:tcW w:w="1729" w:type="dxa"/>
                  <w:noWrap w:val="0"/>
                  <w:vAlign w:val="center"/>
                </w:tcPr>
                <w:p w14:paraId="22607F37">
                  <w:pPr>
                    <w:widowControl w:val="0"/>
                    <w:adjustRightInd w:val="0"/>
                    <w:snapToGrid w:val="0"/>
                    <w:spacing w:before="0" w:beforeLines="0" w:after="0" w:afterLines="0" w:line="320" w:lineRule="exact"/>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简单分析a</w:t>
                  </w:r>
                </w:p>
              </w:tc>
            </w:tr>
            <w:tr w14:paraId="1FE44C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47" w:type="dxa"/>
                  <w:gridSpan w:val="5"/>
                  <w:noWrap w:val="0"/>
                  <w:vAlign w:val="center"/>
                </w:tcPr>
                <w:p w14:paraId="4A8DD630">
                  <w:pPr>
                    <w:widowControl w:val="0"/>
                    <w:adjustRightInd w:val="0"/>
                    <w:snapToGrid w:val="0"/>
                    <w:spacing w:before="0" w:beforeLines="0" w:after="0" w:afterLines="0" w:line="320" w:lineRule="exact"/>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a是相对于详细评价工作内容而言，在描述危险物质、环境影响途径、环境危害后果、风险防范措施等方面给出定性的说明</w:t>
                  </w:r>
                </w:p>
              </w:tc>
            </w:tr>
          </w:tbl>
          <w:p w14:paraId="63314B9B">
            <w:pPr>
              <w:widowControl w:val="0"/>
              <w:adjustRightInd w:val="0"/>
              <w:snapToGrid w:val="0"/>
              <w:spacing w:line="360" w:lineRule="auto"/>
              <w:ind w:firstLine="480" w:firstLineChars="200"/>
              <w:jc w:val="left"/>
              <w:rPr>
                <w:rFonts w:ascii="Times New Roman" w:hAnsi="Times New Roman" w:eastAsia="宋体" w:cs="Times New Roman"/>
                <w:bCs/>
                <w:kern w:val="2"/>
                <w:sz w:val="24"/>
                <w:szCs w:val="24"/>
                <w:highlight w:val="none"/>
                <w:lang w:val="en-US" w:eastAsia="zh-CN" w:bidi="ar-SA"/>
              </w:rPr>
            </w:pPr>
            <w:r>
              <w:rPr>
                <w:rFonts w:ascii="Times New Roman" w:hAnsi="Times New Roman" w:eastAsia="宋体" w:cs="Times New Roman"/>
                <w:bCs/>
                <w:kern w:val="2"/>
                <w:sz w:val="24"/>
                <w:szCs w:val="24"/>
                <w:highlight w:val="none"/>
                <w:lang w:val="en-US" w:eastAsia="zh-CN" w:bidi="ar-SA"/>
              </w:rPr>
              <w:t>综上，本项目环境风险潜势为Ⅰ，环境风险仅开展简要分析。</w:t>
            </w:r>
          </w:p>
          <w:p w14:paraId="5D9D6B34">
            <w:pPr>
              <w:widowControl w:val="0"/>
              <w:adjustRightInd w:val="0"/>
              <w:snapToGrid w:val="0"/>
              <w:spacing w:line="360" w:lineRule="auto"/>
              <w:ind w:firstLine="480" w:firstLineChars="200"/>
              <w:jc w:val="left"/>
              <w:rPr>
                <w:rFonts w:ascii="Times New Roman" w:hAnsi="Times New Roman" w:eastAsia="宋体" w:cs="Times New Roman"/>
                <w:bCs/>
                <w:kern w:val="2"/>
                <w:sz w:val="24"/>
                <w:szCs w:val="24"/>
                <w:highlight w:val="none"/>
                <w:lang w:val="en-US" w:eastAsia="zh-CN" w:bidi="ar-SA"/>
              </w:rPr>
            </w:pPr>
            <w:r>
              <w:rPr>
                <w:rFonts w:ascii="Times New Roman" w:hAnsi="Times New Roman" w:eastAsia="宋体" w:cs="Times New Roman"/>
                <w:bCs/>
                <w:kern w:val="2"/>
                <w:sz w:val="24"/>
                <w:szCs w:val="24"/>
                <w:highlight w:val="none"/>
                <w:lang w:val="en-US" w:eastAsia="zh-CN" w:bidi="ar-SA"/>
              </w:rPr>
              <w:t>3、环境风险识别</w:t>
            </w:r>
          </w:p>
          <w:p w14:paraId="336CF2E2">
            <w:pPr>
              <w:widowControl w:val="0"/>
              <w:adjustRightInd w:val="0"/>
              <w:snapToGrid w:val="0"/>
              <w:spacing w:line="360" w:lineRule="auto"/>
              <w:ind w:firstLine="480" w:firstLineChars="200"/>
              <w:jc w:val="left"/>
              <w:rPr>
                <w:rFonts w:ascii="Times New Roman" w:hAnsi="Times New Roman" w:eastAsia="宋体" w:cs="Times New Roman"/>
                <w:bCs/>
                <w:kern w:val="2"/>
                <w:sz w:val="24"/>
                <w:szCs w:val="24"/>
                <w:highlight w:val="none"/>
                <w:lang w:val="en-US" w:eastAsia="zh-CN" w:bidi="ar-SA"/>
              </w:rPr>
            </w:pPr>
            <w:r>
              <w:rPr>
                <w:rFonts w:ascii="Times New Roman" w:hAnsi="Times New Roman" w:eastAsia="宋体" w:cs="Times New Roman"/>
                <w:bCs/>
                <w:kern w:val="2"/>
                <w:sz w:val="24"/>
                <w:szCs w:val="24"/>
                <w:highlight w:val="none"/>
                <w:lang w:val="en-US" w:eastAsia="zh-CN" w:bidi="ar-SA"/>
              </w:rPr>
              <w:t>本项目环境风险识别见下表。</w:t>
            </w:r>
          </w:p>
          <w:p w14:paraId="69291755">
            <w:pPr>
              <w:widowControl w:val="0"/>
              <w:spacing w:line="240" w:lineRule="auto"/>
              <w:ind w:firstLine="0" w:firstLineChars="0"/>
              <w:jc w:val="center"/>
              <w:rPr>
                <w:rFonts w:ascii="Times New Roman" w:hAnsi="Times New Roman" w:eastAsia="黑体" w:cs="Times New Roman"/>
                <w:bCs/>
                <w:kern w:val="2"/>
                <w:sz w:val="21"/>
                <w:szCs w:val="21"/>
                <w:highlight w:val="none"/>
                <w:lang w:val="en-US" w:eastAsia="zh-CN" w:bidi="ar-SA"/>
              </w:rPr>
            </w:pPr>
            <w:r>
              <w:rPr>
                <w:rFonts w:ascii="Times New Roman" w:hAnsi="Times New Roman" w:eastAsia="黑体" w:cs="Times New Roman"/>
                <w:bCs/>
                <w:kern w:val="2"/>
                <w:sz w:val="21"/>
                <w:szCs w:val="21"/>
                <w:highlight w:val="none"/>
                <w:lang w:val="en-US" w:eastAsia="zh-CN" w:bidi="ar-SA"/>
              </w:rPr>
              <w:t>表4-1</w:t>
            </w:r>
            <w:r>
              <w:rPr>
                <w:rFonts w:hint="eastAsia" w:eastAsia="黑体" w:cs="Times New Roman"/>
                <w:bCs/>
                <w:kern w:val="2"/>
                <w:sz w:val="21"/>
                <w:szCs w:val="21"/>
                <w:highlight w:val="none"/>
                <w:lang w:val="en-US" w:eastAsia="zh-CN" w:bidi="ar-SA"/>
              </w:rPr>
              <w:t>5</w:t>
            </w:r>
            <w:r>
              <w:rPr>
                <w:rFonts w:ascii="Times New Roman" w:hAnsi="Times New Roman" w:eastAsia="黑体" w:cs="Times New Roman"/>
                <w:bCs/>
                <w:kern w:val="2"/>
                <w:sz w:val="21"/>
                <w:szCs w:val="21"/>
                <w:highlight w:val="none"/>
                <w:lang w:val="en-US" w:eastAsia="zh-CN" w:bidi="ar-SA"/>
              </w:rPr>
              <w:t xml:space="preserve"> 环境风险识别一览表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957"/>
              <w:gridCol w:w="1773"/>
              <w:gridCol w:w="1759"/>
              <w:gridCol w:w="977"/>
              <w:gridCol w:w="1433"/>
            </w:tblGrid>
            <w:tr w14:paraId="36ABC9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11" w:hRule="atLeast"/>
                <w:jc w:val="center"/>
              </w:trPr>
              <w:tc>
                <w:tcPr>
                  <w:tcW w:w="656" w:type="pct"/>
                  <w:tcBorders>
                    <w:bottom w:val="single" w:color="auto" w:sz="4" w:space="0"/>
                  </w:tcBorders>
                  <w:noWrap w:val="0"/>
                  <w:vAlign w:val="center"/>
                </w:tcPr>
                <w:p w14:paraId="1CEDC275">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危险</w:t>
                  </w:r>
                </w:p>
                <w:p w14:paraId="35CE2C34">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单元</w:t>
                  </w:r>
                </w:p>
              </w:tc>
              <w:tc>
                <w:tcPr>
                  <w:tcW w:w="602" w:type="pct"/>
                  <w:tcBorders>
                    <w:bottom w:val="single" w:color="auto" w:sz="4" w:space="0"/>
                  </w:tcBorders>
                  <w:noWrap w:val="0"/>
                  <w:vAlign w:val="center"/>
                </w:tcPr>
                <w:p w14:paraId="49972221">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位置</w:t>
                  </w:r>
                </w:p>
              </w:tc>
              <w:tc>
                <w:tcPr>
                  <w:tcW w:w="1116" w:type="pct"/>
                  <w:tcBorders>
                    <w:bottom w:val="single" w:color="auto" w:sz="4" w:space="0"/>
                  </w:tcBorders>
                  <w:noWrap w:val="0"/>
                  <w:vAlign w:val="center"/>
                </w:tcPr>
                <w:p w14:paraId="78B6DD02">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主要</w:t>
                  </w:r>
                  <w:r>
                    <w:rPr>
                      <w:rFonts w:hint="eastAsia" w:ascii="Times New Roman" w:hAnsi="Times New Roman" w:eastAsia="宋体" w:cs="Times New Roman"/>
                      <w:kern w:val="0"/>
                      <w:sz w:val="21"/>
                      <w:szCs w:val="21"/>
                      <w:highlight w:val="none"/>
                      <w:lang w:val="en-US" w:eastAsia="zh-CN" w:bidi="ar-SA"/>
                    </w:rPr>
                    <w:t>风险</w:t>
                  </w:r>
                  <w:r>
                    <w:rPr>
                      <w:rFonts w:ascii="Times New Roman" w:hAnsi="Times New Roman" w:eastAsia="宋体" w:cs="Times New Roman"/>
                      <w:kern w:val="0"/>
                      <w:sz w:val="21"/>
                      <w:szCs w:val="21"/>
                      <w:highlight w:val="none"/>
                      <w:lang w:val="en-US" w:eastAsia="zh-CN" w:bidi="ar-SA"/>
                    </w:rPr>
                    <w:t>物质</w:t>
                  </w:r>
                </w:p>
              </w:tc>
              <w:tc>
                <w:tcPr>
                  <w:tcW w:w="1107" w:type="pct"/>
                  <w:tcBorders>
                    <w:bottom w:val="single" w:color="auto" w:sz="4" w:space="0"/>
                  </w:tcBorders>
                  <w:noWrap w:val="0"/>
                  <w:vAlign w:val="center"/>
                </w:tcPr>
                <w:p w14:paraId="02900224">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风险因素</w:t>
                  </w:r>
                </w:p>
              </w:tc>
              <w:tc>
                <w:tcPr>
                  <w:tcW w:w="615" w:type="pct"/>
                  <w:tcBorders>
                    <w:bottom w:val="single" w:color="auto" w:sz="4" w:space="0"/>
                  </w:tcBorders>
                  <w:noWrap w:val="0"/>
                  <w:vAlign w:val="center"/>
                </w:tcPr>
                <w:p w14:paraId="4B58A979">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风险</w:t>
                  </w:r>
                </w:p>
                <w:p w14:paraId="69A15DF2">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类型</w:t>
                  </w:r>
                </w:p>
              </w:tc>
              <w:tc>
                <w:tcPr>
                  <w:tcW w:w="901" w:type="pct"/>
                  <w:tcBorders>
                    <w:bottom w:val="single" w:color="auto" w:sz="4" w:space="0"/>
                  </w:tcBorders>
                  <w:noWrap w:val="0"/>
                  <w:vAlign w:val="center"/>
                </w:tcPr>
                <w:p w14:paraId="469041D3">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可能扩散途径</w:t>
                  </w:r>
                </w:p>
              </w:tc>
            </w:tr>
            <w:tr w14:paraId="1505AE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56" w:type="pct"/>
                  <w:noWrap w:val="0"/>
                  <w:vAlign w:val="center"/>
                </w:tcPr>
                <w:p w14:paraId="5F151BB7">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危险废物贮存点</w:t>
                  </w:r>
                </w:p>
              </w:tc>
              <w:tc>
                <w:tcPr>
                  <w:tcW w:w="602" w:type="pct"/>
                  <w:noWrap w:val="0"/>
                  <w:vAlign w:val="center"/>
                </w:tcPr>
                <w:p w14:paraId="73E51274">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危险废物贮存点</w:t>
                  </w:r>
                </w:p>
              </w:tc>
              <w:tc>
                <w:tcPr>
                  <w:tcW w:w="1116" w:type="pct"/>
                  <w:noWrap w:val="0"/>
                  <w:vAlign w:val="center"/>
                </w:tcPr>
                <w:p w14:paraId="5912E891">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废</w:t>
                  </w:r>
                  <w:r>
                    <w:rPr>
                      <w:rFonts w:hint="eastAsia" w:cs="Times New Roman"/>
                      <w:kern w:val="0"/>
                      <w:sz w:val="21"/>
                      <w:szCs w:val="21"/>
                      <w:highlight w:val="none"/>
                      <w:lang w:val="en-US" w:eastAsia="zh-CN" w:bidi="ar-SA"/>
                    </w:rPr>
                    <w:t>润滑油</w:t>
                  </w:r>
                </w:p>
              </w:tc>
              <w:tc>
                <w:tcPr>
                  <w:tcW w:w="1107" w:type="pct"/>
                  <w:noWrap w:val="0"/>
                  <w:vAlign w:val="center"/>
                </w:tcPr>
                <w:p w14:paraId="3D2DA7A2">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包装破裂，导致液体泄漏</w:t>
                  </w:r>
                </w:p>
              </w:tc>
              <w:tc>
                <w:tcPr>
                  <w:tcW w:w="615" w:type="pct"/>
                  <w:noWrap w:val="0"/>
                  <w:vAlign w:val="center"/>
                </w:tcPr>
                <w:p w14:paraId="0227E838">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泄露</w:t>
                  </w:r>
                </w:p>
              </w:tc>
              <w:tc>
                <w:tcPr>
                  <w:tcW w:w="901" w:type="pct"/>
                  <w:noWrap w:val="0"/>
                  <w:vAlign w:val="center"/>
                </w:tcPr>
                <w:p w14:paraId="34C1E006">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环境空气、</w:t>
                  </w:r>
                </w:p>
                <w:p w14:paraId="4D200558">
                  <w:pPr>
                    <w:widowControl w:val="0"/>
                    <w:adjustRightInd w:val="0"/>
                    <w:snapToGrid w:val="0"/>
                    <w:spacing w:before="0" w:beforeLines="0" w:after="0" w:afterLines="0" w:line="240" w:lineRule="auto"/>
                    <w:jc w:val="center"/>
                    <w:rPr>
                      <w:rFonts w:ascii="Times New Roman" w:hAnsi="Times New Roman" w:eastAsia="宋体" w:cs="Times New Roman"/>
                      <w:kern w:val="0"/>
                      <w:sz w:val="21"/>
                      <w:szCs w:val="21"/>
                      <w:highlight w:val="none"/>
                      <w:lang w:val="en-US" w:eastAsia="zh-CN" w:bidi="ar-SA"/>
                    </w:rPr>
                  </w:pPr>
                  <w:r>
                    <w:rPr>
                      <w:rFonts w:ascii="Times New Roman" w:hAnsi="Times New Roman" w:eastAsia="宋体" w:cs="Times New Roman"/>
                      <w:kern w:val="0"/>
                      <w:sz w:val="21"/>
                      <w:szCs w:val="21"/>
                      <w:highlight w:val="none"/>
                      <w:lang w:val="en-US" w:eastAsia="zh-CN" w:bidi="ar-SA"/>
                    </w:rPr>
                    <w:t>地表水、土壤</w:t>
                  </w:r>
                </w:p>
              </w:tc>
            </w:tr>
          </w:tbl>
          <w:p w14:paraId="5F04A9B8">
            <w:pPr>
              <w:widowControl w:val="0"/>
              <w:spacing w:before="0" w:beforeLines="0" w:after="0" w:afterLines="0" w:line="360" w:lineRule="auto"/>
              <w:ind w:firstLine="480" w:firstLineChars="200"/>
              <w:jc w:val="both"/>
              <w:rPr>
                <w:rFonts w:ascii="Times New Roman" w:hAnsi="Times New Roman" w:eastAsia="宋体" w:cs="Times New Roman"/>
                <w:kern w:val="2"/>
                <w:sz w:val="24"/>
                <w:szCs w:val="24"/>
                <w:highlight w:val="none"/>
                <w:lang w:val="en-US" w:eastAsia="zh-CN" w:bidi="ar-SA"/>
              </w:rPr>
            </w:pPr>
            <w:r>
              <w:rPr>
                <w:rFonts w:ascii="Times New Roman" w:hAnsi="Times New Roman" w:eastAsia="宋体" w:cs="Times New Roman"/>
                <w:kern w:val="2"/>
                <w:sz w:val="24"/>
                <w:szCs w:val="24"/>
                <w:highlight w:val="none"/>
                <w:lang w:val="en-US" w:eastAsia="zh-CN" w:bidi="ar-SA"/>
              </w:rPr>
              <w:t>4、环境风险分析</w:t>
            </w:r>
          </w:p>
          <w:p w14:paraId="375A03F1">
            <w:pPr>
              <w:spacing w:line="360" w:lineRule="auto"/>
              <w:ind w:firstLine="480" w:firstLineChars="200"/>
              <w:rPr>
                <w:rFonts w:ascii="Times New Roman" w:hAnsi="Times New Roman" w:eastAsia="宋体" w:cs="Times New Roman"/>
                <w:kern w:val="0"/>
                <w:sz w:val="24"/>
                <w:highlight w:val="none"/>
              </w:rPr>
            </w:pPr>
            <w:r>
              <w:rPr>
                <w:rFonts w:ascii="Times New Roman" w:hAnsi="Times New Roman" w:eastAsia="宋体" w:cs="Times New Roman"/>
                <w:kern w:val="0"/>
                <w:sz w:val="24"/>
                <w:highlight w:val="none"/>
              </w:rPr>
              <w:t>（1）</w:t>
            </w:r>
            <w:r>
              <w:rPr>
                <w:rFonts w:hint="eastAsia" w:ascii="Times New Roman" w:hAnsi="Times New Roman" w:eastAsia="宋体" w:cs="Times New Roman"/>
                <w:kern w:val="0"/>
                <w:sz w:val="24"/>
                <w:highlight w:val="none"/>
              </w:rPr>
              <w:t>环境空气</w:t>
            </w:r>
          </w:p>
          <w:p w14:paraId="50566201">
            <w:pPr>
              <w:spacing w:line="360" w:lineRule="auto"/>
              <w:ind w:firstLine="480" w:firstLineChars="200"/>
              <w:rPr>
                <w:rFonts w:ascii="Times New Roman" w:hAnsi="Times New Roman" w:eastAsia="宋体" w:cs="Times New Roman"/>
                <w:kern w:val="0"/>
                <w:sz w:val="24"/>
                <w:highlight w:val="none"/>
              </w:rPr>
            </w:pPr>
            <w:r>
              <w:rPr>
                <w:rFonts w:hint="eastAsia" w:ascii="Times New Roman" w:hAnsi="Times New Roman" w:eastAsia="宋体" w:cs="Times New Roman"/>
                <w:kern w:val="0"/>
                <w:sz w:val="24"/>
                <w:highlight w:val="none"/>
              </w:rPr>
              <w:t>发生火灾时主要采用消防沙和灭火器对其进行灭火，严禁使用水进行灭火，避免消防水对附近水体造成污染。在发生火灾时会有一定的废气产生，主要是废</w:t>
            </w:r>
            <w:r>
              <w:rPr>
                <w:rFonts w:hint="eastAsia" w:cs="Times New Roman"/>
                <w:kern w:val="0"/>
                <w:sz w:val="24"/>
                <w:highlight w:val="none"/>
                <w:lang w:val="en-US" w:eastAsia="zh-CN"/>
              </w:rPr>
              <w:t>润滑油</w:t>
            </w:r>
            <w:r>
              <w:rPr>
                <w:rFonts w:hint="eastAsia" w:ascii="Times New Roman" w:hAnsi="Times New Roman" w:eastAsia="宋体" w:cs="Times New Roman"/>
                <w:kern w:val="0"/>
                <w:sz w:val="24"/>
                <w:highlight w:val="none"/>
              </w:rPr>
              <w:t>不完全燃烧时产生的CO，由于本项目存储较小，以及事故发生时及时疏散周围人员并采取其他相关应急处置措施，因此废气对周围居民和环境的影响较小。</w:t>
            </w:r>
          </w:p>
          <w:p w14:paraId="0AF2D577">
            <w:pPr>
              <w:spacing w:line="360" w:lineRule="auto"/>
              <w:ind w:firstLine="480" w:firstLineChars="200"/>
              <w:rPr>
                <w:rFonts w:ascii="Times New Roman" w:hAnsi="Times New Roman" w:eastAsia="宋体" w:cs="Times New Roman"/>
                <w:kern w:val="0"/>
                <w:sz w:val="24"/>
                <w:highlight w:val="none"/>
              </w:rPr>
            </w:pPr>
            <w:r>
              <w:rPr>
                <w:rFonts w:hint="eastAsia" w:ascii="Times New Roman" w:hAnsi="Times New Roman" w:eastAsia="宋体" w:cs="Times New Roman"/>
                <w:kern w:val="0"/>
                <w:sz w:val="24"/>
                <w:highlight w:val="none"/>
              </w:rPr>
              <w:t>（2）</w:t>
            </w:r>
            <w:r>
              <w:rPr>
                <w:rFonts w:ascii="Times New Roman" w:hAnsi="Times New Roman" w:eastAsia="宋体" w:cs="Times New Roman"/>
                <w:kern w:val="0"/>
                <w:sz w:val="24"/>
                <w:highlight w:val="none"/>
              </w:rPr>
              <w:t>地表水</w:t>
            </w:r>
          </w:p>
          <w:p w14:paraId="06FC1D28">
            <w:pPr>
              <w:spacing w:line="360" w:lineRule="auto"/>
              <w:ind w:firstLine="480" w:firstLineChars="200"/>
              <w:rPr>
                <w:rFonts w:ascii="Times New Roman" w:hAnsi="Times New Roman" w:eastAsia="宋体" w:cs="Times New Roman"/>
                <w:kern w:val="0"/>
                <w:sz w:val="24"/>
                <w:highlight w:val="none"/>
              </w:rPr>
            </w:pPr>
            <w:r>
              <w:rPr>
                <w:rFonts w:hint="eastAsia" w:ascii="Times New Roman" w:hAnsi="Times New Roman" w:eastAsia="宋体" w:cs="Times New Roman"/>
                <w:kern w:val="0"/>
                <w:sz w:val="24"/>
                <w:highlight w:val="none"/>
              </w:rPr>
              <w:t>废</w:t>
            </w:r>
            <w:r>
              <w:rPr>
                <w:rFonts w:hint="eastAsia" w:cs="Times New Roman"/>
                <w:kern w:val="0"/>
                <w:sz w:val="24"/>
                <w:highlight w:val="none"/>
                <w:lang w:val="en-US" w:eastAsia="zh-CN"/>
              </w:rPr>
              <w:t>润滑油</w:t>
            </w:r>
            <w:r>
              <w:rPr>
                <w:rFonts w:ascii="Times New Roman" w:hAnsi="Times New Roman" w:eastAsia="宋体" w:cs="Times New Roman"/>
                <w:kern w:val="0"/>
                <w:sz w:val="24"/>
                <w:highlight w:val="none"/>
              </w:rPr>
              <w:t>一旦进入地表河流，将造成地表河流的污染，影响范围小到几公里大到几十公里。本项目距离最近的水体为</w:t>
            </w:r>
            <w:r>
              <w:rPr>
                <w:rFonts w:hint="eastAsia" w:ascii="Times New Roman" w:hAnsi="Times New Roman" w:eastAsia="宋体" w:cs="Times New Roman"/>
                <w:kern w:val="0"/>
                <w:sz w:val="24"/>
                <w:highlight w:val="none"/>
                <w:lang w:val="en-US" w:eastAsia="zh-CN"/>
              </w:rPr>
              <w:t>安邦河</w:t>
            </w:r>
            <w:r>
              <w:rPr>
                <w:rFonts w:ascii="Times New Roman" w:hAnsi="Times New Roman" w:eastAsia="宋体" w:cs="Times New Roman"/>
                <w:kern w:val="0"/>
                <w:sz w:val="24"/>
                <w:highlight w:val="none"/>
              </w:rPr>
              <w:t>，距离较远，项目存储的</w:t>
            </w:r>
            <w:r>
              <w:rPr>
                <w:rFonts w:hint="eastAsia" w:ascii="Times New Roman" w:hAnsi="Times New Roman" w:eastAsia="宋体" w:cs="Times New Roman"/>
                <w:kern w:val="0"/>
                <w:sz w:val="24"/>
                <w:highlight w:val="none"/>
              </w:rPr>
              <w:t>废</w:t>
            </w:r>
            <w:r>
              <w:rPr>
                <w:rFonts w:hint="eastAsia" w:cs="Times New Roman"/>
                <w:kern w:val="0"/>
                <w:sz w:val="24"/>
                <w:highlight w:val="none"/>
                <w:lang w:val="en-US" w:eastAsia="zh-CN"/>
              </w:rPr>
              <w:t>润滑油</w:t>
            </w:r>
            <w:r>
              <w:rPr>
                <w:rFonts w:ascii="Times New Roman" w:hAnsi="Times New Roman" w:eastAsia="宋体" w:cs="Times New Roman"/>
                <w:kern w:val="0"/>
                <w:sz w:val="24"/>
                <w:highlight w:val="none"/>
              </w:rPr>
              <w:t>较少，因此在确保事故状态下对废水进行有效收集，此类事故的发生一般不会造成严重的后果。</w:t>
            </w:r>
          </w:p>
          <w:p w14:paraId="273B0A5D">
            <w:pPr>
              <w:numPr>
                <w:ilvl w:val="0"/>
                <w:numId w:val="17"/>
              </w:numPr>
              <w:spacing w:line="360" w:lineRule="auto"/>
              <w:ind w:firstLine="480" w:firstLineChars="200"/>
              <w:rPr>
                <w:rFonts w:hint="eastAsia" w:ascii="Times New Roman" w:hAnsi="Times New Roman" w:eastAsia="宋体" w:cs="Times New Roman"/>
                <w:kern w:val="0"/>
                <w:sz w:val="24"/>
                <w:highlight w:val="none"/>
              </w:rPr>
            </w:pPr>
            <w:r>
              <w:rPr>
                <w:rFonts w:hint="eastAsia" w:ascii="Times New Roman" w:hAnsi="Times New Roman" w:eastAsia="宋体" w:cs="Times New Roman"/>
                <w:kern w:val="0"/>
                <w:sz w:val="24"/>
                <w:highlight w:val="none"/>
              </w:rPr>
              <w:t>土壤及地下水污染防治措施</w:t>
            </w:r>
          </w:p>
          <w:p w14:paraId="4154A4A9">
            <w:pPr>
              <w:pStyle w:val="85"/>
              <w:ind w:firstLine="480"/>
              <w:rPr>
                <w:rFonts w:hint="default" w:ascii="Times New Roman" w:hAnsi="Times New Roman" w:eastAsia="宋体" w:cs="Times New Roman"/>
                <w:sz w:val="24"/>
                <w:highlight w:val="none"/>
                <w:lang w:val="en-US" w:eastAsia="zh-CN"/>
              </w:rPr>
            </w:pPr>
            <w:r>
              <w:rPr>
                <w:rFonts w:ascii="Times New Roman" w:hAnsi="Times New Roman" w:eastAsia="宋体" w:cs="Times New Roman"/>
                <w:bCs/>
                <w:kern w:val="2"/>
                <w:sz w:val="24"/>
                <w:szCs w:val="24"/>
                <w:highlight w:val="none"/>
                <w:lang w:val="en-US" w:eastAsia="zh-CN" w:bidi="ar-SA"/>
              </w:rPr>
              <w:t>本项目危险废物贮存点按照《危险废物贮存污染控制标准》（GB18597-2023）的要求进行。地面、墙面裙脚、堵截泄漏的围堰、接触危险废物的隔板和墙体等应采用坚固的材料建造，表面无裂缝；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ascii="Times New Roman" w:hAnsi="Times New Roman" w:eastAsia="宋体" w:cs="Times New Roman"/>
                <w:bCs/>
                <w:kern w:val="2"/>
                <w:sz w:val="24"/>
                <w:szCs w:val="24"/>
                <w:highlight w:val="none"/>
                <w:vertAlign w:val="superscript"/>
                <w:lang w:val="en-US" w:eastAsia="zh-CN" w:bidi="ar-SA"/>
              </w:rPr>
              <w:t>-7</w:t>
            </w:r>
            <w:r>
              <w:rPr>
                <w:rFonts w:ascii="Times New Roman" w:hAnsi="Times New Roman" w:eastAsia="宋体" w:cs="Times New Roman"/>
                <w:bCs/>
                <w:kern w:val="2"/>
                <w:sz w:val="24"/>
                <w:szCs w:val="24"/>
                <w:highlight w:val="none"/>
                <w:lang w:val="en-US" w:eastAsia="zh-CN" w:bidi="ar-SA"/>
              </w:rPr>
              <w:t>cm/s），或至少2mm厚高密度聚乙烯膜等人工防渗材料（渗透系数不大于10</w:t>
            </w:r>
            <w:r>
              <w:rPr>
                <w:rFonts w:ascii="Times New Roman" w:hAnsi="Times New Roman" w:eastAsia="宋体" w:cs="Times New Roman"/>
                <w:bCs/>
                <w:kern w:val="2"/>
                <w:sz w:val="24"/>
                <w:szCs w:val="24"/>
                <w:highlight w:val="none"/>
                <w:vertAlign w:val="superscript"/>
                <w:lang w:val="en-US" w:eastAsia="zh-CN" w:bidi="ar-SA"/>
              </w:rPr>
              <w:t>-10</w:t>
            </w:r>
            <w:r>
              <w:rPr>
                <w:rFonts w:ascii="Times New Roman" w:hAnsi="Times New Roman" w:eastAsia="宋体" w:cs="Times New Roman"/>
                <w:bCs/>
                <w:kern w:val="2"/>
                <w:sz w:val="24"/>
                <w:szCs w:val="24"/>
                <w:highlight w:val="none"/>
                <w:lang w:val="en-US" w:eastAsia="zh-CN" w:bidi="ar-SA"/>
              </w:rPr>
              <w:t>cm/s），或其他防渗性能等效的材料。其余地面进行水泥硬化。</w:t>
            </w:r>
            <w:r>
              <w:rPr>
                <w:rFonts w:hint="eastAsia" w:ascii="Times New Roman" w:hAnsi="Times New Roman" w:eastAsia="宋体" w:cs="Times New Roman"/>
                <w:bCs/>
                <w:kern w:val="2"/>
                <w:sz w:val="24"/>
                <w:szCs w:val="24"/>
                <w:highlight w:val="none"/>
                <w:lang w:val="en-US" w:eastAsia="zh-CN" w:bidi="ar-SA"/>
              </w:rPr>
              <w:t>沉淀池属于一般防渗区（防渗系数K×10</w:t>
            </w:r>
            <w:r>
              <w:rPr>
                <w:rFonts w:hint="eastAsia" w:ascii="Times New Roman" w:hAnsi="Times New Roman" w:eastAsia="宋体" w:cs="Times New Roman"/>
                <w:bCs/>
                <w:kern w:val="2"/>
                <w:sz w:val="24"/>
                <w:szCs w:val="24"/>
                <w:highlight w:val="none"/>
                <w:vertAlign w:val="superscript"/>
                <w:lang w:val="en-US" w:eastAsia="zh-CN" w:bidi="ar-SA"/>
              </w:rPr>
              <w:t>-7</w:t>
            </w:r>
            <w:r>
              <w:rPr>
                <w:rFonts w:hint="eastAsia" w:ascii="Times New Roman" w:hAnsi="Times New Roman" w:eastAsia="宋体" w:cs="Times New Roman"/>
                <w:bCs/>
                <w:kern w:val="2"/>
                <w:sz w:val="24"/>
                <w:szCs w:val="24"/>
                <w:highlight w:val="none"/>
                <w:lang w:val="en-US" w:eastAsia="zh-CN" w:bidi="ar-SA"/>
              </w:rPr>
              <w:t>cm/s）采用水泥硬化地面、池体，地面防渗系数≤K×10</w:t>
            </w:r>
            <w:r>
              <w:rPr>
                <w:rFonts w:hint="eastAsia" w:ascii="Times New Roman" w:hAnsi="Times New Roman" w:eastAsia="宋体" w:cs="Times New Roman"/>
                <w:bCs/>
                <w:kern w:val="2"/>
                <w:sz w:val="24"/>
                <w:szCs w:val="24"/>
                <w:highlight w:val="none"/>
                <w:vertAlign w:val="superscript"/>
                <w:lang w:val="en-US" w:eastAsia="zh-CN" w:bidi="ar-SA"/>
              </w:rPr>
              <w:t>-7</w:t>
            </w:r>
            <w:r>
              <w:rPr>
                <w:rFonts w:hint="eastAsia" w:ascii="Times New Roman" w:hAnsi="Times New Roman" w:eastAsia="宋体" w:cs="Times New Roman"/>
                <w:bCs/>
                <w:kern w:val="2"/>
                <w:sz w:val="24"/>
                <w:szCs w:val="24"/>
                <w:highlight w:val="none"/>
                <w:lang w:val="en-US" w:eastAsia="zh-CN" w:bidi="ar-SA"/>
              </w:rPr>
              <w:t>cm/s</w:t>
            </w:r>
            <w:r>
              <w:rPr>
                <w:rFonts w:hint="eastAsia" w:ascii="Times New Roman" w:hAnsi="Times New Roman" w:eastAsia="宋体" w:cs="Times New Roman"/>
                <w:sz w:val="24"/>
                <w:highlight w:val="none"/>
                <w:lang w:val="en-US" w:eastAsia="zh-CN"/>
              </w:rPr>
              <w:t>。</w:t>
            </w:r>
          </w:p>
          <w:p w14:paraId="25FB3A9D">
            <w:pPr>
              <w:spacing w:line="360" w:lineRule="auto"/>
              <w:ind w:firstLine="480" w:firstLineChars="200"/>
              <w:rPr>
                <w:rFonts w:ascii="Times New Roman" w:hAnsi="Times New Roman" w:eastAsia="宋体" w:cs="Times New Roman"/>
                <w:kern w:val="0"/>
                <w:sz w:val="24"/>
                <w:highlight w:val="none"/>
              </w:rPr>
            </w:pPr>
            <w:r>
              <w:rPr>
                <w:rFonts w:ascii="Times New Roman" w:hAnsi="Times New Roman" w:eastAsia="宋体" w:cs="Times New Roman"/>
                <w:kern w:val="0"/>
                <w:sz w:val="24"/>
                <w:highlight w:val="none"/>
              </w:rPr>
              <w:t>目在正常工况下不会发生泄漏事故，对地下水不会造成影响。</w:t>
            </w:r>
            <w:r>
              <w:rPr>
                <w:rFonts w:hint="eastAsia" w:ascii="Times New Roman" w:hAnsi="Times New Roman" w:eastAsia="宋体" w:cs="Times New Roman"/>
                <w:kern w:val="0"/>
                <w:sz w:val="24"/>
                <w:highlight w:val="none"/>
              </w:rPr>
              <w:t>只有在</w:t>
            </w:r>
            <w:r>
              <w:rPr>
                <w:rFonts w:ascii="Times New Roman" w:hAnsi="Times New Roman" w:eastAsia="宋体" w:cs="Times New Roman"/>
                <w:kern w:val="0"/>
                <w:sz w:val="24"/>
                <w:highlight w:val="none"/>
              </w:rPr>
              <w:t>泄漏事故发生后</w:t>
            </w:r>
            <w:r>
              <w:rPr>
                <w:rFonts w:hint="eastAsia" w:ascii="Times New Roman" w:hAnsi="Times New Roman" w:eastAsia="宋体" w:cs="Times New Roman"/>
                <w:kern w:val="0"/>
                <w:sz w:val="24"/>
                <w:highlight w:val="none"/>
              </w:rPr>
              <w:t>有可能</w:t>
            </w:r>
            <w:r>
              <w:rPr>
                <w:rFonts w:ascii="Times New Roman" w:hAnsi="Times New Roman" w:eastAsia="宋体" w:cs="Times New Roman"/>
                <w:kern w:val="0"/>
                <w:sz w:val="24"/>
                <w:highlight w:val="none"/>
              </w:rPr>
              <w:t>对地下水造成污染。本项目采取分区防渗的方式，对</w:t>
            </w:r>
            <w:r>
              <w:rPr>
                <w:rFonts w:hint="eastAsia" w:ascii="Times New Roman" w:hAnsi="Times New Roman" w:eastAsia="宋体" w:cs="Times New Roman"/>
                <w:kern w:val="0"/>
                <w:sz w:val="24"/>
                <w:highlight w:val="none"/>
                <w:lang w:val="en-US" w:eastAsia="zh-CN"/>
              </w:rPr>
              <w:t>危险废物贮存点</w:t>
            </w:r>
            <w:r>
              <w:rPr>
                <w:rFonts w:ascii="Times New Roman" w:hAnsi="Times New Roman" w:eastAsia="宋体" w:cs="Times New Roman"/>
                <w:kern w:val="0"/>
                <w:sz w:val="24"/>
                <w:highlight w:val="none"/>
              </w:rPr>
              <w:t>地面进行防渗处理。</w:t>
            </w:r>
            <w:r>
              <w:rPr>
                <w:rFonts w:ascii="Times New Roman" w:hAnsi="Times New Roman" w:eastAsia="宋体" w:cs="Times New Roman"/>
                <w:sz w:val="24"/>
                <w:highlight w:val="none"/>
              </w:rPr>
              <w:t>采用2mm厚的高密度聚乙烯，渗透系数≤10</w:t>
            </w:r>
            <w:r>
              <w:rPr>
                <w:rFonts w:ascii="Times New Roman" w:hAnsi="Times New Roman" w:eastAsia="宋体" w:cs="Times New Roman"/>
                <w:sz w:val="24"/>
                <w:highlight w:val="none"/>
                <w:vertAlign w:val="superscript"/>
              </w:rPr>
              <w:t>-10</w:t>
            </w:r>
            <w:r>
              <w:rPr>
                <w:rFonts w:ascii="Times New Roman" w:hAnsi="Times New Roman" w:eastAsia="宋体" w:cs="Times New Roman"/>
                <w:sz w:val="24"/>
                <w:highlight w:val="none"/>
              </w:rPr>
              <w:t>cm/s。</w:t>
            </w:r>
            <w:r>
              <w:rPr>
                <w:rFonts w:hint="eastAsia" w:ascii="Times New Roman" w:hAnsi="Times New Roman" w:eastAsia="宋体" w:cs="Times New Roman"/>
                <w:bCs/>
                <w:kern w:val="2"/>
                <w:sz w:val="24"/>
                <w:szCs w:val="24"/>
                <w:highlight w:val="none"/>
                <w:lang w:val="en-US" w:eastAsia="zh-CN" w:bidi="ar-SA"/>
              </w:rPr>
              <w:t>沉淀池属于一般防渗区（防渗系数K×10</w:t>
            </w:r>
            <w:r>
              <w:rPr>
                <w:rFonts w:hint="eastAsia" w:ascii="Times New Roman" w:hAnsi="Times New Roman" w:eastAsia="宋体" w:cs="Times New Roman"/>
                <w:bCs/>
                <w:kern w:val="2"/>
                <w:sz w:val="24"/>
                <w:szCs w:val="24"/>
                <w:highlight w:val="none"/>
                <w:vertAlign w:val="superscript"/>
                <w:lang w:val="en-US" w:eastAsia="zh-CN" w:bidi="ar-SA"/>
              </w:rPr>
              <w:t>-7</w:t>
            </w:r>
            <w:r>
              <w:rPr>
                <w:rFonts w:hint="eastAsia" w:ascii="Times New Roman" w:hAnsi="Times New Roman" w:eastAsia="宋体" w:cs="Times New Roman"/>
                <w:bCs/>
                <w:kern w:val="2"/>
                <w:sz w:val="24"/>
                <w:szCs w:val="24"/>
                <w:highlight w:val="none"/>
                <w:lang w:val="en-US" w:eastAsia="zh-CN" w:bidi="ar-SA"/>
              </w:rPr>
              <w:t>cm/s）采用水泥硬化地面、池体，地面防渗系数≤K×10</w:t>
            </w:r>
            <w:r>
              <w:rPr>
                <w:rFonts w:hint="eastAsia" w:ascii="Times New Roman" w:hAnsi="Times New Roman" w:eastAsia="宋体" w:cs="Times New Roman"/>
                <w:bCs/>
                <w:kern w:val="2"/>
                <w:sz w:val="24"/>
                <w:szCs w:val="24"/>
                <w:highlight w:val="none"/>
                <w:vertAlign w:val="superscript"/>
                <w:lang w:val="en-US" w:eastAsia="zh-CN" w:bidi="ar-SA"/>
              </w:rPr>
              <w:t>-7</w:t>
            </w:r>
            <w:r>
              <w:rPr>
                <w:rFonts w:hint="eastAsia" w:ascii="Times New Roman" w:hAnsi="Times New Roman" w:eastAsia="宋体" w:cs="Times New Roman"/>
                <w:bCs/>
                <w:kern w:val="2"/>
                <w:sz w:val="24"/>
                <w:szCs w:val="24"/>
                <w:highlight w:val="none"/>
                <w:lang w:val="en-US" w:eastAsia="zh-CN" w:bidi="ar-SA"/>
              </w:rPr>
              <w:t>cm/s。</w:t>
            </w:r>
            <w:r>
              <w:rPr>
                <w:rFonts w:ascii="Times New Roman" w:hAnsi="Times New Roman" w:eastAsia="宋体" w:cs="Times New Roman"/>
                <w:kern w:val="0"/>
                <w:sz w:val="24"/>
                <w:highlight w:val="none"/>
              </w:rPr>
              <w:t>在认真落实评价提出的各种污染防治措施的基础上，本项目不宜对地下水造成污染，从地下水保护环境角度分析可行。</w:t>
            </w:r>
          </w:p>
          <w:p w14:paraId="010104FC">
            <w:pPr>
              <w:widowControl w:val="0"/>
              <w:numPr>
                <w:ilvl w:val="0"/>
                <w:numId w:val="18"/>
              </w:numPr>
              <w:adjustRightInd w:val="0"/>
              <w:snapToGrid w:val="0"/>
              <w:spacing w:line="360" w:lineRule="auto"/>
              <w:ind w:firstLine="480" w:firstLineChars="200"/>
              <w:jc w:val="left"/>
              <w:rPr>
                <w:rFonts w:ascii="Times New Roman" w:hAnsi="Times New Roman" w:eastAsia="宋体" w:cs="Times New Roman"/>
                <w:bCs/>
                <w:kern w:val="2"/>
                <w:sz w:val="24"/>
                <w:szCs w:val="24"/>
                <w:highlight w:val="none"/>
                <w:lang w:val="en-US" w:eastAsia="zh-CN" w:bidi="ar-SA"/>
              </w:rPr>
            </w:pPr>
            <w:r>
              <w:rPr>
                <w:rFonts w:ascii="Times New Roman" w:hAnsi="Times New Roman" w:eastAsia="宋体" w:cs="Times New Roman"/>
                <w:bCs/>
                <w:kern w:val="2"/>
                <w:sz w:val="24"/>
                <w:szCs w:val="24"/>
                <w:highlight w:val="none"/>
                <w:lang w:val="en-US" w:eastAsia="zh-CN" w:bidi="ar-SA"/>
              </w:rPr>
              <w:t>环境风险防范措施</w:t>
            </w:r>
          </w:p>
          <w:p w14:paraId="4AA1E9CC">
            <w:pPr>
              <w:widowControl w:val="0"/>
              <w:spacing w:before="0" w:beforeLines="0" w:after="0" w:afterLines="0" w:line="360" w:lineRule="auto"/>
              <w:ind w:firstLine="480" w:firstLineChars="200"/>
              <w:jc w:val="both"/>
              <w:rPr>
                <w:rFonts w:ascii="Times New Roman" w:hAnsi="Times New Roman" w:eastAsia="宋体" w:cs="Times New Roman"/>
                <w:kern w:val="2"/>
                <w:sz w:val="24"/>
                <w:szCs w:val="24"/>
                <w:highlight w:val="none"/>
                <w:lang w:val="en-US" w:eastAsia="zh-CN" w:bidi="ar-SA"/>
              </w:rPr>
            </w:pPr>
            <w:r>
              <w:rPr>
                <w:rFonts w:ascii="Times New Roman" w:hAnsi="Times New Roman" w:eastAsia="宋体" w:cs="Times New Roman"/>
                <w:kern w:val="2"/>
                <w:sz w:val="24"/>
                <w:szCs w:val="24"/>
                <w:highlight w:val="none"/>
                <w:lang w:val="en-US" w:eastAsia="zh-CN" w:bidi="ar-SA"/>
              </w:rPr>
              <w:t>（1）</w:t>
            </w:r>
            <w:r>
              <w:rPr>
                <w:rFonts w:hint="eastAsia"/>
                <w:sz w:val="24"/>
                <w:highlight w:val="none"/>
                <w:lang w:val="en-US" w:eastAsia="zh-CN"/>
              </w:rPr>
              <w:t>废润滑油、废润滑油桶及含油抹布</w:t>
            </w:r>
          </w:p>
          <w:p w14:paraId="470AE9C0">
            <w:pPr>
              <w:widowControl w:val="0"/>
              <w:spacing w:before="0" w:beforeLines="0" w:after="0" w:afterLines="0" w:line="360" w:lineRule="auto"/>
              <w:ind w:firstLine="480" w:firstLineChars="200"/>
              <w:jc w:val="both"/>
              <w:rPr>
                <w:rFonts w:hint="eastAsia" w:ascii="Times New Roman" w:hAnsi="Times New Roman" w:eastAsia="宋体" w:cs="Times New Roman"/>
                <w:kern w:val="2"/>
                <w:sz w:val="24"/>
                <w:szCs w:val="24"/>
                <w:highlight w:val="none"/>
                <w:lang w:val="en-US" w:eastAsia="zh-CN" w:bidi="ar-SA"/>
              </w:rPr>
            </w:pPr>
            <w:r>
              <w:rPr>
                <w:rFonts w:hint="eastAsia" w:ascii="Times New Roman" w:hAnsi="Times New Roman" w:eastAsia="宋体" w:cs="Times New Roman"/>
                <w:kern w:val="2"/>
                <w:sz w:val="24"/>
                <w:szCs w:val="24"/>
                <w:highlight w:val="none"/>
                <w:lang w:val="en-US" w:eastAsia="zh-CN" w:bidi="ar-SA"/>
              </w:rPr>
              <w:t>①</w:t>
            </w:r>
            <w:r>
              <w:rPr>
                <w:rFonts w:ascii="Times New Roman" w:hAnsi="Times New Roman" w:eastAsia="宋体" w:cs="Times New Roman"/>
                <w:kern w:val="2"/>
                <w:sz w:val="24"/>
                <w:szCs w:val="24"/>
                <w:highlight w:val="none"/>
                <w:lang w:val="en-US" w:eastAsia="zh-CN" w:bidi="ar-SA"/>
              </w:rPr>
              <w:t>废</w:t>
            </w:r>
            <w:r>
              <w:rPr>
                <w:rFonts w:hint="eastAsia" w:cs="Times New Roman"/>
                <w:kern w:val="2"/>
                <w:sz w:val="24"/>
                <w:szCs w:val="24"/>
                <w:highlight w:val="none"/>
                <w:lang w:val="en-US" w:eastAsia="zh-CN" w:bidi="ar-SA"/>
              </w:rPr>
              <w:t>润滑油</w:t>
            </w:r>
            <w:r>
              <w:rPr>
                <w:rFonts w:hint="eastAsia" w:ascii="Times New Roman" w:hAnsi="Times New Roman" w:eastAsia="宋体" w:cs="Times New Roman"/>
                <w:kern w:val="2"/>
                <w:sz w:val="24"/>
                <w:szCs w:val="24"/>
                <w:highlight w:val="none"/>
                <w:lang w:val="en-US" w:eastAsia="zh-CN" w:bidi="ar-SA"/>
              </w:rPr>
              <w:t>采用专用密闭容器盛装，建立安全生产责任制度，管理人员需定期检查，发现问题需及时解决，破损容器及时更换。</w:t>
            </w:r>
          </w:p>
          <w:p w14:paraId="0B8AE67B">
            <w:pPr>
              <w:widowControl w:val="0"/>
              <w:spacing w:before="0" w:beforeLines="0" w:after="0" w:afterLines="0" w:line="360" w:lineRule="auto"/>
              <w:ind w:firstLine="480" w:firstLineChars="200"/>
              <w:jc w:val="both"/>
              <w:rPr>
                <w:rFonts w:hint="eastAsia" w:ascii="Times New Roman" w:hAnsi="Times New Roman" w:eastAsia="宋体" w:cs="Times New Roman"/>
                <w:kern w:val="2"/>
                <w:sz w:val="24"/>
                <w:szCs w:val="24"/>
                <w:highlight w:val="none"/>
                <w:lang w:val="en-US" w:eastAsia="zh-CN" w:bidi="ar-SA"/>
              </w:rPr>
            </w:pPr>
            <w:r>
              <w:rPr>
                <w:rFonts w:hint="eastAsia" w:ascii="Times New Roman" w:hAnsi="Times New Roman" w:eastAsia="宋体" w:cs="Times New Roman"/>
                <w:kern w:val="2"/>
                <w:sz w:val="24"/>
                <w:szCs w:val="24"/>
                <w:highlight w:val="none"/>
                <w:lang w:val="en-US" w:eastAsia="zh-CN" w:bidi="ar-SA"/>
              </w:rPr>
              <w:t>②</w:t>
            </w:r>
            <w:r>
              <w:rPr>
                <w:rFonts w:ascii="Times New Roman" w:hAnsi="Times New Roman" w:eastAsia="宋体" w:cs="Times New Roman"/>
                <w:bCs/>
                <w:kern w:val="2"/>
                <w:sz w:val="24"/>
                <w:szCs w:val="24"/>
                <w:highlight w:val="none"/>
                <w:lang w:val="en-US" w:eastAsia="zh-CN" w:bidi="ar-SA"/>
              </w:rPr>
              <w:t>本项目</w:t>
            </w:r>
            <w:r>
              <w:rPr>
                <w:rFonts w:hint="eastAsia" w:ascii="Times New Roman" w:hAnsi="Times New Roman" w:eastAsia="宋体" w:cs="Times New Roman"/>
                <w:bCs/>
                <w:kern w:val="2"/>
                <w:sz w:val="24"/>
                <w:szCs w:val="24"/>
                <w:highlight w:val="none"/>
                <w:lang w:val="en-US" w:eastAsia="zh-CN" w:bidi="ar-SA"/>
              </w:rPr>
              <w:t>废</w:t>
            </w:r>
            <w:r>
              <w:rPr>
                <w:rFonts w:hint="eastAsia" w:cs="Times New Roman"/>
                <w:bCs/>
                <w:kern w:val="2"/>
                <w:sz w:val="24"/>
                <w:szCs w:val="24"/>
                <w:highlight w:val="none"/>
                <w:lang w:val="en-US" w:eastAsia="zh-CN" w:bidi="ar-SA"/>
              </w:rPr>
              <w:t>润滑油</w:t>
            </w:r>
            <w:r>
              <w:rPr>
                <w:rFonts w:hint="eastAsia" w:ascii="Times New Roman" w:hAnsi="Times New Roman" w:eastAsia="宋体" w:cs="Times New Roman"/>
                <w:bCs/>
                <w:kern w:val="2"/>
                <w:sz w:val="24"/>
                <w:szCs w:val="24"/>
                <w:highlight w:val="none"/>
                <w:lang w:val="en-US" w:eastAsia="zh-CN" w:bidi="ar-SA"/>
              </w:rPr>
              <w:t>、废</w:t>
            </w:r>
            <w:r>
              <w:rPr>
                <w:rFonts w:hint="eastAsia" w:cs="Times New Roman"/>
                <w:bCs/>
                <w:kern w:val="2"/>
                <w:sz w:val="24"/>
                <w:szCs w:val="24"/>
                <w:highlight w:val="none"/>
                <w:lang w:val="en-US" w:eastAsia="zh-CN" w:bidi="ar-SA"/>
              </w:rPr>
              <w:t>润滑油</w:t>
            </w:r>
            <w:r>
              <w:rPr>
                <w:rFonts w:hint="eastAsia" w:ascii="Times New Roman" w:hAnsi="Times New Roman" w:eastAsia="宋体" w:cs="Times New Roman"/>
                <w:bCs/>
                <w:kern w:val="2"/>
                <w:sz w:val="24"/>
                <w:szCs w:val="24"/>
                <w:highlight w:val="none"/>
                <w:lang w:val="en-US" w:eastAsia="zh-CN" w:bidi="ar-SA"/>
              </w:rPr>
              <w:t>桶及含油抹布放置于</w:t>
            </w:r>
            <w:r>
              <w:rPr>
                <w:rFonts w:ascii="Times New Roman" w:hAnsi="Times New Roman" w:eastAsia="宋体" w:cs="Times New Roman"/>
                <w:bCs/>
                <w:kern w:val="2"/>
                <w:sz w:val="24"/>
                <w:szCs w:val="24"/>
                <w:highlight w:val="none"/>
                <w:lang w:val="en-US" w:eastAsia="zh-CN" w:bidi="ar-SA"/>
              </w:rPr>
              <w:t>危险废物贮存点</w:t>
            </w:r>
            <w:r>
              <w:rPr>
                <w:rFonts w:hint="eastAsia" w:ascii="Times New Roman" w:hAnsi="Times New Roman" w:eastAsia="宋体" w:cs="Times New Roman"/>
                <w:bCs/>
                <w:kern w:val="2"/>
                <w:sz w:val="24"/>
                <w:szCs w:val="24"/>
                <w:highlight w:val="none"/>
                <w:lang w:val="en-US" w:eastAsia="zh-CN" w:bidi="ar-SA"/>
              </w:rPr>
              <w:t>，危险废物贮存点</w:t>
            </w:r>
            <w:r>
              <w:rPr>
                <w:rFonts w:ascii="Times New Roman" w:hAnsi="Times New Roman" w:eastAsia="宋体" w:cs="Times New Roman"/>
                <w:bCs/>
                <w:kern w:val="2"/>
                <w:sz w:val="24"/>
                <w:szCs w:val="24"/>
                <w:highlight w:val="none"/>
                <w:lang w:val="en-US" w:eastAsia="zh-CN" w:bidi="ar-SA"/>
              </w:rPr>
              <w:t>按照《危险废物贮存污染控制标准》（GB18597-2023）的要求进行。地面、墙面裙脚、堵截泄漏的围堰、接触危险废物的隔板和墙体等应采用坚固的材料建造，表面无裂缝；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ascii="Times New Roman" w:hAnsi="Times New Roman" w:eastAsia="宋体" w:cs="Times New Roman"/>
                <w:bCs/>
                <w:kern w:val="2"/>
                <w:sz w:val="24"/>
                <w:szCs w:val="24"/>
                <w:highlight w:val="none"/>
                <w:vertAlign w:val="superscript"/>
                <w:lang w:val="en-US" w:eastAsia="zh-CN" w:bidi="ar-SA"/>
              </w:rPr>
              <w:t>-7</w:t>
            </w:r>
            <w:r>
              <w:rPr>
                <w:rFonts w:ascii="Times New Roman" w:hAnsi="Times New Roman" w:eastAsia="宋体" w:cs="Times New Roman"/>
                <w:bCs/>
                <w:kern w:val="2"/>
                <w:sz w:val="24"/>
                <w:szCs w:val="24"/>
                <w:highlight w:val="none"/>
                <w:lang w:val="en-US" w:eastAsia="zh-CN" w:bidi="ar-SA"/>
              </w:rPr>
              <w:t>cm/s），或至少2mm厚高密度聚乙烯膜等人工防渗材料（渗透系数不大于10</w:t>
            </w:r>
            <w:r>
              <w:rPr>
                <w:rFonts w:ascii="Times New Roman" w:hAnsi="Times New Roman" w:eastAsia="宋体" w:cs="Times New Roman"/>
                <w:bCs/>
                <w:kern w:val="2"/>
                <w:sz w:val="24"/>
                <w:szCs w:val="24"/>
                <w:highlight w:val="none"/>
                <w:vertAlign w:val="superscript"/>
                <w:lang w:val="en-US" w:eastAsia="zh-CN" w:bidi="ar-SA"/>
              </w:rPr>
              <w:t>-10</w:t>
            </w:r>
            <w:r>
              <w:rPr>
                <w:rFonts w:ascii="Times New Roman" w:hAnsi="Times New Roman" w:eastAsia="宋体" w:cs="Times New Roman"/>
                <w:bCs/>
                <w:kern w:val="2"/>
                <w:sz w:val="24"/>
                <w:szCs w:val="24"/>
                <w:highlight w:val="none"/>
                <w:lang w:val="en-US" w:eastAsia="zh-CN" w:bidi="ar-SA"/>
              </w:rPr>
              <w:t>cm/s），或其他防渗性能等效的材料。其余地面进行水泥硬化。</w:t>
            </w:r>
          </w:p>
          <w:p w14:paraId="3D3D5839">
            <w:pPr>
              <w:widowControl w:val="0"/>
              <w:spacing w:before="0" w:beforeLines="0" w:after="0" w:afterLines="0" w:line="360" w:lineRule="auto"/>
              <w:ind w:firstLine="480" w:firstLineChars="200"/>
              <w:jc w:val="both"/>
              <w:rPr>
                <w:rFonts w:ascii="Times New Roman" w:hAnsi="Times New Roman" w:eastAsia="宋体" w:cs="Times New Roman"/>
                <w:kern w:val="2"/>
                <w:sz w:val="24"/>
                <w:szCs w:val="24"/>
                <w:highlight w:val="none"/>
                <w:lang w:val="en-US" w:eastAsia="zh-CN" w:bidi="ar-SA"/>
              </w:rPr>
            </w:pPr>
            <w:r>
              <w:rPr>
                <w:rFonts w:hint="eastAsia" w:ascii="Times New Roman" w:hAnsi="Times New Roman" w:eastAsia="宋体" w:cs="Times New Roman"/>
                <w:kern w:val="2"/>
                <w:sz w:val="24"/>
                <w:szCs w:val="24"/>
                <w:highlight w:val="none"/>
                <w:lang w:val="en-US" w:eastAsia="zh-CN" w:bidi="ar-SA"/>
              </w:rPr>
              <w:t>③废</w:t>
            </w:r>
            <w:r>
              <w:rPr>
                <w:rFonts w:hint="eastAsia" w:cs="Times New Roman"/>
                <w:kern w:val="2"/>
                <w:sz w:val="24"/>
                <w:szCs w:val="24"/>
                <w:highlight w:val="none"/>
                <w:lang w:val="en-US" w:eastAsia="zh-CN" w:bidi="ar-SA"/>
              </w:rPr>
              <w:t>润滑油</w:t>
            </w:r>
            <w:r>
              <w:rPr>
                <w:rFonts w:hint="eastAsia" w:ascii="Times New Roman" w:hAnsi="Times New Roman" w:eastAsia="宋体" w:cs="Times New Roman"/>
                <w:kern w:val="2"/>
                <w:sz w:val="24"/>
                <w:szCs w:val="24"/>
                <w:highlight w:val="none"/>
                <w:lang w:val="en-US" w:eastAsia="zh-CN" w:bidi="ar-SA"/>
              </w:rPr>
              <w:t>、废</w:t>
            </w:r>
            <w:r>
              <w:rPr>
                <w:rFonts w:hint="eastAsia" w:cs="Times New Roman"/>
                <w:kern w:val="2"/>
                <w:sz w:val="24"/>
                <w:szCs w:val="24"/>
                <w:highlight w:val="none"/>
                <w:lang w:val="en-US" w:eastAsia="zh-CN" w:bidi="ar-SA"/>
              </w:rPr>
              <w:t>润滑油</w:t>
            </w:r>
            <w:r>
              <w:rPr>
                <w:rFonts w:hint="eastAsia" w:ascii="Times New Roman" w:hAnsi="Times New Roman" w:eastAsia="宋体" w:cs="Times New Roman"/>
                <w:kern w:val="2"/>
                <w:sz w:val="24"/>
                <w:szCs w:val="24"/>
                <w:highlight w:val="none"/>
                <w:lang w:val="en-US" w:eastAsia="zh-CN" w:bidi="ar-SA"/>
              </w:rPr>
              <w:t>桶及含油抹布收集、运输过程按照《危险废物收集贮存运输技术规范》（HJ2025-2012）相关要求进行管理，废</w:t>
            </w:r>
            <w:r>
              <w:rPr>
                <w:rFonts w:hint="eastAsia" w:cs="Times New Roman"/>
                <w:kern w:val="2"/>
                <w:sz w:val="24"/>
                <w:szCs w:val="24"/>
                <w:highlight w:val="none"/>
                <w:lang w:val="en-US" w:eastAsia="zh-CN" w:bidi="ar-SA"/>
              </w:rPr>
              <w:t>润滑油</w:t>
            </w:r>
            <w:r>
              <w:rPr>
                <w:rFonts w:hint="eastAsia" w:ascii="Times New Roman" w:hAnsi="Times New Roman" w:eastAsia="宋体" w:cs="Times New Roman"/>
                <w:kern w:val="2"/>
                <w:sz w:val="24"/>
                <w:szCs w:val="24"/>
                <w:highlight w:val="none"/>
                <w:lang w:val="en-US" w:eastAsia="zh-CN" w:bidi="ar-SA"/>
              </w:rPr>
              <w:t>的运输转移过程按《危险废物转移管理办法》（部令第 23 号）相关规定管理，避免发生危险废物散落、泄露情况发生。</w:t>
            </w:r>
            <w:r>
              <w:rPr>
                <w:rFonts w:ascii="Times New Roman" w:hAnsi="Times New Roman" w:eastAsia="宋体" w:cs="Times New Roman"/>
                <w:kern w:val="2"/>
                <w:sz w:val="24"/>
                <w:szCs w:val="24"/>
                <w:highlight w:val="none"/>
                <w:lang w:val="en-US" w:eastAsia="zh-CN" w:bidi="ar-SA"/>
              </w:rPr>
              <w:t>本项目危险废物贮存点按照《危险废物贮存污染控制标准》（GB18597-2023）的要求进行。根据危险废物的形态、物理化学性质、包装形式等，采取防渗、防漏等污染防治措施或采用具有相应功能的装置。</w:t>
            </w:r>
          </w:p>
          <w:p w14:paraId="0EE640D1">
            <w:pPr>
              <w:widowControl w:val="0"/>
              <w:spacing w:before="0" w:beforeLines="0" w:after="0" w:afterLines="0" w:line="360" w:lineRule="auto"/>
              <w:ind w:firstLine="480" w:firstLineChars="200"/>
              <w:jc w:val="both"/>
              <w:rPr>
                <w:rFonts w:hint="eastAsia" w:ascii="Times New Roman" w:hAnsi="Times New Roman" w:eastAsia="宋体" w:cs="Times New Roman"/>
                <w:kern w:val="2"/>
                <w:sz w:val="24"/>
                <w:szCs w:val="24"/>
                <w:highlight w:val="none"/>
                <w:lang w:val="en-US" w:eastAsia="zh-CN" w:bidi="ar-SA"/>
              </w:rPr>
            </w:pPr>
            <w:r>
              <w:rPr>
                <w:rFonts w:hint="eastAsia" w:ascii="Times New Roman" w:hAnsi="Times New Roman" w:eastAsia="宋体" w:cs="Times New Roman"/>
                <w:kern w:val="2"/>
                <w:sz w:val="24"/>
                <w:szCs w:val="24"/>
                <w:highlight w:val="none"/>
                <w:lang w:val="en-US" w:eastAsia="zh-CN" w:bidi="ar-SA"/>
              </w:rPr>
              <w:t>④加强工作人员的岗位培训，增强工作人员风险防范意识和应急处理能力。</w:t>
            </w:r>
          </w:p>
          <w:p w14:paraId="0091919D">
            <w:pPr>
              <w:widowControl w:val="0"/>
              <w:spacing w:before="0" w:beforeLines="0" w:after="0" w:afterLines="0" w:line="360" w:lineRule="auto"/>
              <w:ind w:firstLine="480" w:firstLineChars="200"/>
              <w:jc w:val="both"/>
              <w:rPr>
                <w:rFonts w:ascii="Times New Roman" w:hAnsi="Times New Roman" w:eastAsia="宋体" w:cs="Times New Roman"/>
                <w:kern w:val="2"/>
                <w:sz w:val="24"/>
                <w:szCs w:val="24"/>
                <w:highlight w:val="none"/>
                <w:lang w:val="en-US" w:eastAsia="zh-CN" w:bidi="ar-SA"/>
              </w:rPr>
            </w:pPr>
            <w:r>
              <w:rPr>
                <w:rFonts w:hint="eastAsia" w:ascii="Times New Roman" w:hAnsi="Times New Roman" w:eastAsia="宋体" w:cs="Times New Roman"/>
                <w:kern w:val="2"/>
                <w:sz w:val="24"/>
                <w:szCs w:val="24"/>
                <w:highlight w:val="none"/>
                <w:lang w:val="en-US" w:eastAsia="zh-CN" w:bidi="ar-SA"/>
              </w:rPr>
              <w:t>6</w:t>
            </w:r>
            <w:r>
              <w:rPr>
                <w:rFonts w:ascii="Times New Roman" w:hAnsi="Times New Roman" w:eastAsia="宋体" w:cs="Times New Roman"/>
                <w:kern w:val="2"/>
                <w:sz w:val="24"/>
                <w:szCs w:val="24"/>
                <w:highlight w:val="none"/>
                <w:lang w:val="en-US" w:eastAsia="zh-CN" w:bidi="ar-SA"/>
              </w:rPr>
              <w:t>、环境风险分析结论</w:t>
            </w:r>
          </w:p>
          <w:p w14:paraId="7F181444">
            <w:pPr>
              <w:widowControl w:val="0"/>
              <w:spacing w:before="0" w:beforeLines="0" w:after="0" w:afterLines="0" w:line="360" w:lineRule="auto"/>
              <w:ind w:firstLine="480" w:firstLineChars="200"/>
              <w:jc w:val="both"/>
              <w:rPr>
                <w:rFonts w:ascii="Times New Roman" w:hAnsi="Times New Roman" w:eastAsia="宋体" w:cs="Times New Roman"/>
                <w:kern w:val="2"/>
                <w:sz w:val="24"/>
                <w:szCs w:val="24"/>
                <w:highlight w:val="none"/>
                <w:lang w:val="en-US" w:eastAsia="zh-CN" w:bidi="ar-SA"/>
              </w:rPr>
            </w:pPr>
            <w:r>
              <w:rPr>
                <w:rFonts w:ascii="Times New Roman" w:hAnsi="Times New Roman" w:eastAsia="宋体" w:cs="Times New Roman"/>
                <w:kern w:val="2"/>
                <w:sz w:val="24"/>
                <w:szCs w:val="24"/>
                <w:highlight w:val="none"/>
                <w:lang w:val="en-US" w:eastAsia="zh-CN" w:bidi="ar-SA"/>
              </w:rPr>
              <w:t>本项目风险潜势判定为I。本项目可能发生的事故有：</w:t>
            </w:r>
            <w:r>
              <w:rPr>
                <w:rFonts w:hint="eastAsia" w:ascii="Times New Roman" w:hAnsi="Times New Roman" w:eastAsia="宋体" w:cs="Times New Roman"/>
                <w:kern w:val="2"/>
                <w:sz w:val="24"/>
                <w:szCs w:val="24"/>
                <w:highlight w:val="none"/>
                <w:lang w:val="en-US" w:eastAsia="zh-CN" w:bidi="ar-SA"/>
              </w:rPr>
              <w:t>废</w:t>
            </w:r>
            <w:r>
              <w:rPr>
                <w:rFonts w:hint="eastAsia" w:cs="Times New Roman"/>
                <w:kern w:val="2"/>
                <w:sz w:val="24"/>
                <w:szCs w:val="24"/>
                <w:highlight w:val="none"/>
                <w:lang w:val="en-US" w:eastAsia="zh-CN" w:bidi="ar-SA"/>
              </w:rPr>
              <w:t>润滑油</w:t>
            </w:r>
            <w:r>
              <w:rPr>
                <w:rFonts w:hint="eastAsia" w:ascii="Times New Roman" w:hAnsi="Times New Roman" w:eastAsia="宋体" w:cs="Times New Roman"/>
                <w:kern w:val="2"/>
                <w:sz w:val="24"/>
                <w:szCs w:val="24"/>
                <w:highlight w:val="none"/>
                <w:lang w:val="en-US" w:eastAsia="zh-CN" w:bidi="ar-SA"/>
              </w:rPr>
              <w:t>、废</w:t>
            </w:r>
            <w:r>
              <w:rPr>
                <w:rFonts w:hint="eastAsia" w:cs="Times New Roman"/>
                <w:kern w:val="2"/>
                <w:sz w:val="24"/>
                <w:szCs w:val="24"/>
                <w:highlight w:val="none"/>
                <w:lang w:val="en-US" w:eastAsia="zh-CN" w:bidi="ar-SA"/>
              </w:rPr>
              <w:t>润滑油</w:t>
            </w:r>
            <w:r>
              <w:rPr>
                <w:rFonts w:hint="eastAsia" w:ascii="Times New Roman" w:hAnsi="Times New Roman" w:eastAsia="宋体" w:cs="Times New Roman"/>
                <w:kern w:val="2"/>
                <w:sz w:val="24"/>
                <w:szCs w:val="24"/>
                <w:highlight w:val="none"/>
                <w:lang w:val="en-US" w:eastAsia="zh-CN" w:bidi="ar-SA"/>
              </w:rPr>
              <w:t>桶及含油抹布</w:t>
            </w:r>
            <w:r>
              <w:rPr>
                <w:rFonts w:ascii="Times New Roman" w:hAnsi="Times New Roman" w:eastAsia="宋体" w:cs="Times New Roman"/>
                <w:kern w:val="2"/>
                <w:sz w:val="24"/>
                <w:szCs w:val="24"/>
                <w:highlight w:val="none"/>
                <w:lang w:val="en-US" w:eastAsia="zh-CN" w:bidi="ar-SA"/>
              </w:rPr>
              <w:t>泄露、火灾爆炸引起的次生大气污染风险。本项目在落实各项风险防范措施和应急处理措施，加强环境风险管理，制定完善的风险预案的前提下，环境风险可接受。</w:t>
            </w:r>
          </w:p>
          <w:p w14:paraId="0411C350">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highlight w:val="cyan"/>
                <w:lang w:val="en-US" w:eastAsia="zh-CN" w:bidi="ar-SA"/>
              </w:rPr>
            </w:pPr>
          </w:p>
          <w:p w14:paraId="45F2A162">
            <w:pPr>
              <w:pStyle w:val="43"/>
              <w:rPr>
                <w:rFonts w:hint="default"/>
                <w:highlight w:val="yellow"/>
              </w:rPr>
            </w:pPr>
          </w:p>
          <w:p w14:paraId="4FF61589">
            <w:pPr>
              <w:pStyle w:val="44"/>
              <w:rPr>
                <w:rFonts w:hint="default"/>
                <w:highlight w:val="yellow"/>
              </w:rPr>
            </w:pPr>
          </w:p>
          <w:p w14:paraId="56DE0514">
            <w:pPr>
              <w:rPr>
                <w:rFonts w:hint="default"/>
                <w:highlight w:val="yellow"/>
              </w:rPr>
            </w:pPr>
          </w:p>
          <w:p w14:paraId="48E7515B">
            <w:pPr>
              <w:rPr>
                <w:rFonts w:hint="default"/>
                <w:highlight w:val="yellow"/>
              </w:rPr>
            </w:pPr>
          </w:p>
          <w:p w14:paraId="1D9B564E">
            <w:pPr>
              <w:rPr>
                <w:rFonts w:hint="default"/>
                <w:highlight w:val="yellow"/>
              </w:rPr>
            </w:pPr>
          </w:p>
          <w:p w14:paraId="61F4D851">
            <w:pPr>
              <w:rPr>
                <w:rFonts w:hint="default"/>
                <w:highlight w:val="yellow"/>
              </w:rPr>
            </w:pPr>
          </w:p>
          <w:p w14:paraId="797B6D43">
            <w:pPr>
              <w:rPr>
                <w:rFonts w:hint="default"/>
                <w:highlight w:val="yellow"/>
              </w:rPr>
            </w:pPr>
          </w:p>
          <w:p w14:paraId="29BE0711">
            <w:pPr>
              <w:rPr>
                <w:rFonts w:hint="default"/>
                <w:highlight w:val="yellow"/>
              </w:rPr>
            </w:pPr>
          </w:p>
          <w:p w14:paraId="0859B8F3">
            <w:pPr>
              <w:rPr>
                <w:rFonts w:hint="default"/>
                <w:highlight w:val="yellow"/>
              </w:rPr>
            </w:pPr>
          </w:p>
          <w:p w14:paraId="624BA21F">
            <w:pPr>
              <w:rPr>
                <w:rFonts w:hint="default"/>
                <w:highlight w:val="yellow"/>
              </w:rPr>
            </w:pPr>
          </w:p>
          <w:p w14:paraId="4216BD3F">
            <w:pPr>
              <w:rPr>
                <w:rFonts w:hint="default"/>
                <w:highlight w:val="yellow"/>
              </w:rPr>
            </w:pPr>
          </w:p>
          <w:p w14:paraId="5AAAF157">
            <w:pPr>
              <w:rPr>
                <w:rFonts w:hint="default"/>
                <w:highlight w:val="yellow"/>
              </w:rPr>
            </w:pPr>
          </w:p>
          <w:p w14:paraId="6A5B07A6">
            <w:pPr>
              <w:rPr>
                <w:rFonts w:hint="default"/>
                <w:highlight w:val="yellow"/>
              </w:rPr>
            </w:pPr>
          </w:p>
          <w:p w14:paraId="4939D512">
            <w:pPr>
              <w:rPr>
                <w:rFonts w:hint="default"/>
                <w:highlight w:val="yellow"/>
              </w:rPr>
            </w:pPr>
          </w:p>
          <w:p w14:paraId="5041B519">
            <w:pPr>
              <w:rPr>
                <w:rFonts w:hint="default"/>
                <w:highlight w:val="yellow"/>
              </w:rPr>
            </w:pPr>
          </w:p>
          <w:p w14:paraId="01FD3328">
            <w:pPr>
              <w:rPr>
                <w:rFonts w:hint="default"/>
                <w:highlight w:val="yellow"/>
              </w:rPr>
            </w:pPr>
          </w:p>
          <w:p w14:paraId="47650DBB">
            <w:pPr>
              <w:rPr>
                <w:rFonts w:hint="default"/>
                <w:highlight w:val="yellow"/>
              </w:rPr>
            </w:pPr>
          </w:p>
          <w:p w14:paraId="59A7BD83">
            <w:pPr>
              <w:rPr>
                <w:rFonts w:hint="default"/>
                <w:highlight w:val="yellow"/>
              </w:rPr>
            </w:pPr>
          </w:p>
          <w:p w14:paraId="0A6EF35A">
            <w:pPr>
              <w:rPr>
                <w:rFonts w:hint="default"/>
                <w:highlight w:val="yellow"/>
              </w:rPr>
            </w:pPr>
          </w:p>
          <w:p w14:paraId="7105A9D0">
            <w:pPr>
              <w:rPr>
                <w:rFonts w:hint="default"/>
                <w:highlight w:val="yellow"/>
              </w:rPr>
            </w:pPr>
          </w:p>
        </w:tc>
      </w:tr>
    </w:tbl>
    <w:p w14:paraId="47800AD3">
      <w:pPr>
        <w:adjustRightInd w:val="0"/>
        <w:snapToGrid w:val="0"/>
        <w:spacing w:line="360" w:lineRule="auto"/>
        <w:rPr>
          <w:rFonts w:hint="default" w:ascii="Times New Roman" w:hAnsi="Times New Roman" w:cs="Times New Roman"/>
          <w:b/>
          <w:color w:val="auto"/>
          <w:kern w:val="0"/>
          <w:sz w:val="28"/>
          <w:szCs w:val="28"/>
          <w:highlight w:val="yellow"/>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3330FACF">
      <w:pPr>
        <w:pStyle w:val="26"/>
        <w:jc w:val="center"/>
        <w:outlineLvl w:val="0"/>
        <w:rPr>
          <w:rFonts w:hint="eastAsia" w:ascii="Times New Roman" w:hAnsi="Times New Roman" w:eastAsia="黑体" w:cs="Times New Roman"/>
          <w:snapToGrid w:val="0"/>
          <w:color w:val="auto"/>
          <w:sz w:val="30"/>
          <w:szCs w:val="30"/>
          <w:highlight w:val="none"/>
          <w:lang w:eastAsia="zh-CN"/>
        </w:rPr>
      </w:pPr>
      <w:bookmarkStart w:id="36" w:name="_Toc16557"/>
      <w:r>
        <w:rPr>
          <w:rFonts w:hint="default" w:ascii="Times New Roman" w:hAnsi="Times New Roman" w:eastAsia="黑体" w:cs="Times New Roman"/>
          <w:snapToGrid w:val="0"/>
          <w:color w:val="auto"/>
          <w:sz w:val="30"/>
          <w:szCs w:val="30"/>
          <w:highlight w:val="none"/>
        </w:rPr>
        <w:t>五、</w:t>
      </w:r>
      <w:bookmarkStart w:id="37" w:name="_Hlk54167917"/>
      <w:r>
        <w:rPr>
          <w:rFonts w:hint="default" w:ascii="Times New Roman" w:hAnsi="Times New Roman" w:eastAsia="黑体" w:cs="Times New Roman"/>
          <w:snapToGrid w:val="0"/>
          <w:color w:val="auto"/>
          <w:sz w:val="30"/>
          <w:szCs w:val="30"/>
          <w:highlight w:val="none"/>
        </w:rPr>
        <w:t>环境保护措施监督检查清单</w:t>
      </w:r>
      <w:bookmarkEnd w:id="36"/>
      <w:bookmarkEnd w:id="37"/>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2"/>
        <w:gridCol w:w="1347"/>
        <w:gridCol w:w="1561"/>
        <w:gridCol w:w="2362"/>
      </w:tblGrid>
      <w:tr w14:paraId="41FB52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tcBorders>
              <w:tl2br w:val="single" w:color="auto" w:sz="4" w:space="0"/>
            </w:tcBorders>
            <w:noWrap w:val="0"/>
            <w:vAlign w:val="top"/>
          </w:tcPr>
          <w:p w14:paraId="734C80EA">
            <w:pPr>
              <w:adjustRightInd w:val="0"/>
              <w:snapToGrid w:val="0"/>
              <w:ind w:firstLine="84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内容</w:t>
            </w:r>
          </w:p>
          <w:p w14:paraId="44AFFE83">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要素</w:t>
            </w:r>
          </w:p>
        </w:tc>
        <w:tc>
          <w:tcPr>
            <w:tcW w:w="1752" w:type="dxa"/>
            <w:noWrap w:val="0"/>
            <w:vAlign w:val="center"/>
          </w:tcPr>
          <w:p w14:paraId="72292F54">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排放口(编号、</w:t>
            </w:r>
          </w:p>
          <w:p w14:paraId="249D559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名称)/污染源</w:t>
            </w:r>
          </w:p>
        </w:tc>
        <w:tc>
          <w:tcPr>
            <w:tcW w:w="1347" w:type="dxa"/>
            <w:noWrap w:val="0"/>
            <w:vAlign w:val="center"/>
          </w:tcPr>
          <w:p w14:paraId="6235E48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污染物项目</w:t>
            </w:r>
          </w:p>
        </w:tc>
        <w:tc>
          <w:tcPr>
            <w:tcW w:w="1561" w:type="dxa"/>
            <w:noWrap w:val="0"/>
            <w:vAlign w:val="center"/>
          </w:tcPr>
          <w:p w14:paraId="5CDF9E3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w:t>
            </w:r>
          </w:p>
        </w:tc>
        <w:tc>
          <w:tcPr>
            <w:tcW w:w="2362" w:type="dxa"/>
            <w:noWrap w:val="0"/>
            <w:vAlign w:val="center"/>
          </w:tcPr>
          <w:p w14:paraId="158D4CA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执行标准</w:t>
            </w:r>
          </w:p>
        </w:tc>
      </w:tr>
      <w:tr w14:paraId="639459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restart"/>
            <w:noWrap w:val="0"/>
            <w:vAlign w:val="center"/>
          </w:tcPr>
          <w:p w14:paraId="00D607E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大气环境</w:t>
            </w:r>
          </w:p>
        </w:tc>
        <w:tc>
          <w:tcPr>
            <w:tcW w:w="1752" w:type="dxa"/>
            <w:vMerge w:val="restart"/>
            <w:noWrap w:val="0"/>
            <w:vAlign w:val="center"/>
          </w:tcPr>
          <w:p w14:paraId="1B491876">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DA001</w:t>
            </w:r>
            <w:r>
              <w:rPr>
                <w:rFonts w:hint="eastAsia" w:cs="Times New Roman"/>
                <w:color w:val="auto"/>
                <w:szCs w:val="21"/>
                <w:highlight w:val="none"/>
                <w:lang w:val="en-US" w:eastAsia="zh-CN"/>
              </w:rPr>
              <w:t>燃生物质蒸汽发生器</w:t>
            </w:r>
          </w:p>
        </w:tc>
        <w:tc>
          <w:tcPr>
            <w:tcW w:w="1347" w:type="dxa"/>
            <w:noWrap w:val="0"/>
            <w:vAlign w:val="center"/>
          </w:tcPr>
          <w:p w14:paraId="5C0E8D4D">
            <w:pPr>
              <w:spacing w:line="240" w:lineRule="exact"/>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颗粒物</w:t>
            </w:r>
          </w:p>
        </w:tc>
        <w:tc>
          <w:tcPr>
            <w:tcW w:w="1561" w:type="dxa"/>
            <w:vMerge w:val="restart"/>
            <w:noWrap w:val="0"/>
            <w:vAlign w:val="center"/>
          </w:tcPr>
          <w:p w14:paraId="5E085BDB">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低氮燃烧器+旋风除尘+布袋除尘器+30</w:t>
            </w:r>
            <w:r>
              <w:rPr>
                <w:rFonts w:hint="default" w:ascii="Times New Roman" w:hAnsi="Times New Roman" w:cs="Times New Roman"/>
                <w:color w:val="auto"/>
                <w:szCs w:val="21"/>
                <w:highlight w:val="none"/>
              </w:rPr>
              <w:t>m高</w:t>
            </w:r>
            <w:r>
              <w:rPr>
                <w:rFonts w:hint="eastAsia" w:cs="Times New Roman"/>
                <w:color w:val="auto"/>
                <w:szCs w:val="21"/>
                <w:highlight w:val="none"/>
                <w:lang w:val="en-US" w:eastAsia="zh-CN"/>
              </w:rPr>
              <w:t>烟囱</w:t>
            </w:r>
            <w:r>
              <w:rPr>
                <w:rFonts w:hint="default" w:ascii="Times New Roman" w:hAnsi="Times New Roman" w:cs="Times New Roman"/>
                <w:color w:val="auto"/>
                <w:szCs w:val="21"/>
                <w:highlight w:val="none"/>
              </w:rPr>
              <w:t>排放</w:t>
            </w:r>
          </w:p>
        </w:tc>
        <w:tc>
          <w:tcPr>
            <w:tcW w:w="2362" w:type="dxa"/>
            <w:vMerge w:val="restart"/>
            <w:noWrap w:val="0"/>
            <w:vAlign w:val="center"/>
          </w:tcPr>
          <w:p w14:paraId="1224472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《锅炉大气污染物综合排放标准》（GB13271-2014</w:t>
            </w:r>
            <w:r>
              <w:rPr>
                <w:rFonts w:hint="default" w:ascii="Times New Roman" w:hAnsi="Times New Roman" w:cs="Times New Roman"/>
                <w:color w:val="auto"/>
                <w:szCs w:val="21"/>
                <w:highlight w:val="none"/>
                <w:lang w:eastAsia="zh-CN"/>
              </w:rPr>
              <w:t>）表</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rPr>
              <w:t>中</w:t>
            </w:r>
            <w:r>
              <w:rPr>
                <w:rFonts w:hint="eastAsia" w:cs="Times New Roman"/>
                <w:color w:val="auto"/>
                <w:szCs w:val="21"/>
                <w:highlight w:val="none"/>
                <w:lang w:val="en-US" w:eastAsia="zh-CN"/>
              </w:rPr>
              <w:t>新建燃煤</w:t>
            </w:r>
            <w:r>
              <w:rPr>
                <w:rFonts w:hint="default" w:ascii="Times New Roman" w:hAnsi="Times New Roman" w:cs="Times New Roman"/>
                <w:color w:val="auto"/>
                <w:szCs w:val="21"/>
                <w:highlight w:val="none"/>
              </w:rPr>
              <w:t>锅炉标准要求</w:t>
            </w:r>
          </w:p>
        </w:tc>
      </w:tr>
      <w:tr w14:paraId="75DD80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continue"/>
            <w:noWrap w:val="0"/>
            <w:vAlign w:val="center"/>
          </w:tcPr>
          <w:p w14:paraId="6C5EF6C3">
            <w:pPr>
              <w:adjustRightInd w:val="0"/>
              <w:snapToGrid w:val="0"/>
              <w:jc w:val="center"/>
              <w:rPr>
                <w:rFonts w:hint="default" w:ascii="Times New Roman" w:hAnsi="Times New Roman" w:cs="Times New Roman"/>
                <w:color w:val="auto"/>
                <w:szCs w:val="21"/>
                <w:highlight w:val="none"/>
              </w:rPr>
            </w:pPr>
          </w:p>
        </w:tc>
        <w:tc>
          <w:tcPr>
            <w:tcW w:w="1752" w:type="dxa"/>
            <w:vMerge w:val="continue"/>
            <w:noWrap w:val="0"/>
            <w:vAlign w:val="center"/>
          </w:tcPr>
          <w:p w14:paraId="38994204">
            <w:pPr>
              <w:adjustRightInd w:val="0"/>
              <w:snapToGrid w:val="0"/>
              <w:jc w:val="center"/>
              <w:rPr>
                <w:rFonts w:hint="default" w:ascii="Times New Roman" w:hAnsi="Times New Roman" w:cs="Times New Roman"/>
                <w:color w:val="auto"/>
                <w:szCs w:val="21"/>
                <w:highlight w:val="none"/>
              </w:rPr>
            </w:pPr>
          </w:p>
        </w:tc>
        <w:tc>
          <w:tcPr>
            <w:tcW w:w="1347" w:type="dxa"/>
            <w:noWrap w:val="0"/>
            <w:vAlign w:val="center"/>
          </w:tcPr>
          <w:p w14:paraId="5BCC8305">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二氧化硫</w:t>
            </w:r>
          </w:p>
        </w:tc>
        <w:tc>
          <w:tcPr>
            <w:tcW w:w="1561" w:type="dxa"/>
            <w:vMerge w:val="continue"/>
            <w:noWrap w:val="0"/>
            <w:vAlign w:val="center"/>
          </w:tcPr>
          <w:p w14:paraId="554717E8">
            <w:pPr>
              <w:adjustRightInd w:val="0"/>
              <w:snapToGrid w:val="0"/>
              <w:jc w:val="center"/>
              <w:rPr>
                <w:rFonts w:hint="default" w:ascii="Times New Roman" w:hAnsi="Times New Roman" w:cs="Times New Roman"/>
                <w:color w:val="auto"/>
                <w:szCs w:val="21"/>
                <w:highlight w:val="none"/>
              </w:rPr>
            </w:pPr>
          </w:p>
        </w:tc>
        <w:tc>
          <w:tcPr>
            <w:tcW w:w="2362" w:type="dxa"/>
            <w:vMerge w:val="continue"/>
            <w:noWrap w:val="0"/>
            <w:vAlign w:val="center"/>
          </w:tcPr>
          <w:p w14:paraId="2FE23F7C">
            <w:pPr>
              <w:adjustRightInd w:val="0"/>
              <w:snapToGrid w:val="0"/>
              <w:jc w:val="center"/>
              <w:rPr>
                <w:rFonts w:hint="default" w:ascii="Times New Roman" w:hAnsi="Times New Roman" w:cs="Times New Roman"/>
                <w:color w:val="auto"/>
                <w:szCs w:val="21"/>
                <w:highlight w:val="none"/>
              </w:rPr>
            </w:pPr>
          </w:p>
        </w:tc>
      </w:tr>
      <w:tr w14:paraId="1CB97B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continue"/>
            <w:noWrap w:val="0"/>
            <w:vAlign w:val="center"/>
          </w:tcPr>
          <w:p w14:paraId="7463AC77">
            <w:pPr>
              <w:adjustRightInd w:val="0"/>
              <w:snapToGrid w:val="0"/>
              <w:jc w:val="center"/>
              <w:rPr>
                <w:rFonts w:hint="default" w:ascii="Times New Roman" w:hAnsi="Times New Roman" w:cs="Times New Roman"/>
                <w:color w:val="auto"/>
                <w:szCs w:val="21"/>
                <w:highlight w:val="none"/>
              </w:rPr>
            </w:pPr>
          </w:p>
        </w:tc>
        <w:tc>
          <w:tcPr>
            <w:tcW w:w="1752" w:type="dxa"/>
            <w:vMerge w:val="continue"/>
            <w:noWrap w:val="0"/>
            <w:vAlign w:val="center"/>
          </w:tcPr>
          <w:p w14:paraId="4ACC941D">
            <w:pPr>
              <w:adjustRightInd w:val="0"/>
              <w:snapToGrid w:val="0"/>
              <w:jc w:val="center"/>
              <w:rPr>
                <w:rFonts w:hint="default" w:ascii="Times New Roman" w:hAnsi="Times New Roman" w:cs="Times New Roman"/>
                <w:color w:val="auto"/>
                <w:szCs w:val="21"/>
                <w:highlight w:val="none"/>
              </w:rPr>
            </w:pPr>
          </w:p>
        </w:tc>
        <w:tc>
          <w:tcPr>
            <w:tcW w:w="1347" w:type="dxa"/>
            <w:noWrap w:val="0"/>
            <w:vAlign w:val="center"/>
          </w:tcPr>
          <w:p w14:paraId="17CD6A16">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Cs w:val="21"/>
                <w:highlight w:val="none"/>
              </w:rPr>
              <w:t>氮氧化物</w:t>
            </w:r>
          </w:p>
        </w:tc>
        <w:tc>
          <w:tcPr>
            <w:tcW w:w="1561" w:type="dxa"/>
            <w:vMerge w:val="continue"/>
            <w:noWrap w:val="0"/>
            <w:vAlign w:val="center"/>
          </w:tcPr>
          <w:p w14:paraId="0E0DBC8A">
            <w:pPr>
              <w:adjustRightInd w:val="0"/>
              <w:snapToGrid w:val="0"/>
              <w:jc w:val="center"/>
              <w:rPr>
                <w:rFonts w:hint="default" w:ascii="Times New Roman" w:hAnsi="Times New Roman" w:cs="Times New Roman"/>
                <w:color w:val="auto"/>
                <w:szCs w:val="21"/>
                <w:highlight w:val="none"/>
              </w:rPr>
            </w:pPr>
          </w:p>
        </w:tc>
        <w:tc>
          <w:tcPr>
            <w:tcW w:w="2362" w:type="dxa"/>
            <w:vMerge w:val="continue"/>
            <w:noWrap w:val="0"/>
            <w:vAlign w:val="center"/>
          </w:tcPr>
          <w:p w14:paraId="76818B19">
            <w:pPr>
              <w:adjustRightInd w:val="0"/>
              <w:snapToGrid w:val="0"/>
              <w:jc w:val="center"/>
              <w:rPr>
                <w:rFonts w:hint="default" w:ascii="Times New Roman" w:hAnsi="Times New Roman" w:cs="Times New Roman"/>
                <w:color w:val="auto"/>
                <w:szCs w:val="21"/>
                <w:highlight w:val="none"/>
              </w:rPr>
            </w:pPr>
          </w:p>
        </w:tc>
      </w:tr>
      <w:tr w14:paraId="75BFBA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778" w:type="dxa"/>
            <w:vMerge w:val="continue"/>
            <w:noWrap w:val="0"/>
            <w:vAlign w:val="center"/>
          </w:tcPr>
          <w:p w14:paraId="5F120023">
            <w:pPr>
              <w:adjustRightInd w:val="0"/>
              <w:snapToGrid w:val="0"/>
              <w:jc w:val="center"/>
              <w:rPr>
                <w:rFonts w:hint="default" w:ascii="Times New Roman" w:hAnsi="Times New Roman" w:cs="Times New Roman"/>
                <w:color w:val="auto"/>
                <w:szCs w:val="21"/>
                <w:highlight w:val="none"/>
              </w:rPr>
            </w:pPr>
          </w:p>
        </w:tc>
        <w:tc>
          <w:tcPr>
            <w:tcW w:w="1752" w:type="dxa"/>
            <w:vMerge w:val="continue"/>
            <w:noWrap w:val="0"/>
            <w:vAlign w:val="center"/>
          </w:tcPr>
          <w:p w14:paraId="7E7627B6">
            <w:pPr>
              <w:adjustRightInd w:val="0"/>
              <w:snapToGrid w:val="0"/>
              <w:jc w:val="center"/>
              <w:rPr>
                <w:rFonts w:hint="default" w:ascii="Times New Roman" w:hAnsi="Times New Roman" w:cs="Times New Roman"/>
                <w:color w:val="auto"/>
                <w:szCs w:val="21"/>
                <w:highlight w:val="none"/>
              </w:rPr>
            </w:pPr>
          </w:p>
        </w:tc>
        <w:tc>
          <w:tcPr>
            <w:tcW w:w="1347" w:type="dxa"/>
            <w:noWrap w:val="0"/>
            <w:vAlign w:val="center"/>
          </w:tcPr>
          <w:p w14:paraId="7D6ACF1D">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烟气黑度</w:t>
            </w:r>
          </w:p>
        </w:tc>
        <w:tc>
          <w:tcPr>
            <w:tcW w:w="1561" w:type="dxa"/>
            <w:vMerge w:val="continue"/>
            <w:noWrap w:val="0"/>
            <w:vAlign w:val="center"/>
          </w:tcPr>
          <w:p w14:paraId="6070A2B8">
            <w:pPr>
              <w:adjustRightInd w:val="0"/>
              <w:snapToGrid w:val="0"/>
              <w:jc w:val="center"/>
              <w:rPr>
                <w:rFonts w:hint="default" w:ascii="Times New Roman" w:hAnsi="Times New Roman" w:cs="Times New Roman"/>
                <w:color w:val="auto"/>
                <w:szCs w:val="21"/>
                <w:highlight w:val="none"/>
              </w:rPr>
            </w:pPr>
          </w:p>
        </w:tc>
        <w:tc>
          <w:tcPr>
            <w:tcW w:w="2362" w:type="dxa"/>
            <w:vMerge w:val="continue"/>
            <w:noWrap w:val="0"/>
            <w:vAlign w:val="center"/>
          </w:tcPr>
          <w:p w14:paraId="511C1862">
            <w:pPr>
              <w:adjustRightInd w:val="0"/>
              <w:snapToGrid w:val="0"/>
              <w:jc w:val="center"/>
              <w:rPr>
                <w:rFonts w:hint="default" w:ascii="Times New Roman" w:hAnsi="Times New Roman" w:cs="Times New Roman"/>
                <w:color w:val="auto"/>
                <w:szCs w:val="21"/>
                <w:highlight w:val="none"/>
              </w:rPr>
            </w:pPr>
          </w:p>
        </w:tc>
      </w:tr>
      <w:tr w14:paraId="376ADB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778" w:type="dxa"/>
            <w:vMerge w:val="continue"/>
            <w:noWrap w:val="0"/>
            <w:vAlign w:val="center"/>
          </w:tcPr>
          <w:p w14:paraId="4996DF7B">
            <w:pPr>
              <w:adjustRightInd w:val="0"/>
              <w:snapToGrid w:val="0"/>
              <w:jc w:val="center"/>
              <w:rPr>
                <w:rFonts w:hint="default" w:ascii="Times New Roman" w:hAnsi="Times New Roman" w:cs="Times New Roman"/>
                <w:color w:val="auto"/>
                <w:szCs w:val="21"/>
                <w:highlight w:val="none"/>
              </w:rPr>
            </w:pPr>
          </w:p>
        </w:tc>
        <w:tc>
          <w:tcPr>
            <w:tcW w:w="1752" w:type="dxa"/>
            <w:vMerge w:val="continue"/>
            <w:noWrap w:val="0"/>
            <w:vAlign w:val="center"/>
          </w:tcPr>
          <w:p w14:paraId="00A120C9">
            <w:pPr>
              <w:adjustRightInd w:val="0"/>
              <w:snapToGrid w:val="0"/>
              <w:jc w:val="center"/>
              <w:rPr>
                <w:rFonts w:hint="default" w:ascii="Times New Roman" w:hAnsi="Times New Roman" w:cs="Times New Roman"/>
                <w:color w:val="auto"/>
                <w:szCs w:val="21"/>
                <w:highlight w:val="none"/>
              </w:rPr>
            </w:pPr>
          </w:p>
        </w:tc>
        <w:tc>
          <w:tcPr>
            <w:tcW w:w="1347" w:type="dxa"/>
            <w:noWrap w:val="0"/>
            <w:vAlign w:val="center"/>
          </w:tcPr>
          <w:p w14:paraId="43EFA968">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汞及其化合物</w:t>
            </w:r>
          </w:p>
        </w:tc>
        <w:tc>
          <w:tcPr>
            <w:tcW w:w="1561" w:type="dxa"/>
            <w:vMerge w:val="continue"/>
            <w:noWrap w:val="0"/>
            <w:vAlign w:val="center"/>
          </w:tcPr>
          <w:p w14:paraId="3F6F501D">
            <w:pPr>
              <w:adjustRightInd w:val="0"/>
              <w:snapToGrid w:val="0"/>
              <w:jc w:val="center"/>
              <w:rPr>
                <w:rFonts w:hint="default" w:ascii="Times New Roman" w:hAnsi="Times New Roman" w:cs="Times New Roman"/>
                <w:color w:val="auto"/>
                <w:szCs w:val="21"/>
                <w:highlight w:val="none"/>
              </w:rPr>
            </w:pPr>
          </w:p>
        </w:tc>
        <w:tc>
          <w:tcPr>
            <w:tcW w:w="2362" w:type="dxa"/>
            <w:vMerge w:val="continue"/>
            <w:noWrap w:val="0"/>
            <w:vAlign w:val="center"/>
          </w:tcPr>
          <w:p w14:paraId="57427785">
            <w:pPr>
              <w:adjustRightInd w:val="0"/>
              <w:snapToGrid w:val="0"/>
              <w:jc w:val="center"/>
              <w:rPr>
                <w:rFonts w:hint="default" w:ascii="Times New Roman" w:hAnsi="Times New Roman" w:cs="Times New Roman"/>
                <w:color w:val="auto"/>
                <w:szCs w:val="21"/>
                <w:highlight w:val="none"/>
              </w:rPr>
            </w:pPr>
          </w:p>
        </w:tc>
      </w:tr>
      <w:tr w14:paraId="26A28E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continue"/>
            <w:noWrap w:val="0"/>
            <w:vAlign w:val="center"/>
          </w:tcPr>
          <w:p w14:paraId="62A282D1">
            <w:pPr>
              <w:adjustRightInd w:val="0"/>
              <w:snapToGrid w:val="0"/>
              <w:jc w:val="center"/>
              <w:rPr>
                <w:rFonts w:hint="default" w:ascii="Times New Roman" w:hAnsi="Times New Roman" w:cs="Times New Roman"/>
                <w:color w:val="auto"/>
                <w:szCs w:val="21"/>
                <w:highlight w:val="none"/>
              </w:rPr>
            </w:pPr>
          </w:p>
        </w:tc>
        <w:tc>
          <w:tcPr>
            <w:tcW w:w="1752" w:type="dxa"/>
            <w:noWrap w:val="0"/>
            <w:vAlign w:val="center"/>
          </w:tcPr>
          <w:p w14:paraId="258FAB7C">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上料工序</w:t>
            </w:r>
          </w:p>
        </w:tc>
        <w:tc>
          <w:tcPr>
            <w:tcW w:w="1347" w:type="dxa"/>
            <w:noWrap w:val="0"/>
            <w:vAlign w:val="center"/>
          </w:tcPr>
          <w:p w14:paraId="2CC221A9">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颗粒物</w:t>
            </w:r>
          </w:p>
        </w:tc>
        <w:tc>
          <w:tcPr>
            <w:tcW w:w="1561" w:type="dxa"/>
            <w:noWrap w:val="0"/>
            <w:vAlign w:val="center"/>
          </w:tcPr>
          <w:p w14:paraId="6EBB3590">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洒水降尘，全封闭厂房</w:t>
            </w:r>
          </w:p>
        </w:tc>
        <w:tc>
          <w:tcPr>
            <w:tcW w:w="2362" w:type="dxa"/>
            <w:vMerge w:val="restart"/>
            <w:noWrap w:val="0"/>
            <w:vAlign w:val="center"/>
          </w:tcPr>
          <w:p w14:paraId="18CD8043">
            <w:pPr>
              <w:adjustRightInd w:val="0"/>
              <w:snapToGrid w:val="0"/>
              <w:jc w:val="center"/>
              <w:rPr>
                <w:rFonts w:hint="default" w:ascii="Times New Roman" w:hAnsi="Times New Roman" w:cs="Times New Roman"/>
                <w:color w:val="auto"/>
                <w:szCs w:val="21"/>
                <w:highlight w:val="none"/>
              </w:rPr>
            </w:pPr>
            <w:r>
              <w:rPr>
                <w:rFonts w:hint="eastAsia" w:ascii="Times New Roman" w:hAnsi="Times New Roman"/>
                <w:bCs/>
                <w:i w:val="0"/>
                <w:iCs w:val="0"/>
                <w:sz w:val="21"/>
                <w:szCs w:val="21"/>
                <w:highlight w:val="none"/>
                <w:lang w:val="en-US" w:eastAsia="zh-CN"/>
              </w:rPr>
              <w:t>《水泥工业大气污染物排放标准》（</w:t>
            </w:r>
            <w:r>
              <w:rPr>
                <w:rFonts w:hint="default" w:ascii="Times New Roman" w:hAnsi="Times New Roman"/>
                <w:bCs/>
                <w:i w:val="0"/>
                <w:iCs w:val="0"/>
                <w:sz w:val="21"/>
                <w:szCs w:val="21"/>
                <w:highlight w:val="none"/>
                <w:lang w:val="en-US" w:eastAsia="zh-CN"/>
              </w:rPr>
              <w:t>GB4915-2013</w:t>
            </w:r>
            <w:r>
              <w:rPr>
                <w:rFonts w:hint="eastAsia" w:ascii="Times New Roman" w:hAnsi="Times New Roman"/>
                <w:bCs/>
                <w:i w:val="0"/>
                <w:iCs w:val="0"/>
                <w:sz w:val="21"/>
                <w:szCs w:val="21"/>
                <w:highlight w:val="none"/>
                <w:lang w:val="en-US" w:eastAsia="zh-CN"/>
              </w:rPr>
              <w:t>）</w:t>
            </w:r>
          </w:p>
        </w:tc>
      </w:tr>
      <w:tr w14:paraId="302AD7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continue"/>
            <w:noWrap w:val="0"/>
            <w:vAlign w:val="center"/>
          </w:tcPr>
          <w:p w14:paraId="3F105EC8">
            <w:pPr>
              <w:adjustRightInd w:val="0"/>
              <w:snapToGrid w:val="0"/>
              <w:jc w:val="center"/>
              <w:rPr>
                <w:rFonts w:hint="default" w:ascii="Times New Roman" w:hAnsi="Times New Roman" w:cs="Times New Roman"/>
                <w:color w:val="auto"/>
                <w:szCs w:val="21"/>
                <w:highlight w:val="none"/>
              </w:rPr>
            </w:pPr>
          </w:p>
        </w:tc>
        <w:tc>
          <w:tcPr>
            <w:tcW w:w="1752" w:type="dxa"/>
            <w:noWrap w:val="0"/>
            <w:vAlign w:val="center"/>
          </w:tcPr>
          <w:p w14:paraId="4C20295B">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搅拌工序</w:t>
            </w:r>
          </w:p>
        </w:tc>
        <w:tc>
          <w:tcPr>
            <w:tcW w:w="1347" w:type="dxa"/>
            <w:noWrap w:val="0"/>
            <w:vAlign w:val="center"/>
          </w:tcPr>
          <w:p w14:paraId="292EA44B">
            <w:pPr>
              <w:jc w:val="center"/>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颗粒物</w:t>
            </w:r>
          </w:p>
        </w:tc>
        <w:tc>
          <w:tcPr>
            <w:tcW w:w="1561" w:type="dxa"/>
            <w:noWrap w:val="0"/>
            <w:vAlign w:val="center"/>
          </w:tcPr>
          <w:p w14:paraId="5496CA0E">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设备全封闭，内设布袋除尘器</w:t>
            </w:r>
          </w:p>
        </w:tc>
        <w:tc>
          <w:tcPr>
            <w:tcW w:w="2362" w:type="dxa"/>
            <w:vMerge w:val="continue"/>
            <w:noWrap w:val="0"/>
            <w:vAlign w:val="center"/>
          </w:tcPr>
          <w:p w14:paraId="0CCF68FD">
            <w:pPr>
              <w:adjustRightInd w:val="0"/>
              <w:snapToGrid w:val="0"/>
              <w:jc w:val="center"/>
              <w:rPr>
                <w:rFonts w:hint="eastAsia" w:ascii="Times New Roman" w:hAnsi="Times New Roman"/>
                <w:bCs/>
                <w:i w:val="0"/>
                <w:iCs w:val="0"/>
                <w:sz w:val="21"/>
                <w:szCs w:val="21"/>
                <w:highlight w:val="none"/>
                <w:lang w:val="en-US" w:eastAsia="zh-CN"/>
              </w:rPr>
            </w:pPr>
          </w:p>
        </w:tc>
      </w:tr>
      <w:tr w14:paraId="1371C3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continue"/>
            <w:noWrap w:val="0"/>
            <w:vAlign w:val="center"/>
          </w:tcPr>
          <w:p w14:paraId="42AE410D">
            <w:pPr>
              <w:adjustRightInd w:val="0"/>
              <w:snapToGrid w:val="0"/>
              <w:jc w:val="center"/>
              <w:rPr>
                <w:rFonts w:hint="default" w:ascii="Times New Roman" w:hAnsi="Times New Roman" w:cs="Times New Roman"/>
                <w:color w:val="auto"/>
                <w:szCs w:val="21"/>
                <w:highlight w:val="none"/>
              </w:rPr>
            </w:pPr>
          </w:p>
        </w:tc>
        <w:tc>
          <w:tcPr>
            <w:tcW w:w="1752" w:type="dxa"/>
            <w:noWrap w:val="0"/>
            <w:vAlign w:val="center"/>
          </w:tcPr>
          <w:p w14:paraId="7B7961B0">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砂石原料卸料</w:t>
            </w:r>
          </w:p>
        </w:tc>
        <w:tc>
          <w:tcPr>
            <w:tcW w:w="1347" w:type="dxa"/>
            <w:noWrap w:val="0"/>
            <w:vAlign w:val="center"/>
          </w:tcPr>
          <w:p w14:paraId="6F0E634F">
            <w:pPr>
              <w:jc w:val="center"/>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颗粒物</w:t>
            </w:r>
          </w:p>
        </w:tc>
        <w:tc>
          <w:tcPr>
            <w:tcW w:w="1561" w:type="dxa"/>
            <w:noWrap w:val="0"/>
            <w:vAlign w:val="center"/>
          </w:tcPr>
          <w:p w14:paraId="74F7640F">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洒水降尘，四周设围挡，采取苫布覆盖</w:t>
            </w:r>
          </w:p>
        </w:tc>
        <w:tc>
          <w:tcPr>
            <w:tcW w:w="2362" w:type="dxa"/>
            <w:vMerge w:val="continue"/>
            <w:noWrap w:val="0"/>
            <w:vAlign w:val="center"/>
          </w:tcPr>
          <w:p w14:paraId="4D03998C">
            <w:pPr>
              <w:adjustRightInd w:val="0"/>
              <w:snapToGrid w:val="0"/>
              <w:jc w:val="center"/>
              <w:rPr>
                <w:rFonts w:hint="default" w:ascii="Times New Roman" w:hAnsi="Times New Roman" w:eastAsia="宋体" w:cs="Times New Roman"/>
                <w:color w:val="auto"/>
                <w:szCs w:val="21"/>
                <w:highlight w:val="none"/>
              </w:rPr>
            </w:pPr>
          </w:p>
        </w:tc>
      </w:tr>
      <w:tr w14:paraId="1F24AF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continue"/>
            <w:noWrap w:val="0"/>
            <w:vAlign w:val="center"/>
          </w:tcPr>
          <w:p w14:paraId="685EFECC">
            <w:pPr>
              <w:adjustRightInd w:val="0"/>
              <w:snapToGrid w:val="0"/>
              <w:jc w:val="center"/>
              <w:rPr>
                <w:rFonts w:hint="default" w:ascii="Times New Roman" w:hAnsi="Times New Roman" w:cs="Times New Roman"/>
                <w:color w:val="auto"/>
                <w:szCs w:val="21"/>
                <w:highlight w:val="none"/>
              </w:rPr>
            </w:pPr>
          </w:p>
        </w:tc>
        <w:tc>
          <w:tcPr>
            <w:tcW w:w="1752" w:type="dxa"/>
            <w:noWrap w:val="0"/>
            <w:vAlign w:val="center"/>
          </w:tcPr>
          <w:p w14:paraId="285F7080">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筒仓外泄粉尘（DA002~DA004）</w:t>
            </w:r>
          </w:p>
        </w:tc>
        <w:tc>
          <w:tcPr>
            <w:tcW w:w="1347" w:type="dxa"/>
            <w:noWrap w:val="0"/>
            <w:vAlign w:val="center"/>
          </w:tcPr>
          <w:p w14:paraId="6B114EC4">
            <w:pPr>
              <w:jc w:val="center"/>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颗粒物</w:t>
            </w:r>
          </w:p>
        </w:tc>
        <w:tc>
          <w:tcPr>
            <w:tcW w:w="1561" w:type="dxa"/>
            <w:noWrap w:val="0"/>
            <w:vAlign w:val="center"/>
          </w:tcPr>
          <w:p w14:paraId="5A9D08EF">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全封闭+仓顶设置布袋除尘器</w:t>
            </w:r>
          </w:p>
        </w:tc>
        <w:tc>
          <w:tcPr>
            <w:tcW w:w="2362" w:type="dxa"/>
            <w:vMerge w:val="continue"/>
            <w:noWrap w:val="0"/>
            <w:vAlign w:val="center"/>
          </w:tcPr>
          <w:p w14:paraId="4D0A1858">
            <w:pPr>
              <w:adjustRightInd w:val="0"/>
              <w:snapToGrid w:val="0"/>
              <w:jc w:val="center"/>
              <w:rPr>
                <w:rFonts w:hint="default" w:ascii="Times New Roman" w:hAnsi="Times New Roman" w:eastAsia="宋体" w:cs="Times New Roman"/>
                <w:color w:val="auto"/>
                <w:szCs w:val="21"/>
                <w:highlight w:val="none"/>
              </w:rPr>
            </w:pPr>
          </w:p>
        </w:tc>
      </w:tr>
      <w:tr w14:paraId="10D964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continue"/>
            <w:noWrap w:val="0"/>
            <w:vAlign w:val="center"/>
          </w:tcPr>
          <w:p w14:paraId="5508ADA5">
            <w:pPr>
              <w:adjustRightInd w:val="0"/>
              <w:snapToGrid w:val="0"/>
              <w:jc w:val="center"/>
              <w:rPr>
                <w:rFonts w:hint="default" w:ascii="Times New Roman" w:hAnsi="Times New Roman" w:cs="Times New Roman"/>
                <w:color w:val="auto"/>
                <w:szCs w:val="21"/>
                <w:highlight w:val="none"/>
              </w:rPr>
            </w:pPr>
          </w:p>
        </w:tc>
        <w:tc>
          <w:tcPr>
            <w:tcW w:w="1752" w:type="dxa"/>
            <w:noWrap w:val="0"/>
            <w:vAlign w:val="center"/>
          </w:tcPr>
          <w:p w14:paraId="793DE61D">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钢筋加工废气</w:t>
            </w:r>
          </w:p>
        </w:tc>
        <w:tc>
          <w:tcPr>
            <w:tcW w:w="1347" w:type="dxa"/>
            <w:noWrap w:val="0"/>
            <w:vAlign w:val="center"/>
          </w:tcPr>
          <w:p w14:paraId="1D639FA6">
            <w:pPr>
              <w:jc w:val="center"/>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颗粒物</w:t>
            </w:r>
          </w:p>
        </w:tc>
        <w:tc>
          <w:tcPr>
            <w:tcW w:w="1561" w:type="dxa"/>
            <w:noWrap w:val="0"/>
            <w:vAlign w:val="center"/>
          </w:tcPr>
          <w:p w14:paraId="3C401B18">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全封闭厂房</w:t>
            </w:r>
          </w:p>
        </w:tc>
        <w:tc>
          <w:tcPr>
            <w:tcW w:w="2362" w:type="dxa"/>
            <w:vMerge w:val="continue"/>
            <w:noWrap w:val="0"/>
            <w:vAlign w:val="center"/>
          </w:tcPr>
          <w:p w14:paraId="1EEF0D3F">
            <w:pPr>
              <w:adjustRightInd w:val="0"/>
              <w:snapToGrid w:val="0"/>
              <w:jc w:val="center"/>
              <w:rPr>
                <w:rFonts w:hint="default" w:ascii="Times New Roman" w:hAnsi="Times New Roman" w:eastAsia="宋体" w:cs="Times New Roman"/>
                <w:color w:val="auto"/>
                <w:szCs w:val="21"/>
                <w:highlight w:val="none"/>
              </w:rPr>
            </w:pPr>
          </w:p>
        </w:tc>
      </w:tr>
      <w:tr w14:paraId="57E548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restart"/>
            <w:noWrap w:val="0"/>
            <w:vAlign w:val="center"/>
          </w:tcPr>
          <w:p w14:paraId="73AAD8D3">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w:t>
            </w:r>
          </w:p>
        </w:tc>
        <w:tc>
          <w:tcPr>
            <w:tcW w:w="1752" w:type="dxa"/>
            <w:vMerge w:val="restart"/>
            <w:noWrap w:val="0"/>
            <w:vAlign w:val="center"/>
          </w:tcPr>
          <w:p w14:paraId="79DCF618">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生活污水</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生产废水、</w:t>
            </w:r>
          </w:p>
          <w:p w14:paraId="7C663A6D">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eastAsia="zh-CN"/>
              </w:rPr>
              <w:t>锅炉排污水及软化处理废水</w:t>
            </w:r>
            <w:r>
              <w:rPr>
                <w:rFonts w:hint="eastAsia" w:cs="Times New Roman"/>
                <w:color w:val="auto"/>
                <w:szCs w:val="21"/>
                <w:highlight w:val="none"/>
                <w:lang w:eastAsia="zh-CN"/>
              </w:rPr>
              <w:t>、</w:t>
            </w:r>
            <w:r>
              <w:rPr>
                <w:rFonts w:hint="eastAsia" w:cs="Times New Roman"/>
                <w:color w:val="auto"/>
                <w:szCs w:val="21"/>
                <w:highlight w:val="none"/>
                <w:lang w:val="en-US" w:eastAsia="zh-CN"/>
              </w:rPr>
              <w:t>初期雨水、养护废水</w:t>
            </w:r>
          </w:p>
        </w:tc>
        <w:tc>
          <w:tcPr>
            <w:tcW w:w="1347" w:type="dxa"/>
            <w:noWrap w:val="0"/>
            <w:vAlign w:val="center"/>
          </w:tcPr>
          <w:p w14:paraId="26606681">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COD</w:t>
            </w:r>
          </w:p>
        </w:tc>
        <w:tc>
          <w:tcPr>
            <w:tcW w:w="1561" w:type="dxa"/>
            <w:vMerge w:val="restart"/>
            <w:noWrap w:val="0"/>
            <w:vAlign w:val="center"/>
          </w:tcPr>
          <w:p w14:paraId="5968F8BB">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auto"/>
                <w:sz w:val="24"/>
                <w:szCs w:val="24"/>
                <w:highlight w:val="none"/>
                <w:lang w:val="en-US" w:eastAsia="zh-CN"/>
              </w:rPr>
            </w:pPr>
            <w:r>
              <w:rPr>
                <w:rFonts w:hint="eastAsia" w:cs="Times New Roman"/>
                <w:bCs/>
                <w:color w:val="auto"/>
                <w:kern w:val="2"/>
                <w:sz w:val="21"/>
                <w:szCs w:val="21"/>
                <w:highlight w:val="none"/>
                <w:lang w:val="en-US" w:eastAsia="zh-CN" w:bidi="ar-SA"/>
              </w:rPr>
              <w:t>生活污水排至厂区防渗旱厕，定期清掏，外运堆肥，其余经沉淀后沉淀后回用于生产</w:t>
            </w:r>
          </w:p>
          <w:p w14:paraId="0DA6D647">
            <w:pPr>
              <w:keepNext w:val="0"/>
              <w:keepLines w:val="0"/>
              <w:pageBreakBefore w:val="0"/>
              <w:widowControl/>
              <w:suppressLineNumbers w:val="0"/>
              <w:kinsoku/>
              <w:wordWrap w:val="0"/>
              <w:overflowPunct/>
              <w:topLinePunct w:val="0"/>
              <w:autoSpaceDE/>
              <w:autoSpaceDN/>
              <w:bidi w:val="0"/>
              <w:adjustRightInd/>
              <w:snapToGrid/>
              <w:jc w:val="left"/>
              <w:textAlignment w:val="auto"/>
              <w:rPr>
                <w:rFonts w:hint="default" w:ascii="Times New Roman" w:hAnsi="Times New Roman" w:eastAsia="宋体" w:cs="Times New Roman"/>
                <w:bCs/>
                <w:color w:val="auto"/>
                <w:kern w:val="2"/>
                <w:sz w:val="21"/>
                <w:szCs w:val="21"/>
                <w:highlight w:val="none"/>
                <w:lang w:val="en-US" w:eastAsia="zh-CN" w:bidi="ar-SA"/>
              </w:rPr>
            </w:pPr>
          </w:p>
        </w:tc>
        <w:tc>
          <w:tcPr>
            <w:tcW w:w="2362" w:type="dxa"/>
            <w:vMerge w:val="restart"/>
            <w:noWrap w:val="0"/>
            <w:vAlign w:val="center"/>
          </w:tcPr>
          <w:p w14:paraId="74E6608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bCs/>
                <w:color w:val="auto"/>
                <w:kern w:val="2"/>
                <w:sz w:val="21"/>
                <w:szCs w:val="21"/>
                <w:highlight w:val="none"/>
                <w:lang w:val="en-US" w:eastAsia="zh-CN" w:bidi="ar-SA"/>
              </w:rPr>
              <w:t>/</w:t>
            </w:r>
          </w:p>
        </w:tc>
      </w:tr>
      <w:tr w14:paraId="573909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continue"/>
            <w:noWrap w:val="0"/>
            <w:vAlign w:val="center"/>
          </w:tcPr>
          <w:p w14:paraId="342A1F74">
            <w:pPr>
              <w:adjustRightInd w:val="0"/>
              <w:snapToGrid w:val="0"/>
              <w:jc w:val="center"/>
              <w:rPr>
                <w:rFonts w:hint="default" w:ascii="Times New Roman" w:hAnsi="Times New Roman" w:cs="Times New Roman"/>
                <w:color w:val="auto"/>
                <w:szCs w:val="21"/>
                <w:highlight w:val="none"/>
              </w:rPr>
            </w:pPr>
          </w:p>
        </w:tc>
        <w:tc>
          <w:tcPr>
            <w:tcW w:w="1752" w:type="dxa"/>
            <w:vMerge w:val="continue"/>
            <w:noWrap w:val="0"/>
            <w:vAlign w:val="center"/>
          </w:tcPr>
          <w:p w14:paraId="5F676DE7">
            <w:pPr>
              <w:adjustRightInd w:val="0"/>
              <w:snapToGrid w:val="0"/>
              <w:jc w:val="center"/>
              <w:rPr>
                <w:rFonts w:hint="default" w:ascii="Times New Roman" w:hAnsi="Times New Roman" w:eastAsia="宋体" w:cs="Times New Roman"/>
                <w:color w:val="auto"/>
                <w:szCs w:val="21"/>
                <w:highlight w:val="none"/>
                <w:lang w:val="en-US" w:eastAsia="zh-CN"/>
              </w:rPr>
            </w:pPr>
          </w:p>
        </w:tc>
        <w:tc>
          <w:tcPr>
            <w:tcW w:w="1347" w:type="dxa"/>
            <w:noWrap w:val="0"/>
            <w:vAlign w:val="center"/>
          </w:tcPr>
          <w:p w14:paraId="7A6DAC88">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p>
        </w:tc>
        <w:tc>
          <w:tcPr>
            <w:tcW w:w="1561" w:type="dxa"/>
            <w:vMerge w:val="continue"/>
            <w:noWrap w:val="0"/>
            <w:vAlign w:val="center"/>
          </w:tcPr>
          <w:p w14:paraId="269989AD">
            <w:pPr>
              <w:jc w:val="center"/>
              <w:rPr>
                <w:rFonts w:hint="default" w:ascii="Times New Roman" w:hAnsi="Times New Roman" w:eastAsia="宋体" w:cs="Times New Roman"/>
                <w:bCs/>
                <w:color w:val="auto"/>
                <w:kern w:val="2"/>
                <w:sz w:val="21"/>
                <w:szCs w:val="21"/>
                <w:highlight w:val="none"/>
                <w:lang w:val="en-US" w:eastAsia="zh-CN" w:bidi="ar-SA"/>
              </w:rPr>
            </w:pPr>
          </w:p>
        </w:tc>
        <w:tc>
          <w:tcPr>
            <w:tcW w:w="2362" w:type="dxa"/>
            <w:vMerge w:val="continue"/>
            <w:noWrap w:val="0"/>
            <w:vAlign w:val="center"/>
          </w:tcPr>
          <w:p w14:paraId="5EBB0C23">
            <w:pPr>
              <w:adjustRightInd w:val="0"/>
              <w:snapToGrid w:val="0"/>
              <w:jc w:val="center"/>
              <w:rPr>
                <w:rFonts w:hint="default" w:ascii="Times New Roman" w:hAnsi="Times New Roman" w:cs="Times New Roman"/>
                <w:color w:val="auto"/>
                <w:sz w:val="21"/>
                <w:szCs w:val="21"/>
                <w:highlight w:val="none"/>
              </w:rPr>
            </w:pPr>
          </w:p>
        </w:tc>
      </w:tr>
      <w:tr w14:paraId="5555E2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continue"/>
            <w:noWrap w:val="0"/>
            <w:vAlign w:val="center"/>
          </w:tcPr>
          <w:p w14:paraId="67A87B59">
            <w:pPr>
              <w:adjustRightInd w:val="0"/>
              <w:snapToGrid w:val="0"/>
              <w:jc w:val="center"/>
              <w:rPr>
                <w:rFonts w:hint="default" w:ascii="Times New Roman" w:hAnsi="Times New Roman" w:cs="Times New Roman"/>
                <w:color w:val="auto"/>
                <w:szCs w:val="21"/>
                <w:highlight w:val="none"/>
              </w:rPr>
            </w:pPr>
          </w:p>
        </w:tc>
        <w:tc>
          <w:tcPr>
            <w:tcW w:w="1752" w:type="dxa"/>
            <w:vMerge w:val="continue"/>
            <w:noWrap w:val="0"/>
            <w:vAlign w:val="center"/>
          </w:tcPr>
          <w:p w14:paraId="3775F7D3">
            <w:pPr>
              <w:adjustRightInd w:val="0"/>
              <w:snapToGrid w:val="0"/>
              <w:jc w:val="center"/>
              <w:rPr>
                <w:rFonts w:hint="default" w:ascii="Times New Roman" w:hAnsi="Times New Roman" w:eastAsia="宋体" w:cs="Times New Roman"/>
                <w:color w:val="auto"/>
                <w:szCs w:val="21"/>
                <w:highlight w:val="none"/>
                <w:lang w:val="en-US" w:eastAsia="zh-CN"/>
              </w:rPr>
            </w:pPr>
          </w:p>
        </w:tc>
        <w:tc>
          <w:tcPr>
            <w:tcW w:w="1347" w:type="dxa"/>
            <w:noWrap w:val="0"/>
            <w:vAlign w:val="center"/>
          </w:tcPr>
          <w:p w14:paraId="76E599AE">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SS</w:t>
            </w:r>
          </w:p>
        </w:tc>
        <w:tc>
          <w:tcPr>
            <w:tcW w:w="1561" w:type="dxa"/>
            <w:vMerge w:val="continue"/>
            <w:noWrap w:val="0"/>
            <w:vAlign w:val="center"/>
          </w:tcPr>
          <w:p w14:paraId="476C86C0">
            <w:pPr>
              <w:jc w:val="center"/>
              <w:rPr>
                <w:rFonts w:hint="default" w:ascii="Times New Roman" w:hAnsi="Times New Roman" w:eastAsia="宋体" w:cs="Times New Roman"/>
                <w:bCs/>
                <w:color w:val="auto"/>
                <w:kern w:val="2"/>
                <w:sz w:val="21"/>
                <w:szCs w:val="21"/>
                <w:highlight w:val="none"/>
                <w:lang w:val="en-US" w:eastAsia="zh-CN" w:bidi="ar-SA"/>
              </w:rPr>
            </w:pPr>
          </w:p>
        </w:tc>
        <w:tc>
          <w:tcPr>
            <w:tcW w:w="2362" w:type="dxa"/>
            <w:vMerge w:val="continue"/>
            <w:noWrap w:val="0"/>
            <w:vAlign w:val="center"/>
          </w:tcPr>
          <w:p w14:paraId="243C4D3C">
            <w:pPr>
              <w:adjustRightInd w:val="0"/>
              <w:snapToGrid w:val="0"/>
              <w:jc w:val="center"/>
              <w:rPr>
                <w:rFonts w:hint="default" w:ascii="Times New Roman" w:hAnsi="Times New Roman" w:cs="Times New Roman"/>
                <w:color w:val="auto"/>
                <w:sz w:val="21"/>
                <w:szCs w:val="21"/>
                <w:highlight w:val="none"/>
              </w:rPr>
            </w:pPr>
          </w:p>
        </w:tc>
      </w:tr>
      <w:tr w14:paraId="52AD68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vMerge w:val="continue"/>
            <w:noWrap w:val="0"/>
            <w:vAlign w:val="center"/>
          </w:tcPr>
          <w:p w14:paraId="621E299A">
            <w:pPr>
              <w:adjustRightInd w:val="0"/>
              <w:snapToGrid w:val="0"/>
              <w:jc w:val="center"/>
              <w:rPr>
                <w:rFonts w:hint="default" w:ascii="Times New Roman" w:hAnsi="Times New Roman" w:cs="Times New Roman"/>
                <w:color w:val="auto"/>
                <w:szCs w:val="21"/>
                <w:highlight w:val="none"/>
              </w:rPr>
            </w:pPr>
          </w:p>
        </w:tc>
        <w:tc>
          <w:tcPr>
            <w:tcW w:w="1752" w:type="dxa"/>
            <w:vMerge w:val="continue"/>
            <w:noWrap w:val="0"/>
            <w:vAlign w:val="center"/>
          </w:tcPr>
          <w:p w14:paraId="598F8482">
            <w:pPr>
              <w:adjustRightInd w:val="0"/>
              <w:snapToGrid w:val="0"/>
              <w:jc w:val="center"/>
              <w:rPr>
                <w:rFonts w:hint="default" w:ascii="Times New Roman" w:hAnsi="Times New Roman" w:eastAsia="宋体" w:cs="Times New Roman"/>
                <w:color w:val="auto"/>
                <w:szCs w:val="21"/>
                <w:highlight w:val="none"/>
                <w:lang w:val="en-US" w:eastAsia="zh-CN"/>
              </w:rPr>
            </w:pPr>
          </w:p>
        </w:tc>
        <w:tc>
          <w:tcPr>
            <w:tcW w:w="1347" w:type="dxa"/>
            <w:noWrap w:val="0"/>
            <w:vAlign w:val="center"/>
          </w:tcPr>
          <w:p w14:paraId="0AAD2200">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NH</w:t>
            </w:r>
            <w:r>
              <w:rPr>
                <w:rFonts w:hint="default" w:ascii="Times New Roman" w:hAnsi="Times New Roman" w:cs="Times New Roman"/>
                <w:color w:val="auto"/>
                <w:szCs w:val="21"/>
                <w:highlight w:val="none"/>
                <w:vertAlign w:val="subscript"/>
              </w:rPr>
              <w:t>3</w:t>
            </w:r>
            <w:r>
              <w:rPr>
                <w:rFonts w:hint="default" w:ascii="Times New Roman" w:hAnsi="Times New Roman" w:cs="Times New Roman"/>
                <w:color w:val="auto"/>
                <w:szCs w:val="21"/>
                <w:highlight w:val="none"/>
              </w:rPr>
              <w:t>-N</w:t>
            </w:r>
          </w:p>
        </w:tc>
        <w:tc>
          <w:tcPr>
            <w:tcW w:w="1561" w:type="dxa"/>
            <w:vMerge w:val="continue"/>
            <w:noWrap w:val="0"/>
            <w:vAlign w:val="center"/>
          </w:tcPr>
          <w:p w14:paraId="3E5C963C">
            <w:pPr>
              <w:jc w:val="center"/>
              <w:rPr>
                <w:rFonts w:hint="default" w:ascii="Times New Roman" w:hAnsi="Times New Roman" w:eastAsia="宋体" w:cs="Times New Roman"/>
                <w:bCs/>
                <w:color w:val="auto"/>
                <w:kern w:val="2"/>
                <w:sz w:val="21"/>
                <w:szCs w:val="21"/>
                <w:highlight w:val="none"/>
                <w:lang w:val="en-US" w:eastAsia="zh-CN" w:bidi="ar-SA"/>
              </w:rPr>
            </w:pPr>
          </w:p>
        </w:tc>
        <w:tc>
          <w:tcPr>
            <w:tcW w:w="2362" w:type="dxa"/>
            <w:vMerge w:val="continue"/>
            <w:noWrap w:val="0"/>
            <w:vAlign w:val="center"/>
          </w:tcPr>
          <w:p w14:paraId="3A5684F8">
            <w:pPr>
              <w:adjustRightInd w:val="0"/>
              <w:snapToGrid w:val="0"/>
              <w:jc w:val="center"/>
              <w:rPr>
                <w:rFonts w:hint="default" w:ascii="Times New Roman" w:hAnsi="Times New Roman" w:cs="Times New Roman"/>
                <w:color w:val="auto"/>
                <w:sz w:val="21"/>
                <w:szCs w:val="21"/>
                <w:highlight w:val="none"/>
              </w:rPr>
            </w:pPr>
          </w:p>
        </w:tc>
      </w:tr>
      <w:tr w14:paraId="265F01F9">
        <w:tblPrEx>
          <w:tblCellMar>
            <w:top w:w="0" w:type="dxa"/>
            <w:left w:w="108" w:type="dxa"/>
            <w:bottom w:w="0" w:type="dxa"/>
            <w:right w:w="108" w:type="dxa"/>
          </w:tblCellMar>
        </w:tblPrEx>
        <w:trPr>
          <w:trHeight w:val="397" w:hRule="atLeast"/>
          <w:jc w:val="center"/>
        </w:trPr>
        <w:tc>
          <w:tcPr>
            <w:tcW w:w="1778" w:type="dxa"/>
            <w:noWrap w:val="0"/>
            <w:vAlign w:val="center"/>
          </w:tcPr>
          <w:p w14:paraId="62B7DED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1752" w:type="dxa"/>
            <w:noWrap w:val="0"/>
            <w:vAlign w:val="center"/>
          </w:tcPr>
          <w:p w14:paraId="10CD507F">
            <w:pPr>
              <w:widowControl/>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生产车间设备</w:t>
            </w:r>
          </w:p>
        </w:tc>
        <w:tc>
          <w:tcPr>
            <w:tcW w:w="1347" w:type="dxa"/>
            <w:noWrap w:val="0"/>
            <w:vAlign w:val="center"/>
          </w:tcPr>
          <w:p w14:paraId="1E5360A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1561" w:type="dxa"/>
            <w:noWrap w:val="0"/>
            <w:vAlign w:val="center"/>
          </w:tcPr>
          <w:p w14:paraId="274C07E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选用低噪</w:t>
            </w:r>
            <w:r>
              <w:rPr>
                <w:rFonts w:hint="eastAsia" w:cs="Times New Roman"/>
                <w:color w:val="auto"/>
                <w:szCs w:val="21"/>
                <w:highlight w:val="none"/>
                <w:lang w:val="en-US" w:eastAsia="zh-CN"/>
              </w:rPr>
              <w:t>声</w:t>
            </w:r>
            <w:r>
              <w:rPr>
                <w:rFonts w:hint="default" w:ascii="Times New Roman" w:hAnsi="Times New Roman" w:cs="Times New Roman"/>
                <w:color w:val="auto"/>
                <w:szCs w:val="21"/>
                <w:highlight w:val="none"/>
              </w:rPr>
              <w:t>设备，生产车间封闭，并采取减振、降噪等措施</w:t>
            </w:r>
          </w:p>
        </w:tc>
        <w:tc>
          <w:tcPr>
            <w:tcW w:w="2362" w:type="dxa"/>
            <w:noWrap w:val="0"/>
            <w:vAlign w:val="center"/>
          </w:tcPr>
          <w:p w14:paraId="78288A5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《工业企业厂界环境噪声排放标准》（GB12348-2008）中的</w:t>
            </w:r>
            <w:r>
              <w:rPr>
                <w:rFonts w:hint="eastAsia" w:cs="Times New Roman"/>
                <w:color w:val="auto"/>
                <w:szCs w:val="21"/>
                <w:highlight w:val="none"/>
                <w:lang w:val="en-US" w:eastAsia="zh-CN"/>
              </w:rPr>
              <w:t>2类</w:t>
            </w:r>
            <w:r>
              <w:rPr>
                <w:rFonts w:hint="default" w:ascii="Times New Roman" w:hAnsi="Times New Roman" w:cs="Times New Roman"/>
                <w:color w:val="auto"/>
                <w:szCs w:val="21"/>
                <w:highlight w:val="none"/>
              </w:rPr>
              <w:t>标准</w:t>
            </w:r>
          </w:p>
        </w:tc>
      </w:tr>
      <w:tr w14:paraId="5F0D45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noWrap w:val="0"/>
            <w:vAlign w:val="center"/>
          </w:tcPr>
          <w:p w14:paraId="1D39BC0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电磁辐射</w:t>
            </w:r>
          </w:p>
        </w:tc>
        <w:tc>
          <w:tcPr>
            <w:tcW w:w="1752" w:type="dxa"/>
            <w:noWrap w:val="0"/>
            <w:vAlign w:val="center"/>
          </w:tcPr>
          <w:p w14:paraId="5D0DC76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w:t>
            </w:r>
          </w:p>
        </w:tc>
        <w:tc>
          <w:tcPr>
            <w:tcW w:w="1347" w:type="dxa"/>
            <w:noWrap w:val="0"/>
            <w:vAlign w:val="center"/>
          </w:tcPr>
          <w:p w14:paraId="79A1AB9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w:t>
            </w:r>
          </w:p>
        </w:tc>
        <w:tc>
          <w:tcPr>
            <w:tcW w:w="1561" w:type="dxa"/>
            <w:noWrap w:val="0"/>
            <w:vAlign w:val="center"/>
          </w:tcPr>
          <w:p w14:paraId="6E3A203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w:t>
            </w:r>
          </w:p>
        </w:tc>
        <w:tc>
          <w:tcPr>
            <w:tcW w:w="2362" w:type="dxa"/>
            <w:noWrap w:val="0"/>
            <w:vAlign w:val="center"/>
          </w:tcPr>
          <w:p w14:paraId="76AB7685">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w:t>
            </w:r>
          </w:p>
        </w:tc>
      </w:tr>
      <w:tr w14:paraId="6B7F18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1778" w:type="dxa"/>
            <w:vMerge w:val="restart"/>
            <w:noWrap w:val="0"/>
            <w:vAlign w:val="center"/>
          </w:tcPr>
          <w:p w14:paraId="4101154B">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固体废物</w:t>
            </w:r>
          </w:p>
        </w:tc>
        <w:tc>
          <w:tcPr>
            <w:tcW w:w="1752" w:type="dxa"/>
            <w:noWrap w:val="0"/>
            <w:vAlign w:val="center"/>
          </w:tcPr>
          <w:p w14:paraId="7FAFE6E1">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职工</w:t>
            </w:r>
          </w:p>
        </w:tc>
        <w:tc>
          <w:tcPr>
            <w:tcW w:w="1347" w:type="dxa"/>
            <w:noWrap w:val="0"/>
            <w:vAlign w:val="center"/>
          </w:tcPr>
          <w:p w14:paraId="3C2CC63E">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生活垃圾</w:t>
            </w:r>
          </w:p>
        </w:tc>
        <w:tc>
          <w:tcPr>
            <w:tcW w:w="1561" w:type="dxa"/>
            <w:noWrap w:val="0"/>
            <w:vAlign w:val="center"/>
          </w:tcPr>
          <w:p w14:paraId="46CA55F1">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市政部门统一清理</w:t>
            </w:r>
          </w:p>
        </w:tc>
        <w:tc>
          <w:tcPr>
            <w:tcW w:w="2362" w:type="dxa"/>
            <w:vMerge w:val="restart"/>
            <w:noWrap w:val="0"/>
            <w:vAlign w:val="center"/>
          </w:tcPr>
          <w:p w14:paraId="2954C45C">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固体废物</w:t>
            </w:r>
          </w:p>
          <w:p w14:paraId="0D6DB864">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处置率100%</w:t>
            </w:r>
          </w:p>
        </w:tc>
      </w:tr>
      <w:tr w14:paraId="291CB3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 w:hRule="atLeast"/>
          <w:jc w:val="center"/>
        </w:trPr>
        <w:tc>
          <w:tcPr>
            <w:tcW w:w="1778" w:type="dxa"/>
            <w:vMerge w:val="continue"/>
            <w:noWrap w:val="0"/>
            <w:vAlign w:val="center"/>
          </w:tcPr>
          <w:p w14:paraId="4280CBED">
            <w:pPr>
              <w:adjustRightInd w:val="0"/>
              <w:snapToGrid w:val="0"/>
              <w:jc w:val="center"/>
              <w:rPr>
                <w:rFonts w:hint="default" w:ascii="Times New Roman" w:hAnsi="Times New Roman" w:eastAsia="宋体" w:cs="Times New Roman"/>
                <w:color w:val="auto"/>
                <w:szCs w:val="21"/>
                <w:highlight w:val="none"/>
              </w:rPr>
            </w:pPr>
          </w:p>
        </w:tc>
        <w:tc>
          <w:tcPr>
            <w:tcW w:w="1752" w:type="dxa"/>
            <w:noWrap w:val="0"/>
            <w:vAlign w:val="center"/>
          </w:tcPr>
          <w:p w14:paraId="375E122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Cs w:val="21"/>
                <w:highlight w:val="none"/>
                <w:lang w:val="en-US" w:eastAsia="zh-CN"/>
              </w:rPr>
            </w:pPr>
            <w:r>
              <w:rPr>
                <w:rFonts w:hint="eastAsia" w:cs="Times New Roman"/>
                <w:bCs/>
                <w:color w:val="auto"/>
                <w:sz w:val="21"/>
                <w:szCs w:val="21"/>
                <w:highlight w:val="none"/>
                <w:lang w:val="en-US" w:eastAsia="zh-CN"/>
              </w:rPr>
              <w:t>布袋除尘器收尘</w:t>
            </w:r>
          </w:p>
        </w:tc>
        <w:tc>
          <w:tcPr>
            <w:tcW w:w="1347" w:type="dxa"/>
            <w:noWrap w:val="0"/>
            <w:vAlign w:val="center"/>
          </w:tcPr>
          <w:p w14:paraId="462467D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color w:val="auto"/>
                <w:szCs w:val="21"/>
                <w:highlight w:val="none"/>
                <w:lang w:val="en-US" w:eastAsia="zh-CN"/>
              </w:rPr>
            </w:pPr>
            <w:r>
              <w:rPr>
                <w:rFonts w:hint="eastAsia" w:cs="Times New Roman"/>
                <w:bCs/>
                <w:color w:val="auto"/>
                <w:sz w:val="21"/>
                <w:szCs w:val="21"/>
                <w:highlight w:val="none"/>
                <w:lang w:val="en-US" w:eastAsia="zh-CN"/>
              </w:rPr>
              <w:t>布袋除尘器收尘</w:t>
            </w:r>
          </w:p>
        </w:tc>
        <w:tc>
          <w:tcPr>
            <w:tcW w:w="1561" w:type="dxa"/>
            <w:noWrap w:val="0"/>
            <w:vAlign w:val="center"/>
          </w:tcPr>
          <w:p w14:paraId="58A7B7AB">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color w:val="auto"/>
                <w:szCs w:val="21"/>
                <w:highlight w:val="none"/>
                <w:lang w:val="en-US" w:eastAsia="zh-CN"/>
              </w:rPr>
            </w:pPr>
            <w:r>
              <w:rPr>
                <w:rFonts w:hint="eastAsia" w:cs="Times New Roman"/>
                <w:bCs/>
                <w:color w:val="auto"/>
                <w:sz w:val="21"/>
                <w:szCs w:val="21"/>
                <w:highlight w:val="none"/>
                <w:lang w:val="en-US" w:eastAsia="zh-CN"/>
              </w:rPr>
              <w:t>回用于生产</w:t>
            </w:r>
          </w:p>
        </w:tc>
        <w:tc>
          <w:tcPr>
            <w:tcW w:w="2362" w:type="dxa"/>
            <w:vMerge w:val="continue"/>
            <w:noWrap w:val="0"/>
            <w:vAlign w:val="center"/>
          </w:tcPr>
          <w:p w14:paraId="4B0DD61F">
            <w:pPr>
              <w:adjustRightInd w:val="0"/>
              <w:snapToGrid w:val="0"/>
              <w:jc w:val="center"/>
              <w:rPr>
                <w:rFonts w:hint="default" w:ascii="Times New Roman" w:hAnsi="Times New Roman" w:eastAsia="宋体" w:cs="Times New Roman"/>
                <w:color w:val="auto"/>
                <w:szCs w:val="21"/>
                <w:highlight w:val="none"/>
              </w:rPr>
            </w:pPr>
          </w:p>
        </w:tc>
      </w:tr>
      <w:tr w14:paraId="1B3B82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1778" w:type="dxa"/>
            <w:vMerge w:val="continue"/>
            <w:noWrap w:val="0"/>
            <w:vAlign w:val="center"/>
          </w:tcPr>
          <w:p w14:paraId="4E027860">
            <w:pPr>
              <w:adjustRightInd w:val="0"/>
              <w:snapToGrid w:val="0"/>
              <w:rPr>
                <w:highlight w:val="none"/>
              </w:rPr>
            </w:pPr>
          </w:p>
        </w:tc>
        <w:tc>
          <w:tcPr>
            <w:tcW w:w="1752" w:type="dxa"/>
            <w:noWrap w:val="0"/>
            <w:vAlign w:val="center"/>
          </w:tcPr>
          <w:p w14:paraId="70258441">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highlight w:val="none"/>
              </w:rPr>
            </w:pPr>
            <w:r>
              <w:rPr>
                <w:rFonts w:hint="eastAsia" w:cs="Times New Roman"/>
                <w:bCs/>
                <w:color w:val="auto"/>
                <w:sz w:val="21"/>
                <w:szCs w:val="21"/>
                <w:highlight w:val="none"/>
                <w:lang w:val="en-US" w:eastAsia="zh-CN"/>
              </w:rPr>
              <w:t>废布袋</w:t>
            </w:r>
          </w:p>
        </w:tc>
        <w:tc>
          <w:tcPr>
            <w:tcW w:w="1347" w:type="dxa"/>
            <w:noWrap w:val="0"/>
            <w:vAlign w:val="center"/>
          </w:tcPr>
          <w:p w14:paraId="14176511">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color w:val="auto"/>
                <w:szCs w:val="21"/>
                <w:highlight w:val="none"/>
                <w:lang w:val="en-US" w:eastAsia="zh-CN"/>
              </w:rPr>
            </w:pPr>
            <w:r>
              <w:rPr>
                <w:rFonts w:hint="eastAsia" w:cs="Times New Roman"/>
                <w:bCs/>
                <w:color w:val="auto"/>
                <w:sz w:val="21"/>
                <w:szCs w:val="21"/>
                <w:highlight w:val="none"/>
                <w:lang w:val="en-US" w:eastAsia="zh-CN"/>
              </w:rPr>
              <w:t>废布袋</w:t>
            </w:r>
          </w:p>
        </w:tc>
        <w:tc>
          <w:tcPr>
            <w:tcW w:w="1561" w:type="dxa"/>
            <w:noWrap w:val="0"/>
            <w:vAlign w:val="center"/>
          </w:tcPr>
          <w:p w14:paraId="3940B013">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color w:val="auto"/>
                <w:szCs w:val="21"/>
                <w:highlight w:val="none"/>
                <w:lang w:val="en-US" w:eastAsia="zh-CN"/>
              </w:rPr>
            </w:pPr>
            <w:r>
              <w:rPr>
                <w:rFonts w:hint="eastAsia" w:cs="Times New Roman"/>
                <w:bCs/>
                <w:color w:val="auto"/>
                <w:spacing w:val="0"/>
                <w:sz w:val="21"/>
                <w:szCs w:val="21"/>
                <w:highlight w:val="none"/>
                <w:lang w:val="en-US" w:eastAsia="zh-CN"/>
              </w:rPr>
              <w:t>由生产厂家回收</w:t>
            </w:r>
          </w:p>
        </w:tc>
        <w:tc>
          <w:tcPr>
            <w:tcW w:w="2362" w:type="dxa"/>
            <w:vMerge w:val="continue"/>
            <w:noWrap w:val="0"/>
            <w:vAlign w:val="center"/>
          </w:tcPr>
          <w:p w14:paraId="05EB4891">
            <w:pPr>
              <w:adjustRightInd w:val="0"/>
              <w:snapToGrid w:val="0"/>
              <w:rPr>
                <w:rFonts w:hint="eastAsia" w:cs="Times New Roman"/>
                <w:color w:val="auto"/>
                <w:szCs w:val="21"/>
                <w:highlight w:val="none"/>
                <w:lang w:val="en-US" w:eastAsia="zh-CN"/>
              </w:rPr>
            </w:pPr>
          </w:p>
        </w:tc>
      </w:tr>
      <w:tr w14:paraId="53F0AD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1778" w:type="dxa"/>
            <w:vMerge w:val="continue"/>
            <w:noWrap w:val="0"/>
            <w:vAlign w:val="center"/>
          </w:tcPr>
          <w:p w14:paraId="6D139DDF">
            <w:pPr>
              <w:adjustRightInd w:val="0"/>
              <w:snapToGrid w:val="0"/>
              <w:rPr>
                <w:highlight w:val="none"/>
              </w:rPr>
            </w:pPr>
          </w:p>
        </w:tc>
        <w:tc>
          <w:tcPr>
            <w:tcW w:w="1752" w:type="dxa"/>
            <w:noWrap w:val="0"/>
            <w:vAlign w:val="center"/>
          </w:tcPr>
          <w:p w14:paraId="2D19A6FD">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锅炉废渣</w:t>
            </w:r>
          </w:p>
        </w:tc>
        <w:tc>
          <w:tcPr>
            <w:tcW w:w="1347" w:type="dxa"/>
            <w:noWrap w:val="0"/>
            <w:vAlign w:val="center"/>
          </w:tcPr>
          <w:p w14:paraId="70BA8517">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锅炉灰渣</w:t>
            </w:r>
          </w:p>
        </w:tc>
        <w:tc>
          <w:tcPr>
            <w:tcW w:w="1561" w:type="dxa"/>
            <w:noWrap w:val="0"/>
            <w:vAlign w:val="center"/>
          </w:tcPr>
          <w:p w14:paraId="5D7F2DE5">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外售综合利用</w:t>
            </w:r>
          </w:p>
        </w:tc>
        <w:tc>
          <w:tcPr>
            <w:tcW w:w="2362" w:type="dxa"/>
            <w:vMerge w:val="continue"/>
            <w:noWrap w:val="0"/>
            <w:vAlign w:val="center"/>
          </w:tcPr>
          <w:p w14:paraId="22184CF7">
            <w:pPr>
              <w:adjustRightInd w:val="0"/>
              <w:snapToGrid w:val="0"/>
              <w:rPr>
                <w:rFonts w:hint="eastAsia" w:cs="Times New Roman"/>
                <w:color w:val="auto"/>
                <w:szCs w:val="21"/>
                <w:highlight w:val="none"/>
                <w:lang w:val="en-US" w:eastAsia="zh-CN"/>
              </w:rPr>
            </w:pPr>
          </w:p>
        </w:tc>
      </w:tr>
      <w:tr w14:paraId="535E35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1778" w:type="dxa"/>
            <w:vMerge w:val="continue"/>
            <w:noWrap w:val="0"/>
            <w:vAlign w:val="center"/>
          </w:tcPr>
          <w:p w14:paraId="117DFBF0">
            <w:pPr>
              <w:adjustRightInd w:val="0"/>
              <w:snapToGrid w:val="0"/>
              <w:rPr>
                <w:highlight w:val="none"/>
              </w:rPr>
            </w:pPr>
          </w:p>
        </w:tc>
        <w:tc>
          <w:tcPr>
            <w:tcW w:w="1752" w:type="dxa"/>
            <w:noWrap w:val="0"/>
            <w:vAlign w:val="center"/>
          </w:tcPr>
          <w:p w14:paraId="287F04A7">
            <w:pPr>
              <w:keepNext w:val="0"/>
              <w:keepLines w:val="0"/>
              <w:pageBreakBefore w:val="0"/>
              <w:widowControl w:val="0"/>
              <w:kinsoku/>
              <w:wordWrap/>
              <w:overflowPunct/>
              <w:topLinePunct w:val="0"/>
              <w:autoSpaceDE/>
              <w:autoSpaceDN/>
              <w:bidi w:val="0"/>
              <w:ind w:left="0" w:leftChars="0"/>
              <w:jc w:val="center"/>
              <w:textAlignment w:val="auto"/>
              <w:rPr>
                <w:highlight w:val="none"/>
              </w:rPr>
            </w:pPr>
            <w:r>
              <w:rPr>
                <w:rFonts w:hint="eastAsia" w:cs="Times New Roman"/>
                <w:bCs/>
                <w:color w:val="auto"/>
                <w:kern w:val="2"/>
                <w:sz w:val="21"/>
                <w:szCs w:val="21"/>
                <w:highlight w:val="none"/>
                <w:lang w:val="en-US" w:eastAsia="zh-CN" w:bidi="ar-SA"/>
              </w:rPr>
              <w:t>废离子交换树脂</w:t>
            </w:r>
          </w:p>
        </w:tc>
        <w:tc>
          <w:tcPr>
            <w:tcW w:w="1347" w:type="dxa"/>
            <w:noWrap w:val="0"/>
            <w:vAlign w:val="center"/>
          </w:tcPr>
          <w:p w14:paraId="2714BA69">
            <w:pPr>
              <w:keepNext w:val="0"/>
              <w:keepLines w:val="0"/>
              <w:pageBreakBefore w:val="0"/>
              <w:widowControl w:val="0"/>
              <w:kinsoku/>
              <w:wordWrap/>
              <w:overflowPunct/>
              <w:topLinePunct w:val="0"/>
              <w:autoSpaceDE/>
              <w:autoSpaceDN/>
              <w:bidi w:val="0"/>
              <w:ind w:left="0" w:leftChars="0"/>
              <w:jc w:val="center"/>
              <w:textAlignment w:val="auto"/>
              <w:rPr>
                <w:rFonts w:hint="eastAsia" w:cs="Times New Roman"/>
                <w:color w:val="auto"/>
                <w:szCs w:val="21"/>
                <w:highlight w:val="none"/>
                <w:lang w:val="en-US" w:eastAsia="zh-CN"/>
              </w:rPr>
            </w:pPr>
            <w:r>
              <w:rPr>
                <w:rFonts w:hint="eastAsia" w:cs="Times New Roman"/>
                <w:bCs/>
                <w:color w:val="auto"/>
                <w:kern w:val="2"/>
                <w:sz w:val="21"/>
                <w:szCs w:val="21"/>
                <w:highlight w:val="none"/>
                <w:lang w:val="en-US" w:eastAsia="zh-CN" w:bidi="ar-SA"/>
              </w:rPr>
              <w:t>废离子交换树脂</w:t>
            </w:r>
          </w:p>
        </w:tc>
        <w:tc>
          <w:tcPr>
            <w:tcW w:w="1561" w:type="dxa"/>
            <w:noWrap w:val="0"/>
            <w:vAlign w:val="center"/>
          </w:tcPr>
          <w:p w14:paraId="39AAF9B0">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color w:val="auto"/>
                <w:szCs w:val="21"/>
                <w:highlight w:val="none"/>
                <w:lang w:val="en-US" w:eastAsia="zh-CN"/>
              </w:rPr>
            </w:pPr>
            <w:r>
              <w:rPr>
                <w:rFonts w:hint="eastAsia" w:cs="Times New Roman"/>
                <w:bCs/>
                <w:color w:val="auto"/>
                <w:spacing w:val="0"/>
                <w:sz w:val="21"/>
                <w:szCs w:val="21"/>
                <w:highlight w:val="none"/>
                <w:lang w:val="en-US" w:eastAsia="zh-CN"/>
              </w:rPr>
              <w:t>由生产厂家回收</w:t>
            </w:r>
          </w:p>
        </w:tc>
        <w:tc>
          <w:tcPr>
            <w:tcW w:w="2362" w:type="dxa"/>
            <w:vMerge w:val="continue"/>
            <w:noWrap w:val="0"/>
            <w:vAlign w:val="center"/>
          </w:tcPr>
          <w:p w14:paraId="0AE770C6">
            <w:pPr>
              <w:adjustRightInd w:val="0"/>
              <w:snapToGrid w:val="0"/>
              <w:rPr>
                <w:rFonts w:hint="eastAsia" w:cs="Times New Roman"/>
                <w:color w:val="auto"/>
                <w:szCs w:val="21"/>
                <w:highlight w:val="none"/>
                <w:lang w:val="en-US" w:eastAsia="zh-CN"/>
              </w:rPr>
            </w:pPr>
          </w:p>
        </w:tc>
      </w:tr>
      <w:tr w14:paraId="380A0A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1778" w:type="dxa"/>
            <w:vMerge w:val="continue"/>
            <w:noWrap w:val="0"/>
            <w:vAlign w:val="center"/>
          </w:tcPr>
          <w:p w14:paraId="06CCF809">
            <w:pPr>
              <w:adjustRightInd w:val="0"/>
              <w:snapToGrid w:val="0"/>
              <w:rPr>
                <w:highlight w:val="none"/>
              </w:rPr>
            </w:pPr>
          </w:p>
        </w:tc>
        <w:tc>
          <w:tcPr>
            <w:tcW w:w="1752" w:type="dxa"/>
            <w:noWrap w:val="0"/>
            <w:vAlign w:val="center"/>
          </w:tcPr>
          <w:p w14:paraId="35C039E0">
            <w:pPr>
              <w:keepNext w:val="0"/>
              <w:keepLines w:val="0"/>
              <w:pageBreakBefore w:val="0"/>
              <w:widowControl w:val="0"/>
              <w:kinsoku/>
              <w:wordWrap/>
              <w:overflowPunct/>
              <w:topLinePunct w:val="0"/>
              <w:autoSpaceDE/>
              <w:autoSpaceDN/>
              <w:bidi w:val="0"/>
              <w:ind w:left="0" w:leftChars="0"/>
              <w:jc w:val="center"/>
              <w:textAlignment w:val="auto"/>
              <w:rPr>
                <w:highlight w:val="none"/>
              </w:rPr>
            </w:pPr>
            <w:r>
              <w:rPr>
                <w:rFonts w:hint="eastAsia" w:cs="Times New Roman"/>
                <w:bCs/>
                <w:color w:val="auto"/>
                <w:kern w:val="2"/>
                <w:sz w:val="21"/>
                <w:szCs w:val="21"/>
                <w:highlight w:val="none"/>
                <w:lang w:val="en-US" w:eastAsia="zh-CN" w:bidi="ar-SA"/>
              </w:rPr>
              <w:t>废钢筋头</w:t>
            </w:r>
          </w:p>
        </w:tc>
        <w:tc>
          <w:tcPr>
            <w:tcW w:w="1347" w:type="dxa"/>
            <w:noWrap w:val="0"/>
            <w:vAlign w:val="center"/>
          </w:tcPr>
          <w:p w14:paraId="18CDF0B2">
            <w:pPr>
              <w:keepNext w:val="0"/>
              <w:keepLines w:val="0"/>
              <w:pageBreakBefore w:val="0"/>
              <w:widowControl w:val="0"/>
              <w:kinsoku/>
              <w:wordWrap/>
              <w:overflowPunct/>
              <w:topLinePunct w:val="0"/>
              <w:autoSpaceDE/>
              <w:autoSpaceDN/>
              <w:bidi w:val="0"/>
              <w:ind w:left="0" w:leftChars="0"/>
              <w:jc w:val="center"/>
              <w:textAlignment w:val="auto"/>
              <w:rPr>
                <w:rFonts w:hint="eastAsia" w:cs="Times New Roman"/>
                <w:color w:val="auto"/>
                <w:szCs w:val="21"/>
                <w:highlight w:val="none"/>
                <w:lang w:val="en-US" w:eastAsia="zh-CN"/>
              </w:rPr>
            </w:pPr>
            <w:r>
              <w:rPr>
                <w:rFonts w:hint="eastAsia" w:cs="Times New Roman"/>
                <w:bCs/>
                <w:color w:val="auto"/>
                <w:kern w:val="2"/>
                <w:sz w:val="21"/>
                <w:szCs w:val="21"/>
                <w:highlight w:val="none"/>
                <w:lang w:val="en-US" w:eastAsia="zh-CN" w:bidi="ar-SA"/>
              </w:rPr>
              <w:t>废钢筋头</w:t>
            </w:r>
          </w:p>
        </w:tc>
        <w:tc>
          <w:tcPr>
            <w:tcW w:w="1561" w:type="dxa"/>
            <w:noWrap w:val="0"/>
            <w:vAlign w:val="center"/>
          </w:tcPr>
          <w:p w14:paraId="0468DDFD">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color w:val="auto"/>
                <w:szCs w:val="21"/>
                <w:highlight w:val="none"/>
                <w:lang w:val="en-US" w:eastAsia="zh-CN"/>
              </w:rPr>
            </w:pPr>
            <w:r>
              <w:rPr>
                <w:rFonts w:hint="eastAsia" w:cs="Times New Roman"/>
                <w:bCs/>
                <w:color w:val="auto"/>
                <w:spacing w:val="0"/>
                <w:sz w:val="21"/>
                <w:szCs w:val="21"/>
                <w:highlight w:val="none"/>
                <w:lang w:val="en-US" w:eastAsia="zh-CN"/>
              </w:rPr>
              <w:t>外售综合利用</w:t>
            </w:r>
          </w:p>
        </w:tc>
        <w:tc>
          <w:tcPr>
            <w:tcW w:w="2362" w:type="dxa"/>
            <w:vMerge w:val="continue"/>
            <w:noWrap w:val="0"/>
            <w:vAlign w:val="center"/>
          </w:tcPr>
          <w:p w14:paraId="7F80A966">
            <w:pPr>
              <w:adjustRightInd w:val="0"/>
              <w:snapToGrid w:val="0"/>
              <w:rPr>
                <w:rFonts w:hint="eastAsia" w:cs="Times New Roman"/>
                <w:color w:val="auto"/>
                <w:szCs w:val="21"/>
                <w:highlight w:val="none"/>
                <w:lang w:val="en-US" w:eastAsia="zh-CN"/>
              </w:rPr>
            </w:pPr>
          </w:p>
        </w:tc>
      </w:tr>
      <w:tr w14:paraId="041DFA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1778" w:type="dxa"/>
            <w:vMerge w:val="continue"/>
            <w:noWrap w:val="0"/>
            <w:vAlign w:val="center"/>
          </w:tcPr>
          <w:p w14:paraId="2ECEC49F">
            <w:pPr>
              <w:adjustRightInd w:val="0"/>
              <w:snapToGrid w:val="0"/>
              <w:rPr>
                <w:highlight w:val="none"/>
              </w:rPr>
            </w:pPr>
          </w:p>
        </w:tc>
        <w:tc>
          <w:tcPr>
            <w:tcW w:w="1752" w:type="dxa"/>
            <w:noWrap w:val="0"/>
            <w:vAlign w:val="center"/>
          </w:tcPr>
          <w:p w14:paraId="14183513">
            <w:pPr>
              <w:keepNext w:val="0"/>
              <w:keepLines w:val="0"/>
              <w:pageBreakBefore w:val="0"/>
              <w:widowControl w:val="0"/>
              <w:kinsoku/>
              <w:wordWrap/>
              <w:overflowPunct/>
              <w:topLinePunct w:val="0"/>
              <w:autoSpaceDE/>
              <w:autoSpaceDN/>
              <w:bidi w:val="0"/>
              <w:ind w:left="0" w:leftChars="0"/>
              <w:jc w:val="center"/>
              <w:textAlignment w:val="auto"/>
              <w:rPr>
                <w:highlight w:val="none"/>
              </w:rPr>
            </w:pPr>
            <w:r>
              <w:rPr>
                <w:rFonts w:hint="eastAsia" w:cs="Times New Roman"/>
                <w:bCs/>
                <w:color w:val="auto"/>
                <w:kern w:val="2"/>
                <w:sz w:val="21"/>
                <w:szCs w:val="21"/>
                <w:highlight w:val="none"/>
                <w:lang w:val="en-US" w:eastAsia="zh-CN" w:bidi="ar-SA"/>
              </w:rPr>
              <w:t>沉淀池泥沙</w:t>
            </w:r>
          </w:p>
        </w:tc>
        <w:tc>
          <w:tcPr>
            <w:tcW w:w="1347" w:type="dxa"/>
            <w:noWrap w:val="0"/>
            <w:vAlign w:val="center"/>
          </w:tcPr>
          <w:p w14:paraId="11E3BC76">
            <w:pPr>
              <w:keepNext w:val="0"/>
              <w:keepLines w:val="0"/>
              <w:pageBreakBefore w:val="0"/>
              <w:widowControl w:val="0"/>
              <w:kinsoku/>
              <w:wordWrap/>
              <w:overflowPunct/>
              <w:topLinePunct w:val="0"/>
              <w:autoSpaceDE/>
              <w:autoSpaceDN/>
              <w:bidi w:val="0"/>
              <w:ind w:left="0" w:leftChars="0"/>
              <w:jc w:val="center"/>
              <w:textAlignment w:val="auto"/>
              <w:rPr>
                <w:rFonts w:hint="eastAsia" w:cs="Times New Roman"/>
                <w:color w:val="auto"/>
                <w:szCs w:val="21"/>
                <w:highlight w:val="none"/>
                <w:lang w:val="en-US" w:eastAsia="zh-CN"/>
              </w:rPr>
            </w:pPr>
            <w:r>
              <w:rPr>
                <w:rFonts w:hint="eastAsia" w:cs="Times New Roman"/>
                <w:bCs/>
                <w:color w:val="auto"/>
                <w:kern w:val="2"/>
                <w:sz w:val="21"/>
                <w:szCs w:val="21"/>
                <w:highlight w:val="none"/>
                <w:lang w:val="en-US" w:eastAsia="zh-CN" w:bidi="ar-SA"/>
              </w:rPr>
              <w:t>沉淀池泥沙</w:t>
            </w:r>
          </w:p>
        </w:tc>
        <w:tc>
          <w:tcPr>
            <w:tcW w:w="1561" w:type="dxa"/>
            <w:noWrap w:val="0"/>
            <w:vAlign w:val="center"/>
          </w:tcPr>
          <w:p w14:paraId="22E78F6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color w:val="auto"/>
                <w:szCs w:val="21"/>
                <w:highlight w:val="none"/>
                <w:lang w:val="en-US" w:eastAsia="zh-CN"/>
              </w:rPr>
            </w:pPr>
            <w:r>
              <w:rPr>
                <w:rFonts w:hint="eastAsia" w:cs="Times New Roman"/>
                <w:bCs/>
                <w:color w:val="auto"/>
                <w:spacing w:val="0"/>
                <w:sz w:val="21"/>
                <w:szCs w:val="21"/>
                <w:highlight w:val="none"/>
                <w:lang w:val="en-US" w:eastAsia="zh-CN"/>
              </w:rPr>
              <w:t>外售综合利用</w:t>
            </w:r>
          </w:p>
        </w:tc>
        <w:tc>
          <w:tcPr>
            <w:tcW w:w="2362" w:type="dxa"/>
            <w:vMerge w:val="continue"/>
            <w:noWrap w:val="0"/>
            <w:vAlign w:val="center"/>
          </w:tcPr>
          <w:p w14:paraId="0367624D">
            <w:pPr>
              <w:adjustRightInd w:val="0"/>
              <w:snapToGrid w:val="0"/>
              <w:rPr>
                <w:rFonts w:hint="eastAsia" w:cs="Times New Roman"/>
                <w:color w:val="auto"/>
                <w:szCs w:val="21"/>
                <w:highlight w:val="none"/>
                <w:lang w:val="en-US" w:eastAsia="zh-CN"/>
              </w:rPr>
            </w:pPr>
          </w:p>
        </w:tc>
      </w:tr>
      <w:tr w14:paraId="458103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1778" w:type="dxa"/>
            <w:vMerge w:val="restart"/>
            <w:noWrap w:val="0"/>
            <w:vAlign w:val="center"/>
          </w:tcPr>
          <w:p w14:paraId="4EA55B64">
            <w:pPr>
              <w:adjustRightInd w:val="0"/>
              <w:snapToGrid w:val="0"/>
              <w:jc w:val="center"/>
              <w:rPr>
                <w:rFonts w:hint="eastAsia" w:eastAsia="宋体"/>
                <w:highlight w:val="none"/>
                <w:lang w:val="en-US" w:eastAsia="zh-CN"/>
              </w:rPr>
            </w:pPr>
            <w:r>
              <w:rPr>
                <w:rFonts w:hint="eastAsia"/>
                <w:highlight w:val="none"/>
                <w:lang w:val="en-US" w:eastAsia="zh-CN"/>
              </w:rPr>
              <w:t>危险废物</w:t>
            </w:r>
          </w:p>
        </w:tc>
        <w:tc>
          <w:tcPr>
            <w:tcW w:w="1752" w:type="dxa"/>
            <w:noWrap w:val="0"/>
            <w:vAlign w:val="center"/>
          </w:tcPr>
          <w:p w14:paraId="6CAE238E">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废润滑油</w:t>
            </w:r>
          </w:p>
        </w:tc>
        <w:tc>
          <w:tcPr>
            <w:tcW w:w="1347" w:type="dxa"/>
            <w:noWrap w:val="0"/>
            <w:vAlign w:val="center"/>
          </w:tcPr>
          <w:p w14:paraId="0130DBF4">
            <w:pPr>
              <w:keepNext w:val="0"/>
              <w:keepLines w:val="0"/>
              <w:pageBreakBefore w:val="0"/>
              <w:widowControl w:val="0"/>
              <w:kinsoku/>
              <w:wordWrap/>
              <w:overflowPunct/>
              <w:topLinePunct w:val="0"/>
              <w:autoSpaceDE/>
              <w:autoSpaceDN/>
              <w:bidi w:val="0"/>
              <w:ind w:left="0" w:leftChars="0"/>
              <w:jc w:val="center"/>
              <w:textAlignment w:val="auto"/>
              <w:rPr>
                <w:rFonts w:hint="eastAsia"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废润滑油</w:t>
            </w:r>
          </w:p>
        </w:tc>
        <w:tc>
          <w:tcPr>
            <w:tcW w:w="1561" w:type="dxa"/>
            <w:vMerge w:val="restart"/>
            <w:noWrap w:val="0"/>
            <w:vAlign w:val="center"/>
          </w:tcPr>
          <w:p w14:paraId="1F0A04A7">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bCs/>
                <w:color w:val="auto"/>
                <w:spacing w:val="0"/>
                <w:sz w:val="21"/>
                <w:szCs w:val="21"/>
                <w:highlight w:val="none"/>
                <w:lang w:val="en-US" w:eastAsia="zh-CN"/>
              </w:rPr>
            </w:pPr>
            <w:r>
              <w:rPr>
                <w:rFonts w:hint="eastAsia" w:eastAsia="宋体"/>
                <w:szCs w:val="21"/>
                <w:highlight w:val="none"/>
                <w:lang w:val="en-US" w:eastAsia="zh-CN"/>
              </w:rPr>
              <w:t>废润滑油采用专用密闭容器盛装、废润滑油桶及含油抹布装入包装袋内进行贮存并分类放置于内，定期交由有资质单位统一处置。</w:t>
            </w:r>
          </w:p>
        </w:tc>
        <w:tc>
          <w:tcPr>
            <w:tcW w:w="2362" w:type="dxa"/>
            <w:vMerge w:val="restart"/>
            <w:noWrap w:val="0"/>
            <w:vAlign w:val="center"/>
          </w:tcPr>
          <w:p w14:paraId="074911F3">
            <w:pPr>
              <w:adjustRightInd w:val="0"/>
              <w:snapToGrid w:val="0"/>
              <w:jc w:val="both"/>
              <w:rPr>
                <w:rFonts w:hint="eastAsia" w:cs="Times New Roman"/>
                <w:color w:val="auto"/>
                <w:szCs w:val="21"/>
                <w:highlight w:val="none"/>
                <w:lang w:val="en-US" w:eastAsia="zh-CN"/>
              </w:rPr>
            </w:pPr>
            <w:r>
              <w:rPr>
                <w:rFonts w:hint="eastAsia" w:eastAsia="宋体" w:cs="Times New Roman"/>
                <w:color w:val="auto"/>
                <w:szCs w:val="21"/>
                <w:highlight w:val="none"/>
                <w:lang w:val="en-US" w:eastAsia="zh-CN"/>
              </w:rPr>
              <w:t>危险</w:t>
            </w:r>
            <w:r>
              <w:rPr>
                <w:rFonts w:hint="eastAsia" w:ascii="Times New Roman" w:hAnsi="Times New Roman" w:eastAsia="宋体" w:cs="Times New Roman"/>
                <w:color w:val="auto"/>
                <w:szCs w:val="21"/>
                <w:highlight w:val="none"/>
                <w:lang w:val="en-US" w:eastAsia="zh-CN"/>
              </w:rPr>
              <w:t>废物</w:t>
            </w:r>
            <w:r>
              <w:rPr>
                <w:rFonts w:hint="default" w:ascii="Times New Roman" w:hAnsi="Times New Roman" w:eastAsia="宋体" w:cs="Times New Roman"/>
                <w:color w:val="auto"/>
                <w:szCs w:val="21"/>
                <w:highlight w:val="none"/>
              </w:rPr>
              <w:t>处置率100%</w:t>
            </w:r>
          </w:p>
        </w:tc>
      </w:tr>
      <w:tr w14:paraId="7AEFD3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1778" w:type="dxa"/>
            <w:vMerge w:val="continue"/>
            <w:noWrap w:val="0"/>
            <w:vAlign w:val="center"/>
          </w:tcPr>
          <w:p w14:paraId="00E58479">
            <w:pPr>
              <w:adjustRightInd w:val="0"/>
              <w:snapToGrid w:val="0"/>
              <w:rPr>
                <w:highlight w:val="none"/>
              </w:rPr>
            </w:pPr>
          </w:p>
        </w:tc>
        <w:tc>
          <w:tcPr>
            <w:tcW w:w="1752" w:type="dxa"/>
            <w:noWrap w:val="0"/>
            <w:vAlign w:val="center"/>
          </w:tcPr>
          <w:p w14:paraId="430EC62B">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废润滑油桶</w:t>
            </w:r>
          </w:p>
        </w:tc>
        <w:tc>
          <w:tcPr>
            <w:tcW w:w="1347" w:type="dxa"/>
            <w:noWrap w:val="0"/>
            <w:vAlign w:val="center"/>
          </w:tcPr>
          <w:p w14:paraId="65B31DE8">
            <w:pPr>
              <w:keepNext w:val="0"/>
              <w:keepLines w:val="0"/>
              <w:pageBreakBefore w:val="0"/>
              <w:widowControl w:val="0"/>
              <w:kinsoku/>
              <w:wordWrap/>
              <w:overflowPunct/>
              <w:topLinePunct w:val="0"/>
              <w:autoSpaceDE/>
              <w:autoSpaceDN/>
              <w:bidi w:val="0"/>
              <w:ind w:left="0" w:leftChars="0"/>
              <w:jc w:val="center"/>
              <w:textAlignment w:val="auto"/>
              <w:rPr>
                <w:rFonts w:hint="eastAsia"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废润滑油桶</w:t>
            </w:r>
          </w:p>
        </w:tc>
        <w:tc>
          <w:tcPr>
            <w:tcW w:w="1561" w:type="dxa"/>
            <w:vMerge w:val="continue"/>
            <w:noWrap w:val="0"/>
            <w:vAlign w:val="center"/>
          </w:tcPr>
          <w:p w14:paraId="214EE749">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bCs/>
                <w:color w:val="auto"/>
                <w:spacing w:val="0"/>
                <w:sz w:val="21"/>
                <w:szCs w:val="21"/>
                <w:highlight w:val="none"/>
                <w:lang w:val="en-US" w:eastAsia="zh-CN"/>
              </w:rPr>
            </w:pPr>
          </w:p>
        </w:tc>
        <w:tc>
          <w:tcPr>
            <w:tcW w:w="2362" w:type="dxa"/>
            <w:vMerge w:val="continue"/>
            <w:noWrap w:val="0"/>
            <w:vAlign w:val="center"/>
          </w:tcPr>
          <w:p w14:paraId="4DB81F60">
            <w:pPr>
              <w:adjustRightInd w:val="0"/>
              <w:snapToGrid w:val="0"/>
              <w:rPr>
                <w:rFonts w:hint="eastAsia" w:cs="Times New Roman"/>
                <w:color w:val="auto"/>
                <w:szCs w:val="21"/>
                <w:highlight w:val="none"/>
                <w:lang w:val="en-US" w:eastAsia="zh-CN"/>
              </w:rPr>
            </w:pPr>
          </w:p>
        </w:tc>
      </w:tr>
      <w:tr w14:paraId="5F2E45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1778" w:type="dxa"/>
            <w:vMerge w:val="continue"/>
            <w:noWrap w:val="0"/>
            <w:vAlign w:val="center"/>
          </w:tcPr>
          <w:p w14:paraId="1B7D34AF">
            <w:pPr>
              <w:adjustRightInd w:val="0"/>
              <w:snapToGrid w:val="0"/>
              <w:rPr>
                <w:highlight w:val="none"/>
              </w:rPr>
            </w:pPr>
          </w:p>
        </w:tc>
        <w:tc>
          <w:tcPr>
            <w:tcW w:w="1752" w:type="dxa"/>
            <w:noWrap w:val="0"/>
            <w:vAlign w:val="center"/>
          </w:tcPr>
          <w:p w14:paraId="63635123">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油抹布</w:t>
            </w:r>
          </w:p>
        </w:tc>
        <w:tc>
          <w:tcPr>
            <w:tcW w:w="1347" w:type="dxa"/>
            <w:noWrap w:val="0"/>
            <w:vAlign w:val="center"/>
          </w:tcPr>
          <w:p w14:paraId="4028DBE4">
            <w:pPr>
              <w:keepNext w:val="0"/>
              <w:keepLines w:val="0"/>
              <w:pageBreakBefore w:val="0"/>
              <w:widowControl w:val="0"/>
              <w:kinsoku/>
              <w:wordWrap/>
              <w:overflowPunct/>
              <w:topLinePunct w:val="0"/>
              <w:autoSpaceDE/>
              <w:autoSpaceDN/>
              <w:bidi w:val="0"/>
              <w:ind w:left="0" w:leftChars="0"/>
              <w:jc w:val="center"/>
              <w:textAlignment w:val="auto"/>
              <w:rPr>
                <w:rFonts w:hint="eastAsia"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油抹布</w:t>
            </w:r>
          </w:p>
        </w:tc>
        <w:tc>
          <w:tcPr>
            <w:tcW w:w="1561" w:type="dxa"/>
            <w:vMerge w:val="continue"/>
            <w:noWrap w:val="0"/>
            <w:vAlign w:val="center"/>
          </w:tcPr>
          <w:p w14:paraId="4E1814B7">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bCs/>
                <w:color w:val="auto"/>
                <w:spacing w:val="0"/>
                <w:sz w:val="21"/>
                <w:szCs w:val="21"/>
                <w:highlight w:val="none"/>
                <w:lang w:val="en-US" w:eastAsia="zh-CN"/>
              </w:rPr>
            </w:pPr>
          </w:p>
        </w:tc>
        <w:tc>
          <w:tcPr>
            <w:tcW w:w="2362" w:type="dxa"/>
            <w:vMerge w:val="continue"/>
            <w:noWrap w:val="0"/>
            <w:vAlign w:val="center"/>
          </w:tcPr>
          <w:p w14:paraId="062AF07C">
            <w:pPr>
              <w:adjustRightInd w:val="0"/>
              <w:snapToGrid w:val="0"/>
              <w:rPr>
                <w:rFonts w:hint="eastAsia" w:cs="Times New Roman"/>
                <w:color w:val="auto"/>
                <w:szCs w:val="21"/>
                <w:highlight w:val="none"/>
                <w:lang w:val="en-US" w:eastAsia="zh-CN"/>
              </w:rPr>
            </w:pPr>
          </w:p>
        </w:tc>
      </w:tr>
      <w:tr w14:paraId="4488C1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5" w:hRule="atLeast"/>
          <w:jc w:val="center"/>
        </w:trPr>
        <w:tc>
          <w:tcPr>
            <w:tcW w:w="1778" w:type="dxa"/>
            <w:noWrap w:val="0"/>
            <w:vAlign w:val="center"/>
          </w:tcPr>
          <w:p w14:paraId="58A0E3B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土壤及地下水</w:t>
            </w:r>
          </w:p>
          <w:p w14:paraId="51278155">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污染防治措施</w:t>
            </w:r>
          </w:p>
        </w:tc>
        <w:tc>
          <w:tcPr>
            <w:tcW w:w="7022" w:type="dxa"/>
            <w:gridSpan w:val="4"/>
            <w:noWrap w:val="0"/>
            <w:vAlign w:val="center"/>
          </w:tcPr>
          <w:p w14:paraId="041EE158">
            <w:pPr>
              <w:adjustRightInd w:val="0"/>
              <w:snapToGrid w:val="0"/>
              <w:spacing w:line="360" w:lineRule="auto"/>
              <w:ind w:firstLine="420" w:firstLineChars="200"/>
              <w:jc w:val="center"/>
              <w:rPr>
                <w:rFonts w:hint="default" w:ascii="Times New Roman" w:hAnsi="Times New Roman" w:cs="Times New Roman"/>
                <w:color w:val="auto"/>
                <w:szCs w:val="21"/>
                <w:highlight w:val="none"/>
              </w:rPr>
            </w:pPr>
            <w:r>
              <w:rPr>
                <w:rFonts w:ascii="Times New Roman" w:hAnsi="Times New Roman" w:eastAsia="宋体" w:cs="Times New Roman"/>
                <w:bCs/>
                <w:kern w:val="2"/>
                <w:sz w:val="21"/>
                <w:szCs w:val="21"/>
                <w:highlight w:val="none"/>
                <w:lang w:val="en-US" w:eastAsia="zh-CN" w:bidi="ar-SA"/>
              </w:rPr>
              <w:t>本项目危险废物贮存点按照《危险废物贮存污染控制标准》（GB18597-2023）的要求进行。地面、墙面裙脚、堵截泄漏的围堰、接触危险废物的隔板和墙体等应采用坚固的材料建造，表面无裂缝；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ascii="Times New Roman" w:hAnsi="Times New Roman" w:eastAsia="宋体" w:cs="Times New Roman"/>
                <w:bCs/>
                <w:kern w:val="2"/>
                <w:sz w:val="21"/>
                <w:szCs w:val="21"/>
                <w:highlight w:val="none"/>
                <w:vertAlign w:val="superscript"/>
                <w:lang w:val="en-US" w:eastAsia="zh-CN" w:bidi="ar-SA"/>
              </w:rPr>
              <w:t>-7</w:t>
            </w:r>
            <w:r>
              <w:rPr>
                <w:rFonts w:ascii="Times New Roman" w:hAnsi="Times New Roman" w:eastAsia="宋体" w:cs="Times New Roman"/>
                <w:bCs/>
                <w:kern w:val="2"/>
                <w:sz w:val="21"/>
                <w:szCs w:val="21"/>
                <w:highlight w:val="none"/>
                <w:lang w:val="en-US" w:eastAsia="zh-CN" w:bidi="ar-SA"/>
              </w:rPr>
              <w:t>cm/s），或至少2mm厚高密度聚乙烯膜等人工防渗材料（渗透系数不大于10</w:t>
            </w:r>
            <w:r>
              <w:rPr>
                <w:rFonts w:ascii="Times New Roman" w:hAnsi="Times New Roman" w:eastAsia="宋体" w:cs="Times New Roman"/>
                <w:bCs/>
                <w:kern w:val="2"/>
                <w:sz w:val="21"/>
                <w:szCs w:val="21"/>
                <w:highlight w:val="none"/>
                <w:vertAlign w:val="superscript"/>
                <w:lang w:val="en-US" w:eastAsia="zh-CN" w:bidi="ar-SA"/>
              </w:rPr>
              <w:t>-10</w:t>
            </w:r>
            <w:r>
              <w:rPr>
                <w:rFonts w:ascii="Times New Roman" w:hAnsi="Times New Roman" w:eastAsia="宋体" w:cs="Times New Roman"/>
                <w:bCs/>
                <w:kern w:val="2"/>
                <w:sz w:val="21"/>
                <w:szCs w:val="21"/>
                <w:highlight w:val="none"/>
                <w:lang w:val="en-US" w:eastAsia="zh-CN" w:bidi="ar-SA"/>
              </w:rPr>
              <w:t>cm/s），或其他防渗性能等效的材料。其余地面进行水泥硬化。</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厂区硬化地面</w:t>
            </w:r>
            <w:r>
              <w:rPr>
                <w:rFonts w:hint="eastAsia" w:cs="Times New Roman"/>
                <w:color w:val="000000" w:themeColor="text1"/>
                <w:szCs w:val="21"/>
                <w:highlight w:val="none"/>
                <w:lang w:val="en-US" w:eastAsia="zh-CN"/>
                <w14:textFill>
                  <w14:solidFill>
                    <w14:schemeClr w14:val="tx1"/>
                  </w14:solidFill>
                </w14:textFill>
              </w:rPr>
              <w:t>沉淀</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池为</w:t>
            </w:r>
            <w:r>
              <w:rPr>
                <w:rFonts w:hint="eastAsia" w:cs="Times New Roman"/>
                <w:color w:val="000000" w:themeColor="text1"/>
                <w:szCs w:val="21"/>
                <w:highlight w:val="none"/>
                <w:lang w:val="en-US" w:eastAsia="zh-CN"/>
                <w14:textFill>
                  <w14:solidFill>
                    <w14:schemeClr w14:val="tx1"/>
                  </w14:solidFill>
                </w14:textFill>
              </w:rPr>
              <w:t>一般</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防治污染区(防渗系数K</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10</w:t>
            </w:r>
            <w:r>
              <w:rPr>
                <w:rFonts w:hint="eastAsia" w:ascii="Times New Roman" w:hAnsi="Times New Roman" w:eastAsia="宋体" w:cs="Times New Roman"/>
                <w:color w:val="000000" w:themeColor="text1"/>
                <w:szCs w:val="21"/>
                <w:highlight w:val="none"/>
                <w:vertAlign w:val="superscript"/>
                <w:lang w:val="en-US" w:eastAsia="zh-CN"/>
                <w14:textFill>
                  <w14:solidFill>
                    <w14:schemeClr w14:val="tx1"/>
                  </w14:solidFill>
                </w14:textFill>
              </w:rPr>
              <w:t>-</w:t>
            </w:r>
            <w:r>
              <w:rPr>
                <w:rFonts w:hint="eastAsia" w:cs="Times New Roman"/>
                <w:color w:val="000000" w:themeColor="text1"/>
                <w:szCs w:val="21"/>
                <w:highlight w:val="none"/>
                <w:vertAlign w:val="superscript"/>
                <w:lang w:val="en-US" w:eastAsia="zh-CN"/>
                <w14:textFill>
                  <w14:solidFill>
                    <w14:schemeClr w14:val="tx1"/>
                  </w14:solidFill>
                </w14:textFill>
              </w:rPr>
              <w:t>7</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cm/s)地面</w:t>
            </w:r>
            <w:r>
              <w:rPr>
                <w:rFonts w:hint="eastAsia"/>
                <w:szCs w:val="21"/>
                <w:highlight w:val="none"/>
              </w:rPr>
              <w:t>采用2mm厚的HDPE土工膜及无纺布（两布一膜）作为主防渗层。在主防渗层以上采用混凝土浇筑</w:t>
            </w:r>
            <w:r>
              <w:rPr>
                <w:rFonts w:hint="eastAsia"/>
                <w:szCs w:val="21"/>
                <w:highlight w:val="none"/>
                <w:lang w:eastAsia="zh-CN"/>
              </w:rPr>
              <w:t>。</w:t>
            </w:r>
          </w:p>
        </w:tc>
      </w:tr>
      <w:tr w14:paraId="743300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8" w:type="dxa"/>
            <w:noWrap w:val="0"/>
            <w:vAlign w:val="center"/>
          </w:tcPr>
          <w:p w14:paraId="490ABB5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生态保护措施</w:t>
            </w:r>
          </w:p>
        </w:tc>
        <w:tc>
          <w:tcPr>
            <w:tcW w:w="7022" w:type="dxa"/>
            <w:gridSpan w:val="4"/>
            <w:noWrap w:val="0"/>
            <w:vAlign w:val="center"/>
          </w:tcPr>
          <w:p w14:paraId="753AFE55">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w:t>
            </w:r>
          </w:p>
        </w:tc>
      </w:tr>
      <w:tr w14:paraId="1ADABC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778" w:type="dxa"/>
            <w:noWrap w:val="0"/>
            <w:vAlign w:val="center"/>
          </w:tcPr>
          <w:p w14:paraId="1487EC6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环境风险</w:t>
            </w:r>
          </w:p>
          <w:p w14:paraId="34D47A0E">
            <w:pPr>
              <w:adjustRightInd w:val="0"/>
              <w:snapToGrid w:val="0"/>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防范措施</w:t>
            </w:r>
          </w:p>
        </w:tc>
        <w:tc>
          <w:tcPr>
            <w:tcW w:w="7022" w:type="dxa"/>
            <w:gridSpan w:val="4"/>
            <w:noWrap w:val="0"/>
            <w:vAlign w:val="center"/>
          </w:tcPr>
          <w:p w14:paraId="0A4E5B90">
            <w:pPr>
              <w:adjustRightInd w:val="0"/>
              <w:snapToGrid w:val="0"/>
              <w:spacing w:line="360" w:lineRule="auto"/>
              <w:ind w:firstLine="420" w:firstLineChars="200"/>
              <w:jc w:val="left"/>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①加强危险物质管理</w:t>
            </w:r>
          </w:p>
          <w:p w14:paraId="237F4A84">
            <w:pPr>
              <w:adjustRightInd w:val="0"/>
              <w:snapToGrid w:val="0"/>
              <w:spacing w:line="360" w:lineRule="auto"/>
              <w:ind w:firstLine="420" w:firstLineChars="200"/>
              <w:jc w:val="left"/>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加强危险物质管理。对于危险物质的储存、保管、使用等需按照《危险物质安全管理条例》之规定管理。</w:t>
            </w:r>
          </w:p>
          <w:p w14:paraId="22C394A0">
            <w:pPr>
              <w:adjustRightInd w:val="0"/>
              <w:snapToGrid w:val="0"/>
              <w:spacing w:line="360" w:lineRule="auto"/>
              <w:ind w:firstLine="420" w:firstLineChars="200"/>
              <w:jc w:val="left"/>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②严格落实各项消防措施</w:t>
            </w:r>
          </w:p>
          <w:p w14:paraId="6605583F">
            <w:pPr>
              <w:adjustRightInd w:val="0"/>
              <w:snapToGrid w:val="0"/>
              <w:spacing w:line="360" w:lineRule="auto"/>
              <w:ind w:firstLine="420" w:firstLineChars="200"/>
              <w:jc w:val="left"/>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按照《建筑灭火器配置设计规范》规定，配置相应的灭火器类型与数量，并在火灾危险场所设置报警装置。严禁区内有明火出现。</w:t>
            </w:r>
          </w:p>
          <w:p w14:paraId="65F921DC">
            <w:pPr>
              <w:adjustRightInd w:val="0"/>
              <w:snapToGrid w:val="0"/>
              <w:spacing w:line="360" w:lineRule="auto"/>
              <w:ind w:firstLine="420" w:firstLineChars="200"/>
              <w:jc w:val="left"/>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③运输过程的风险防范</w:t>
            </w:r>
          </w:p>
          <w:p w14:paraId="3AE3A036">
            <w:pPr>
              <w:adjustRightInd w:val="0"/>
              <w:snapToGrid w:val="0"/>
              <w:spacing w:line="360" w:lineRule="auto"/>
              <w:ind w:firstLine="420" w:firstLineChars="200"/>
              <w:jc w:val="left"/>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运输过程风险防范包括交通事故预防运输过程设备故障性泄漏防范以及事故发生后的应急处理等。</w:t>
            </w:r>
          </w:p>
          <w:p w14:paraId="730D4E8B">
            <w:pPr>
              <w:adjustRightInd w:val="0"/>
              <w:snapToGrid w:val="0"/>
              <w:spacing w:line="360" w:lineRule="auto"/>
              <w:ind w:firstLine="420" w:firstLineChars="200"/>
              <w:jc w:val="left"/>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④加强危险废物的管理</w:t>
            </w:r>
          </w:p>
          <w:p w14:paraId="317D5F93">
            <w:pPr>
              <w:adjustRightInd w:val="0"/>
              <w:snapToGrid w:val="0"/>
              <w:spacing w:line="360" w:lineRule="auto"/>
              <w:ind w:firstLine="420" w:firstLineChars="200"/>
              <w:jc w:val="left"/>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各类危险废物应分类存放，液体危险废物需由密闭的专用容器收集，固体危险废物需由加盖的储存桶收集危险废物贮存点按照《危险废物贮存污染控制标准》(GB18597-2023 )的管理规定。</w:t>
            </w:r>
          </w:p>
          <w:p w14:paraId="28CAF770">
            <w:pPr>
              <w:adjustRightInd w:val="0"/>
              <w:snapToGrid w:val="0"/>
              <w:spacing w:line="360" w:lineRule="auto"/>
              <w:ind w:firstLine="420" w:firstLineChars="200"/>
              <w:jc w:val="left"/>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⑤事故应急措施</w:t>
            </w:r>
          </w:p>
          <w:p w14:paraId="45499A56">
            <w:pPr>
              <w:adjustRightInd w:val="0"/>
              <w:snapToGrid w:val="0"/>
              <w:spacing w:line="360" w:lineRule="auto"/>
              <w:ind w:firstLine="420" w:firstLineChars="200"/>
              <w:jc w:val="left"/>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A、通知消防队及120急救中心，监护事故区域，救援受伤人员。</w:t>
            </w:r>
          </w:p>
          <w:p w14:paraId="081C23B9">
            <w:pPr>
              <w:adjustRightInd w:val="0"/>
              <w:snapToGrid w:val="0"/>
              <w:spacing w:line="360" w:lineRule="auto"/>
              <w:ind w:firstLine="420" w:firstLineChars="200"/>
              <w:jc w:val="left"/>
              <w:rPr>
                <w:rFonts w:hint="eastAsia"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B、确定事故发生原因，采取相应措施尽量控制火灾及爆炸的辐射面积。</w:t>
            </w:r>
          </w:p>
          <w:p w14:paraId="7B03F98A">
            <w:pPr>
              <w:adjustRightInd w:val="0"/>
              <w:snapToGrid w:val="0"/>
              <w:spacing w:line="360" w:lineRule="auto"/>
              <w:ind w:firstLine="420" w:firstLineChars="200"/>
              <w:jc w:val="left"/>
              <w:rPr>
                <w:rFonts w:hint="default" w:ascii="Times New Roman" w:hAnsi="Times New Roman" w:eastAsia="宋体" w:cs="Times New Roman"/>
                <w:color w:val="auto"/>
                <w:szCs w:val="21"/>
                <w:highlight w:val="none"/>
                <w:lang w:eastAsia="zh-CN"/>
              </w:rPr>
            </w:pPr>
            <w:r>
              <w:rPr>
                <w:rFonts w:hint="eastAsia" w:ascii="Times New Roman" w:hAnsi="Times New Roman" w:eastAsia="宋体" w:cs="Times New Roman"/>
                <w:bCs/>
                <w:kern w:val="2"/>
                <w:sz w:val="21"/>
                <w:szCs w:val="21"/>
                <w:highlight w:val="none"/>
                <w:lang w:val="en-US" w:eastAsia="zh-CN" w:bidi="ar-SA"/>
              </w:rPr>
              <w:t>C、停止所有工作，疏散楼内人员，必要时疏散周围人群。</w:t>
            </w:r>
          </w:p>
        </w:tc>
      </w:tr>
      <w:tr w14:paraId="61A0B6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34" w:hRule="atLeast"/>
          <w:jc w:val="center"/>
        </w:trPr>
        <w:tc>
          <w:tcPr>
            <w:tcW w:w="1778" w:type="dxa"/>
            <w:noWrap w:val="0"/>
            <w:vAlign w:val="center"/>
          </w:tcPr>
          <w:p w14:paraId="0FA4F66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其他环境</w:t>
            </w:r>
          </w:p>
          <w:p w14:paraId="68176F84">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管理要求</w:t>
            </w:r>
          </w:p>
        </w:tc>
        <w:tc>
          <w:tcPr>
            <w:tcW w:w="7022" w:type="dxa"/>
            <w:gridSpan w:val="4"/>
            <w:noWrap w:val="0"/>
            <w:vAlign w:val="center"/>
          </w:tcPr>
          <w:p w14:paraId="4364FAD5">
            <w:pPr>
              <w:adjustRightInd w:val="0"/>
              <w:snapToGrid w:val="0"/>
              <w:spacing w:line="360" w:lineRule="auto"/>
              <w:ind w:firstLine="420" w:firstLineChars="200"/>
              <w:jc w:val="center"/>
              <w:rPr>
                <w:rFonts w:hint="eastAsia" w:ascii="Times New Roman" w:hAnsi="Times New Roman" w:eastAsia="宋体" w:cs="Times New Roman"/>
                <w:color w:val="auto"/>
                <w:szCs w:val="21"/>
                <w:highlight w:val="none"/>
                <w:lang w:eastAsia="zh-CN"/>
              </w:rPr>
            </w:pPr>
            <w:r>
              <w:rPr>
                <w:rFonts w:hint="eastAsia" w:eastAsia="宋体"/>
                <w:szCs w:val="21"/>
                <w:highlight w:val="yellow"/>
                <w:lang w:val="en-US" w:eastAsia="zh-CN"/>
              </w:rPr>
              <w:t>根据《固定污染源排污许可分类管理名录（2019年版）》中划分要求，本项目属于“二十五、非金属矿物制品业”，“水泥制品制造”，排污许可证申请等级为登记管理。根据相关规定，在本项目批复后应及时对排污许可进行登记填报，未完成登记不得投产</w:t>
            </w:r>
            <w:r>
              <w:rPr>
                <w:rFonts w:hint="eastAsia" w:eastAsia="宋体"/>
                <w:szCs w:val="21"/>
                <w:highlight w:val="none"/>
                <w:lang w:val="en-US" w:eastAsia="zh-CN"/>
              </w:rPr>
              <w:t>。</w:t>
            </w:r>
          </w:p>
        </w:tc>
      </w:tr>
    </w:tbl>
    <w:p w14:paraId="5BBC2CD1">
      <w:pPr>
        <w:pStyle w:val="26"/>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yellow"/>
        </w:rPr>
        <w:br w:type="page"/>
      </w:r>
      <w:bookmarkStart w:id="38" w:name="_Toc21699"/>
      <w:r>
        <w:rPr>
          <w:rFonts w:hint="default" w:ascii="Times New Roman" w:hAnsi="Times New Roman" w:eastAsia="黑体" w:cs="Times New Roman"/>
          <w:snapToGrid w:val="0"/>
          <w:color w:val="auto"/>
          <w:sz w:val="30"/>
          <w:szCs w:val="30"/>
          <w:highlight w:val="none"/>
        </w:rPr>
        <w:t>六、结论</w:t>
      </w:r>
      <w:bookmarkEnd w:id="38"/>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76A48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noWrap w:val="0"/>
            <w:vAlign w:val="top"/>
          </w:tcPr>
          <w:p w14:paraId="1B75C511">
            <w:pPr>
              <w:pStyle w:val="85"/>
              <w:ind w:firstLine="42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综上所述，项目在运营期产生废水、废气、噪声及固体废物污染等，在严格采取本报告表所提出的各项环境保护措施后，能保证各种污染物稳定达标排放，污染物的排放符合总量控制的要求。在确保污染防治措施全面实施并正常运行的前提下，通过加强环境管理，拟建项目的环境影响可被周围环境所接受。因此，该项目建设从环境保护角度分析是可行的。</w:t>
            </w:r>
          </w:p>
        </w:tc>
      </w:tr>
    </w:tbl>
    <w:p w14:paraId="406ADEB3">
      <w:pPr>
        <w:rPr>
          <w:rFonts w:hint="default" w:ascii="Times New Roman" w:hAnsi="Times New Roman" w:cs="Times New Roman"/>
          <w:color w:val="auto"/>
          <w:highlight w:val="yellow"/>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8CAB6CC">
      <w:pPr>
        <w:pStyle w:val="26"/>
        <w:adjustRightInd w:val="0"/>
        <w:snapToGrid w:val="0"/>
        <w:spacing w:before="0" w:beforeAutospacing="0" w:after="0" w:afterAutospacing="0" w:line="648" w:lineRule="auto"/>
        <w:outlineLvl w:val="0"/>
        <w:rPr>
          <w:rFonts w:hint="default" w:ascii="Times New Roman" w:hAnsi="Times New Roman" w:eastAsia="黑体" w:cs="Times New Roman"/>
          <w:snapToGrid w:val="0"/>
          <w:color w:val="auto"/>
          <w:sz w:val="32"/>
          <w:szCs w:val="32"/>
          <w:highlight w:val="none"/>
        </w:rPr>
      </w:pPr>
      <w:bookmarkStart w:id="39" w:name="_Toc17729"/>
      <w:r>
        <w:rPr>
          <w:rFonts w:hint="default" w:ascii="Times New Roman" w:hAnsi="Times New Roman" w:eastAsia="黑体" w:cs="Times New Roman"/>
          <w:snapToGrid w:val="0"/>
          <w:color w:val="auto"/>
          <w:sz w:val="32"/>
          <w:szCs w:val="32"/>
          <w:highlight w:val="none"/>
        </w:rPr>
        <w:t>附表1</w:t>
      </w:r>
      <w:bookmarkEnd w:id="39"/>
    </w:p>
    <w:p w14:paraId="76086470">
      <w:pPr>
        <w:pStyle w:val="26"/>
        <w:adjustRightInd w:val="0"/>
        <w:snapToGrid w:val="0"/>
        <w:spacing w:before="0" w:beforeAutospacing="0" w:after="0" w:afterAutospacing="0" w:line="552" w:lineRule="auto"/>
        <w:jc w:val="center"/>
        <w:outlineLvl w:val="0"/>
        <w:rPr>
          <w:rFonts w:hint="eastAsia" w:ascii="Times New Roman" w:hAnsi="Times New Roman" w:eastAsia="方正小标宋_GBK" w:cs="Times New Roman"/>
          <w:snapToGrid w:val="0"/>
          <w:color w:val="auto"/>
          <w:sz w:val="38"/>
          <w:szCs w:val="38"/>
          <w:highlight w:val="yellow"/>
          <w:u w:val="none"/>
          <w:lang w:eastAsia="zh-CN"/>
        </w:rPr>
      </w:pPr>
      <w:bookmarkStart w:id="40" w:name="_Toc13361"/>
      <w:r>
        <w:rPr>
          <w:rFonts w:hint="default" w:ascii="Times New Roman" w:hAnsi="Times New Roman" w:eastAsia="方正小标宋_GBK" w:cs="Times New Roman"/>
          <w:snapToGrid w:val="0"/>
          <w:color w:val="auto"/>
          <w:sz w:val="38"/>
          <w:szCs w:val="38"/>
          <w:highlight w:val="none"/>
          <w:u w:val="none"/>
        </w:rPr>
        <w:t>建设项目污染物排放量汇总表</w:t>
      </w:r>
      <w:bookmarkEnd w:id="40"/>
    </w:p>
    <w:tbl>
      <w:tblPr>
        <w:tblStyle w:val="31"/>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41"/>
        <w:gridCol w:w="1478"/>
        <w:gridCol w:w="1681"/>
        <w:gridCol w:w="1405"/>
      </w:tblGrid>
      <w:tr w14:paraId="2F0913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tcBorders>
              <w:tl2br w:val="single" w:color="auto" w:sz="4" w:space="0"/>
            </w:tcBorders>
            <w:noWrap w:val="0"/>
            <w:tcMar>
              <w:left w:w="28" w:type="dxa"/>
              <w:right w:w="28" w:type="dxa"/>
            </w:tcMar>
            <w:vAlign w:val="center"/>
          </w:tcPr>
          <w:p w14:paraId="4BD48070">
            <w:pPr>
              <w:pStyle w:val="73"/>
              <w:keepNext w:val="0"/>
              <w:keepLines w:val="0"/>
              <w:pageBreakBefore w:val="0"/>
              <w:kinsoku/>
              <w:wordWrap/>
              <w:overflowPunct/>
              <w:topLinePunct w:val="0"/>
              <w:autoSpaceDE/>
              <w:autoSpaceDN/>
              <w:bidi w:val="0"/>
              <w:spacing w:beforeLines="0" w:afterLines="0" w:line="240" w:lineRule="auto"/>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14:paraId="7158A2C3">
            <w:pPr>
              <w:pStyle w:val="73"/>
              <w:keepNext w:val="0"/>
              <w:keepLines w:val="0"/>
              <w:pageBreakBefore w:val="0"/>
              <w:kinsoku/>
              <w:wordWrap/>
              <w:overflowPunct/>
              <w:topLinePunct w:val="0"/>
              <w:autoSpaceDE/>
              <w:autoSpaceDN/>
              <w:bidi w:val="0"/>
              <w:spacing w:beforeLines="0" w:afterLines="0" w:line="240" w:lineRule="auto"/>
              <w:jc w:val="lef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tc>
        <w:tc>
          <w:tcPr>
            <w:tcW w:w="1417" w:type="dxa"/>
            <w:noWrap w:val="0"/>
            <w:tcMar>
              <w:left w:w="28" w:type="dxa"/>
              <w:right w:w="28" w:type="dxa"/>
            </w:tcMar>
            <w:vAlign w:val="center"/>
          </w:tcPr>
          <w:p w14:paraId="07448BCD">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701" w:type="dxa"/>
            <w:noWrap w:val="0"/>
            <w:tcMar>
              <w:left w:w="28" w:type="dxa"/>
              <w:right w:w="28" w:type="dxa"/>
            </w:tcMar>
            <w:vAlign w:val="center"/>
          </w:tcPr>
          <w:p w14:paraId="2B00973B">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143925D3">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t>t/a</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276" w:type="dxa"/>
            <w:noWrap w:val="0"/>
            <w:tcMar>
              <w:left w:w="28" w:type="dxa"/>
              <w:right w:w="28" w:type="dxa"/>
            </w:tcMar>
            <w:vAlign w:val="center"/>
          </w:tcPr>
          <w:p w14:paraId="4951FD47">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1E3BA500">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许可排放量</w:t>
            </w:r>
            <w:r>
              <w:rPr>
                <w:rFonts w:hint="default" w:ascii="Times New Roman" w:hAnsi="Times New Roman" w:eastAsia="黑体" w:cs="Times New Roman"/>
                <w:snapToGrid w:val="0"/>
                <w:color w:val="auto"/>
                <w:spacing w:val="-6"/>
                <w:kern w:val="21"/>
                <w:sz w:val="21"/>
                <w:szCs w:val="21"/>
                <w:highlight w:val="none"/>
                <w:lang w:val="en-US" w:eastAsia="zh-CN"/>
              </w:rPr>
              <w:t>t/a</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701" w:type="dxa"/>
            <w:noWrap w:val="0"/>
            <w:tcMar>
              <w:left w:w="28" w:type="dxa"/>
              <w:right w:w="28" w:type="dxa"/>
            </w:tcMar>
            <w:vAlign w:val="center"/>
          </w:tcPr>
          <w:p w14:paraId="5AE97BDE">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在建工程</w:t>
            </w:r>
          </w:p>
          <w:p w14:paraId="4F21D3C7">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t>t/a</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41" w:type="dxa"/>
            <w:noWrap w:val="0"/>
            <w:tcMar>
              <w:left w:w="28" w:type="dxa"/>
              <w:right w:w="28" w:type="dxa"/>
            </w:tcMar>
            <w:vAlign w:val="center"/>
          </w:tcPr>
          <w:p w14:paraId="3E58CB0E">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本项目</w:t>
            </w:r>
          </w:p>
          <w:p w14:paraId="23EEEA51">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t>t/a</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478" w:type="dxa"/>
            <w:noWrap w:val="0"/>
            <w:tcMar>
              <w:left w:w="28" w:type="dxa"/>
              <w:right w:w="28" w:type="dxa"/>
            </w:tcMar>
            <w:vAlign w:val="center"/>
          </w:tcPr>
          <w:p w14:paraId="04777B5F">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以新带老削减量</w:t>
            </w:r>
          </w:p>
          <w:p w14:paraId="5F93ECA3">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（新建项目不填）</w:t>
            </w:r>
            <w:r>
              <w:rPr>
                <w:rFonts w:hint="default" w:ascii="Times New Roman" w:hAnsi="Times New Roman" w:eastAsia="黑体" w:cs="Times New Roman"/>
                <w:snapToGrid w:val="0"/>
                <w:color w:val="auto"/>
                <w:spacing w:val="-6"/>
                <w:kern w:val="21"/>
                <w:sz w:val="21"/>
                <w:szCs w:val="21"/>
                <w:highlight w:val="none"/>
                <w:lang w:val="en-US" w:eastAsia="zh-CN"/>
              </w:rPr>
              <w:t>t/a</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681" w:type="dxa"/>
            <w:noWrap w:val="0"/>
            <w:tcMar>
              <w:left w:w="28" w:type="dxa"/>
              <w:right w:w="28" w:type="dxa"/>
            </w:tcMar>
            <w:vAlign w:val="center"/>
          </w:tcPr>
          <w:p w14:paraId="1920486E">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本项目建成后</w:t>
            </w:r>
          </w:p>
          <w:p w14:paraId="314AF871">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t>t/a</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405" w:type="dxa"/>
            <w:noWrap w:val="0"/>
            <w:tcMar>
              <w:left w:w="28" w:type="dxa"/>
              <w:right w:w="28" w:type="dxa"/>
            </w:tcMar>
            <w:vAlign w:val="center"/>
          </w:tcPr>
          <w:p w14:paraId="32F617DB">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变化量</w:t>
            </w:r>
            <w:r>
              <w:rPr>
                <w:rFonts w:hint="default" w:ascii="Times New Roman" w:hAnsi="Times New Roman" w:eastAsia="黑体" w:cs="Times New Roman"/>
                <w:snapToGrid w:val="0"/>
                <w:color w:val="auto"/>
                <w:spacing w:val="-6"/>
                <w:kern w:val="21"/>
                <w:sz w:val="21"/>
                <w:szCs w:val="21"/>
                <w:highlight w:val="none"/>
                <w:lang w:val="en-US" w:eastAsia="zh-CN"/>
              </w:rPr>
              <w:t>t/a</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1246C5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vMerge w:val="restart"/>
            <w:noWrap w:val="0"/>
            <w:vAlign w:val="center"/>
          </w:tcPr>
          <w:p w14:paraId="76435677">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废气</w:t>
            </w:r>
          </w:p>
        </w:tc>
        <w:tc>
          <w:tcPr>
            <w:tcW w:w="1417" w:type="dxa"/>
            <w:noWrap w:val="0"/>
            <w:vAlign w:val="center"/>
          </w:tcPr>
          <w:p w14:paraId="31EDCB54">
            <w:pPr>
              <w:keepNext w:val="0"/>
              <w:keepLines w:val="0"/>
              <w:pageBreakBefore w:val="0"/>
              <w:widowControl/>
              <w:kinsoku/>
              <w:wordWrap/>
              <w:overflowPunct/>
              <w:topLinePunct w:val="0"/>
              <w:autoSpaceDE/>
              <w:autoSpaceDN/>
              <w:bidi w:val="0"/>
              <w:spacing w:line="240" w:lineRule="auto"/>
              <w:jc w:val="center"/>
              <w:textAlignment w:val="top"/>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颗粒物</w:t>
            </w:r>
          </w:p>
        </w:tc>
        <w:tc>
          <w:tcPr>
            <w:tcW w:w="1701" w:type="dxa"/>
            <w:noWrap w:val="0"/>
            <w:vAlign w:val="center"/>
          </w:tcPr>
          <w:p w14:paraId="303DB31B">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color w:val="auto"/>
                <w:kern w:val="2"/>
                <w:sz w:val="21"/>
                <w:szCs w:val="21"/>
                <w:highlight w:val="none"/>
                <w:lang w:val="en-US" w:eastAsia="zh-CN"/>
              </w:rPr>
            </w:pPr>
          </w:p>
        </w:tc>
        <w:tc>
          <w:tcPr>
            <w:tcW w:w="1276" w:type="dxa"/>
            <w:noWrap w:val="0"/>
            <w:vAlign w:val="center"/>
          </w:tcPr>
          <w:p w14:paraId="528AC1CB">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color w:val="auto"/>
                <w:kern w:val="2"/>
                <w:sz w:val="21"/>
                <w:szCs w:val="21"/>
                <w:highlight w:val="none"/>
                <w:lang w:val="en-US" w:eastAsia="zh-CN"/>
              </w:rPr>
            </w:pPr>
            <w:r>
              <w:rPr>
                <w:rFonts w:hint="eastAsia" w:ascii="Times New Roman" w:cs="Times New Roman"/>
                <w:color w:val="auto"/>
                <w:kern w:val="2"/>
                <w:sz w:val="21"/>
                <w:szCs w:val="21"/>
                <w:highlight w:val="none"/>
                <w:lang w:val="en-US" w:eastAsia="zh-CN"/>
              </w:rPr>
              <w:t>/</w:t>
            </w:r>
          </w:p>
        </w:tc>
        <w:tc>
          <w:tcPr>
            <w:tcW w:w="1701" w:type="dxa"/>
            <w:noWrap w:val="0"/>
            <w:vAlign w:val="center"/>
          </w:tcPr>
          <w:p w14:paraId="572CA07F">
            <w:pPr>
              <w:keepNext w:val="0"/>
              <w:keepLines w:val="0"/>
              <w:pageBreakBefore w:val="0"/>
              <w:widowControl/>
              <w:kinsoku/>
              <w:wordWrap/>
              <w:overflowPunct/>
              <w:topLinePunct w:val="0"/>
              <w:autoSpaceDE/>
              <w:autoSpaceDN/>
              <w:bidi w:val="0"/>
              <w:spacing w:line="240" w:lineRule="auto"/>
              <w:jc w:val="center"/>
              <w:textAlignment w:val="top"/>
              <w:rPr>
                <w:rFonts w:hint="default" w:ascii="Times New Roman" w:hAnsi="Times New Roman" w:cs="Times New Roman"/>
                <w:color w:val="auto"/>
                <w:sz w:val="21"/>
                <w:szCs w:val="21"/>
                <w:highlight w:val="none"/>
              </w:rPr>
            </w:pPr>
          </w:p>
        </w:tc>
        <w:tc>
          <w:tcPr>
            <w:tcW w:w="1541" w:type="dxa"/>
            <w:noWrap w:val="0"/>
            <w:vAlign w:val="center"/>
          </w:tcPr>
          <w:p w14:paraId="3987A4B2">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0.217</w:t>
            </w:r>
          </w:p>
        </w:tc>
        <w:tc>
          <w:tcPr>
            <w:tcW w:w="1478" w:type="dxa"/>
            <w:noWrap w:val="0"/>
            <w:vAlign w:val="center"/>
          </w:tcPr>
          <w:p w14:paraId="08FD6543">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color w:val="auto"/>
                <w:kern w:val="2"/>
                <w:sz w:val="21"/>
                <w:szCs w:val="21"/>
                <w:highlight w:val="none"/>
              </w:rPr>
            </w:pPr>
          </w:p>
        </w:tc>
        <w:tc>
          <w:tcPr>
            <w:tcW w:w="1681" w:type="dxa"/>
            <w:noWrap w:val="0"/>
            <w:vAlign w:val="center"/>
          </w:tcPr>
          <w:p w14:paraId="172897FA">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0.217</w:t>
            </w:r>
          </w:p>
        </w:tc>
        <w:tc>
          <w:tcPr>
            <w:tcW w:w="1405" w:type="dxa"/>
            <w:noWrap w:val="0"/>
            <w:vAlign w:val="center"/>
          </w:tcPr>
          <w:p w14:paraId="5CADFDD3">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+0.217</w:t>
            </w:r>
          </w:p>
        </w:tc>
      </w:tr>
      <w:tr w14:paraId="1B0F7F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vMerge w:val="continue"/>
            <w:noWrap w:val="0"/>
            <w:vAlign w:val="center"/>
          </w:tcPr>
          <w:p w14:paraId="486DCBB6">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color w:val="auto"/>
                <w:kern w:val="2"/>
                <w:sz w:val="21"/>
                <w:szCs w:val="21"/>
                <w:highlight w:val="none"/>
              </w:rPr>
            </w:pPr>
          </w:p>
        </w:tc>
        <w:tc>
          <w:tcPr>
            <w:tcW w:w="1417" w:type="dxa"/>
            <w:noWrap w:val="0"/>
            <w:vAlign w:val="center"/>
          </w:tcPr>
          <w:p w14:paraId="4D7C59E2">
            <w:pPr>
              <w:keepNext w:val="0"/>
              <w:keepLines w:val="0"/>
              <w:pageBreakBefore w:val="0"/>
              <w:widowControl/>
              <w:kinsoku/>
              <w:wordWrap/>
              <w:overflowPunct/>
              <w:topLinePunct w:val="0"/>
              <w:autoSpaceDE/>
              <w:autoSpaceDN/>
              <w:bidi w:val="0"/>
              <w:spacing w:line="240" w:lineRule="auto"/>
              <w:jc w:val="center"/>
              <w:textAlignment w:val="top"/>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701" w:type="dxa"/>
            <w:noWrap w:val="0"/>
            <w:vAlign w:val="center"/>
          </w:tcPr>
          <w:p w14:paraId="71A31679">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color w:val="auto"/>
                <w:kern w:val="2"/>
                <w:sz w:val="21"/>
                <w:szCs w:val="21"/>
                <w:highlight w:val="none"/>
              </w:rPr>
            </w:pPr>
          </w:p>
        </w:tc>
        <w:tc>
          <w:tcPr>
            <w:tcW w:w="1276" w:type="dxa"/>
            <w:noWrap w:val="0"/>
            <w:vAlign w:val="center"/>
          </w:tcPr>
          <w:p w14:paraId="29847622">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color w:val="auto"/>
                <w:kern w:val="2"/>
                <w:sz w:val="21"/>
                <w:szCs w:val="21"/>
                <w:highlight w:val="none"/>
                <w:lang w:val="en-US" w:eastAsia="zh-CN"/>
              </w:rPr>
            </w:pPr>
            <w:r>
              <w:rPr>
                <w:rFonts w:hint="eastAsia" w:ascii="Times New Roman" w:cs="Times New Roman"/>
                <w:color w:val="auto"/>
                <w:kern w:val="2"/>
                <w:sz w:val="21"/>
                <w:szCs w:val="21"/>
                <w:highlight w:val="none"/>
                <w:lang w:val="en-US" w:eastAsia="zh-CN"/>
              </w:rPr>
              <w:t>/</w:t>
            </w:r>
          </w:p>
        </w:tc>
        <w:tc>
          <w:tcPr>
            <w:tcW w:w="1701" w:type="dxa"/>
            <w:noWrap w:val="0"/>
            <w:vAlign w:val="center"/>
          </w:tcPr>
          <w:p w14:paraId="6709A917">
            <w:pPr>
              <w:keepNext w:val="0"/>
              <w:keepLines w:val="0"/>
              <w:pageBreakBefore w:val="0"/>
              <w:widowControl/>
              <w:kinsoku/>
              <w:wordWrap/>
              <w:overflowPunct/>
              <w:topLinePunct w:val="0"/>
              <w:autoSpaceDE/>
              <w:autoSpaceDN/>
              <w:bidi w:val="0"/>
              <w:spacing w:line="240" w:lineRule="auto"/>
              <w:jc w:val="center"/>
              <w:textAlignment w:val="top"/>
              <w:rPr>
                <w:rFonts w:hint="default" w:ascii="Times New Roman" w:hAnsi="Times New Roman" w:cs="Times New Roman"/>
                <w:color w:val="auto"/>
                <w:sz w:val="21"/>
                <w:szCs w:val="21"/>
                <w:highlight w:val="none"/>
              </w:rPr>
            </w:pPr>
          </w:p>
        </w:tc>
        <w:tc>
          <w:tcPr>
            <w:tcW w:w="1541" w:type="dxa"/>
            <w:noWrap w:val="0"/>
            <w:vAlign w:val="center"/>
          </w:tcPr>
          <w:p w14:paraId="171EFA4F">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0.3788</w:t>
            </w:r>
          </w:p>
        </w:tc>
        <w:tc>
          <w:tcPr>
            <w:tcW w:w="1478" w:type="dxa"/>
            <w:noWrap w:val="0"/>
            <w:vAlign w:val="center"/>
          </w:tcPr>
          <w:p w14:paraId="63D0A4F8">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color w:val="auto"/>
                <w:kern w:val="2"/>
                <w:sz w:val="21"/>
                <w:szCs w:val="21"/>
                <w:highlight w:val="none"/>
              </w:rPr>
            </w:pPr>
          </w:p>
        </w:tc>
        <w:tc>
          <w:tcPr>
            <w:tcW w:w="1681" w:type="dxa"/>
            <w:noWrap w:val="0"/>
            <w:vAlign w:val="center"/>
          </w:tcPr>
          <w:p w14:paraId="33BE64EE">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0.3788</w:t>
            </w:r>
          </w:p>
        </w:tc>
        <w:tc>
          <w:tcPr>
            <w:tcW w:w="1405" w:type="dxa"/>
            <w:noWrap w:val="0"/>
            <w:vAlign w:val="center"/>
          </w:tcPr>
          <w:p w14:paraId="01C6379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+0.3788</w:t>
            </w:r>
          </w:p>
        </w:tc>
      </w:tr>
      <w:tr w14:paraId="049BE7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vMerge w:val="continue"/>
            <w:noWrap w:val="0"/>
            <w:vAlign w:val="center"/>
          </w:tcPr>
          <w:p w14:paraId="771111EF">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color w:val="auto"/>
                <w:kern w:val="2"/>
                <w:sz w:val="21"/>
                <w:szCs w:val="21"/>
                <w:highlight w:val="none"/>
              </w:rPr>
            </w:pPr>
          </w:p>
        </w:tc>
        <w:tc>
          <w:tcPr>
            <w:tcW w:w="1417" w:type="dxa"/>
            <w:noWrap w:val="0"/>
            <w:vAlign w:val="center"/>
          </w:tcPr>
          <w:p w14:paraId="18B71C49">
            <w:pPr>
              <w:keepNext w:val="0"/>
              <w:keepLines w:val="0"/>
              <w:pageBreakBefore w:val="0"/>
              <w:widowControl/>
              <w:kinsoku/>
              <w:wordWrap/>
              <w:overflowPunct/>
              <w:topLinePunct w:val="0"/>
              <w:autoSpaceDE/>
              <w:autoSpaceDN/>
              <w:bidi w:val="0"/>
              <w:spacing w:line="240" w:lineRule="auto"/>
              <w:jc w:val="center"/>
              <w:textAlignment w:val="top"/>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NOx</w:t>
            </w:r>
          </w:p>
        </w:tc>
        <w:tc>
          <w:tcPr>
            <w:tcW w:w="1701" w:type="dxa"/>
            <w:noWrap w:val="0"/>
            <w:vAlign w:val="center"/>
          </w:tcPr>
          <w:p w14:paraId="224B1725">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color w:val="auto"/>
                <w:kern w:val="2"/>
                <w:sz w:val="21"/>
                <w:szCs w:val="21"/>
                <w:highlight w:val="none"/>
              </w:rPr>
            </w:pPr>
          </w:p>
        </w:tc>
        <w:tc>
          <w:tcPr>
            <w:tcW w:w="1276" w:type="dxa"/>
            <w:noWrap w:val="0"/>
            <w:vAlign w:val="center"/>
          </w:tcPr>
          <w:p w14:paraId="767B5CCC">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color w:val="auto"/>
                <w:kern w:val="2"/>
                <w:sz w:val="21"/>
                <w:szCs w:val="21"/>
                <w:highlight w:val="none"/>
                <w:lang w:val="en-US" w:eastAsia="zh-CN"/>
              </w:rPr>
            </w:pPr>
            <w:r>
              <w:rPr>
                <w:rFonts w:hint="eastAsia" w:ascii="Times New Roman" w:cs="Times New Roman"/>
                <w:color w:val="auto"/>
                <w:kern w:val="2"/>
                <w:sz w:val="21"/>
                <w:szCs w:val="21"/>
                <w:highlight w:val="none"/>
                <w:lang w:val="en-US" w:eastAsia="zh-CN"/>
              </w:rPr>
              <w:t>/</w:t>
            </w:r>
          </w:p>
        </w:tc>
        <w:tc>
          <w:tcPr>
            <w:tcW w:w="1701" w:type="dxa"/>
            <w:noWrap w:val="0"/>
            <w:vAlign w:val="center"/>
          </w:tcPr>
          <w:p w14:paraId="71047F9D">
            <w:pPr>
              <w:keepNext w:val="0"/>
              <w:keepLines w:val="0"/>
              <w:pageBreakBefore w:val="0"/>
              <w:widowControl/>
              <w:kinsoku/>
              <w:wordWrap/>
              <w:overflowPunct/>
              <w:topLinePunct w:val="0"/>
              <w:autoSpaceDE/>
              <w:autoSpaceDN/>
              <w:bidi w:val="0"/>
              <w:spacing w:line="240" w:lineRule="auto"/>
              <w:jc w:val="center"/>
              <w:textAlignment w:val="top"/>
              <w:rPr>
                <w:rFonts w:hint="default" w:ascii="Times New Roman" w:hAnsi="Times New Roman" w:cs="Times New Roman"/>
                <w:color w:val="auto"/>
                <w:sz w:val="21"/>
                <w:szCs w:val="21"/>
                <w:highlight w:val="none"/>
              </w:rPr>
            </w:pPr>
          </w:p>
        </w:tc>
        <w:tc>
          <w:tcPr>
            <w:tcW w:w="1541" w:type="dxa"/>
            <w:noWrap w:val="0"/>
            <w:vAlign w:val="center"/>
          </w:tcPr>
          <w:p w14:paraId="60F9E4BC">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1.007</w:t>
            </w:r>
          </w:p>
        </w:tc>
        <w:tc>
          <w:tcPr>
            <w:tcW w:w="1478" w:type="dxa"/>
            <w:noWrap w:val="0"/>
            <w:vAlign w:val="center"/>
          </w:tcPr>
          <w:p w14:paraId="6C370838">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color w:val="auto"/>
                <w:kern w:val="2"/>
                <w:sz w:val="21"/>
                <w:szCs w:val="21"/>
                <w:highlight w:val="none"/>
              </w:rPr>
            </w:pPr>
          </w:p>
        </w:tc>
        <w:tc>
          <w:tcPr>
            <w:tcW w:w="1681" w:type="dxa"/>
            <w:noWrap w:val="0"/>
            <w:vAlign w:val="center"/>
          </w:tcPr>
          <w:p w14:paraId="58A37270">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1.007</w:t>
            </w:r>
          </w:p>
        </w:tc>
        <w:tc>
          <w:tcPr>
            <w:tcW w:w="1405" w:type="dxa"/>
            <w:noWrap w:val="0"/>
            <w:vAlign w:val="center"/>
          </w:tcPr>
          <w:p w14:paraId="63ECC438">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+1.007</w:t>
            </w:r>
          </w:p>
        </w:tc>
      </w:tr>
      <w:tr w14:paraId="21F948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noWrap w:val="0"/>
            <w:vAlign w:val="center"/>
          </w:tcPr>
          <w:p w14:paraId="1B9B0428">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废水</w:t>
            </w:r>
          </w:p>
        </w:tc>
        <w:tc>
          <w:tcPr>
            <w:tcW w:w="1417" w:type="dxa"/>
            <w:noWrap w:val="0"/>
            <w:vAlign w:val="center"/>
          </w:tcPr>
          <w:p w14:paraId="5DEDFE05">
            <w:pPr>
              <w:keepNext w:val="0"/>
              <w:keepLines w:val="0"/>
              <w:pageBreakBefore w:val="0"/>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rPr>
              <w:t>/</w:t>
            </w:r>
          </w:p>
        </w:tc>
        <w:tc>
          <w:tcPr>
            <w:tcW w:w="1701" w:type="dxa"/>
            <w:noWrap w:val="0"/>
            <w:vAlign w:val="center"/>
          </w:tcPr>
          <w:p w14:paraId="15E71F36">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276" w:type="dxa"/>
            <w:noWrap w:val="0"/>
            <w:vAlign w:val="center"/>
          </w:tcPr>
          <w:p w14:paraId="70017B17">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noWrap w:val="0"/>
            <w:vAlign w:val="center"/>
          </w:tcPr>
          <w:p w14:paraId="37D31743">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541" w:type="dxa"/>
            <w:noWrap w:val="0"/>
            <w:vAlign w:val="center"/>
          </w:tcPr>
          <w:p w14:paraId="59FEA74F">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w:t>
            </w:r>
          </w:p>
        </w:tc>
        <w:tc>
          <w:tcPr>
            <w:tcW w:w="1478" w:type="dxa"/>
            <w:noWrap w:val="0"/>
            <w:vAlign w:val="center"/>
          </w:tcPr>
          <w:p w14:paraId="47D09804">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681" w:type="dxa"/>
            <w:noWrap w:val="0"/>
            <w:vAlign w:val="center"/>
          </w:tcPr>
          <w:p w14:paraId="0321432D">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w:t>
            </w:r>
          </w:p>
        </w:tc>
        <w:tc>
          <w:tcPr>
            <w:tcW w:w="1405" w:type="dxa"/>
            <w:noWrap w:val="0"/>
            <w:vAlign w:val="center"/>
          </w:tcPr>
          <w:p w14:paraId="7C28DA65">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w:t>
            </w:r>
          </w:p>
        </w:tc>
      </w:tr>
      <w:tr w14:paraId="2A636D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noWrap w:val="0"/>
            <w:vAlign w:val="center"/>
          </w:tcPr>
          <w:p w14:paraId="5812FD0E">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eastAsia="zh-CN"/>
              </w:rPr>
            </w:pPr>
            <w:r>
              <w:rPr>
                <w:rFonts w:hint="default" w:ascii="Times New Roman" w:hAnsi="Times New Roman" w:cs="Times New Roman"/>
                <w:snapToGrid w:val="0"/>
                <w:color w:val="auto"/>
                <w:kern w:val="21"/>
                <w:sz w:val="21"/>
                <w:szCs w:val="21"/>
                <w:highlight w:val="none"/>
                <w:lang w:eastAsia="zh-CN"/>
              </w:rPr>
              <w:t>生活垃圾</w:t>
            </w:r>
          </w:p>
        </w:tc>
        <w:tc>
          <w:tcPr>
            <w:tcW w:w="1417" w:type="dxa"/>
            <w:noWrap w:val="0"/>
            <w:vAlign w:val="center"/>
          </w:tcPr>
          <w:p w14:paraId="3DD94A24">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生活垃圾</w:t>
            </w:r>
          </w:p>
        </w:tc>
        <w:tc>
          <w:tcPr>
            <w:tcW w:w="1701" w:type="dxa"/>
            <w:noWrap w:val="0"/>
            <w:vAlign w:val="center"/>
          </w:tcPr>
          <w:p w14:paraId="228E4EBB">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276" w:type="dxa"/>
            <w:noWrap w:val="0"/>
            <w:vAlign w:val="center"/>
          </w:tcPr>
          <w:p w14:paraId="1609AF4A">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noWrap w:val="0"/>
            <w:vAlign w:val="center"/>
          </w:tcPr>
          <w:p w14:paraId="4A07D8E6">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541" w:type="dxa"/>
            <w:noWrap w:val="0"/>
            <w:vAlign w:val="center"/>
          </w:tcPr>
          <w:p w14:paraId="0E51C18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1.05</w:t>
            </w:r>
          </w:p>
        </w:tc>
        <w:tc>
          <w:tcPr>
            <w:tcW w:w="1478" w:type="dxa"/>
            <w:noWrap w:val="0"/>
            <w:vAlign w:val="center"/>
          </w:tcPr>
          <w:p w14:paraId="32F73B1F">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681" w:type="dxa"/>
            <w:noWrap w:val="0"/>
            <w:vAlign w:val="center"/>
          </w:tcPr>
          <w:p w14:paraId="02D882A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1.05</w:t>
            </w:r>
          </w:p>
        </w:tc>
        <w:tc>
          <w:tcPr>
            <w:tcW w:w="1405" w:type="dxa"/>
            <w:noWrap w:val="0"/>
            <w:vAlign w:val="center"/>
          </w:tcPr>
          <w:p w14:paraId="27F807E7">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+1.05</w:t>
            </w:r>
          </w:p>
        </w:tc>
      </w:tr>
      <w:tr w14:paraId="097A98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vMerge w:val="restart"/>
            <w:noWrap w:val="0"/>
            <w:vAlign w:val="center"/>
          </w:tcPr>
          <w:p w14:paraId="4D62097D">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一般工业</w:t>
            </w:r>
          </w:p>
          <w:p w14:paraId="017BAA4E">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固体废物</w:t>
            </w:r>
          </w:p>
          <w:p w14:paraId="781027E2">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7" w:type="dxa"/>
            <w:noWrap w:val="0"/>
            <w:vAlign w:val="center"/>
          </w:tcPr>
          <w:p w14:paraId="459C6337">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布袋除尘器收尘</w:t>
            </w:r>
          </w:p>
        </w:tc>
        <w:tc>
          <w:tcPr>
            <w:tcW w:w="1701" w:type="dxa"/>
            <w:noWrap w:val="0"/>
            <w:vAlign w:val="center"/>
          </w:tcPr>
          <w:p w14:paraId="00512738">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276" w:type="dxa"/>
            <w:noWrap w:val="0"/>
            <w:vAlign w:val="center"/>
          </w:tcPr>
          <w:p w14:paraId="36907E8D">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noWrap w:val="0"/>
            <w:vAlign w:val="center"/>
          </w:tcPr>
          <w:p w14:paraId="04ABA408">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541" w:type="dxa"/>
            <w:noWrap w:val="0"/>
            <w:vAlign w:val="center"/>
          </w:tcPr>
          <w:p w14:paraId="2934706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49.7601</w:t>
            </w:r>
          </w:p>
        </w:tc>
        <w:tc>
          <w:tcPr>
            <w:tcW w:w="1478" w:type="dxa"/>
            <w:noWrap w:val="0"/>
            <w:vAlign w:val="center"/>
          </w:tcPr>
          <w:p w14:paraId="5F92B48F">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681" w:type="dxa"/>
            <w:noWrap w:val="0"/>
            <w:vAlign w:val="center"/>
          </w:tcPr>
          <w:p w14:paraId="339B3D0E">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49.7601</w:t>
            </w:r>
          </w:p>
        </w:tc>
        <w:tc>
          <w:tcPr>
            <w:tcW w:w="1405" w:type="dxa"/>
            <w:noWrap w:val="0"/>
            <w:vAlign w:val="center"/>
          </w:tcPr>
          <w:p w14:paraId="5BD863D9">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+49.7601</w:t>
            </w:r>
          </w:p>
        </w:tc>
      </w:tr>
      <w:tr w14:paraId="43DCFD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vMerge w:val="continue"/>
            <w:noWrap w:val="0"/>
            <w:vAlign w:val="center"/>
          </w:tcPr>
          <w:p w14:paraId="5F9ABED7">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417" w:type="dxa"/>
            <w:noWrap w:val="0"/>
            <w:vAlign w:val="center"/>
          </w:tcPr>
          <w:p w14:paraId="2CE4685D">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bCs/>
                <w:color w:val="auto"/>
                <w:sz w:val="21"/>
                <w:szCs w:val="21"/>
                <w:highlight w:val="none"/>
                <w:lang w:val="en-US" w:eastAsia="zh-CN"/>
              </w:rPr>
              <w:t>废布袋</w:t>
            </w:r>
          </w:p>
        </w:tc>
        <w:tc>
          <w:tcPr>
            <w:tcW w:w="1701" w:type="dxa"/>
            <w:noWrap w:val="0"/>
            <w:vAlign w:val="center"/>
          </w:tcPr>
          <w:p w14:paraId="48375FB8">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276" w:type="dxa"/>
            <w:noWrap w:val="0"/>
            <w:vAlign w:val="center"/>
          </w:tcPr>
          <w:p w14:paraId="6187FFB3">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noWrap w:val="0"/>
            <w:vAlign w:val="center"/>
          </w:tcPr>
          <w:p w14:paraId="316B14CD">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541" w:type="dxa"/>
            <w:noWrap w:val="0"/>
            <w:vAlign w:val="center"/>
          </w:tcPr>
          <w:p w14:paraId="0C2BDCAB">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0.01</w:t>
            </w:r>
          </w:p>
        </w:tc>
        <w:tc>
          <w:tcPr>
            <w:tcW w:w="1478" w:type="dxa"/>
            <w:noWrap w:val="0"/>
            <w:vAlign w:val="center"/>
          </w:tcPr>
          <w:p w14:paraId="50E9703B">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681" w:type="dxa"/>
            <w:noWrap w:val="0"/>
            <w:vAlign w:val="center"/>
          </w:tcPr>
          <w:p w14:paraId="3393489C">
            <w:pPr>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snapToGrid w:val="0"/>
                <w:color w:val="auto"/>
                <w:kern w:val="21"/>
                <w:sz w:val="21"/>
                <w:szCs w:val="21"/>
                <w:highlight w:val="none"/>
              </w:rPr>
            </w:pPr>
            <w:r>
              <w:rPr>
                <w:rFonts w:hint="eastAsia" w:cs="Times New Roman"/>
                <w:snapToGrid w:val="0"/>
                <w:color w:val="auto"/>
                <w:kern w:val="21"/>
                <w:sz w:val="21"/>
                <w:szCs w:val="21"/>
                <w:highlight w:val="none"/>
                <w:lang w:val="en-US" w:eastAsia="zh-CN"/>
              </w:rPr>
              <w:t>0.0</w:t>
            </w:r>
            <w:r>
              <w:rPr>
                <w:rFonts w:hint="eastAsia" w:ascii="Times New Roman" w:hAnsi="Times New Roman" w:cs="Times New Roman"/>
                <w:snapToGrid w:val="0"/>
                <w:color w:val="auto"/>
                <w:kern w:val="21"/>
                <w:sz w:val="21"/>
                <w:szCs w:val="21"/>
                <w:highlight w:val="none"/>
                <w:lang w:val="en-US" w:eastAsia="zh-CN"/>
              </w:rPr>
              <w:t>1</w:t>
            </w:r>
          </w:p>
        </w:tc>
        <w:tc>
          <w:tcPr>
            <w:tcW w:w="1405" w:type="dxa"/>
            <w:noWrap w:val="0"/>
            <w:vAlign w:val="center"/>
          </w:tcPr>
          <w:p w14:paraId="36B79266">
            <w:pPr>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snapToGrid w:val="0"/>
                <w:color w:val="auto"/>
                <w:kern w:val="21"/>
                <w:sz w:val="21"/>
                <w:szCs w:val="21"/>
                <w:highlight w:val="none"/>
              </w:rPr>
            </w:pPr>
            <w:r>
              <w:rPr>
                <w:rFonts w:hint="eastAsia" w:cs="Times New Roman"/>
                <w:snapToGrid w:val="0"/>
                <w:color w:val="auto"/>
                <w:kern w:val="21"/>
                <w:sz w:val="21"/>
                <w:szCs w:val="21"/>
                <w:highlight w:val="none"/>
                <w:lang w:val="en-US" w:eastAsia="zh-CN"/>
              </w:rPr>
              <w:t>+0.0</w:t>
            </w:r>
            <w:r>
              <w:rPr>
                <w:rFonts w:hint="eastAsia" w:ascii="Times New Roman" w:hAnsi="Times New Roman" w:cs="Times New Roman"/>
                <w:snapToGrid w:val="0"/>
                <w:color w:val="auto"/>
                <w:kern w:val="21"/>
                <w:sz w:val="21"/>
                <w:szCs w:val="21"/>
                <w:highlight w:val="none"/>
                <w:lang w:val="en-US" w:eastAsia="zh-CN"/>
              </w:rPr>
              <w:t>1</w:t>
            </w:r>
          </w:p>
        </w:tc>
      </w:tr>
      <w:tr w14:paraId="705F11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vMerge w:val="continue"/>
            <w:noWrap w:val="0"/>
            <w:vAlign w:val="center"/>
          </w:tcPr>
          <w:p w14:paraId="27B9BBA7">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417" w:type="dxa"/>
            <w:noWrap w:val="0"/>
            <w:vAlign w:val="center"/>
          </w:tcPr>
          <w:p w14:paraId="3EDC01D3">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color w:val="auto"/>
                <w:kern w:val="0"/>
                <w:sz w:val="21"/>
                <w:szCs w:val="21"/>
                <w:highlight w:val="none"/>
                <w:lang w:val="en-US" w:eastAsia="zh-CN" w:bidi="ar"/>
              </w:rPr>
            </w:pPr>
            <w:r>
              <w:rPr>
                <w:rFonts w:hint="eastAsia" w:cs="Times New Roman"/>
                <w:bCs/>
                <w:color w:val="auto"/>
                <w:kern w:val="2"/>
                <w:sz w:val="21"/>
                <w:szCs w:val="21"/>
                <w:highlight w:val="none"/>
                <w:lang w:val="en-US" w:eastAsia="zh-CN" w:bidi="ar-SA"/>
              </w:rPr>
              <w:t>废离子交换树脂</w:t>
            </w:r>
          </w:p>
        </w:tc>
        <w:tc>
          <w:tcPr>
            <w:tcW w:w="1701" w:type="dxa"/>
            <w:noWrap w:val="0"/>
            <w:vAlign w:val="center"/>
          </w:tcPr>
          <w:p w14:paraId="17945125">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276" w:type="dxa"/>
            <w:noWrap w:val="0"/>
            <w:vAlign w:val="center"/>
          </w:tcPr>
          <w:p w14:paraId="5293804F">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noWrap w:val="0"/>
            <w:vAlign w:val="center"/>
          </w:tcPr>
          <w:p w14:paraId="13EE6310">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541" w:type="dxa"/>
            <w:noWrap w:val="0"/>
            <w:vAlign w:val="center"/>
          </w:tcPr>
          <w:p w14:paraId="270D6A91">
            <w:pPr>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0.02</w:t>
            </w:r>
          </w:p>
        </w:tc>
        <w:tc>
          <w:tcPr>
            <w:tcW w:w="1478" w:type="dxa"/>
            <w:noWrap w:val="0"/>
            <w:vAlign w:val="center"/>
          </w:tcPr>
          <w:p w14:paraId="5817AB90">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681" w:type="dxa"/>
            <w:noWrap w:val="0"/>
            <w:vAlign w:val="center"/>
          </w:tcPr>
          <w:p w14:paraId="7D15F657">
            <w:pPr>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0.02</w:t>
            </w:r>
          </w:p>
        </w:tc>
        <w:tc>
          <w:tcPr>
            <w:tcW w:w="1405" w:type="dxa"/>
            <w:noWrap w:val="0"/>
            <w:vAlign w:val="center"/>
          </w:tcPr>
          <w:p w14:paraId="6337B36D">
            <w:pPr>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+0.02</w:t>
            </w:r>
          </w:p>
        </w:tc>
      </w:tr>
      <w:tr w14:paraId="6C2870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vMerge w:val="continue"/>
            <w:noWrap w:val="0"/>
            <w:vAlign w:val="center"/>
          </w:tcPr>
          <w:p w14:paraId="3834E3FC">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417" w:type="dxa"/>
            <w:noWrap w:val="0"/>
            <w:vAlign w:val="center"/>
          </w:tcPr>
          <w:p w14:paraId="796B6E42">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color w:val="auto"/>
                <w:kern w:val="0"/>
                <w:sz w:val="21"/>
                <w:szCs w:val="21"/>
                <w:highlight w:val="none"/>
                <w:lang w:val="en-US" w:eastAsia="zh-CN" w:bidi="ar"/>
              </w:rPr>
            </w:pPr>
            <w:r>
              <w:rPr>
                <w:rFonts w:hint="eastAsia" w:cs="Times New Roman"/>
                <w:bCs/>
                <w:color w:val="auto"/>
                <w:kern w:val="2"/>
                <w:sz w:val="21"/>
                <w:szCs w:val="21"/>
                <w:highlight w:val="none"/>
                <w:lang w:val="en-US" w:eastAsia="zh-CN" w:bidi="ar-SA"/>
              </w:rPr>
              <w:t>废钢筋头</w:t>
            </w:r>
          </w:p>
        </w:tc>
        <w:tc>
          <w:tcPr>
            <w:tcW w:w="1701" w:type="dxa"/>
            <w:noWrap w:val="0"/>
            <w:vAlign w:val="center"/>
          </w:tcPr>
          <w:p w14:paraId="73AB2903">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276" w:type="dxa"/>
            <w:noWrap w:val="0"/>
            <w:vAlign w:val="center"/>
          </w:tcPr>
          <w:p w14:paraId="5F14F688">
            <w:pPr>
              <w:pStyle w:val="73"/>
              <w:keepNext w:val="0"/>
              <w:keepLines w:val="0"/>
              <w:pageBreakBefore w:val="0"/>
              <w:kinsoku/>
              <w:wordWrap/>
              <w:overflowPunct/>
              <w:topLinePunct w:val="0"/>
              <w:autoSpaceDE/>
              <w:autoSpaceDN/>
              <w:bidi w:val="0"/>
              <w:spacing w:beforeLines="0" w:afterLines="0" w:line="240" w:lineRule="auto"/>
              <w:rPr>
                <w:rFonts w:hint="default" w:asci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noWrap w:val="0"/>
            <w:vAlign w:val="center"/>
          </w:tcPr>
          <w:p w14:paraId="0F4DD2E3">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541" w:type="dxa"/>
            <w:noWrap w:val="0"/>
            <w:vAlign w:val="center"/>
          </w:tcPr>
          <w:p w14:paraId="411275CB">
            <w:pPr>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0.466</w:t>
            </w:r>
          </w:p>
        </w:tc>
        <w:tc>
          <w:tcPr>
            <w:tcW w:w="1478" w:type="dxa"/>
            <w:noWrap w:val="0"/>
            <w:vAlign w:val="center"/>
          </w:tcPr>
          <w:p w14:paraId="58BEF8DC">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cs="Times New Roman"/>
                <w:snapToGrid w:val="0"/>
                <w:color w:val="auto"/>
                <w:kern w:val="21"/>
                <w:sz w:val="21"/>
                <w:szCs w:val="21"/>
                <w:highlight w:val="none"/>
              </w:rPr>
            </w:pPr>
          </w:p>
        </w:tc>
        <w:tc>
          <w:tcPr>
            <w:tcW w:w="1681" w:type="dxa"/>
            <w:noWrap w:val="0"/>
            <w:vAlign w:val="center"/>
          </w:tcPr>
          <w:p w14:paraId="4B7D23D7">
            <w:pPr>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0.466</w:t>
            </w:r>
          </w:p>
        </w:tc>
        <w:tc>
          <w:tcPr>
            <w:tcW w:w="1405" w:type="dxa"/>
            <w:noWrap w:val="0"/>
            <w:vAlign w:val="center"/>
          </w:tcPr>
          <w:p w14:paraId="359D600A">
            <w:pPr>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+0.466</w:t>
            </w:r>
          </w:p>
        </w:tc>
      </w:tr>
      <w:tr w14:paraId="009991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vMerge w:val="continue"/>
            <w:noWrap w:val="0"/>
            <w:vAlign w:val="center"/>
          </w:tcPr>
          <w:p w14:paraId="131169F3">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7" w:type="dxa"/>
            <w:noWrap w:val="0"/>
            <w:vAlign w:val="center"/>
          </w:tcPr>
          <w:p w14:paraId="60F6B1DF">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color w:val="auto"/>
                <w:kern w:val="0"/>
                <w:sz w:val="21"/>
                <w:szCs w:val="21"/>
                <w:highlight w:val="none"/>
                <w:lang w:val="en-US" w:eastAsia="zh-CN" w:bidi="ar"/>
              </w:rPr>
            </w:pPr>
            <w:r>
              <w:rPr>
                <w:rFonts w:hint="eastAsia" w:cs="Times New Roman"/>
                <w:bCs/>
                <w:color w:val="auto"/>
                <w:kern w:val="2"/>
                <w:sz w:val="21"/>
                <w:szCs w:val="21"/>
                <w:highlight w:val="none"/>
                <w:lang w:val="en-US" w:eastAsia="zh-CN" w:bidi="ar-SA"/>
              </w:rPr>
              <w:t>沉淀池泥沙</w:t>
            </w:r>
          </w:p>
        </w:tc>
        <w:tc>
          <w:tcPr>
            <w:tcW w:w="1701" w:type="dxa"/>
            <w:noWrap w:val="0"/>
            <w:vAlign w:val="center"/>
          </w:tcPr>
          <w:p w14:paraId="79FFD9F1">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p>
        </w:tc>
        <w:tc>
          <w:tcPr>
            <w:tcW w:w="1276" w:type="dxa"/>
            <w:noWrap w:val="0"/>
            <w:vAlign w:val="center"/>
          </w:tcPr>
          <w:p w14:paraId="4AC9F020">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noWrap w:val="0"/>
            <w:vAlign w:val="center"/>
          </w:tcPr>
          <w:p w14:paraId="6F230254">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p>
        </w:tc>
        <w:tc>
          <w:tcPr>
            <w:tcW w:w="1541" w:type="dxa"/>
            <w:noWrap w:val="0"/>
            <w:vAlign w:val="center"/>
          </w:tcPr>
          <w:p w14:paraId="2C6D285D">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1.26</w:t>
            </w:r>
          </w:p>
        </w:tc>
        <w:tc>
          <w:tcPr>
            <w:tcW w:w="1478" w:type="dxa"/>
            <w:noWrap w:val="0"/>
            <w:vAlign w:val="center"/>
          </w:tcPr>
          <w:p w14:paraId="28849DBB">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681" w:type="dxa"/>
            <w:noWrap w:val="0"/>
            <w:vAlign w:val="center"/>
          </w:tcPr>
          <w:p w14:paraId="2770B15E">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1.26</w:t>
            </w:r>
          </w:p>
        </w:tc>
        <w:tc>
          <w:tcPr>
            <w:tcW w:w="1405" w:type="dxa"/>
            <w:noWrap w:val="0"/>
            <w:vAlign w:val="center"/>
          </w:tcPr>
          <w:p w14:paraId="0EB46ADB">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+1.26</w:t>
            </w:r>
          </w:p>
        </w:tc>
      </w:tr>
      <w:tr w14:paraId="0B712B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vMerge w:val="continue"/>
            <w:noWrap w:val="0"/>
            <w:vAlign w:val="center"/>
          </w:tcPr>
          <w:p w14:paraId="52606A56">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7" w:type="dxa"/>
            <w:noWrap w:val="0"/>
            <w:vAlign w:val="center"/>
          </w:tcPr>
          <w:p w14:paraId="2FDAC932">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锅炉灰渣</w:t>
            </w:r>
          </w:p>
        </w:tc>
        <w:tc>
          <w:tcPr>
            <w:tcW w:w="1701" w:type="dxa"/>
            <w:noWrap w:val="0"/>
            <w:vAlign w:val="center"/>
          </w:tcPr>
          <w:p w14:paraId="7A991C6E">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p>
        </w:tc>
        <w:tc>
          <w:tcPr>
            <w:tcW w:w="1276" w:type="dxa"/>
            <w:noWrap w:val="0"/>
            <w:vAlign w:val="center"/>
          </w:tcPr>
          <w:p w14:paraId="6DEC0FE7">
            <w:pPr>
              <w:pStyle w:val="73"/>
              <w:keepNext w:val="0"/>
              <w:keepLines w:val="0"/>
              <w:pageBreakBefore w:val="0"/>
              <w:kinsoku/>
              <w:wordWrap/>
              <w:overflowPunct/>
              <w:topLinePunct w:val="0"/>
              <w:autoSpaceDE/>
              <w:autoSpaceDN/>
              <w:bidi w:val="0"/>
              <w:spacing w:beforeLines="0" w:afterLines="0" w:line="240" w:lineRule="auto"/>
              <w:rPr>
                <w:rFonts w:hint="eastAsia" w:ascii="Times New Roman" w:cs="Times New Roman"/>
                <w:snapToGrid w:val="0"/>
                <w:color w:val="auto"/>
                <w:kern w:val="21"/>
                <w:sz w:val="21"/>
                <w:szCs w:val="21"/>
                <w:highlight w:val="none"/>
                <w:lang w:val="en-US" w:eastAsia="zh-CN"/>
              </w:rPr>
            </w:pPr>
          </w:p>
        </w:tc>
        <w:tc>
          <w:tcPr>
            <w:tcW w:w="1701" w:type="dxa"/>
            <w:noWrap w:val="0"/>
            <w:vAlign w:val="center"/>
          </w:tcPr>
          <w:p w14:paraId="6EFD5FB8">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p>
        </w:tc>
        <w:tc>
          <w:tcPr>
            <w:tcW w:w="1541" w:type="dxa"/>
            <w:noWrap w:val="0"/>
            <w:vAlign w:val="center"/>
          </w:tcPr>
          <w:p w14:paraId="7BC629DC">
            <w:pPr>
              <w:keepNext w:val="0"/>
              <w:keepLines w:val="0"/>
              <w:pageBreakBefore w:val="0"/>
              <w:kinsoku/>
              <w:wordWrap/>
              <w:overflowPunct/>
              <w:topLinePunct w:val="0"/>
              <w:autoSpaceDE/>
              <w:autoSpaceDN/>
              <w:bidi w:val="0"/>
              <w:spacing w:line="240" w:lineRule="auto"/>
              <w:jc w:val="center"/>
              <w:rPr>
                <w:rFonts w:hint="default"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133.19</w:t>
            </w:r>
          </w:p>
        </w:tc>
        <w:tc>
          <w:tcPr>
            <w:tcW w:w="1478" w:type="dxa"/>
            <w:noWrap w:val="0"/>
            <w:vAlign w:val="center"/>
          </w:tcPr>
          <w:p w14:paraId="022F151B">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681" w:type="dxa"/>
            <w:noWrap w:val="0"/>
            <w:vAlign w:val="center"/>
          </w:tcPr>
          <w:p w14:paraId="21FD5524">
            <w:pPr>
              <w:keepNext w:val="0"/>
              <w:keepLines w:val="0"/>
              <w:pageBreakBefore w:val="0"/>
              <w:kinsoku/>
              <w:wordWrap/>
              <w:overflowPunct/>
              <w:topLinePunct w:val="0"/>
              <w:autoSpaceDE/>
              <w:autoSpaceDN/>
              <w:bidi w:val="0"/>
              <w:spacing w:line="240" w:lineRule="auto"/>
              <w:jc w:val="center"/>
              <w:rPr>
                <w:rFonts w:hint="default"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133.19</w:t>
            </w:r>
          </w:p>
        </w:tc>
        <w:tc>
          <w:tcPr>
            <w:tcW w:w="1405" w:type="dxa"/>
            <w:noWrap w:val="0"/>
            <w:vAlign w:val="center"/>
          </w:tcPr>
          <w:p w14:paraId="6E404B0F">
            <w:pPr>
              <w:keepNext w:val="0"/>
              <w:keepLines w:val="0"/>
              <w:pageBreakBefore w:val="0"/>
              <w:kinsoku/>
              <w:wordWrap/>
              <w:overflowPunct/>
              <w:topLinePunct w:val="0"/>
              <w:autoSpaceDE/>
              <w:autoSpaceDN/>
              <w:bidi w:val="0"/>
              <w:spacing w:line="240" w:lineRule="auto"/>
              <w:jc w:val="center"/>
              <w:rPr>
                <w:rFonts w:hint="default"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+133.19</w:t>
            </w:r>
          </w:p>
        </w:tc>
      </w:tr>
      <w:tr w14:paraId="225945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588" w:type="dxa"/>
            <w:vMerge w:val="restart"/>
            <w:noWrap w:val="0"/>
            <w:vAlign w:val="center"/>
          </w:tcPr>
          <w:p w14:paraId="680D7499">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危险废物</w:t>
            </w:r>
          </w:p>
        </w:tc>
        <w:tc>
          <w:tcPr>
            <w:tcW w:w="1417" w:type="dxa"/>
            <w:noWrap w:val="0"/>
            <w:vAlign w:val="center"/>
          </w:tcPr>
          <w:p w14:paraId="772C1EED">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废润滑油</w:t>
            </w:r>
          </w:p>
        </w:tc>
        <w:tc>
          <w:tcPr>
            <w:tcW w:w="1701" w:type="dxa"/>
            <w:noWrap w:val="0"/>
            <w:vAlign w:val="center"/>
          </w:tcPr>
          <w:p w14:paraId="7C7E828A">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p>
        </w:tc>
        <w:tc>
          <w:tcPr>
            <w:tcW w:w="1276" w:type="dxa"/>
            <w:noWrap w:val="0"/>
            <w:vAlign w:val="center"/>
          </w:tcPr>
          <w:p w14:paraId="0D04FEEF">
            <w:pPr>
              <w:pStyle w:val="73"/>
              <w:keepNext w:val="0"/>
              <w:keepLines w:val="0"/>
              <w:pageBreakBefore w:val="0"/>
              <w:kinsoku/>
              <w:wordWrap/>
              <w:overflowPunct/>
              <w:topLinePunct w:val="0"/>
              <w:autoSpaceDE/>
              <w:autoSpaceDN/>
              <w:bidi w:val="0"/>
              <w:spacing w:beforeLines="0" w:afterLines="0" w:line="240" w:lineRule="auto"/>
              <w:rPr>
                <w:rFonts w:hint="eastAsia" w:ascii="Times New Roman" w:cs="Times New Roman"/>
                <w:snapToGrid w:val="0"/>
                <w:color w:val="auto"/>
                <w:kern w:val="21"/>
                <w:sz w:val="21"/>
                <w:szCs w:val="21"/>
                <w:highlight w:val="none"/>
                <w:lang w:val="en-US" w:eastAsia="zh-CN"/>
              </w:rPr>
            </w:pPr>
          </w:p>
        </w:tc>
        <w:tc>
          <w:tcPr>
            <w:tcW w:w="1701" w:type="dxa"/>
            <w:noWrap w:val="0"/>
            <w:vAlign w:val="center"/>
          </w:tcPr>
          <w:p w14:paraId="0A2ABF49">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p>
        </w:tc>
        <w:tc>
          <w:tcPr>
            <w:tcW w:w="1541" w:type="dxa"/>
            <w:noWrap w:val="0"/>
            <w:vAlign w:val="center"/>
          </w:tcPr>
          <w:p w14:paraId="3A0DFED8">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0.1</w:t>
            </w:r>
          </w:p>
        </w:tc>
        <w:tc>
          <w:tcPr>
            <w:tcW w:w="1478" w:type="dxa"/>
            <w:noWrap w:val="0"/>
            <w:vAlign w:val="center"/>
          </w:tcPr>
          <w:p w14:paraId="34B123C9">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681" w:type="dxa"/>
            <w:noWrap w:val="0"/>
            <w:vAlign w:val="center"/>
          </w:tcPr>
          <w:p w14:paraId="6D77EA2E">
            <w:pPr>
              <w:keepNext w:val="0"/>
              <w:keepLines w:val="0"/>
              <w:pageBreakBefore w:val="0"/>
              <w:kinsoku/>
              <w:wordWrap/>
              <w:overflowPunct/>
              <w:topLinePunct w:val="0"/>
              <w:autoSpaceDE/>
              <w:autoSpaceDN/>
              <w:bidi w:val="0"/>
              <w:spacing w:line="240" w:lineRule="auto"/>
              <w:jc w:val="center"/>
              <w:rPr>
                <w:rFonts w:hint="eastAsia"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0.1</w:t>
            </w:r>
          </w:p>
        </w:tc>
        <w:tc>
          <w:tcPr>
            <w:tcW w:w="1405" w:type="dxa"/>
            <w:noWrap w:val="0"/>
            <w:vAlign w:val="center"/>
          </w:tcPr>
          <w:p w14:paraId="79E8F14E">
            <w:pPr>
              <w:keepNext w:val="0"/>
              <w:keepLines w:val="0"/>
              <w:pageBreakBefore w:val="0"/>
              <w:kinsoku/>
              <w:wordWrap/>
              <w:overflowPunct/>
              <w:topLinePunct w:val="0"/>
              <w:autoSpaceDE/>
              <w:autoSpaceDN/>
              <w:bidi w:val="0"/>
              <w:spacing w:line="240" w:lineRule="auto"/>
              <w:jc w:val="center"/>
              <w:rPr>
                <w:rFonts w:hint="eastAsia"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+0.1</w:t>
            </w:r>
          </w:p>
        </w:tc>
      </w:tr>
      <w:tr w14:paraId="5A96FF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vMerge w:val="continue"/>
            <w:noWrap w:val="0"/>
            <w:vAlign w:val="center"/>
          </w:tcPr>
          <w:p w14:paraId="381B2E5C">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7" w:type="dxa"/>
            <w:noWrap w:val="0"/>
            <w:vAlign w:val="center"/>
          </w:tcPr>
          <w:p w14:paraId="491AB0E9">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废润滑油桶</w:t>
            </w:r>
          </w:p>
        </w:tc>
        <w:tc>
          <w:tcPr>
            <w:tcW w:w="1701" w:type="dxa"/>
            <w:noWrap w:val="0"/>
            <w:vAlign w:val="center"/>
          </w:tcPr>
          <w:p w14:paraId="2FDA089F">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p>
        </w:tc>
        <w:tc>
          <w:tcPr>
            <w:tcW w:w="1276" w:type="dxa"/>
            <w:noWrap w:val="0"/>
            <w:vAlign w:val="center"/>
          </w:tcPr>
          <w:p w14:paraId="7017336F">
            <w:pPr>
              <w:pStyle w:val="73"/>
              <w:keepNext w:val="0"/>
              <w:keepLines w:val="0"/>
              <w:pageBreakBefore w:val="0"/>
              <w:kinsoku/>
              <w:wordWrap/>
              <w:overflowPunct/>
              <w:topLinePunct w:val="0"/>
              <w:autoSpaceDE/>
              <w:autoSpaceDN/>
              <w:bidi w:val="0"/>
              <w:spacing w:beforeLines="0" w:afterLines="0" w:line="240" w:lineRule="auto"/>
              <w:rPr>
                <w:rFonts w:hint="eastAsia" w:ascii="Times New Roman" w:cs="Times New Roman"/>
                <w:snapToGrid w:val="0"/>
                <w:color w:val="auto"/>
                <w:kern w:val="21"/>
                <w:sz w:val="21"/>
                <w:szCs w:val="21"/>
                <w:highlight w:val="none"/>
                <w:lang w:val="en-US" w:eastAsia="zh-CN"/>
              </w:rPr>
            </w:pPr>
          </w:p>
        </w:tc>
        <w:tc>
          <w:tcPr>
            <w:tcW w:w="1701" w:type="dxa"/>
            <w:noWrap w:val="0"/>
            <w:vAlign w:val="center"/>
          </w:tcPr>
          <w:p w14:paraId="6D93451E">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p>
        </w:tc>
        <w:tc>
          <w:tcPr>
            <w:tcW w:w="1541" w:type="dxa"/>
            <w:noWrap w:val="0"/>
            <w:vAlign w:val="center"/>
          </w:tcPr>
          <w:p w14:paraId="7C408D96">
            <w:pPr>
              <w:keepNext w:val="0"/>
              <w:keepLines w:val="0"/>
              <w:pageBreakBefore w:val="0"/>
              <w:kinsoku/>
              <w:wordWrap/>
              <w:overflowPunct/>
              <w:topLinePunct w:val="0"/>
              <w:autoSpaceDE/>
              <w:autoSpaceDN/>
              <w:bidi w:val="0"/>
              <w:spacing w:line="240" w:lineRule="auto"/>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0.06</w:t>
            </w:r>
          </w:p>
        </w:tc>
        <w:tc>
          <w:tcPr>
            <w:tcW w:w="1478" w:type="dxa"/>
            <w:noWrap w:val="0"/>
            <w:vAlign w:val="center"/>
          </w:tcPr>
          <w:p w14:paraId="40A68ED5">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681" w:type="dxa"/>
            <w:noWrap w:val="0"/>
            <w:vAlign w:val="center"/>
          </w:tcPr>
          <w:p w14:paraId="0CCA4CD7">
            <w:pPr>
              <w:keepNext w:val="0"/>
              <w:keepLines w:val="0"/>
              <w:pageBreakBefore w:val="0"/>
              <w:kinsoku/>
              <w:wordWrap/>
              <w:overflowPunct/>
              <w:topLinePunct w:val="0"/>
              <w:autoSpaceDE/>
              <w:autoSpaceDN/>
              <w:bidi w:val="0"/>
              <w:spacing w:line="240" w:lineRule="auto"/>
              <w:jc w:val="center"/>
              <w:rPr>
                <w:rFonts w:hint="eastAsia"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0.06</w:t>
            </w:r>
          </w:p>
        </w:tc>
        <w:tc>
          <w:tcPr>
            <w:tcW w:w="1405" w:type="dxa"/>
            <w:noWrap w:val="0"/>
            <w:vAlign w:val="center"/>
          </w:tcPr>
          <w:p w14:paraId="576F0E14">
            <w:pPr>
              <w:keepNext w:val="0"/>
              <w:keepLines w:val="0"/>
              <w:pageBreakBefore w:val="0"/>
              <w:kinsoku/>
              <w:wordWrap/>
              <w:overflowPunct/>
              <w:topLinePunct w:val="0"/>
              <w:autoSpaceDE/>
              <w:autoSpaceDN/>
              <w:bidi w:val="0"/>
              <w:spacing w:line="240" w:lineRule="auto"/>
              <w:jc w:val="center"/>
              <w:rPr>
                <w:rFonts w:hint="eastAsia"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+0.06</w:t>
            </w:r>
          </w:p>
        </w:tc>
      </w:tr>
      <w:tr w14:paraId="11DE55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8" w:type="dxa"/>
            <w:vMerge w:val="continue"/>
            <w:noWrap w:val="0"/>
            <w:vAlign w:val="center"/>
          </w:tcPr>
          <w:p w14:paraId="61823533">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417" w:type="dxa"/>
            <w:noWrap w:val="0"/>
            <w:vAlign w:val="center"/>
          </w:tcPr>
          <w:p w14:paraId="178938AD">
            <w:pPr>
              <w:keepNext w:val="0"/>
              <w:keepLines w:val="0"/>
              <w:pageBreakBefore w:val="0"/>
              <w:widowControl w:val="0"/>
              <w:kinsoku/>
              <w:wordWrap/>
              <w:overflowPunct/>
              <w:topLinePunct w:val="0"/>
              <w:autoSpaceDE/>
              <w:autoSpaceDN/>
              <w:bidi w:val="0"/>
              <w:ind w:left="0" w:leftChars="0"/>
              <w:jc w:val="center"/>
              <w:textAlignment w:val="auto"/>
              <w:rPr>
                <w:rFonts w:hint="default"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含油抹布</w:t>
            </w:r>
          </w:p>
        </w:tc>
        <w:tc>
          <w:tcPr>
            <w:tcW w:w="1701" w:type="dxa"/>
            <w:noWrap w:val="0"/>
            <w:vAlign w:val="center"/>
          </w:tcPr>
          <w:p w14:paraId="57CEBAA6">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p>
        </w:tc>
        <w:tc>
          <w:tcPr>
            <w:tcW w:w="1276" w:type="dxa"/>
            <w:noWrap w:val="0"/>
            <w:vAlign w:val="center"/>
          </w:tcPr>
          <w:p w14:paraId="1FEF18E8">
            <w:pPr>
              <w:pStyle w:val="73"/>
              <w:keepNext w:val="0"/>
              <w:keepLines w:val="0"/>
              <w:pageBreakBefore w:val="0"/>
              <w:kinsoku/>
              <w:wordWrap/>
              <w:overflowPunct/>
              <w:topLinePunct w:val="0"/>
              <w:autoSpaceDE/>
              <w:autoSpaceDN/>
              <w:bidi w:val="0"/>
              <w:spacing w:beforeLines="0" w:afterLines="0" w:line="240" w:lineRule="auto"/>
              <w:rPr>
                <w:rFonts w:hint="eastAsia" w:ascii="Times New Roman" w:cs="Times New Roman"/>
                <w:snapToGrid w:val="0"/>
                <w:color w:val="auto"/>
                <w:kern w:val="21"/>
                <w:sz w:val="21"/>
                <w:szCs w:val="21"/>
                <w:highlight w:val="none"/>
                <w:lang w:val="en-US" w:eastAsia="zh-CN"/>
              </w:rPr>
            </w:pPr>
          </w:p>
        </w:tc>
        <w:tc>
          <w:tcPr>
            <w:tcW w:w="1701" w:type="dxa"/>
            <w:noWrap w:val="0"/>
            <w:vAlign w:val="center"/>
          </w:tcPr>
          <w:p w14:paraId="0EA85436">
            <w:pPr>
              <w:pStyle w:val="73"/>
              <w:keepNext w:val="0"/>
              <w:keepLines w:val="0"/>
              <w:pageBreakBefore w:val="0"/>
              <w:kinsoku/>
              <w:wordWrap/>
              <w:overflowPunct/>
              <w:topLinePunct w:val="0"/>
              <w:autoSpaceDE/>
              <w:autoSpaceDN/>
              <w:bidi w:val="0"/>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p>
        </w:tc>
        <w:tc>
          <w:tcPr>
            <w:tcW w:w="1541" w:type="dxa"/>
            <w:noWrap w:val="0"/>
            <w:vAlign w:val="center"/>
          </w:tcPr>
          <w:p w14:paraId="1096EA87">
            <w:pPr>
              <w:keepNext w:val="0"/>
              <w:keepLines w:val="0"/>
              <w:pageBreakBefore w:val="0"/>
              <w:kinsoku/>
              <w:wordWrap/>
              <w:overflowPunct/>
              <w:topLinePunct w:val="0"/>
              <w:autoSpaceDE/>
              <w:autoSpaceDN/>
              <w:bidi w:val="0"/>
              <w:spacing w:line="240" w:lineRule="auto"/>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0.03</w:t>
            </w:r>
          </w:p>
        </w:tc>
        <w:tc>
          <w:tcPr>
            <w:tcW w:w="1478" w:type="dxa"/>
            <w:noWrap w:val="0"/>
            <w:vAlign w:val="center"/>
          </w:tcPr>
          <w:p w14:paraId="76A3B478">
            <w:pPr>
              <w:pStyle w:val="73"/>
              <w:keepNext w:val="0"/>
              <w:keepLines w:val="0"/>
              <w:pageBreakBefore w:val="0"/>
              <w:kinsoku/>
              <w:wordWrap/>
              <w:overflowPunct/>
              <w:topLinePunct w:val="0"/>
              <w:autoSpaceDE/>
              <w:autoSpaceDN/>
              <w:bidi w:val="0"/>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p>
        </w:tc>
        <w:tc>
          <w:tcPr>
            <w:tcW w:w="1681" w:type="dxa"/>
            <w:noWrap w:val="0"/>
            <w:vAlign w:val="center"/>
          </w:tcPr>
          <w:p w14:paraId="0D316BC6">
            <w:pPr>
              <w:keepNext w:val="0"/>
              <w:keepLines w:val="0"/>
              <w:pageBreakBefore w:val="0"/>
              <w:kinsoku/>
              <w:wordWrap/>
              <w:overflowPunct/>
              <w:topLinePunct w:val="0"/>
              <w:autoSpaceDE/>
              <w:autoSpaceDN/>
              <w:bidi w:val="0"/>
              <w:spacing w:line="240" w:lineRule="auto"/>
              <w:jc w:val="center"/>
              <w:rPr>
                <w:rFonts w:hint="eastAsia"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0.03</w:t>
            </w:r>
          </w:p>
        </w:tc>
        <w:tc>
          <w:tcPr>
            <w:tcW w:w="1405" w:type="dxa"/>
            <w:noWrap w:val="0"/>
            <w:vAlign w:val="center"/>
          </w:tcPr>
          <w:p w14:paraId="3B15777E">
            <w:pPr>
              <w:keepNext w:val="0"/>
              <w:keepLines w:val="0"/>
              <w:pageBreakBefore w:val="0"/>
              <w:kinsoku/>
              <w:wordWrap/>
              <w:overflowPunct/>
              <w:topLinePunct w:val="0"/>
              <w:autoSpaceDE/>
              <w:autoSpaceDN/>
              <w:bidi w:val="0"/>
              <w:spacing w:line="240" w:lineRule="auto"/>
              <w:jc w:val="center"/>
              <w:rPr>
                <w:rFonts w:hint="eastAsia"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+0.03</w:t>
            </w:r>
          </w:p>
        </w:tc>
      </w:tr>
    </w:tbl>
    <w:p w14:paraId="0706C029">
      <w:pPr>
        <w:rPr>
          <w:rFonts w:hint="default" w:ascii="Times New Roman" w:hAnsi="Times New Roman" w:cs="Times New Roman"/>
          <w:snapToGrid w:val="0"/>
          <w:color w:val="auto"/>
          <w:spacing w:val="-6"/>
          <w:kern w:val="21"/>
          <w:szCs w:val="21"/>
          <w:highlight w:val="none"/>
        </w:rPr>
        <w:sectPr>
          <w:footerReference r:id="rId7" w:type="default"/>
          <w:pgSz w:w="16838" w:h="11906" w:orient="landscape"/>
          <w:pgMar w:top="1417"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p>
    <w:p w14:paraId="1E88E50A">
      <w:pPr>
        <w:pStyle w:val="2"/>
        <w:bidi w:val="0"/>
        <w:rPr>
          <w:rFonts w:hint="default" w:ascii="Times New Roman" w:hAnsi="Times New Roman" w:cs="Times New Roman"/>
          <w:color w:val="auto"/>
          <w:highlight w:val="none"/>
        </w:rPr>
      </w:pPr>
      <w:bookmarkStart w:id="41" w:name="_Toc4628"/>
      <w:r>
        <w:rPr>
          <w:color w:val="auto"/>
          <w:highlight w:val="none"/>
        </w:rPr>
        <w:drawing>
          <wp:anchor distT="0" distB="0" distL="114300" distR="114300" simplePos="0" relativeHeight="251661312" behindDoc="0" locked="0" layoutInCell="1" allowOverlap="1">
            <wp:simplePos x="0" y="0"/>
            <wp:positionH relativeFrom="column">
              <wp:posOffset>7280275</wp:posOffset>
            </wp:positionH>
            <wp:positionV relativeFrom="paragraph">
              <wp:posOffset>443230</wp:posOffset>
            </wp:positionV>
            <wp:extent cx="1209675" cy="943610"/>
            <wp:effectExtent l="0" t="0" r="9525" b="8890"/>
            <wp:wrapNone/>
            <wp:docPr id="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0"/>
                    <pic:cNvPicPr>
                      <a:picLocks noChangeAspect="1"/>
                    </pic:cNvPicPr>
                  </pic:nvPicPr>
                  <pic:blipFill>
                    <a:blip r:embed="rId27"/>
                    <a:srcRect l="7535" t="12062" r="28831" b="8557"/>
                    <a:stretch>
                      <a:fillRect/>
                    </a:stretch>
                  </pic:blipFill>
                  <pic:spPr>
                    <a:xfrm>
                      <a:off x="0" y="0"/>
                      <a:ext cx="1209675" cy="943610"/>
                    </a:xfrm>
                    <a:prstGeom prst="rect">
                      <a:avLst/>
                    </a:prstGeom>
                    <a:noFill/>
                    <a:ln>
                      <a:noFill/>
                    </a:ln>
                  </pic:spPr>
                </pic:pic>
              </a:graphicData>
            </a:graphic>
          </wp:anchor>
        </w:drawing>
      </w:r>
      <w:r>
        <w:rPr>
          <w:rFonts w:hint="default" w:ascii="Times New Roman" w:hAnsi="Times New Roman" w:cs="Times New Roman"/>
          <w:color w:val="auto"/>
          <w:highlight w:val="none"/>
        </w:rPr>
        <w:t>附图1项目地理位置图</w:t>
      </w:r>
      <w:bookmarkEnd w:id="41"/>
    </w:p>
    <w:p w14:paraId="5A21B958">
      <w:pPr>
        <w:bidi w:val="0"/>
        <w:jc w:val="center"/>
        <w:rPr>
          <w:rFonts w:hint="eastAsia" w:ascii="Times New Roman" w:hAnsi="Times New Roman" w:eastAsia="宋体" w:cs="Times New Roman"/>
          <w:highlight w:val="yellow"/>
          <w:lang w:eastAsia="zh-CN"/>
        </w:rPr>
      </w:pPr>
      <w:r>
        <w:rPr>
          <w:sz w:val="21"/>
        </w:rPr>
        <mc:AlternateContent>
          <mc:Choice Requires="wps">
            <w:drawing>
              <wp:anchor distT="0" distB="0" distL="114300" distR="114300" simplePos="0" relativeHeight="251662336" behindDoc="0" locked="0" layoutInCell="1" allowOverlap="1">
                <wp:simplePos x="0" y="0"/>
                <wp:positionH relativeFrom="column">
                  <wp:posOffset>3668395</wp:posOffset>
                </wp:positionH>
                <wp:positionV relativeFrom="paragraph">
                  <wp:posOffset>2169795</wp:posOffset>
                </wp:positionV>
                <wp:extent cx="958215" cy="580390"/>
                <wp:effectExtent l="19050" t="12700" r="13335" b="397510"/>
                <wp:wrapNone/>
                <wp:docPr id="46" name="矩形标注 46"/>
                <wp:cNvGraphicFramePr/>
                <a:graphic xmlns:a="http://schemas.openxmlformats.org/drawingml/2006/main">
                  <a:graphicData uri="http://schemas.microsoft.com/office/word/2010/wordprocessingShape">
                    <wps:wsp>
                      <wps:cNvSpPr/>
                      <wps:spPr>
                        <a:xfrm>
                          <a:off x="4748530" y="3585845"/>
                          <a:ext cx="958215" cy="580390"/>
                        </a:xfrm>
                        <a:prstGeom prst="wedgeRectCallout">
                          <a:avLst>
                            <a:gd name="adj1" fmla="val -50662"/>
                            <a:gd name="adj2" fmla="val 116192"/>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64D866F">
                            <w:pPr>
                              <w:jc w:val="cente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8.85pt;margin-top:170.85pt;height:45.7pt;width:75.45pt;z-index:251662336;v-text-anchor:middle;mso-width-relative:page;mso-height-relative:page;" fillcolor="#4F81BD [3204]" filled="t" stroked="t" coordsize="21600,21600" o:gfxdata="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hlFPCtwA&#10;AAALAQAADwAAAAAAAAABACAAAAAiAAAAZHJzL2Rvd25yZXYueG1sUEsBAhQAFAAAAAgAh07iQF00&#10;4YjGAgAAfAUAAA4AAAAAAAAAAQAgAAAAKwEAAGRycy9lMm9Eb2MueG1sUEsFBgAAAAAGAAYAWQEA&#10;AGMGAAAAAA==&#10;" adj="-143,35897">
                <v:fill on="t" focussize="0,0"/>
                <v:stroke weight="2pt" color="#376092 [2404]" joinstyle="round"/>
                <v:imagedata o:title=""/>
                <o:lock v:ext="edit" aspectratio="f"/>
                <v:textbox>
                  <w:txbxContent>
                    <w:p w14:paraId="064D866F">
                      <w:pPr>
                        <w:jc w:val="center"/>
                        <w:rPr>
                          <w:rFonts w:hint="default" w:eastAsia="宋体"/>
                          <w:lang w:val="en-US" w:eastAsia="zh-CN"/>
                        </w:rPr>
                      </w:pPr>
                      <w:r>
                        <w:rPr>
                          <w:rFonts w:hint="eastAsia"/>
                          <w:lang w:val="en-US" w:eastAsia="zh-CN"/>
                        </w:rPr>
                        <w:t>本项目位置</w:t>
                      </w:r>
                    </w:p>
                  </w:txbxContent>
                </v:textbox>
              </v:shape>
            </w:pict>
          </mc:Fallback>
        </mc:AlternateContent>
      </w:r>
      <w:r>
        <w:rPr>
          <w:rFonts w:hint="eastAsia" w:ascii="Times New Roman" w:hAnsi="Times New Roman" w:eastAsia="宋体" w:cs="Times New Roman"/>
          <w:highlight w:val="none"/>
          <w:lang w:eastAsia="zh-CN"/>
        </w:rPr>
        <w:drawing>
          <wp:inline distT="0" distB="0" distL="114300" distR="114300">
            <wp:extent cx="8528050" cy="4670425"/>
            <wp:effectExtent l="0" t="0" r="6350" b="15875"/>
            <wp:docPr id="22" name="图片 22" descr="81c246857552062d7ab4ae0193740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1c246857552062d7ab4ae0193740ac"/>
                    <pic:cNvPicPr>
                      <a:picLocks noChangeAspect="1"/>
                    </pic:cNvPicPr>
                  </pic:nvPicPr>
                  <pic:blipFill>
                    <a:blip r:embed="rId28"/>
                    <a:stretch>
                      <a:fillRect/>
                    </a:stretch>
                  </pic:blipFill>
                  <pic:spPr>
                    <a:xfrm>
                      <a:off x="0" y="0"/>
                      <a:ext cx="8528050" cy="4670425"/>
                    </a:xfrm>
                    <a:prstGeom prst="rect">
                      <a:avLst/>
                    </a:prstGeom>
                  </pic:spPr>
                </pic:pic>
              </a:graphicData>
            </a:graphic>
          </wp:inline>
        </w:drawing>
      </w:r>
    </w:p>
    <w:p w14:paraId="153AA0A8">
      <w:pPr>
        <w:bidi w:val="0"/>
        <w:jc w:val="center"/>
        <w:rPr>
          <w:rFonts w:hint="eastAsia" w:ascii="Times New Roman" w:hAnsi="Times New Roman" w:eastAsia="宋体" w:cs="Times New Roman"/>
          <w:highlight w:val="yellow"/>
          <w:lang w:eastAsia="zh-CN"/>
        </w:rPr>
      </w:pPr>
    </w:p>
    <w:p w14:paraId="061E8344">
      <w:pPr>
        <w:bidi w:val="0"/>
        <w:jc w:val="center"/>
        <w:rPr>
          <w:rFonts w:hint="eastAsia" w:ascii="Times New Roman" w:hAnsi="Times New Roman" w:eastAsia="宋体" w:cs="Times New Roman"/>
          <w:highlight w:val="yellow"/>
          <w:lang w:eastAsia="zh-CN"/>
        </w:rPr>
      </w:pPr>
    </w:p>
    <w:p w14:paraId="194A9501">
      <w:pPr>
        <w:bidi w:val="0"/>
        <w:rPr>
          <w:rFonts w:hint="eastAsia"/>
          <w:highlight w:val="yellow"/>
          <w:lang w:val="en-US" w:eastAsia="zh-CN"/>
        </w:rPr>
      </w:pPr>
    </w:p>
    <w:p w14:paraId="2E8CFE60">
      <w:pPr>
        <w:pStyle w:val="2"/>
        <w:bidi w:val="0"/>
        <w:rPr>
          <w:rFonts w:hint="eastAsia"/>
          <w:highlight w:val="none"/>
          <w:lang w:val="en-US" w:eastAsia="zh-CN"/>
        </w:rPr>
      </w:pPr>
      <w:bookmarkStart w:id="42" w:name="_Toc29832"/>
      <w:r>
        <w:rPr>
          <w:rFonts w:hint="eastAsia"/>
          <w:highlight w:val="none"/>
          <w:lang w:val="en-US" w:eastAsia="zh-CN"/>
        </w:rPr>
        <w:t>附图2平面布置图</w:t>
      </w:r>
      <w:bookmarkEnd w:id="42"/>
    </w:p>
    <w:p w14:paraId="45AEBD1F">
      <w:pPr>
        <w:bidi w:val="0"/>
        <w:rPr>
          <w:rFonts w:hint="eastAsia" w:eastAsia="宋体"/>
          <w:highlight w:val="yellow"/>
          <w:lang w:val="en-US" w:eastAsia="zh-CN"/>
        </w:rPr>
      </w:pPr>
      <w:r>
        <w:rPr>
          <w:rFonts w:hint="eastAsia" w:eastAsia="宋体"/>
          <w:highlight w:val="yellow"/>
          <w:lang w:val="en-US" w:eastAsia="zh-CN"/>
        </w:rPr>
        <w:drawing>
          <wp:inline distT="0" distB="0" distL="114300" distR="114300">
            <wp:extent cx="8502650" cy="5043170"/>
            <wp:effectExtent l="0" t="0" r="12700" b="5080"/>
            <wp:docPr id="34" name="图片 34" descr="fe6639264b90f510cb5d4f3b488f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fe6639264b90f510cb5d4f3b488f10b"/>
                    <pic:cNvPicPr>
                      <a:picLocks noChangeAspect="1"/>
                    </pic:cNvPicPr>
                  </pic:nvPicPr>
                  <pic:blipFill>
                    <a:blip r:embed="rId29"/>
                    <a:stretch>
                      <a:fillRect/>
                    </a:stretch>
                  </pic:blipFill>
                  <pic:spPr>
                    <a:xfrm>
                      <a:off x="0" y="0"/>
                      <a:ext cx="8502650" cy="5043170"/>
                    </a:xfrm>
                    <a:prstGeom prst="rect">
                      <a:avLst/>
                    </a:prstGeom>
                  </pic:spPr>
                </pic:pic>
              </a:graphicData>
            </a:graphic>
          </wp:inline>
        </w:drawing>
      </w:r>
    </w:p>
    <w:p w14:paraId="7C0B38A4">
      <w:pPr>
        <w:pStyle w:val="2"/>
        <w:bidi w:val="0"/>
        <w:rPr>
          <w:rFonts w:hint="default"/>
          <w:lang w:val="en-US" w:eastAsia="zh-CN"/>
        </w:rPr>
      </w:pPr>
      <w:bookmarkStart w:id="43" w:name="_Toc9288"/>
      <w:r>
        <w:rPr>
          <w:rFonts w:hint="eastAsia"/>
          <w:lang w:val="en-US" w:eastAsia="zh-CN"/>
        </w:rPr>
        <w:t>附图3敏感目标分布图</w:t>
      </w:r>
      <w:bookmarkEnd w:id="43"/>
    </w:p>
    <w:p w14:paraId="0D59037D">
      <w:pPr>
        <w:bidi w:val="0"/>
        <w:rPr>
          <w:rFonts w:hint="eastAsia"/>
          <w:lang w:val="en-US" w:eastAsia="zh-CN"/>
        </w:rPr>
      </w:pPr>
      <w:r>
        <w:rPr>
          <w:sz w:val="21"/>
        </w:rPr>
        <mc:AlternateContent>
          <mc:Choice Requires="wps">
            <w:drawing>
              <wp:anchor distT="0" distB="0" distL="114300" distR="114300" simplePos="0" relativeHeight="251666432" behindDoc="0" locked="0" layoutInCell="1" allowOverlap="1">
                <wp:simplePos x="0" y="0"/>
                <wp:positionH relativeFrom="column">
                  <wp:posOffset>7392035</wp:posOffset>
                </wp:positionH>
                <wp:positionV relativeFrom="paragraph">
                  <wp:posOffset>4686300</wp:posOffset>
                </wp:positionV>
                <wp:extent cx="285750" cy="129540"/>
                <wp:effectExtent l="12700" t="12700" r="25400" b="29210"/>
                <wp:wrapNone/>
                <wp:docPr id="63" name="矩形 63"/>
                <wp:cNvGraphicFramePr/>
                <a:graphic xmlns:a="http://schemas.openxmlformats.org/drawingml/2006/main">
                  <a:graphicData uri="http://schemas.microsoft.com/office/word/2010/wordprocessingShape">
                    <wps:wsp>
                      <wps:cNvSpPr/>
                      <wps:spPr>
                        <a:xfrm>
                          <a:off x="8472170" y="6026150"/>
                          <a:ext cx="285750" cy="129540"/>
                        </a:xfrm>
                        <a:prstGeom prst="rect">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2.05pt;margin-top:369pt;height:10.2pt;width:22.5pt;z-index:251666432;v-text-anchor:middle;mso-width-relative:page;mso-height-relative:page;" filled="f" stroked="t" coordsize="21600,21600" o:gfxdata="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JMD34jYAAAADQEAAA8AAAAAAAAAAQAgAAAAIgAAAGRycy9kb3ducmV2LnhtbFBL&#10;AQIUABQAAAAIAIdO4kDLmpKoaAIAAMEEAAAOAAAAAAAAAAEAIAAAACcBAABkcnMvZTJvRG9jLnht&#10;bFBLBQYAAAAABgAGAFkBAAABBgAAAAA=&#10;">
                <v:fill on="f" focussize="0,0"/>
                <v:stroke weight="2pt" color="#C00000 [2404]" joinstyle="round"/>
                <v:imagedata o:title=""/>
                <o:lock v:ext="edit" aspectratio="f"/>
              </v:rect>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7383145</wp:posOffset>
                </wp:positionH>
                <wp:positionV relativeFrom="paragraph">
                  <wp:posOffset>4408805</wp:posOffset>
                </wp:positionV>
                <wp:extent cx="285750" cy="130175"/>
                <wp:effectExtent l="12700" t="12700" r="25400" b="28575"/>
                <wp:wrapNone/>
                <wp:docPr id="60" name="矩形 60"/>
                <wp:cNvGraphicFramePr/>
                <a:graphic xmlns:a="http://schemas.openxmlformats.org/drawingml/2006/main">
                  <a:graphicData uri="http://schemas.microsoft.com/office/word/2010/wordprocessingShape">
                    <wps:wsp>
                      <wps:cNvSpPr/>
                      <wps:spPr>
                        <a:xfrm>
                          <a:off x="8463280" y="5748655"/>
                          <a:ext cx="285750" cy="130175"/>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1.35pt;margin-top:347.15pt;height:10.25pt;width:22.5pt;z-index:251665408;v-text-anchor:middle;mso-width-relative:page;mso-height-relative:page;" filled="f" stroked="t" coordsize="21600,21600" o:gfxdata="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eF6fXcAAAADQEAAA8AAAAAAAAAAQAgAAAAIgAAAGRycy9kb3ducmV2&#10;LnhtbFBLAQIUABQAAAAIAIdO4kBfkLqlagIAAMEEAAAOAAAAAAAAAAEAIAAAACsBAABkcnMvZTJv&#10;RG9jLnhtbFBLBQYAAAAABgAGAFkBAAAHBgAAAAA=&#10;">
                <v:fill on="f" focussize="0,0"/>
                <v:stroke weight="2pt" color="#00B050 [2404]" joinstyle="round"/>
                <v:imagedata o:title=""/>
                <o:lock v:ext="edit" aspectratio="f"/>
              </v:rect>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7383145</wp:posOffset>
                </wp:positionH>
                <wp:positionV relativeFrom="paragraph">
                  <wp:posOffset>4166870</wp:posOffset>
                </wp:positionV>
                <wp:extent cx="285750" cy="138430"/>
                <wp:effectExtent l="12700" t="12700" r="25400" b="20320"/>
                <wp:wrapNone/>
                <wp:docPr id="58" name="矩形 58"/>
                <wp:cNvGraphicFramePr/>
                <a:graphic xmlns:a="http://schemas.openxmlformats.org/drawingml/2006/main">
                  <a:graphicData uri="http://schemas.microsoft.com/office/word/2010/wordprocessingShape">
                    <wps:wsp>
                      <wps:cNvSpPr/>
                      <wps:spPr>
                        <a:xfrm>
                          <a:off x="8463280" y="5506720"/>
                          <a:ext cx="285750" cy="13843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1.35pt;margin-top:328.1pt;height:10.9pt;width:22.5pt;z-index:251664384;v-text-anchor:middle;mso-width-relative:page;mso-height-relative:page;" filled="f" stroked="t" coordsize="21600,21600" o:gfxdata="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JE/ikjaAAAADQEAAA8AAAAAAAAAAQAgAAAAIgAA&#10;AGRycy9kb3ducmV2LnhtbFBLAQIUABQAAAAIAIdO4kDMuUgzeAIAAOMEAAAOAAAAAAAAAAEAIAAA&#10;ACkBAABkcnMvZTJvRG9jLnhtbFBLBQYAAAAABgAGAFkBAAATBgAAAAA=&#10;">
                <v:fill on="f" focussize="0,0"/>
                <v:stroke weight="2pt" color="#376092 [2404]" joinstyle="round"/>
                <v:imagedata o:title=""/>
                <o:lock v:ext="edit" aspectratio="f"/>
              </v:rect>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7305675</wp:posOffset>
                </wp:positionH>
                <wp:positionV relativeFrom="paragraph">
                  <wp:posOffset>3924300</wp:posOffset>
                </wp:positionV>
                <wp:extent cx="1203325" cy="1255395"/>
                <wp:effectExtent l="4445" t="5080" r="11430" b="15875"/>
                <wp:wrapNone/>
                <wp:docPr id="57" name="文本框 57"/>
                <wp:cNvGraphicFramePr/>
                <a:graphic xmlns:a="http://schemas.openxmlformats.org/drawingml/2006/main">
                  <a:graphicData uri="http://schemas.microsoft.com/office/word/2010/wordprocessingShape">
                    <wps:wsp>
                      <wps:cNvSpPr txBox="1"/>
                      <wps:spPr>
                        <a:xfrm>
                          <a:off x="8385810" y="5264150"/>
                          <a:ext cx="1203325" cy="1255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3B76957">
                            <w:pPr>
                              <w:rPr>
                                <w:rFonts w:hint="eastAsia"/>
                                <w:lang w:val="en-US" w:eastAsia="zh-CN"/>
                              </w:rPr>
                            </w:pPr>
                            <w:r>
                              <w:rPr>
                                <w:rFonts w:hint="eastAsia"/>
                                <w:lang w:val="en-US" w:eastAsia="zh-CN"/>
                              </w:rPr>
                              <w:t>图例</w:t>
                            </w:r>
                          </w:p>
                          <w:p w14:paraId="18506986">
                            <w:pPr>
                              <w:pStyle w:val="30"/>
                              <w:ind w:left="0" w:leftChars="0" w:firstLine="420" w:firstLineChars="200"/>
                              <w:rPr>
                                <w:rFonts w:hint="eastAsia"/>
                                <w:lang w:val="en-US" w:eastAsia="zh-CN"/>
                              </w:rPr>
                            </w:pPr>
                            <w:r>
                              <w:rPr>
                                <w:rFonts w:hint="eastAsia"/>
                                <w:lang w:val="en-US" w:eastAsia="zh-CN"/>
                              </w:rPr>
                              <w:t>本项目位置</w:t>
                            </w:r>
                          </w:p>
                          <w:p w14:paraId="3136F937">
                            <w:pPr>
                              <w:pStyle w:val="30"/>
                              <w:ind w:left="0" w:leftChars="0" w:firstLine="42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声环境50m</w:t>
                            </w:r>
                          </w:p>
                          <w:p w14:paraId="251E2B62">
                            <w:pPr>
                              <w:pStyle w:val="30"/>
                              <w:ind w:left="0" w:leftChars="0" w:firstLine="42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大气500m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25pt;margin-top:309pt;height:98.85pt;width:94.75pt;z-index:251663360;mso-width-relative:page;mso-height-relative:page;" fillcolor="#FFFFFF [3201]" filled="t" stroked="t" coordsize="21600,21600" o:gfxdata="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RA5V/tgAAAANAQAADwAAAAAAAAABACAAAAAiAAAAZHJzL2Rvd25yZXYueG1sUEsBAhQA&#10;FAAAAAgAh07iQEMkuBpkAgAAxgQAAA4AAAAAAAAAAQAgAAAAJwEAAGRycy9lMm9Eb2MueG1sUEsF&#10;BgAAAAAGAAYAWQEAAP0FAAAAAA==&#10;">
                <v:fill on="t" focussize="0,0"/>
                <v:stroke weight="0.5pt" color="#000000 [3204]" joinstyle="round"/>
                <v:imagedata o:title=""/>
                <o:lock v:ext="edit" aspectratio="f"/>
                <v:textbox>
                  <w:txbxContent>
                    <w:p w14:paraId="53B76957">
                      <w:pPr>
                        <w:rPr>
                          <w:rFonts w:hint="eastAsia"/>
                          <w:lang w:val="en-US" w:eastAsia="zh-CN"/>
                        </w:rPr>
                      </w:pPr>
                      <w:r>
                        <w:rPr>
                          <w:rFonts w:hint="eastAsia"/>
                          <w:lang w:val="en-US" w:eastAsia="zh-CN"/>
                        </w:rPr>
                        <w:t>图例</w:t>
                      </w:r>
                    </w:p>
                    <w:p w14:paraId="18506986">
                      <w:pPr>
                        <w:pStyle w:val="30"/>
                        <w:ind w:left="0" w:leftChars="0" w:firstLine="420" w:firstLineChars="200"/>
                        <w:rPr>
                          <w:rFonts w:hint="eastAsia"/>
                          <w:lang w:val="en-US" w:eastAsia="zh-CN"/>
                        </w:rPr>
                      </w:pPr>
                      <w:r>
                        <w:rPr>
                          <w:rFonts w:hint="eastAsia"/>
                          <w:lang w:val="en-US" w:eastAsia="zh-CN"/>
                        </w:rPr>
                        <w:t>本项目位置</w:t>
                      </w:r>
                    </w:p>
                    <w:p w14:paraId="3136F937">
                      <w:pPr>
                        <w:pStyle w:val="30"/>
                        <w:ind w:left="0" w:leftChars="0" w:firstLine="42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声环境50m</w:t>
                      </w:r>
                    </w:p>
                    <w:p w14:paraId="251E2B62">
                      <w:pPr>
                        <w:pStyle w:val="30"/>
                        <w:ind w:left="0" w:leftChars="0" w:firstLine="42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大气500m</w:t>
                      </w:r>
                    </w:p>
                  </w:txbxContent>
                </v:textbox>
              </v:shape>
            </w:pict>
          </mc:Fallback>
        </mc:AlternateContent>
      </w:r>
      <w:r>
        <w:drawing>
          <wp:anchor distT="0" distB="0" distL="114300" distR="114300" simplePos="0" relativeHeight="251667456" behindDoc="0" locked="0" layoutInCell="1" allowOverlap="1">
            <wp:simplePos x="0" y="0"/>
            <wp:positionH relativeFrom="column">
              <wp:posOffset>7019290</wp:posOffset>
            </wp:positionH>
            <wp:positionV relativeFrom="paragraph">
              <wp:posOffset>10160</wp:posOffset>
            </wp:positionV>
            <wp:extent cx="1478915" cy="1153160"/>
            <wp:effectExtent l="0" t="0" r="6985" b="8890"/>
            <wp:wrapNone/>
            <wp:docPr id="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0"/>
                    <pic:cNvPicPr>
                      <a:picLocks noChangeAspect="1"/>
                    </pic:cNvPicPr>
                  </pic:nvPicPr>
                  <pic:blipFill>
                    <a:blip r:embed="rId27"/>
                    <a:srcRect l="7535" t="12062" r="28831" b="8557"/>
                    <a:stretch>
                      <a:fillRect/>
                    </a:stretch>
                  </pic:blipFill>
                  <pic:spPr>
                    <a:xfrm>
                      <a:off x="0" y="0"/>
                      <a:ext cx="1478915" cy="1153160"/>
                    </a:xfrm>
                    <a:prstGeom prst="rect">
                      <a:avLst/>
                    </a:prstGeom>
                    <a:noFill/>
                    <a:ln>
                      <a:noFill/>
                    </a:ln>
                  </pic:spPr>
                </pic:pic>
              </a:graphicData>
            </a:graphic>
          </wp:anchor>
        </w:drawing>
      </w:r>
      <w:r>
        <w:rPr>
          <w:rFonts w:hint="eastAsia"/>
          <w:lang w:val="en-US" w:eastAsia="zh-CN"/>
        </w:rPr>
        <w:drawing>
          <wp:inline distT="0" distB="0" distL="114300" distR="114300">
            <wp:extent cx="8517255" cy="5207635"/>
            <wp:effectExtent l="0" t="0" r="17145" b="12065"/>
            <wp:docPr id="45" name="图片 45" descr="8ceee2af60cb9b459da0b0ba6e84f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8ceee2af60cb9b459da0b0ba6e84f6f"/>
                    <pic:cNvPicPr>
                      <a:picLocks noChangeAspect="1"/>
                    </pic:cNvPicPr>
                  </pic:nvPicPr>
                  <pic:blipFill>
                    <a:blip r:embed="rId30"/>
                    <a:stretch>
                      <a:fillRect/>
                    </a:stretch>
                  </pic:blipFill>
                  <pic:spPr>
                    <a:xfrm>
                      <a:off x="0" y="0"/>
                      <a:ext cx="8517255" cy="5207635"/>
                    </a:xfrm>
                    <a:prstGeom prst="rect">
                      <a:avLst/>
                    </a:prstGeom>
                  </pic:spPr>
                </pic:pic>
              </a:graphicData>
            </a:graphic>
          </wp:inline>
        </w:drawing>
      </w:r>
    </w:p>
    <w:p w14:paraId="6EFB02E4">
      <w:pPr>
        <w:pStyle w:val="2"/>
        <w:bidi w:val="0"/>
      </w:pPr>
      <w:bookmarkStart w:id="44" w:name="_Toc28004"/>
      <w:r>
        <w:rPr>
          <w:rFonts w:hint="eastAsia"/>
          <w:lang w:val="en-US" w:eastAsia="zh-CN"/>
        </w:rPr>
        <w:t>附图4</w:t>
      </w:r>
      <w:r>
        <w:t>双鸭山市中心城区声环境功能区划分示意图</w:t>
      </w:r>
      <w:bookmarkEnd w:id="44"/>
    </w:p>
    <w:p w14:paraId="38A23CEC">
      <w:pPr>
        <w:rPr>
          <w:rFonts w:hint="default" w:eastAsia="宋体"/>
          <w:b/>
          <w:bCs/>
          <w:lang w:val="en-US" w:eastAsia="zh-CN"/>
        </w:rPr>
      </w:pPr>
      <w:r>
        <w:rPr>
          <w:rFonts w:hint="eastAsia"/>
          <w:b/>
          <w:bCs/>
          <w:lang w:val="en-US" w:eastAsia="zh-CN"/>
        </w:rPr>
        <w:t>注：本项目不在声环境功能区划分示意图中</w:t>
      </w:r>
    </w:p>
    <w:p w14:paraId="75F86112">
      <w:pPr>
        <w:rPr>
          <w:rFonts w:hint="default"/>
          <w:lang w:val="en-US" w:eastAsia="zh-CN"/>
        </w:rPr>
      </w:pPr>
      <w:r>
        <w:drawing>
          <wp:inline distT="0" distB="0" distL="114300" distR="114300">
            <wp:extent cx="8135620" cy="4904105"/>
            <wp:effectExtent l="0" t="0" r="17780" b="10795"/>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31"/>
                    <a:stretch>
                      <a:fillRect/>
                    </a:stretch>
                  </pic:blipFill>
                  <pic:spPr>
                    <a:xfrm>
                      <a:off x="0" y="0"/>
                      <a:ext cx="8135620" cy="4904105"/>
                    </a:xfrm>
                    <a:prstGeom prst="rect">
                      <a:avLst/>
                    </a:prstGeom>
                    <a:noFill/>
                    <a:ln>
                      <a:noFill/>
                    </a:ln>
                  </pic:spPr>
                </pic:pic>
              </a:graphicData>
            </a:graphic>
          </wp:inline>
        </w:drawing>
      </w:r>
    </w:p>
    <w:p w14:paraId="6F87E292">
      <w:pPr>
        <w:pStyle w:val="2"/>
        <w:bidi w:val="0"/>
        <w:rPr>
          <w:rFonts w:hint="default" w:ascii="Times New Roman" w:hAnsi="Times New Roman" w:cs="Times New Roman"/>
          <w:highlight w:val="none"/>
          <w:lang w:val="en-US" w:eastAsia="zh-CN"/>
        </w:rPr>
      </w:pPr>
      <w:bookmarkStart w:id="45" w:name="_Toc12263"/>
      <w:r>
        <w:rPr>
          <w:rFonts w:hint="default" w:ascii="Times New Roman" w:hAnsi="Times New Roman" w:cs="Times New Roman"/>
          <w:highlight w:val="none"/>
        </w:rPr>
        <w:t>附件</w:t>
      </w:r>
      <w:r>
        <w:rPr>
          <w:rFonts w:hint="default" w:ascii="Times New Roman" w:hAnsi="Times New Roman" w:cs="Times New Roman"/>
          <w:highlight w:val="none"/>
          <w:lang w:val="en-US" w:eastAsia="zh-CN"/>
        </w:rPr>
        <w:t>1营业执照</w:t>
      </w:r>
      <w:bookmarkEnd w:id="45"/>
    </w:p>
    <w:p w14:paraId="2664A955">
      <w:pPr>
        <w:jc w:val="center"/>
        <w:rPr>
          <w:rFonts w:hint="eastAsia" w:ascii="Times New Roman" w:hAnsi="Times New Roman" w:eastAsia="宋体" w:cs="Times New Roman"/>
          <w:color w:val="auto"/>
          <w:highlight w:val="yellow"/>
          <w:lang w:eastAsia="zh-CN"/>
        </w:rPr>
      </w:pPr>
      <w:r>
        <w:drawing>
          <wp:inline distT="0" distB="0" distL="114300" distR="114300">
            <wp:extent cx="8526780" cy="5045075"/>
            <wp:effectExtent l="0" t="0" r="762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2"/>
                    <a:stretch>
                      <a:fillRect/>
                    </a:stretch>
                  </pic:blipFill>
                  <pic:spPr>
                    <a:xfrm>
                      <a:off x="0" y="0"/>
                      <a:ext cx="8526780" cy="5045075"/>
                    </a:xfrm>
                    <a:prstGeom prst="rect">
                      <a:avLst/>
                    </a:prstGeom>
                    <a:noFill/>
                    <a:ln>
                      <a:noFill/>
                    </a:ln>
                  </pic:spPr>
                </pic:pic>
              </a:graphicData>
            </a:graphic>
          </wp:inline>
        </w:drawing>
      </w:r>
    </w:p>
    <w:p w14:paraId="2A9C0421">
      <w:pPr>
        <w:jc w:val="both"/>
        <w:rPr>
          <w:rFonts w:hint="eastAsia" w:ascii="Times New Roman" w:hAnsi="Times New Roman" w:eastAsia="宋体" w:cs="Times New Roman"/>
          <w:color w:val="auto"/>
          <w:highlight w:val="yellow"/>
          <w:lang w:eastAsia="zh-CN"/>
        </w:rPr>
      </w:pPr>
    </w:p>
    <w:p w14:paraId="50948D6D">
      <w:pPr>
        <w:pStyle w:val="26"/>
        <w:adjustRightInd w:val="0"/>
        <w:snapToGrid w:val="0"/>
        <w:spacing w:before="0" w:beforeAutospacing="0" w:after="0" w:afterAutospacing="0"/>
        <w:outlineLvl w:val="9"/>
        <w:rPr>
          <w:rFonts w:hint="default" w:ascii="Times New Roman" w:hAnsi="Times New Roman" w:cs="Times New Roman"/>
          <w:color w:val="auto"/>
          <w:highlight w:val="yellow"/>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71EEE411">
      <w:pPr>
        <w:pStyle w:val="2"/>
        <w:bidi w:val="0"/>
        <w:rPr>
          <w:rFonts w:hint="eastAsia" w:cs="Times New Roman"/>
          <w:highlight w:val="none"/>
          <w:lang w:val="en-US" w:eastAsia="zh-CN"/>
        </w:rPr>
      </w:pPr>
      <w:bookmarkStart w:id="46" w:name="_Toc23043"/>
      <w:r>
        <w:rPr>
          <w:rFonts w:hint="default" w:ascii="Times New Roman" w:hAnsi="Times New Roman" w:cs="Times New Roman"/>
          <w:highlight w:val="none"/>
        </w:rPr>
        <w:t>附件</w:t>
      </w:r>
      <w:r>
        <w:rPr>
          <w:rFonts w:hint="eastAsia" w:cs="Times New Roman"/>
          <w:highlight w:val="none"/>
          <w:lang w:val="en-US" w:eastAsia="zh-CN"/>
        </w:rPr>
        <w:t>2</w:t>
      </w:r>
      <w:bookmarkEnd w:id="46"/>
      <w:r>
        <w:rPr>
          <w:rFonts w:hint="eastAsia" w:cs="Times New Roman"/>
          <w:highlight w:val="none"/>
          <w:lang w:val="en-US" w:eastAsia="zh-CN"/>
        </w:rPr>
        <w:t>未批先建处罚单</w:t>
      </w:r>
    </w:p>
    <w:p w14:paraId="1676F98A">
      <w:pPr>
        <w:rPr>
          <w:rFonts w:hint="default"/>
          <w:lang w:val="en-US" w:eastAsia="zh-CN"/>
        </w:rPr>
      </w:pPr>
      <w:r>
        <w:drawing>
          <wp:inline distT="0" distB="0" distL="114300" distR="114300">
            <wp:extent cx="5614670" cy="7971790"/>
            <wp:effectExtent l="0" t="0" r="5080" b="10160"/>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33"/>
                    <a:stretch>
                      <a:fillRect/>
                    </a:stretch>
                  </pic:blipFill>
                  <pic:spPr>
                    <a:xfrm>
                      <a:off x="0" y="0"/>
                      <a:ext cx="5614670" cy="7971790"/>
                    </a:xfrm>
                    <a:prstGeom prst="rect">
                      <a:avLst/>
                    </a:prstGeom>
                    <a:noFill/>
                    <a:ln>
                      <a:noFill/>
                    </a:ln>
                  </pic:spPr>
                </pic:pic>
              </a:graphicData>
            </a:graphic>
          </wp:inline>
        </w:drawing>
      </w:r>
      <w:r>
        <w:drawing>
          <wp:inline distT="0" distB="0" distL="114300" distR="114300">
            <wp:extent cx="5610860" cy="7694930"/>
            <wp:effectExtent l="0" t="0" r="8890" b="1270"/>
            <wp:docPr id="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1"/>
                    </pic:cNvPicPr>
                  </pic:nvPicPr>
                  <pic:blipFill>
                    <a:blip r:embed="rId34"/>
                    <a:stretch>
                      <a:fillRect/>
                    </a:stretch>
                  </pic:blipFill>
                  <pic:spPr>
                    <a:xfrm>
                      <a:off x="0" y="0"/>
                      <a:ext cx="5610860" cy="7694930"/>
                    </a:xfrm>
                    <a:prstGeom prst="rect">
                      <a:avLst/>
                    </a:prstGeom>
                    <a:noFill/>
                    <a:ln>
                      <a:noFill/>
                    </a:ln>
                  </pic:spPr>
                </pic:pic>
              </a:graphicData>
            </a:graphic>
          </wp:inline>
        </w:drawing>
      </w:r>
      <w:r>
        <w:drawing>
          <wp:inline distT="0" distB="0" distL="114300" distR="114300">
            <wp:extent cx="5610860" cy="8142605"/>
            <wp:effectExtent l="0" t="0" r="8890" b="10795"/>
            <wp:docPr id="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pic:cNvPicPr>
                      <a:picLocks noChangeAspect="1"/>
                    </pic:cNvPicPr>
                  </pic:nvPicPr>
                  <pic:blipFill>
                    <a:blip r:embed="rId35"/>
                    <a:stretch>
                      <a:fillRect/>
                    </a:stretch>
                  </pic:blipFill>
                  <pic:spPr>
                    <a:xfrm>
                      <a:off x="0" y="0"/>
                      <a:ext cx="5610860" cy="8142605"/>
                    </a:xfrm>
                    <a:prstGeom prst="rect">
                      <a:avLst/>
                    </a:prstGeom>
                    <a:noFill/>
                    <a:ln>
                      <a:noFill/>
                    </a:ln>
                  </pic:spPr>
                </pic:pic>
              </a:graphicData>
            </a:graphic>
          </wp:inline>
        </w:drawing>
      </w:r>
      <w:r>
        <w:drawing>
          <wp:inline distT="0" distB="0" distL="114300" distR="114300">
            <wp:extent cx="5610860" cy="7960995"/>
            <wp:effectExtent l="0" t="0" r="8890" b="1905"/>
            <wp:docPr id="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
                    <pic:cNvPicPr>
                      <a:picLocks noChangeAspect="1"/>
                    </pic:cNvPicPr>
                  </pic:nvPicPr>
                  <pic:blipFill>
                    <a:blip r:embed="rId36"/>
                    <a:stretch>
                      <a:fillRect/>
                    </a:stretch>
                  </pic:blipFill>
                  <pic:spPr>
                    <a:xfrm>
                      <a:off x="0" y="0"/>
                      <a:ext cx="5610860" cy="7960995"/>
                    </a:xfrm>
                    <a:prstGeom prst="rect">
                      <a:avLst/>
                    </a:prstGeom>
                    <a:noFill/>
                    <a:ln>
                      <a:noFill/>
                    </a:ln>
                  </pic:spPr>
                </pic:pic>
              </a:graphicData>
            </a:graphic>
          </wp:inline>
        </w:drawing>
      </w:r>
      <w:r>
        <w:drawing>
          <wp:inline distT="0" distB="0" distL="114300" distR="114300">
            <wp:extent cx="5612765" cy="8287385"/>
            <wp:effectExtent l="0" t="0" r="6985" b="18415"/>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1"/>
                    </pic:cNvPicPr>
                  </pic:nvPicPr>
                  <pic:blipFill>
                    <a:blip r:embed="rId37"/>
                    <a:stretch>
                      <a:fillRect/>
                    </a:stretch>
                  </pic:blipFill>
                  <pic:spPr>
                    <a:xfrm>
                      <a:off x="0" y="0"/>
                      <a:ext cx="5612765" cy="8287385"/>
                    </a:xfrm>
                    <a:prstGeom prst="rect">
                      <a:avLst/>
                    </a:prstGeom>
                    <a:noFill/>
                    <a:ln>
                      <a:noFill/>
                    </a:ln>
                  </pic:spPr>
                </pic:pic>
              </a:graphicData>
            </a:graphic>
          </wp:inline>
        </w:drawing>
      </w:r>
    </w:p>
    <w:p w14:paraId="2A096812">
      <w:pPr>
        <w:pStyle w:val="2"/>
        <w:bidi w:val="0"/>
        <w:rPr>
          <w:rFonts w:hint="default"/>
          <w:lang w:val="en-US" w:eastAsia="zh-CN"/>
        </w:rPr>
      </w:pPr>
      <w:r>
        <w:rPr>
          <w:rFonts w:hint="eastAsia"/>
          <w:lang w:val="en-US" w:eastAsia="zh-CN"/>
        </w:rPr>
        <w:t>附件3现状检测报告</w:t>
      </w:r>
    </w:p>
    <w:p w14:paraId="4D90F93F">
      <w:pPr>
        <w:jc w:val="center"/>
        <w:rPr>
          <w:rFonts w:hint="eastAsia" w:eastAsia="宋体"/>
          <w:highlight w:val="none"/>
          <w:lang w:eastAsia="zh-CN"/>
        </w:rPr>
      </w:pPr>
      <w:r>
        <w:rPr>
          <w:rFonts w:hint="eastAsia" w:eastAsia="宋体"/>
          <w:highlight w:val="none"/>
          <w:lang w:eastAsia="zh-CN"/>
        </w:rPr>
        <w:drawing>
          <wp:inline distT="0" distB="0" distL="114300" distR="114300">
            <wp:extent cx="5612130" cy="7976870"/>
            <wp:effectExtent l="0" t="0" r="7620" b="5080"/>
            <wp:docPr id="8" name="图片 8" descr="97902c8c4e250b36aea6b9b03d4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97902c8c4e250b36aea6b9b03d43523"/>
                    <pic:cNvPicPr>
                      <a:picLocks noChangeAspect="1"/>
                    </pic:cNvPicPr>
                  </pic:nvPicPr>
                  <pic:blipFill>
                    <a:blip r:embed="rId38"/>
                    <a:stretch>
                      <a:fillRect/>
                    </a:stretch>
                  </pic:blipFill>
                  <pic:spPr>
                    <a:xfrm>
                      <a:off x="0" y="0"/>
                      <a:ext cx="5612130" cy="7976870"/>
                    </a:xfrm>
                    <a:prstGeom prst="rect">
                      <a:avLst/>
                    </a:prstGeom>
                  </pic:spPr>
                </pic:pic>
              </a:graphicData>
            </a:graphic>
          </wp:inline>
        </w:drawing>
      </w:r>
    </w:p>
    <w:p w14:paraId="3B4A0577">
      <w:pPr>
        <w:bidi w:val="0"/>
        <w:jc w:val="center"/>
        <w:rPr>
          <w:rFonts w:hint="eastAsia" w:eastAsia="宋体"/>
          <w:highlight w:val="none"/>
          <w:lang w:eastAsia="zh-CN"/>
        </w:rPr>
      </w:pPr>
      <w:r>
        <w:rPr>
          <w:rFonts w:hint="eastAsia" w:eastAsia="宋体"/>
          <w:highlight w:val="none"/>
          <w:lang w:eastAsia="zh-CN"/>
        </w:rPr>
        <w:drawing>
          <wp:inline distT="0" distB="0" distL="114300" distR="114300">
            <wp:extent cx="5614670" cy="7943215"/>
            <wp:effectExtent l="0" t="0" r="5080" b="635"/>
            <wp:docPr id="20" name="图片 20" descr="91c5020dc9bdddef921658daeb7c6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91c5020dc9bdddef921658daeb7c61f"/>
                    <pic:cNvPicPr>
                      <a:picLocks noChangeAspect="1"/>
                    </pic:cNvPicPr>
                  </pic:nvPicPr>
                  <pic:blipFill>
                    <a:blip r:embed="rId39"/>
                    <a:stretch>
                      <a:fillRect/>
                    </a:stretch>
                  </pic:blipFill>
                  <pic:spPr>
                    <a:xfrm>
                      <a:off x="0" y="0"/>
                      <a:ext cx="5614670" cy="7943215"/>
                    </a:xfrm>
                    <a:prstGeom prst="rect">
                      <a:avLst/>
                    </a:prstGeom>
                  </pic:spPr>
                </pic:pic>
              </a:graphicData>
            </a:graphic>
          </wp:inline>
        </w:drawing>
      </w:r>
    </w:p>
    <w:p w14:paraId="0E6F7E1B">
      <w:pPr>
        <w:bidi w:val="0"/>
        <w:jc w:val="center"/>
        <w:rPr>
          <w:rFonts w:hint="eastAsia" w:eastAsia="宋体"/>
          <w:highlight w:val="none"/>
          <w:lang w:eastAsia="zh-CN"/>
        </w:rPr>
      </w:pPr>
      <w:r>
        <w:rPr>
          <w:rFonts w:hint="eastAsia" w:eastAsia="宋体"/>
          <w:highlight w:val="none"/>
          <w:lang w:eastAsia="zh-CN"/>
        </w:rPr>
        <w:drawing>
          <wp:inline distT="0" distB="0" distL="114300" distR="114300">
            <wp:extent cx="5614035" cy="7888605"/>
            <wp:effectExtent l="0" t="0" r="5715" b="17145"/>
            <wp:docPr id="21" name="图片 21" descr="44d26232c4305a6aabc0ad9b3a136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44d26232c4305a6aabc0ad9b3a1367b"/>
                    <pic:cNvPicPr>
                      <a:picLocks noChangeAspect="1"/>
                    </pic:cNvPicPr>
                  </pic:nvPicPr>
                  <pic:blipFill>
                    <a:blip r:embed="rId40"/>
                    <a:stretch>
                      <a:fillRect/>
                    </a:stretch>
                  </pic:blipFill>
                  <pic:spPr>
                    <a:xfrm>
                      <a:off x="0" y="0"/>
                      <a:ext cx="5614035" cy="7888605"/>
                    </a:xfrm>
                    <a:prstGeom prst="rect">
                      <a:avLst/>
                    </a:prstGeom>
                  </pic:spPr>
                </pic:pic>
              </a:graphicData>
            </a:graphic>
          </wp:inline>
        </w:drawing>
      </w:r>
    </w:p>
    <w:p w14:paraId="4032D5FC">
      <w:pPr>
        <w:bidi w:val="0"/>
        <w:jc w:val="center"/>
        <w:rPr>
          <w:rFonts w:hint="eastAsia" w:eastAsia="宋体"/>
          <w:highlight w:val="none"/>
          <w:lang w:eastAsia="zh-CN"/>
        </w:rPr>
      </w:pPr>
      <w:r>
        <w:rPr>
          <w:rFonts w:hint="eastAsia" w:eastAsia="宋体"/>
          <w:highlight w:val="none"/>
          <w:lang w:eastAsia="zh-CN"/>
        </w:rPr>
        <w:drawing>
          <wp:inline distT="0" distB="0" distL="114300" distR="114300">
            <wp:extent cx="5543550" cy="7686675"/>
            <wp:effectExtent l="0" t="0" r="0" b="9525"/>
            <wp:docPr id="29" name="图片 29" descr="1f3e272dc815fa01043350f3fc152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f3e272dc815fa01043350f3fc152ac"/>
                    <pic:cNvPicPr>
                      <a:picLocks noChangeAspect="1"/>
                    </pic:cNvPicPr>
                  </pic:nvPicPr>
                  <pic:blipFill>
                    <a:blip r:embed="rId41"/>
                    <a:stretch>
                      <a:fillRect/>
                    </a:stretch>
                  </pic:blipFill>
                  <pic:spPr>
                    <a:xfrm>
                      <a:off x="0" y="0"/>
                      <a:ext cx="5543550" cy="7686675"/>
                    </a:xfrm>
                    <a:prstGeom prst="rect">
                      <a:avLst/>
                    </a:prstGeom>
                  </pic:spPr>
                </pic:pic>
              </a:graphicData>
            </a:graphic>
          </wp:inline>
        </w:drawing>
      </w:r>
    </w:p>
    <w:p w14:paraId="31A6EFF0">
      <w:pPr>
        <w:pStyle w:val="30"/>
        <w:rPr>
          <w:rFonts w:hint="eastAsia"/>
          <w:highlight w:val="yellow"/>
          <w:lang w:eastAsia="zh-CN"/>
        </w:rPr>
      </w:pPr>
    </w:p>
    <w:p w14:paraId="5C7207CA">
      <w:pPr>
        <w:bidi w:val="0"/>
        <w:jc w:val="center"/>
        <w:rPr>
          <w:rFonts w:hint="eastAsia"/>
          <w:highlight w:val="yellow"/>
          <w:lang w:eastAsia="zh-CN"/>
        </w:rPr>
      </w:pPr>
    </w:p>
    <w:p w14:paraId="4F1C926B">
      <w:pPr>
        <w:pStyle w:val="30"/>
        <w:rPr>
          <w:rFonts w:hint="eastAsia"/>
          <w:highlight w:val="yellow"/>
          <w:lang w:eastAsia="zh-CN"/>
        </w:rPr>
      </w:pPr>
    </w:p>
    <w:p w14:paraId="55DAEE0A">
      <w:pPr>
        <w:pStyle w:val="29"/>
        <w:rPr>
          <w:rFonts w:hint="eastAsia"/>
          <w:highlight w:val="yellow"/>
          <w:lang w:eastAsia="zh-CN"/>
        </w:rPr>
      </w:pPr>
    </w:p>
    <w:p w14:paraId="561069E4">
      <w:pPr>
        <w:jc w:val="center"/>
        <w:rPr>
          <w:rFonts w:hint="eastAsia"/>
          <w:highlight w:val="yellow"/>
          <w:lang w:eastAsia="zh-CN"/>
        </w:rPr>
      </w:pPr>
    </w:p>
    <w:p w14:paraId="16CE39D0">
      <w:pPr>
        <w:pStyle w:val="2"/>
        <w:bidi w:val="0"/>
        <w:rPr>
          <w:rFonts w:hint="default" w:ascii="Times New Roman" w:hAnsi="Times New Roman" w:cs="Times New Roman"/>
          <w:color w:val="auto"/>
          <w:highlight w:val="none"/>
        </w:rPr>
      </w:pPr>
      <w:bookmarkStart w:id="47" w:name="_Toc25905"/>
      <w:r>
        <w:rPr>
          <w:rFonts w:hint="default" w:ascii="Times New Roman" w:hAnsi="Times New Roman" w:cs="Times New Roman"/>
          <w:color w:val="auto"/>
          <w:highlight w:val="none"/>
        </w:rPr>
        <w:t>附件</w:t>
      </w:r>
      <w:r>
        <w:rPr>
          <w:rFonts w:hint="eastAsia" w:cs="Times New Roman"/>
          <w:color w:val="auto"/>
          <w:highlight w:val="none"/>
          <w:lang w:val="en-US" w:eastAsia="zh-CN"/>
        </w:rPr>
        <w:t>3生物质燃料</w:t>
      </w:r>
      <w:r>
        <w:rPr>
          <w:rFonts w:hint="default" w:ascii="Times New Roman" w:hAnsi="Times New Roman" w:cs="Times New Roman"/>
          <w:color w:val="auto"/>
          <w:highlight w:val="none"/>
        </w:rPr>
        <w:t>分析报告</w:t>
      </w:r>
      <w:bookmarkEnd w:id="47"/>
    </w:p>
    <w:p w14:paraId="708DCE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生物质燃料不进行汞分析的理由：生物质燃料（如木材、秸秆、农林废弃物等）的汞含量通常远低于化石燃料（如煤炭）。植物在生长过程中对汞的富集能力较弱，且汞并非生物质燃料的主要污染物。煤炭燃烧是人为汞排放的主要来源（占全球排放的20-30%），而生物质燃烧的汞排放量通常可忽略不计（除非在汞污染严重的地区生长的生物质）。</w:t>
      </w:r>
    </w:p>
    <w:p w14:paraId="26D6D2A7">
      <w:pPr>
        <w:bidi w:val="0"/>
        <w:rPr>
          <w:rFonts w:hint="default" w:ascii="Times New Roman" w:hAnsi="Times New Roman" w:cs="Times New Roman"/>
          <w:highlight w:val="yellow"/>
        </w:rPr>
      </w:pPr>
      <w:r>
        <w:rPr>
          <w:rFonts w:hint="default" w:ascii="Times New Roman" w:hAnsi="Times New Roman" w:cs="Times New Roman"/>
        </w:rPr>
        <w:drawing>
          <wp:inline distT="0" distB="0" distL="114300" distR="114300">
            <wp:extent cx="5267325" cy="6261100"/>
            <wp:effectExtent l="0" t="0" r="9525"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2"/>
                    <a:stretch>
                      <a:fillRect/>
                    </a:stretch>
                  </pic:blipFill>
                  <pic:spPr>
                    <a:xfrm>
                      <a:off x="0" y="0"/>
                      <a:ext cx="5267325" cy="626110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276850" cy="7800975"/>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3"/>
                    <a:stretch>
                      <a:fillRect/>
                    </a:stretch>
                  </pic:blipFill>
                  <pic:spPr>
                    <a:xfrm>
                      <a:off x="0" y="0"/>
                      <a:ext cx="5276850" cy="780097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278120" cy="7953375"/>
            <wp:effectExtent l="0" t="0" r="17780" b="9525"/>
            <wp:docPr id="19" name="图片 22" descr="1D1KDVI6ZP@MT80]_(D@)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2" descr="1D1KDVI6ZP@MT80]_(D@)G6"/>
                    <pic:cNvPicPr>
                      <a:picLocks noChangeAspect="1"/>
                    </pic:cNvPicPr>
                  </pic:nvPicPr>
                  <pic:blipFill>
                    <a:blip r:embed="rId44"/>
                    <a:stretch>
                      <a:fillRect/>
                    </a:stretch>
                  </pic:blipFill>
                  <pic:spPr>
                    <a:xfrm>
                      <a:off x="0" y="0"/>
                      <a:ext cx="5278120" cy="7953375"/>
                    </a:xfrm>
                    <a:prstGeom prst="rect">
                      <a:avLst/>
                    </a:prstGeom>
                    <a:noFill/>
                    <a:ln>
                      <a:noFill/>
                    </a:ln>
                  </pic:spPr>
                </pic:pic>
              </a:graphicData>
            </a:graphic>
          </wp:inline>
        </w:drawing>
      </w:r>
    </w:p>
    <w:p w14:paraId="11740F01">
      <w:pPr>
        <w:bidi w:val="0"/>
        <w:rPr>
          <w:rFonts w:hint="default" w:ascii="Times New Roman" w:hAnsi="Times New Roman" w:cs="Times New Roman"/>
          <w:highlight w:val="yellow"/>
        </w:rPr>
      </w:pPr>
    </w:p>
    <w:p w14:paraId="384D7A7F">
      <w:pPr>
        <w:bidi w:val="0"/>
        <w:rPr>
          <w:rFonts w:hint="default" w:ascii="Times New Roman" w:hAnsi="Times New Roman" w:cs="Times New Roman"/>
          <w:highlight w:val="yellow"/>
        </w:rPr>
      </w:pPr>
    </w:p>
    <w:p w14:paraId="5D8635ED">
      <w:pPr>
        <w:pStyle w:val="26"/>
        <w:adjustRightInd w:val="0"/>
        <w:snapToGrid w:val="0"/>
        <w:spacing w:before="0" w:beforeAutospacing="0" w:after="0" w:afterAutospacing="0"/>
        <w:outlineLvl w:val="9"/>
        <w:rPr>
          <w:rFonts w:hint="default" w:ascii="Times New Roman" w:hAnsi="Times New Roman" w:eastAsia="黑体" w:cs="Times New Roman"/>
          <w:color w:val="auto"/>
          <w:highlight w:val="yellow"/>
          <w:lang w:eastAsia="zh-CN"/>
        </w:rPr>
      </w:pPr>
    </w:p>
    <w:p w14:paraId="181B7E03">
      <w:pPr>
        <w:bidi w:val="0"/>
        <w:jc w:val="center"/>
        <w:rPr>
          <w:rFonts w:hint="default"/>
          <w:highlight w:val="yellow"/>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2B0120A">
      <w:pPr>
        <w:pStyle w:val="2"/>
        <w:bidi w:val="0"/>
        <w:rPr>
          <w:rFonts w:hint="default" w:cs="Times New Roman"/>
          <w:highlight w:val="none"/>
          <w:lang w:val="en-US" w:eastAsia="zh-CN"/>
        </w:rPr>
      </w:pPr>
      <w:bookmarkStart w:id="48" w:name="_Toc19410"/>
      <w:r>
        <w:rPr>
          <w:rFonts w:hint="eastAsia" w:cs="Times New Roman"/>
          <w:highlight w:val="none"/>
          <w:lang w:val="en-US" w:eastAsia="zh-CN"/>
        </w:rPr>
        <w:t>附件4生态环境分区管控分析报告</w:t>
      </w:r>
      <w:bookmarkEnd w:id="48"/>
    </w:p>
    <w:p w14:paraId="40C44ADC">
      <w:pPr>
        <w:rPr>
          <w:rFonts w:hint="eastAsia" w:ascii="Times New Roman" w:hAnsi="Times New Roman" w:eastAsia="宋体" w:cs="Times New Roman"/>
          <w:sz w:val="32"/>
          <w:szCs w:val="32"/>
          <w:highlight w:val="yellow"/>
          <w:lang w:eastAsia="zh-CN"/>
        </w:rPr>
      </w:pPr>
      <w:r>
        <w:rPr>
          <w:highlight w:val="none"/>
        </w:rPr>
        <w:drawing>
          <wp:inline distT="0" distB="0" distL="114300" distR="114300">
            <wp:extent cx="5607685" cy="3959860"/>
            <wp:effectExtent l="0" t="0" r="12065" b="2540"/>
            <wp:docPr id="2" name="图片 2" descr="4e794ca706d0de77f2e4d1c3fe510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e794ca706d0de77f2e4d1c3fe510f6"/>
                    <pic:cNvPicPr>
                      <a:picLocks noChangeAspect="1"/>
                    </pic:cNvPicPr>
                  </pic:nvPicPr>
                  <pic:blipFill>
                    <a:blip r:embed="rId45"/>
                    <a:stretch>
                      <a:fillRect/>
                    </a:stretch>
                  </pic:blipFill>
                  <pic:spPr>
                    <a:xfrm>
                      <a:off x="0" y="0"/>
                      <a:ext cx="5607685" cy="3959860"/>
                    </a:xfrm>
                    <a:prstGeom prst="rect">
                      <a:avLst/>
                    </a:prstGeom>
                  </pic:spPr>
                </pic:pic>
              </a:graphicData>
            </a:graphic>
          </wp:inline>
        </w:drawing>
      </w:r>
      <w:r>
        <w:rPr>
          <w:highlight w:val="none"/>
        </w:rPr>
        <w:drawing>
          <wp:inline distT="0" distB="0" distL="114300" distR="114300">
            <wp:extent cx="5610860" cy="3965575"/>
            <wp:effectExtent l="0" t="0" r="8890" b="15875"/>
            <wp:docPr id="5" name="图片 5" descr="a2d1ee1bb04806b23f96075de2132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a2d1ee1bb04806b23f96075de2132f9"/>
                    <pic:cNvPicPr>
                      <a:picLocks noChangeAspect="1"/>
                    </pic:cNvPicPr>
                  </pic:nvPicPr>
                  <pic:blipFill>
                    <a:blip r:embed="rId46"/>
                    <a:stretch>
                      <a:fillRect/>
                    </a:stretch>
                  </pic:blipFill>
                  <pic:spPr>
                    <a:xfrm>
                      <a:off x="0" y="0"/>
                      <a:ext cx="5610860" cy="3965575"/>
                    </a:xfrm>
                    <a:prstGeom prst="rect">
                      <a:avLst/>
                    </a:prstGeom>
                  </pic:spPr>
                </pic:pic>
              </a:graphicData>
            </a:graphic>
          </wp:inline>
        </w:drawing>
      </w:r>
      <w:r>
        <w:rPr>
          <w:highlight w:val="none"/>
        </w:rPr>
        <w:drawing>
          <wp:inline distT="0" distB="0" distL="114300" distR="114300">
            <wp:extent cx="5610225" cy="3963035"/>
            <wp:effectExtent l="0" t="0" r="9525" b="18415"/>
            <wp:docPr id="6" name="图片 6" descr="e556ad9d70c312ded5edd8cf86a75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556ad9d70c312ded5edd8cf86a752c"/>
                    <pic:cNvPicPr>
                      <a:picLocks noChangeAspect="1"/>
                    </pic:cNvPicPr>
                  </pic:nvPicPr>
                  <pic:blipFill>
                    <a:blip r:embed="rId47"/>
                    <a:stretch>
                      <a:fillRect/>
                    </a:stretch>
                  </pic:blipFill>
                  <pic:spPr>
                    <a:xfrm>
                      <a:off x="0" y="0"/>
                      <a:ext cx="5610225" cy="3963035"/>
                    </a:xfrm>
                    <a:prstGeom prst="rect">
                      <a:avLst/>
                    </a:prstGeom>
                  </pic:spPr>
                </pic:pic>
              </a:graphicData>
            </a:graphic>
          </wp:inline>
        </w:drawing>
      </w:r>
      <w:r>
        <w:rPr>
          <w:highlight w:val="none"/>
        </w:rPr>
        <w:drawing>
          <wp:inline distT="0" distB="0" distL="114300" distR="114300">
            <wp:extent cx="5613400" cy="3957955"/>
            <wp:effectExtent l="0" t="0" r="6350" b="4445"/>
            <wp:docPr id="7" name="图片 7" descr="646b5bf72a36ce291aea2ad1698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46b5bf72a36ce291aea2ad16988269"/>
                    <pic:cNvPicPr>
                      <a:picLocks noChangeAspect="1"/>
                    </pic:cNvPicPr>
                  </pic:nvPicPr>
                  <pic:blipFill>
                    <a:blip r:embed="rId48"/>
                    <a:stretch>
                      <a:fillRect/>
                    </a:stretch>
                  </pic:blipFill>
                  <pic:spPr>
                    <a:xfrm>
                      <a:off x="0" y="0"/>
                      <a:ext cx="5613400" cy="3957955"/>
                    </a:xfrm>
                    <a:prstGeom prst="rect">
                      <a:avLst/>
                    </a:prstGeom>
                  </pic:spPr>
                </pic:pic>
              </a:graphicData>
            </a:graphic>
          </wp:inline>
        </w:drawing>
      </w:r>
      <w:r>
        <w:rPr>
          <w:highlight w:val="none"/>
        </w:rPr>
        <w:drawing>
          <wp:inline distT="0" distB="0" distL="114300" distR="114300">
            <wp:extent cx="5610860" cy="3970655"/>
            <wp:effectExtent l="0" t="0" r="8890" b="10795"/>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49"/>
                    <a:stretch>
                      <a:fillRect/>
                    </a:stretch>
                  </pic:blipFill>
                  <pic:spPr>
                    <a:xfrm>
                      <a:off x="0" y="0"/>
                      <a:ext cx="5610860" cy="3970655"/>
                    </a:xfrm>
                    <a:prstGeom prst="rect">
                      <a:avLst/>
                    </a:prstGeom>
                    <a:noFill/>
                    <a:ln>
                      <a:noFill/>
                    </a:ln>
                  </pic:spPr>
                </pic:pic>
              </a:graphicData>
            </a:graphic>
          </wp:inline>
        </w:drawing>
      </w:r>
      <w:r>
        <w:rPr>
          <w:highlight w:val="none"/>
        </w:rPr>
        <w:drawing>
          <wp:inline distT="0" distB="0" distL="114300" distR="114300">
            <wp:extent cx="5610225" cy="3916680"/>
            <wp:effectExtent l="0" t="0" r="9525" b="7620"/>
            <wp:docPr id="48" name="图片 48" descr="ffb26c477483f5eee41956693263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ffb26c477483f5eee41956693263e66"/>
                    <pic:cNvPicPr>
                      <a:picLocks noChangeAspect="1"/>
                    </pic:cNvPicPr>
                  </pic:nvPicPr>
                  <pic:blipFill>
                    <a:blip r:embed="rId50"/>
                    <a:stretch>
                      <a:fillRect/>
                    </a:stretch>
                  </pic:blipFill>
                  <pic:spPr>
                    <a:xfrm>
                      <a:off x="0" y="0"/>
                      <a:ext cx="5610225" cy="3916680"/>
                    </a:xfrm>
                    <a:prstGeom prst="rect">
                      <a:avLst/>
                    </a:prstGeom>
                  </pic:spPr>
                </pic:pic>
              </a:graphicData>
            </a:graphic>
          </wp:inline>
        </w:drawing>
      </w:r>
      <w:r>
        <w:rPr>
          <w:highlight w:val="none"/>
        </w:rPr>
        <w:drawing>
          <wp:inline distT="0" distB="0" distL="114300" distR="114300">
            <wp:extent cx="5612130" cy="3975735"/>
            <wp:effectExtent l="0" t="0" r="7620" b="5715"/>
            <wp:docPr id="53" name="图片 53" descr="d4a979382464beea3b488a69a287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4a979382464beea3b488a69a287100"/>
                    <pic:cNvPicPr>
                      <a:picLocks noChangeAspect="1"/>
                    </pic:cNvPicPr>
                  </pic:nvPicPr>
                  <pic:blipFill>
                    <a:blip r:embed="rId51"/>
                    <a:stretch>
                      <a:fillRect/>
                    </a:stretch>
                  </pic:blipFill>
                  <pic:spPr>
                    <a:xfrm>
                      <a:off x="0" y="0"/>
                      <a:ext cx="5612130" cy="3975735"/>
                    </a:xfrm>
                    <a:prstGeom prst="rect">
                      <a:avLst/>
                    </a:prstGeom>
                  </pic:spPr>
                </pic:pic>
              </a:graphicData>
            </a:graphic>
          </wp:inline>
        </w:drawing>
      </w:r>
      <w:r>
        <w:rPr>
          <w:highlight w:val="none"/>
        </w:rPr>
        <w:drawing>
          <wp:inline distT="0" distB="0" distL="114300" distR="114300">
            <wp:extent cx="5610225" cy="3963035"/>
            <wp:effectExtent l="0" t="0" r="9525" b="18415"/>
            <wp:docPr id="54" name="图片 54" descr="43b44c2c1ade4eb6c76a7fb57b6a4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43b44c2c1ade4eb6c76a7fb57b6a4b2"/>
                    <pic:cNvPicPr>
                      <a:picLocks noChangeAspect="1"/>
                    </pic:cNvPicPr>
                  </pic:nvPicPr>
                  <pic:blipFill>
                    <a:blip r:embed="rId52"/>
                    <a:stretch>
                      <a:fillRect/>
                    </a:stretch>
                  </pic:blipFill>
                  <pic:spPr>
                    <a:xfrm>
                      <a:off x="0" y="0"/>
                      <a:ext cx="5610225" cy="3963035"/>
                    </a:xfrm>
                    <a:prstGeom prst="rect">
                      <a:avLst/>
                    </a:prstGeom>
                  </pic:spPr>
                </pic:pic>
              </a:graphicData>
            </a:graphic>
          </wp:inline>
        </w:drawing>
      </w:r>
      <w:r>
        <w:rPr>
          <w:highlight w:val="none"/>
        </w:rPr>
        <w:drawing>
          <wp:inline distT="0" distB="0" distL="114300" distR="114300">
            <wp:extent cx="5615305" cy="3957955"/>
            <wp:effectExtent l="0" t="0" r="4445" b="4445"/>
            <wp:docPr id="61" name="图片 61" descr="e5ea4ae1fe3a65a96c6b20042a53a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e5ea4ae1fe3a65a96c6b20042a53a4c"/>
                    <pic:cNvPicPr>
                      <a:picLocks noChangeAspect="1"/>
                    </pic:cNvPicPr>
                  </pic:nvPicPr>
                  <pic:blipFill>
                    <a:blip r:embed="rId53"/>
                    <a:stretch>
                      <a:fillRect/>
                    </a:stretch>
                  </pic:blipFill>
                  <pic:spPr>
                    <a:xfrm>
                      <a:off x="0" y="0"/>
                      <a:ext cx="5615305" cy="3957955"/>
                    </a:xfrm>
                    <a:prstGeom prst="rect">
                      <a:avLst/>
                    </a:prstGeom>
                  </pic:spPr>
                </pic:pic>
              </a:graphicData>
            </a:graphic>
          </wp:inline>
        </w:drawing>
      </w:r>
      <w:r>
        <w:rPr>
          <w:rFonts w:hint="eastAsia" w:ascii="Times New Roman" w:hAnsi="Times New Roman" w:eastAsia="宋体" w:cs="Times New Roman"/>
          <w:sz w:val="32"/>
          <w:szCs w:val="32"/>
          <w:highlight w:val="none"/>
          <w:lang w:eastAsia="zh-CN"/>
        </w:rPr>
        <w:drawing>
          <wp:inline distT="0" distB="0" distL="114300" distR="114300">
            <wp:extent cx="5612765" cy="3968115"/>
            <wp:effectExtent l="0" t="0" r="6985" b="13335"/>
            <wp:docPr id="62" name="图片 62" descr="27f4a618964f25a7d5d58210b475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7f4a618964f25a7d5d58210b475e05"/>
                    <pic:cNvPicPr>
                      <a:picLocks noChangeAspect="1"/>
                    </pic:cNvPicPr>
                  </pic:nvPicPr>
                  <pic:blipFill>
                    <a:blip r:embed="rId54"/>
                    <a:stretch>
                      <a:fillRect/>
                    </a:stretch>
                  </pic:blipFill>
                  <pic:spPr>
                    <a:xfrm>
                      <a:off x="0" y="0"/>
                      <a:ext cx="5612765" cy="3968115"/>
                    </a:xfrm>
                    <a:prstGeom prst="rect">
                      <a:avLst/>
                    </a:prstGeom>
                  </pic:spPr>
                </pic:pic>
              </a:graphicData>
            </a:graphic>
          </wp:inline>
        </w:drawing>
      </w:r>
    </w:p>
    <w:p w14:paraId="166395F8">
      <w:pPr>
        <w:bidi w:val="0"/>
        <w:rPr>
          <w:rFonts w:hint="default"/>
          <w:highlight w:val="yellow"/>
          <w:lang w:val="en-US" w:eastAsia="zh-CN"/>
        </w:rPr>
      </w:pPr>
    </w:p>
    <w:p w14:paraId="340A0ACF">
      <w:pPr>
        <w:pStyle w:val="2"/>
        <w:bidi w:val="0"/>
        <w:rPr>
          <w:rFonts w:hint="eastAsia" w:cs="Times New Roman"/>
          <w:highlight w:val="none"/>
          <w:lang w:val="en-US" w:eastAsia="zh-CN"/>
        </w:rPr>
      </w:pPr>
      <w:bookmarkStart w:id="49" w:name="_Toc20828"/>
      <w:r>
        <w:rPr>
          <w:rFonts w:hint="eastAsia" w:cs="Times New Roman"/>
          <w:highlight w:val="none"/>
          <w:lang w:val="en-US" w:eastAsia="zh-CN"/>
        </w:rPr>
        <w:t>附件5土地证明</w:t>
      </w:r>
      <w:bookmarkEnd w:id="49"/>
    </w:p>
    <w:p w14:paraId="73D8237C">
      <w:pPr>
        <w:jc w:val="center"/>
        <w:rPr>
          <w:rFonts w:hint="eastAsia"/>
          <w:lang w:val="en-US" w:eastAsia="zh-CN"/>
        </w:rPr>
      </w:pPr>
      <w:r>
        <w:rPr>
          <w:rFonts w:hint="eastAsia"/>
          <w:lang w:val="en-US" w:eastAsia="zh-CN"/>
        </w:rPr>
        <w:drawing>
          <wp:inline distT="0" distB="0" distL="114300" distR="114300">
            <wp:extent cx="7348855" cy="4490085"/>
            <wp:effectExtent l="0" t="0" r="5715" b="4445"/>
            <wp:docPr id="18" name="图片 18" descr="90532cf4c509da297acec7799bf2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90532cf4c509da297acec7799bf2e05"/>
                    <pic:cNvPicPr>
                      <a:picLocks noChangeAspect="1"/>
                    </pic:cNvPicPr>
                  </pic:nvPicPr>
                  <pic:blipFill>
                    <a:blip r:embed="rId55"/>
                    <a:srcRect l="3698" t="-24" r="22631"/>
                    <a:stretch>
                      <a:fillRect/>
                    </a:stretch>
                  </pic:blipFill>
                  <pic:spPr>
                    <a:xfrm rot="5400000">
                      <a:off x="0" y="0"/>
                      <a:ext cx="7348855" cy="4490085"/>
                    </a:xfrm>
                    <a:prstGeom prst="rect">
                      <a:avLst/>
                    </a:prstGeom>
                  </pic:spPr>
                </pic:pic>
              </a:graphicData>
            </a:graphic>
          </wp:inline>
        </w:drawing>
      </w:r>
      <w:r>
        <w:rPr>
          <w:rFonts w:hint="eastAsia"/>
          <w:lang w:val="en-US" w:eastAsia="zh-CN"/>
        </w:rPr>
        <w:drawing>
          <wp:inline distT="0" distB="0" distL="114300" distR="114300">
            <wp:extent cx="6929755" cy="4744720"/>
            <wp:effectExtent l="0" t="0" r="17780" b="4445"/>
            <wp:docPr id="23" name="图片 23" descr="9866551bc71df4159c5f9c28652da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9866551bc71df4159c5f9c28652dac6"/>
                    <pic:cNvPicPr>
                      <a:picLocks noChangeAspect="1"/>
                    </pic:cNvPicPr>
                  </pic:nvPicPr>
                  <pic:blipFill>
                    <a:blip r:embed="rId56"/>
                    <a:srcRect l="1884" t="15091" r="5105"/>
                    <a:stretch>
                      <a:fillRect/>
                    </a:stretch>
                  </pic:blipFill>
                  <pic:spPr>
                    <a:xfrm rot="5400000">
                      <a:off x="0" y="0"/>
                      <a:ext cx="6929755" cy="4744720"/>
                    </a:xfrm>
                    <a:prstGeom prst="rect">
                      <a:avLst/>
                    </a:prstGeom>
                  </pic:spPr>
                </pic:pic>
              </a:graphicData>
            </a:graphic>
          </wp:inline>
        </w:drawing>
      </w:r>
      <w:r>
        <w:rPr>
          <w:rFonts w:hint="eastAsia"/>
          <w:lang w:val="en-US" w:eastAsia="zh-CN"/>
        </w:rPr>
        <w:drawing>
          <wp:inline distT="0" distB="0" distL="114300" distR="114300">
            <wp:extent cx="7788910" cy="5003800"/>
            <wp:effectExtent l="0" t="0" r="6350" b="2540"/>
            <wp:docPr id="24" name="图片 24" descr="3a2538ac5e15c2d97b6a7ca924c27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3a2538ac5e15c2d97b6a7ca924c271e"/>
                    <pic:cNvPicPr>
                      <a:picLocks noChangeAspect="1"/>
                    </pic:cNvPicPr>
                  </pic:nvPicPr>
                  <pic:blipFill>
                    <a:blip r:embed="rId57"/>
                    <a:stretch>
                      <a:fillRect/>
                    </a:stretch>
                  </pic:blipFill>
                  <pic:spPr>
                    <a:xfrm rot="5400000">
                      <a:off x="0" y="0"/>
                      <a:ext cx="7788910" cy="5003800"/>
                    </a:xfrm>
                    <a:prstGeom prst="rect">
                      <a:avLst/>
                    </a:prstGeom>
                  </pic:spPr>
                </pic:pic>
              </a:graphicData>
            </a:graphic>
          </wp:inline>
        </w:drawing>
      </w:r>
      <w:r>
        <w:rPr>
          <w:rFonts w:hint="eastAsia"/>
          <w:lang w:val="en-US" w:eastAsia="zh-CN"/>
        </w:rPr>
        <w:drawing>
          <wp:inline distT="0" distB="0" distL="114300" distR="114300">
            <wp:extent cx="4488815" cy="8263255"/>
            <wp:effectExtent l="0" t="0" r="6985" b="4445"/>
            <wp:docPr id="26" name="图片 26" descr="5c8abb66742431748a4ad504b9f4a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5c8abb66742431748a4ad504b9f4a62"/>
                    <pic:cNvPicPr>
                      <a:picLocks noChangeAspect="1"/>
                    </pic:cNvPicPr>
                  </pic:nvPicPr>
                  <pic:blipFill>
                    <a:blip r:embed="rId58"/>
                    <a:stretch>
                      <a:fillRect/>
                    </a:stretch>
                  </pic:blipFill>
                  <pic:spPr>
                    <a:xfrm>
                      <a:off x="0" y="0"/>
                      <a:ext cx="4488815" cy="8263255"/>
                    </a:xfrm>
                    <a:prstGeom prst="rect">
                      <a:avLst/>
                    </a:prstGeom>
                  </pic:spPr>
                </pic:pic>
              </a:graphicData>
            </a:graphic>
          </wp:inline>
        </w:drawing>
      </w:r>
    </w:p>
    <w:p w14:paraId="31351AD0">
      <w:pPr>
        <w:jc w:val="center"/>
        <w:rPr>
          <w:rFonts w:hint="eastAsia" w:eastAsia="宋体"/>
          <w:highlight w:val="none"/>
          <w:lang w:val="en-US" w:eastAsia="zh-CN"/>
        </w:rPr>
      </w:pPr>
      <w:r>
        <w:rPr>
          <w:color w:val="FFFFFF" w:themeColor="background1"/>
          <w:highlight w:val="none"/>
          <w14:textFill>
            <w14:solidFill>
              <w14:schemeClr w14:val="bg1"/>
            </w14:solidFill>
          </w14:textFill>
        </w:rPr>
        <w:drawing>
          <wp:inline distT="0" distB="0" distL="114300" distR="114300">
            <wp:extent cx="5219700" cy="7353300"/>
            <wp:effectExtent l="0" t="0" r="0" b="0"/>
            <wp:docPr id="64" name="图片 64" descr="180c32809274ccb5a74693e5cda7a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80c32809274ccb5a74693e5cda7ac3"/>
                    <pic:cNvPicPr>
                      <a:picLocks noChangeAspect="1"/>
                    </pic:cNvPicPr>
                  </pic:nvPicPr>
                  <pic:blipFill>
                    <a:blip r:embed="rId59"/>
                    <a:stretch>
                      <a:fillRect/>
                    </a:stretch>
                  </pic:blipFill>
                  <pic:spPr>
                    <a:xfrm>
                      <a:off x="0" y="0"/>
                      <a:ext cx="5219700" cy="7353300"/>
                    </a:xfrm>
                    <a:prstGeom prst="rect">
                      <a:avLst/>
                    </a:prstGeom>
                  </pic:spPr>
                </pic:pic>
              </a:graphicData>
            </a:graphic>
          </wp:inline>
        </w:drawing>
      </w:r>
      <w:r>
        <w:drawing>
          <wp:inline distT="0" distB="0" distL="114300" distR="114300">
            <wp:extent cx="5181600" cy="7315200"/>
            <wp:effectExtent l="0" t="0" r="0" b="0"/>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60"/>
                    <a:stretch>
                      <a:fillRect/>
                    </a:stretch>
                  </pic:blipFill>
                  <pic:spPr>
                    <a:xfrm>
                      <a:off x="0" y="0"/>
                      <a:ext cx="5181600" cy="7315200"/>
                    </a:xfrm>
                    <a:prstGeom prst="rect">
                      <a:avLst/>
                    </a:prstGeom>
                    <a:noFill/>
                    <a:ln>
                      <a:noFill/>
                    </a:ln>
                  </pic:spPr>
                </pic:pic>
              </a:graphicData>
            </a:graphic>
          </wp:inline>
        </w:drawing>
      </w:r>
      <w:r>
        <w:drawing>
          <wp:inline distT="0" distB="0" distL="114300" distR="114300">
            <wp:extent cx="5219700" cy="7343775"/>
            <wp:effectExtent l="0" t="0" r="0" b="9525"/>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61"/>
                    <a:stretch>
                      <a:fillRect/>
                    </a:stretch>
                  </pic:blipFill>
                  <pic:spPr>
                    <a:xfrm>
                      <a:off x="0" y="0"/>
                      <a:ext cx="5219700" cy="7343775"/>
                    </a:xfrm>
                    <a:prstGeom prst="rect">
                      <a:avLst/>
                    </a:prstGeom>
                    <a:noFill/>
                    <a:ln>
                      <a:noFill/>
                    </a:ln>
                  </pic:spPr>
                </pic:pic>
              </a:graphicData>
            </a:graphic>
          </wp:inline>
        </w:drawing>
      </w:r>
      <w:r>
        <w:drawing>
          <wp:inline distT="0" distB="0" distL="114300" distR="114300">
            <wp:extent cx="5181600" cy="7343775"/>
            <wp:effectExtent l="0" t="0" r="0" b="9525"/>
            <wp:docPr id="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
                    <pic:cNvPicPr>
                      <a:picLocks noChangeAspect="1"/>
                    </pic:cNvPicPr>
                  </pic:nvPicPr>
                  <pic:blipFill>
                    <a:blip r:embed="rId62"/>
                    <a:stretch>
                      <a:fillRect/>
                    </a:stretch>
                  </pic:blipFill>
                  <pic:spPr>
                    <a:xfrm>
                      <a:off x="0" y="0"/>
                      <a:ext cx="5181600" cy="7343775"/>
                    </a:xfrm>
                    <a:prstGeom prst="rect">
                      <a:avLst/>
                    </a:prstGeom>
                    <a:noFill/>
                    <a:ln>
                      <a:noFill/>
                    </a:ln>
                  </pic:spPr>
                </pic:pic>
              </a:graphicData>
            </a:graphic>
          </wp:inline>
        </w:drawing>
      </w:r>
      <w:r>
        <w:rPr>
          <w:rFonts w:hint="eastAsia" w:eastAsia="宋体"/>
          <w:highlight w:val="none"/>
          <w:lang w:val="en-US" w:eastAsia="zh-CN"/>
        </w:rPr>
        <w:drawing>
          <wp:inline distT="0" distB="0" distL="114300" distR="114300">
            <wp:extent cx="2996565" cy="5506085"/>
            <wp:effectExtent l="0" t="0" r="18415" b="13335"/>
            <wp:docPr id="31" name="图片 31" descr="0ba3a98e969fb8d283a944c7b07ea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ba3a98e969fb8d283a944c7b07ea4b"/>
                    <pic:cNvPicPr>
                      <a:picLocks noChangeAspect="1"/>
                    </pic:cNvPicPr>
                  </pic:nvPicPr>
                  <pic:blipFill>
                    <a:blip r:embed="rId63"/>
                    <a:srcRect t="19723" r="411" b="1952"/>
                    <a:stretch>
                      <a:fillRect/>
                    </a:stretch>
                  </pic:blipFill>
                  <pic:spPr>
                    <a:xfrm rot="5400000">
                      <a:off x="0" y="0"/>
                      <a:ext cx="2996565" cy="5506085"/>
                    </a:xfrm>
                    <a:prstGeom prst="rect">
                      <a:avLst/>
                    </a:prstGeom>
                  </pic:spPr>
                </pic:pic>
              </a:graphicData>
            </a:graphic>
          </wp:inline>
        </w:drawing>
      </w:r>
      <w:r>
        <w:rPr>
          <w:rFonts w:hint="eastAsia" w:eastAsia="宋体"/>
          <w:highlight w:val="none"/>
          <w:lang w:val="en-US" w:eastAsia="zh-CN"/>
        </w:rPr>
        <w:drawing>
          <wp:inline distT="0" distB="0" distL="114300" distR="114300">
            <wp:extent cx="2840355" cy="5534025"/>
            <wp:effectExtent l="0" t="0" r="9525" b="17145"/>
            <wp:docPr id="32" name="图片 32" descr="df45716ef57c238f22b662fb00177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df45716ef57c238f22b662fb00177cc"/>
                    <pic:cNvPicPr>
                      <a:picLocks noChangeAspect="1"/>
                    </pic:cNvPicPr>
                  </pic:nvPicPr>
                  <pic:blipFill>
                    <a:blip r:embed="rId64"/>
                    <a:stretch>
                      <a:fillRect/>
                    </a:stretch>
                  </pic:blipFill>
                  <pic:spPr>
                    <a:xfrm rot="5400000">
                      <a:off x="0" y="0"/>
                      <a:ext cx="2840355" cy="5534025"/>
                    </a:xfrm>
                    <a:prstGeom prst="rect">
                      <a:avLst/>
                    </a:prstGeom>
                  </pic:spPr>
                </pic:pic>
              </a:graphicData>
            </a:graphic>
          </wp:inline>
        </w:drawing>
      </w:r>
    </w:p>
    <w:p w14:paraId="24253CCB">
      <w:pPr>
        <w:bidi w:val="0"/>
        <w:rPr>
          <w:rFonts w:hint="eastAsia"/>
          <w:lang w:val="en-US" w:eastAsia="zh-CN"/>
        </w:rPr>
      </w:pPr>
    </w:p>
    <w:p w14:paraId="6CD17B87">
      <w:pPr>
        <w:bidi w:val="0"/>
        <w:rPr>
          <w:rFonts w:hint="eastAsia"/>
          <w:lang w:val="en-US" w:eastAsia="zh-CN"/>
        </w:rPr>
      </w:pPr>
    </w:p>
    <w:p w14:paraId="67869C71">
      <w:pPr>
        <w:bidi w:val="0"/>
        <w:rPr>
          <w:rFonts w:hint="eastAsia"/>
          <w:lang w:val="en-US" w:eastAsia="zh-CN"/>
        </w:rPr>
      </w:pPr>
    </w:p>
    <w:p w14:paraId="53E670D1">
      <w:pPr>
        <w:bidi w:val="0"/>
        <w:rPr>
          <w:rFonts w:hint="eastAsia"/>
          <w:lang w:val="en-US" w:eastAsia="zh-CN"/>
        </w:rPr>
      </w:pPr>
      <w:r>
        <w:drawing>
          <wp:inline distT="0" distB="0" distL="114300" distR="114300">
            <wp:extent cx="5614670" cy="8274685"/>
            <wp:effectExtent l="0" t="0" r="5080" b="12065"/>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65"/>
                    <a:stretch>
                      <a:fillRect/>
                    </a:stretch>
                  </pic:blipFill>
                  <pic:spPr>
                    <a:xfrm>
                      <a:off x="0" y="0"/>
                      <a:ext cx="5614670" cy="8274685"/>
                    </a:xfrm>
                    <a:prstGeom prst="rect">
                      <a:avLst/>
                    </a:prstGeom>
                    <a:noFill/>
                    <a:ln>
                      <a:noFill/>
                    </a:ln>
                  </pic:spPr>
                </pic:pic>
              </a:graphicData>
            </a:graphic>
          </wp:inline>
        </w:drawing>
      </w:r>
    </w:p>
    <w:p w14:paraId="47BCFAD9">
      <w:pPr>
        <w:pStyle w:val="2"/>
        <w:bidi w:val="0"/>
        <w:jc w:val="left"/>
        <w:rPr>
          <w:rFonts w:hint="default" w:cs="Times New Roman"/>
          <w:highlight w:val="none"/>
          <w:lang w:val="en-US" w:eastAsia="zh-CN"/>
        </w:rPr>
      </w:pPr>
      <w:bookmarkStart w:id="50" w:name="_Toc24232"/>
      <w:r>
        <w:rPr>
          <w:rFonts w:hint="eastAsia" w:cs="Times New Roman"/>
          <w:highlight w:val="none"/>
          <w:lang w:val="en-US" w:eastAsia="zh-CN"/>
        </w:rPr>
        <w:t>附件6项目周边环境现状及现有工程</w:t>
      </w:r>
      <w:bookmarkEnd w:id="50"/>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9"/>
        <w:gridCol w:w="4871"/>
      </w:tblGrid>
      <w:tr w14:paraId="56C2B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9" w:type="dxa"/>
          </w:tcPr>
          <w:p w14:paraId="66BB0731">
            <w:pPr>
              <w:bidi w:val="0"/>
              <w:jc w:val="center"/>
              <w:rPr>
                <w:rFonts w:hint="default"/>
                <w:sz w:val="24"/>
                <w:szCs w:val="24"/>
                <w:highlight w:val="none"/>
                <w:vertAlign w:val="baseline"/>
                <w:lang w:val="en-US" w:eastAsia="zh-CN"/>
              </w:rPr>
            </w:pPr>
            <w:r>
              <w:rPr>
                <w:rFonts w:hint="default"/>
                <w:sz w:val="24"/>
                <w:szCs w:val="24"/>
                <w:highlight w:val="none"/>
                <w:vertAlign w:val="baseline"/>
                <w:lang w:val="en-US" w:eastAsia="zh-CN"/>
              </w:rPr>
              <w:drawing>
                <wp:inline distT="0" distB="0" distL="114300" distR="114300">
                  <wp:extent cx="1587500" cy="2630805"/>
                  <wp:effectExtent l="0" t="0" r="17145" b="12700"/>
                  <wp:docPr id="33" name="图片 33" descr="a078d0498b5dd0b295aea58c80d58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a078d0498b5dd0b295aea58c80d58ad"/>
                          <pic:cNvPicPr>
                            <a:picLocks noChangeAspect="1"/>
                          </pic:cNvPicPr>
                        </pic:nvPicPr>
                        <pic:blipFill>
                          <a:blip r:embed="rId66"/>
                          <a:stretch>
                            <a:fillRect/>
                          </a:stretch>
                        </pic:blipFill>
                        <pic:spPr>
                          <a:xfrm rot="16200000">
                            <a:off x="0" y="0"/>
                            <a:ext cx="1587500" cy="2630805"/>
                          </a:xfrm>
                          <a:prstGeom prst="rect">
                            <a:avLst/>
                          </a:prstGeom>
                        </pic:spPr>
                      </pic:pic>
                    </a:graphicData>
                  </a:graphic>
                </wp:inline>
              </w:drawing>
            </w:r>
          </w:p>
        </w:tc>
        <w:tc>
          <w:tcPr>
            <w:tcW w:w="4871" w:type="dxa"/>
          </w:tcPr>
          <w:p w14:paraId="76644B62">
            <w:pPr>
              <w:bidi w:val="0"/>
              <w:jc w:val="center"/>
              <w:rPr>
                <w:rFonts w:hint="default"/>
                <w:sz w:val="24"/>
                <w:szCs w:val="24"/>
                <w:highlight w:val="none"/>
                <w:vertAlign w:val="baseline"/>
                <w:lang w:val="en-US" w:eastAsia="zh-CN"/>
              </w:rPr>
            </w:pPr>
            <w:r>
              <w:rPr>
                <w:rFonts w:hint="default"/>
                <w:sz w:val="24"/>
                <w:szCs w:val="24"/>
                <w:highlight w:val="none"/>
                <w:vertAlign w:val="baseline"/>
                <w:lang w:val="en-US" w:eastAsia="zh-CN"/>
              </w:rPr>
              <w:drawing>
                <wp:inline distT="0" distB="0" distL="114300" distR="114300">
                  <wp:extent cx="1632585" cy="2497455"/>
                  <wp:effectExtent l="0" t="0" r="17145" b="5715"/>
                  <wp:docPr id="35" name="图片 35" descr="b4c2fb8a2d01c7e159d35a929a5c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b4c2fb8a2d01c7e159d35a929a5c268"/>
                          <pic:cNvPicPr>
                            <a:picLocks noChangeAspect="1"/>
                          </pic:cNvPicPr>
                        </pic:nvPicPr>
                        <pic:blipFill>
                          <a:blip r:embed="rId67"/>
                          <a:stretch>
                            <a:fillRect/>
                          </a:stretch>
                        </pic:blipFill>
                        <pic:spPr>
                          <a:xfrm rot="16200000">
                            <a:off x="0" y="0"/>
                            <a:ext cx="1632585" cy="2497455"/>
                          </a:xfrm>
                          <a:prstGeom prst="rect">
                            <a:avLst/>
                          </a:prstGeom>
                        </pic:spPr>
                      </pic:pic>
                    </a:graphicData>
                  </a:graphic>
                </wp:inline>
              </w:drawing>
            </w:r>
          </w:p>
        </w:tc>
      </w:tr>
      <w:tr w14:paraId="29550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9" w:type="dxa"/>
          </w:tcPr>
          <w:p w14:paraId="191FFD0C">
            <w:pPr>
              <w:bidi w:val="0"/>
              <w:jc w:val="center"/>
              <w:rPr>
                <w:rFonts w:hint="default"/>
                <w:sz w:val="24"/>
                <w:szCs w:val="24"/>
                <w:highlight w:val="none"/>
                <w:vertAlign w:val="baseline"/>
                <w:lang w:val="en-US" w:eastAsia="zh-CN"/>
              </w:rPr>
            </w:pPr>
            <w:r>
              <w:rPr>
                <w:rFonts w:hint="eastAsia"/>
                <w:sz w:val="24"/>
                <w:szCs w:val="24"/>
                <w:highlight w:val="none"/>
                <w:vertAlign w:val="baseline"/>
                <w:lang w:val="en-US" w:eastAsia="zh-CN"/>
              </w:rPr>
              <w:t>南侧农田</w:t>
            </w:r>
          </w:p>
        </w:tc>
        <w:tc>
          <w:tcPr>
            <w:tcW w:w="4871" w:type="dxa"/>
          </w:tcPr>
          <w:p w14:paraId="20B44514">
            <w:pPr>
              <w:bidi w:val="0"/>
              <w:jc w:val="center"/>
              <w:rPr>
                <w:rFonts w:hint="default"/>
                <w:sz w:val="24"/>
                <w:szCs w:val="24"/>
                <w:highlight w:val="none"/>
                <w:vertAlign w:val="baseline"/>
                <w:lang w:val="en-US" w:eastAsia="zh-CN"/>
              </w:rPr>
            </w:pPr>
            <w:r>
              <w:rPr>
                <w:rFonts w:hint="eastAsia"/>
                <w:sz w:val="24"/>
                <w:szCs w:val="24"/>
                <w:highlight w:val="none"/>
                <w:vertAlign w:val="baseline"/>
                <w:lang w:val="en-US" w:eastAsia="zh-CN"/>
              </w:rPr>
              <w:t>东侧农田</w:t>
            </w:r>
          </w:p>
        </w:tc>
      </w:tr>
      <w:tr w14:paraId="4F9FA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9" w:type="dxa"/>
          </w:tcPr>
          <w:p w14:paraId="755F27B7">
            <w:pPr>
              <w:bidi w:val="0"/>
              <w:jc w:val="center"/>
              <w:rPr>
                <w:rFonts w:hint="default"/>
                <w:sz w:val="24"/>
                <w:szCs w:val="24"/>
                <w:highlight w:val="none"/>
                <w:vertAlign w:val="baseline"/>
                <w:lang w:val="en-US" w:eastAsia="zh-CN"/>
              </w:rPr>
            </w:pPr>
            <w:r>
              <w:rPr>
                <w:rFonts w:hint="default"/>
                <w:sz w:val="24"/>
                <w:szCs w:val="24"/>
                <w:highlight w:val="none"/>
                <w:vertAlign w:val="baseline"/>
                <w:lang w:val="en-US" w:eastAsia="zh-CN"/>
              </w:rPr>
              <w:drawing>
                <wp:inline distT="0" distB="0" distL="114300" distR="114300">
                  <wp:extent cx="2567305" cy="1537970"/>
                  <wp:effectExtent l="0" t="0" r="4445" b="5080"/>
                  <wp:docPr id="37" name="图片 37" descr="9091e19268f2156f0733ad086bff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9091e19268f2156f0733ad086bff8d8"/>
                          <pic:cNvPicPr>
                            <a:picLocks noChangeAspect="1"/>
                          </pic:cNvPicPr>
                        </pic:nvPicPr>
                        <pic:blipFill>
                          <a:blip r:embed="rId68"/>
                          <a:stretch>
                            <a:fillRect/>
                          </a:stretch>
                        </pic:blipFill>
                        <pic:spPr>
                          <a:xfrm>
                            <a:off x="0" y="0"/>
                            <a:ext cx="2567305" cy="1537970"/>
                          </a:xfrm>
                          <a:prstGeom prst="rect">
                            <a:avLst/>
                          </a:prstGeom>
                        </pic:spPr>
                      </pic:pic>
                    </a:graphicData>
                  </a:graphic>
                </wp:inline>
              </w:drawing>
            </w:r>
          </w:p>
        </w:tc>
        <w:tc>
          <w:tcPr>
            <w:tcW w:w="4871" w:type="dxa"/>
          </w:tcPr>
          <w:p w14:paraId="268C66A4">
            <w:pPr>
              <w:bidi w:val="0"/>
              <w:jc w:val="center"/>
              <w:rPr>
                <w:rFonts w:hint="default"/>
                <w:sz w:val="24"/>
                <w:szCs w:val="24"/>
                <w:highlight w:val="none"/>
                <w:vertAlign w:val="baseline"/>
                <w:lang w:val="en-US" w:eastAsia="zh-CN"/>
              </w:rPr>
            </w:pPr>
            <w:r>
              <w:rPr>
                <w:rFonts w:hint="default"/>
                <w:sz w:val="24"/>
                <w:szCs w:val="24"/>
                <w:highlight w:val="none"/>
                <w:vertAlign w:val="baseline"/>
                <w:lang w:val="en-US" w:eastAsia="zh-CN"/>
              </w:rPr>
              <w:drawing>
                <wp:inline distT="0" distB="0" distL="114300" distR="114300">
                  <wp:extent cx="1680845" cy="2536190"/>
                  <wp:effectExtent l="0" t="0" r="16510" b="14605"/>
                  <wp:docPr id="38" name="图片 38" descr="b6380a853bf8ea7fc1d8f762fdbbc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b6380a853bf8ea7fc1d8f762fdbbc86"/>
                          <pic:cNvPicPr>
                            <a:picLocks noChangeAspect="1"/>
                          </pic:cNvPicPr>
                        </pic:nvPicPr>
                        <pic:blipFill>
                          <a:blip r:embed="rId69"/>
                          <a:stretch>
                            <a:fillRect/>
                          </a:stretch>
                        </pic:blipFill>
                        <pic:spPr>
                          <a:xfrm rot="16200000">
                            <a:off x="0" y="0"/>
                            <a:ext cx="1680845" cy="2536190"/>
                          </a:xfrm>
                          <a:prstGeom prst="rect">
                            <a:avLst/>
                          </a:prstGeom>
                        </pic:spPr>
                      </pic:pic>
                    </a:graphicData>
                  </a:graphic>
                </wp:inline>
              </w:drawing>
            </w:r>
          </w:p>
        </w:tc>
      </w:tr>
      <w:tr w14:paraId="2959F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9" w:type="dxa"/>
          </w:tcPr>
          <w:p w14:paraId="5243C4FE">
            <w:pPr>
              <w:bidi w:val="0"/>
              <w:jc w:val="center"/>
              <w:rPr>
                <w:rFonts w:hint="default"/>
                <w:sz w:val="24"/>
                <w:szCs w:val="24"/>
                <w:highlight w:val="none"/>
                <w:vertAlign w:val="baseline"/>
                <w:lang w:val="en-US" w:eastAsia="zh-CN"/>
              </w:rPr>
            </w:pPr>
            <w:r>
              <w:rPr>
                <w:rFonts w:hint="eastAsia"/>
                <w:sz w:val="24"/>
                <w:szCs w:val="24"/>
                <w:highlight w:val="none"/>
                <w:vertAlign w:val="baseline"/>
                <w:lang w:val="en-US" w:eastAsia="zh-CN"/>
              </w:rPr>
              <w:t>西侧农田</w:t>
            </w:r>
          </w:p>
        </w:tc>
        <w:tc>
          <w:tcPr>
            <w:tcW w:w="4871" w:type="dxa"/>
          </w:tcPr>
          <w:p w14:paraId="5C25C8E2">
            <w:pPr>
              <w:bidi w:val="0"/>
              <w:jc w:val="center"/>
              <w:rPr>
                <w:rFonts w:hint="default"/>
                <w:sz w:val="24"/>
                <w:szCs w:val="24"/>
                <w:highlight w:val="none"/>
                <w:vertAlign w:val="baseline"/>
                <w:lang w:val="en-US" w:eastAsia="zh-CN"/>
              </w:rPr>
            </w:pPr>
            <w:r>
              <w:rPr>
                <w:rFonts w:hint="eastAsia"/>
                <w:sz w:val="24"/>
                <w:szCs w:val="24"/>
                <w:highlight w:val="none"/>
                <w:vertAlign w:val="baseline"/>
                <w:lang w:val="en-US" w:eastAsia="zh-CN"/>
              </w:rPr>
              <w:t>北侧G501国道</w:t>
            </w:r>
          </w:p>
        </w:tc>
      </w:tr>
      <w:tr w14:paraId="2E458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9" w:type="dxa"/>
          </w:tcPr>
          <w:p w14:paraId="5EACD3FE">
            <w:pPr>
              <w:bidi w:val="0"/>
              <w:jc w:val="center"/>
              <w:rPr>
                <w:rFonts w:hint="eastAsia"/>
                <w:sz w:val="24"/>
                <w:szCs w:val="24"/>
                <w:highlight w:val="none"/>
                <w:vertAlign w:val="baseline"/>
                <w:lang w:val="en-US" w:eastAsia="zh-CN"/>
              </w:rPr>
            </w:pPr>
            <w:r>
              <w:rPr>
                <w:rFonts w:hint="eastAsia"/>
                <w:sz w:val="24"/>
                <w:szCs w:val="24"/>
                <w:highlight w:val="none"/>
                <w:vertAlign w:val="baseline"/>
                <w:lang w:val="en-US" w:eastAsia="zh-CN"/>
              </w:rPr>
              <w:drawing>
                <wp:inline distT="0" distB="0" distL="114300" distR="114300">
                  <wp:extent cx="2731135" cy="2552065"/>
                  <wp:effectExtent l="0" t="0" r="12065" b="635"/>
                  <wp:docPr id="43" name="图片 43" descr="179d2a1a1abff88d5cceb396651e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79d2a1a1abff88d5cceb396651ee69"/>
                          <pic:cNvPicPr>
                            <a:picLocks noChangeAspect="1"/>
                          </pic:cNvPicPr>
                        </pic:nvPicPr>
                        <pic:blipFill>
                          <a:blip r:embed="rId70"/>
                          <a:stretch>
                            <a:fillRect/>
                          </a:stretch>
                        </pic:blipFill>
                        <pic:spPr>
                          <a:xfrm>
                            <a:off x="0" y="0"/>
                            <a:ext cx="2731135" cy="2552065"/>
                          </a:xfrm>
                          <a:prstGeom prst="rect">
                            <a:avLst/>
                          </a:prstGeom>
                        </pic:spPr>
                      </pic:pic>
                    </a:graphicData>
                  </a:graphic>
                </wp:inline>
              </w:drawing>
            </w:r>
          </w:p>
        </w:tc>
        <w:tc>
          <w:tcPr>
            <w:tcW w:w="4871" w:type="dxa"/>
          </w:tcPr>
          <w:p w14:paraId="466F527D">
            <w:pPr>
              <w:bidi w:val="0"/>
              <w:jc w:val="center"/>
              <w:rPr>
                <w:rFonts w:hint="eastAsia"/>
                <w:sz w:val="24"/>
                <w:szCs w:val="24"/>
                <w:highlight w:val="none"/>
                <w:vertAlign w:val="baseline"/>
                <w:lang w:val="en-US" w:eastAsia="zh-CN"/>
              </w:rPr>
            </w:pPr>
            <w:r>
              <w:rPr>
                <w:rFonts w:hint="eastAsia"/>
                <w:sz w:val="24"/>
                <w:szCs w:val="24"/>
                <w:highlight w:val="none"/>
                <w:vertAlign w:val="baseline"/>
                <w:lang w:val="en-US" w:eastAsia="zh-CN"/>
              </w:rPr>
              <w:drawing>
                <wp:inline distT="0" distB="0" distL="114300" distR="114300">
                  <wp:extent cx="2731135" cy="2525395"/>
                  <wp:effectExtent l="0" t="0" r="12065" b="8255"/>
                  <wp:docPr id="49" name="图片 49" descr="366369699f67b280248b4a3a9cfa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366369699f67b280248b4a3a9cfa625"/>
                          <pic:cNvPicPr>
                            <a:picLocks noChangeAspect="1"/>
                          </pic:cNvPicPr>
                        </pic:nvPicPr>
                        <pic:blipFill>
                          <a:blip r:embed="rId71"/>
                          <a:stretch>
                            <a:fillRect/>
                          </a:stretch>
                        </pic:blipFill>
                        <pic:spPr>
                          <a:xfrm>
                            <a:off x="0" y="0"/>
                            <a:ext cx="2731135" cy="2525395"/>
                          </a:xfrm>
                          <a:prstGeom prst="rect">
                            <a:avLst/>
                          </a:prstGeom>
                        </pic:spPr>
                      </pic:pic>
                    </a:graphicData>
                  </a:graphic>
                </wp:inline>
              </w:drawing>
            </w:r>
          </w:p>
        </w:tc>
      </w:tr>
      <w:tr w14:paraId="1DA9A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9" w:type="dxa"/>
          </w:tcPr>
          <w:p w14:paraId="13BB8BFD">
            <w:pPr>
              <w:bidi w:val="0"/>
              <w:jc w:val="center"/>
              <w:rPr>
                <w:rFonts w:hint="default"/>
                <w:sz w:val="24"/>
                <w:szCs w:val="24"/>
                <w:highlight w:val="none"/>
                <w:vertAlign w:val="baseline"/>
                <w:lang w:val="en-US" w:eastAsia="zh-CN"/>
              </w:rPr>
            </w:pPr>
            <w:r>
              <w:rPr>
                <w:rFonts w:hint="eastAsia"/>
                <w:sz w:val="24"/>
                <w:szCs w:val="24"/>
                <w:highlight w:val="none"/>
                <w:vertAlign w:val="baseline"/>
                <w:lang w:val="en-US" w:eastAsia="zh-CN"/>
              </w:rPr>
              <w:t>水泥筒仓和粉煤灰筒仓</w:t>
            </w:r>
          </w:p>
        </w:tc>
        <w:tc>
          <w:tcPr>
            <w:tcW w:w="4871" w:type="dxa"/>
          </w:tcPr>
          <w:p w14:paraId="0DCF5981">
            <w:pPr>
              <w:bidi w:val="0"/>
              <w:jc w:val="center"/>
              <w:rPr>
                <w:rFonts w:hint="default"/>
                <w:sz w:val="24"/>
                <w:szCs w:val="24"/>
                <w:highlight w:val="none"/>
                <w:vertAlign w:val="baseline"/>
                <w:lang w:val="en-US" w:eastAsia="zh-CN"/>
              </w:rPr>
            </w:pPr>
            <w:r>
              <w:rPr>
                <w:rFonts w:hint="eastAsia"/>
                <w:sz w:val="24"/>
                <w:szCs w:val="24"/>
                <w:highlight w:val="none"/>
                <w:vertAlign w:val="baseline"/>
                <w:lang w:val="en-US" w:eastAsia="zh-CN"/>
              </w:rPr>
              <w:t>养护室</w:t>
            </w:r>
          </w:p>
        </w:tc>
      </w:tr>
      <w:tr w14:paraId="568C6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9" w:type="dxa"/>
          </w:tcPr>
          <w:p w14:paraId="4EF79ECD">
            <w:pPr>
              <w:bidi w:val="0"/>
              <w:jc w:val="center"/>
              <w:rPr>
                <w:rFonts w:hint="eastAsia"/>
                <w:sz w:val="24"/>
                <w:szCs w:val="24"/>
                <w:highlight w:val="none"/>
                <w:vertAlign w:val="baseline"/>
                <w:lang w:val="en-US" w:eastAsia="zh-CN"/>
              </w:rPr>
            </w:pPr>
            <w:r>
              <w:rPr>
                <w:rFonts w:hint="eastAsia"/>
                <w:sz w:val="24"/>
                <w:szCs w:val="24"/>
                <w:highlight w:val="none"/>
                <w:vertAlign w:val="baseline"/>
                <w:lang w:val="en-US" w:eastAsia="zh-CN"/>
              </w:rPr>
              <w:drawing>
                <wp:inline distT="0" distB="0" distL="114300" distR="114300">
                  <wp:extent cx="2471420" cy="2611755"/>
                  <wp:effectExtent l="0" t="0" r="5080" b="17145"/>
                  <wp:docPr id="50" name="图片 50" descr="ff41f6ba5e8e980eb5b22f4083b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ff41f6ba5e8e980eb5b22f4083b2320"/>
                          <pic:cNvPicPr>
                            <a:picLocks noChangeAspect="1"/>
                          </pic:cNvPicPr>
                        </pic:nvPicPr>
                        <pic:blipFill>
                          <a:blip r:embed="rId72"/>
                          <a:stretch>
                            <a:fillRect/>
                          </a:stretch>
                        </pic:blipFill>
                        <pic:spPr>
                          <a:xfrm>
                            <a:off x="0" y="0"/>
                            <a:ext cx="2471420" cy="2611755"/>
                          </a:xfrm>
                          <a:prstGeom prst="rect">
                            <a:avLst/>
                          </a:prstGeom>
                        </pic:spPr>
                      </pic:pic>
                    </a:graphicData>
                  </a:graphic>
                </wp:inline>
              </w:drawing>
            </w:r>
          </w:p>
        </w:tc>
        <w:tc>
          <w:tcPr>
            <w:tcW w:w="4871" w:type="dxa"/>
          </w:tcPr>
          <w:p w14:paraId="404514BE">
            <w:pPr>
              <w:bidi w:val="0"/>
              <w:jc w:val="center"/>
              <w:rPr>
                <w:rFonts w:hint="eastAsia"/>
                <w:sz w:val="24"/>
                <w:szCs w:val="24"/>
                <w:highlight w:val="none"/>
                <w:vertAlign w:val="baseline"/>
                <w:lang w:val="en-US" w:eastAsia="zh-CN"/>
              </w:rPr>
            </w:pPr>
            <w:r>
              <w:rPr>
                <w:rFonts w:hint="eastAsia"/>
                <w:sz w:val="24"/>
                <w:szCs w:val="24"/>
                <w:highlight w:val="none"/>
                <w:vertAlign w:val="baseline"/>
                <w:lang w:val="en-US" w:eastAsia="zh-CN"/>
              </w:rPr>
              <w:drawing>
                <wp:inline distT="0" distB="0" distL="114300" distR="114300">
                  <wp:extent cx="2555240" cy="2759075"/>
                  <wp:effectExtent l="0" t="0" r="3175" b="16510"/>
                  <wp:docPr id="51" name="图片 51" descr="3de7ccfd37c8f08a2df9970fac4a4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de7ccfd37c8f08a2df9970fac4a46f"/>
                          <pic:cNvPicPr>
                            <a:picLocks noChangeAspect="1"/>
                          </pic:cNvPicPr>
                        </pic:nvPicPr>
                        <pic:blipFill>
                          <a:blip r:embed="rId73"/>
                          <a:stretch>
                            <a:fillRect/>
                          </a:stretch>
                        </pic:blipFill>
                        <pic:spPr>
                          <a:xfrm rot="16200000">
                            <a:off x="0" y="0"/>
                            <a:ext cx="2555240" cy="2759075"/>
                          </a:xfrm>
                          <a:prstGeom prst="rect">
                            <a:avLst/>
                          </a:prstGeom>
                        </pic:spPr>
                      </pic:pic>
                    </a:graphicData>
                  </a:graphic>
                </wp:inline>
              </w:drawing>
            </w:r>
          </w:p>
        </w:tc>
      </w:tr>
      <w:tr w14:paraId="4A4EF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9" w:type="dxa"/>
          </w:tcPr>
          <w:p w14:paraId="759992D4">
            <w:pPr>
              <w:bidi w:val="0"/>
              <w:jc w:val="center"/>
              <w:rPr>
                <w:rFonts w:hint="default"/>
                <w:sz w:val="24"/>
                <w:szCs w:val="24"/>
                <w:highlight w:val="none"/>
                <w:vertAlign w:val="baseline"/>
                <w:lang w:val="en-US" w:eastAsia="zh-CN"/>
              </w:rPr>
            </w:pPr>
            <w:r>
              <w:rPr>
                <w:rFonts w:hint="eastAsia"/>
                <w:sz w:val="24"/>
                <w:szCs w:val="24"/>
                <w:highlight w:val="none"/>
                <w:vertAlign w:val="baseline"/>
                <w:lang w:val="en-US" w:eastAsia="zh-CN"/>
              </w:rPr>
              <w:t>软化水处理设备</w:t>
            </w:r>
          </w:p>
        </w:tc>
        <w:tc>
          <w:tcPr>
            <w:tcW w:w="4871" w:type="dxa"/>
          </w:tcPr>
          <w:p w14:paraId="003FD769">
            <w:pPr>
              <w:bidi w:val="0"/>
              <w:jc w:val="center"/>
              <w:rPr>
                <w:rFonts w:hint="default"/>
                <w:sz w:val="24"/>
                <w:szCs w:val="24"/>
                <w:highlight w:val="none"/>
                <w:vertAlign w:val="baseline"/>
                <w:lang w:val="en-US" w:eastAsia="zh-CN"/>
              </w:rPr>
            </w:pPr>
            <w:r>
              <w:rPr>
                <w:rFonts w:hint="eastAsia"/>
                <w:sz w:val="24"/>
                <w:szCs w:val="24"/>
                <w:highlight w:val="none"/>
                <w:vertAlign w:val="baseline"/>
                <w:lang w:val="en-US" w:eastAsia="zh-CN"/>
              </w:rPr>
              <w:t>2台2.5t/h燃生物质蒸汽锅炉（1用1备）</w:t>
            </w:r>
          </w:p>
        </w:tc>
      </w:tr>
    </w:tbl>
    <w:p w14:paraId="498255EC">
      <w:pPr>
        <w:bidi w:val="0"/>
        <w:rPr>
          <w:rFonts w:hint="default"/>
          <w:sz w:val="24"/>
          <w:szCs w:val="24"/>
          <w:highlight w:val="yellow"/>
          <w:lang w:val="en-US" w:eastAsia="zh-CN"/>
        </w:rPr>
      </w:pPr>
    </w:p>
    <w:p w14:paraId="015CC35D">
      <w:pPr>
        <w:bidi w:val="0"/>
        <w:rPr>
          <w:rFonts w:hint="default"/>
          <w:highlight w:val="yellow"/>
        </w:rPr>
      </w:pPr>
    </w:p>
    <w:p w14:paraId="64B7E039">
      <w:pPr>
        <w:bidi w:val="0"/>
        <w:rPr>
          <w:rFonts w:hint="default"/>
          <w:highlight w:val="yellow"/>
        </w:rPr>
      </w:pPr>
    </w:p>
    <w:p w14:paraId="56F89CB4">
      <w:pPr>
        <w:bidi w:val="0"/>
        <w:rPr>
          <w:rFonts w:hint="default"/>
          <w:highlight w:val="yellow"/>
        </w:rPr>
      </w:pPr>
    </w:p>
    <w:p w14:paraId="73F4B03C">
      <w:pPr>
        <w:bidi w:val="0"/>
        <w:rPr>
          <w:rFonts w:hint="default"/>
          <w:highlight w:val="yellow"/>
        </w:rPr>
      </w:pPr>
    </w:p>
    <w:p w14:paraId="642489B3">
      <w:pPr>
        <w:bidi w:val="0"/>
        <w:rPr>
          <w:rFonts w:hint="default"/>
          <w:highlight w:val="yellow"/>
        </w:rPr>
      </w:pPr>
    </w:p>
    <w:p w14:paraId="3CE6157F">
      <w:pPr>
        <w:bidi w:val="0"/>
        <w:rPr>
          <w:rFonts w:hint="default"/>
          <w:highlight w:val="yellow"/>
        </w:rPr>
      </w:pPr>
    </w:p>
    <w:p w14:paraId="3814CE58">
      <w:pPr>
        <w:bidi w:val="0"/>
        <w:rPr>
          <w:rFonts w:hint="default"/>
          <w:highlight w:val="yellow"/>
        </w:rPr>
      </w:pPr>
    </w:p>
    <w:p w14:paraId="32F2DD0C">
      <w:pPr>
        <w:pStyle w:val="10"/>
        <w:rPr>
          <w:rFonts w:hint="default"/>
          <w:highlight w:val="yellow"/>
        </w:rPr>
      </w:pPr>
    </w:p>
    <w:p w14:paraId="467C416C">
      <w:pPr>
        <w:pStyle w:val="43"/>
        <w:rPr>
          <w:rFonts w:hint="default"/>
          <w:highlight w:val="yellow"/>
        </w:rPr>
      </w:pPr>
    </w:p>
    <w:p w14:paraId="10E828FD">
      <w:pPr>
        <w:pStyle w:val="44"/>
        <w:rPr>
          <w:rFonts w:hint="default"/>
          <w:highlight w:val="yellow"/>
        </w:rPr>
      </w:pPr>
    </w:p>
    <w:p w14:paraId="5BF225CC">
      <w:pPr>
        <w:rPr>
          <w:rFonts w:hint="default"/>
          <w:highlight w:val="yellow"/>
        </w:rPr>
      </w:pPr>
    </w:p>
    <w:p w14:paraId="567A28C4">
      <w:pPr>
        <w:pStyle w:val="10"/>
        <w:rPr>
          <w:rFonts w:hint="default"/>
          <w:highlight w:val="yellow"/>
        </w:rPr>
      </w:pPr>
    </w:p>
    <w:p w14:paraId="22F6135F">
      <w:pPr>
        <w:pStyle w:val="43"/>
        <w:rPr>
          <w:rFonts w:hint="default"/>
          <w:highlight w:val="yellow"/>
        </w:rPr>
      </w:pPr>
    </w:p>
    <w:p w14:paraId="6F15D470">
      <w:pPr>
        <w:pStyle w:val="44"/>
        <w:rPr>
          <w:rFonts w:hint="default"/>
          <w:highlight w:val="yellow"/>
        </w:rPr>
      </w:pPr>
    </w:p>
    <w:p w14:paraId="1AF5C4D8">
      <w:pPr>
        <w:rPr>
          <w:rFonts w:hint="default"/>
          <w:highlight w:val="yellow"/>
        </w:rPr>
      </w:pPr>
    </w:p>
    <w:p w14:paraId="40F5B6A2">
      <w:pPr>
        <w:pStyle w:val="10"/>
        <w:rPr>
          <w:rFonts w:hint="default"/>
          <w:highlight w:val="yellow"/>
        </w:rPr>
      </w:pPr>
    </w:p>
    <w:p w14:paraId="6A2FBC86">
      <w:pPr>
        <w:bidi w:val="0"/>
        <w:rPr>
          <w:rFonts w:hint="default"/>
          <w:highlight w:val="yellow"/>
        </w:rPr>
      </w:pPr>
    </w:p>
    <w:p w14:paraId="25184C47">
      <w:pPr>
        <w:bidi w:val="0"/>
        <w:rPr>
          <w:rFonts w:hint="default"/>
          <w:highlight w:val="yellow"/>
        </w:rPr>
      </w:pPr>
    </w:p>
    <w:p w14:paraId="16529E21">
      <w:pPr>
        <w:bidi w:val="0"/>
        <w:rPr>
          <w:rFonts w:hint="default"/>
          <w:highlight w:val="yellow"/>
        </w:rPr>
      </w:pPr>
    </w:p>
    <w:p w14:paraId="608D765E">
      <w:pPr>
        <w:bidi w:val="0"/>
        <w:rPr>
          <w:rFonts w:hint="default"/>
          <w:highlight w:val="yellow"/>
        </w:rPr>
      </w:pPr>
    </w:p>
    <w:p w14:paraId="2B8B117F">
      <w:pPr>
        <w:bidi w:val="0"/>
        <w:rPr>
          <w:rFonts w:hint="default"/>
          <w:highlight w:val="yellow"/>
        </w:rPr>
      </w:pPr>
    </w:p>
    <w:p w14:paraId="76034297">
      <w:pPr>
        <w:bidi w:val="0"/>
        <w:rPr>
          <w:rFonts w:hint="default"/>
          <w:highlight w:val="yellow"/>
        </w:rPr>
      </w:pPr>
    </w:p>
    <w:p w14:paraId="68B1D53D">
      <w:pPr>
        <w:bidi w:val="0"/>
        <w:rPr>
          <w:rFonts w:hint="default"/>
          <w:highlight w:val="yellow"/>
        </w:rPr>
      </w:pPr>
    </w:p>
    <w:p w14:paraId="51E164F3">
      <w:pPr>
        <w:pStyle w:val="2"/>
        <w:bidi w:val="0"/>
        <w:rPr>
          <w:rFonts w:hint="default" w:ascii="Times New Roman" w:hAnsi="Times New Roman" w:cs="Times New Roman"/>
          <w:highlight w:val="none"/>
        </w:rPr>
      </w:pPr>
      <w:bookmarkStart w:id="51" w:name="_Toc15991"/>
      <w:r>
        <w:rPr>
          <w:rFonts w:hint="default" w:ascii="Times New Roman" w:hAnsi="Times New Roman" w:cs="Times New Roman"/>
          <w:highlight w:val="none"/>
        </w:rPr>
        <w:t>附件</w:t>
      </w:r>
      <w:r>
        <w:rPr>
          <w:rFonts w:hint="eastAsia" w:cs="Times New Roman"/>
          <w:highlight w:val="none"/>
          <w:lang w:val="en-US" w:eastAsia="zh-CN"/>
        </w:rPr>
        <w:t>7</w:t>
      </w:r>
      <w:r>
        <w:rPr>
          <w:rFonts w:hint="default" w:ascii="Times New Roman" w:hAnsi="Times New Roman" w:cs="Times New Roman"/>
          <w:highlight w:val="none"/>
        </w:rPr>
        <w:t>公示截图</w:t>
      </w:r>
      <w:bookmarkEnd w:id="51"/>
    </w:p>
    <w:p w14:paraId="29B54928">
      <w:pPr>
        <w:rPr>
          <w:highlight w:val="yellow"/>
        </w:rPr>
      </w:pPr>
      <w:r>
        <w:drawing>
          <wp:inline distT="0" distB="0" distL="114300" distR="114300">
            <wp:extent cx="5608320" cy="5523865"/>
            <wp:effectExtent l="0" t="0" r="11430" b="63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74"/>
                    <a:stretch>
                      <a:fillRect/>
                    </a:stretch>
                  </pic:blipFill>
                  <pic:spPr>
                    <a:xfrm>
                      <a:off x="0" y="0"/>
                      <a:ext cx="5608320" cy="5523865"/>
                    </a:xfrm>
                    <a:prstGeom prst="rect">
                      <a:avLst/>
                    </a:prstGeom>
                    <a:noFill/>
                    <a:ln>
                      <a:noFill/>
                    </a:ln>
                  </pic:spPr>
                </pic:pic>
              </a:graphicData>
            </a:graphic>
          </wp:inline>
        </w:drawing>
      </w:r>
    </w:p>
    <w:p w14:paraId="408B4FED">
      <w:pPr>
        <w:rPr>
          <w:rFonts w:hint="default"/>
          <w:highlight w:val="yellow"/>
        </w:rPr>
      </w:pPr>
    </w:p>
    <w:p w14:paraId="0531D289">
      <w:pPr>
        <w:bidi w:val="0"/>
        <w:jc w:val="center"/>
        <w:rPr>
          <w:rFonts w:hint="eastAsia" w:eastAsia="宋体"/>
          <w:highlight w:val="yellow"/>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9E4866C">
      <w:pPr>
        <w:pStyle w:val="2"/>
        <w:bidi w:val="0"/>
        <w:rPr>
          <w:rFonts w:hint="eastAsia" w:ascii="Times New Roman" w:hAnsi="Times New Roman" w:eastAsia="黑体" w:cs="Times New Roman"/>
          <w:highlight w:val="none"/>
          <w:lang w:eastAsia="zh-CN"/>
        </w:rPr>
      </w:pPr>
      <w:bookmarkStart w:id="52" w:name="_Toc9121"/>
      <w:r>
        <w:rPr>
          <w:rFonts w:hint="default" w:ascii="Times New Roman" w:hAnsi="Times New Roman" w:cs="Times New Roman"/>
          <w:highlight w:val="none"/>
        </w:rPr>
        <w:t>附件</w:t>
      </w:r>
      <w:r>
        <w:rPr>
          <w:rFonts w:hint="eastAsia" w:cs="Times New Roman"/>
          <w:highlight w:val="none"/>
          <w:lang w:val="en-US" w:eastAsia="zh-CN"/>
        </w:rPr>
        <w:t>8</w:t>
      </w:r>
      <w:r>
        <w:rPr>
          <w:rFonts w:hint="default" w:ascii="Times New Roman" w:hAnsi="Times New Roman" w:cs="Times New Roman"/>
          <w:highlight w:val="none"/>
        </w:rPr>
        <w:t>总量计算说明</w:t>
      </w:r>
      <w:bookmarkEnd w:id="52"/>
    </w:p>
    <w:p w14:paraId="7A1BA2F4">
      <w:pPr>
        <w:bidi w:val="0"/>
        <w:spacing w:line="360" w:lineRule="auto"/>
        <w:rPr>
          <w:sz w:val="24"/>
          <w:szCs w:val="24"/>
          <w:highlight w:val="none"/>
        </w:rPr>
      </w:pPr>
      <w:r>
        <w:rPr>
          <w:sz w:val="24"/>
          <w:szCs w:val="24"/>
          <w:highlight w:val="none"/>
        </w:rPr>
        <w:t>一、</w:t>
      </w:r>
      <w:r>
        <w:rPr>
          <w:rFonts w:hint="eastAsia"/>
          <w:sz w:val="24"/>
          <w:szCs w:val="24"/>
          <w:highlight w:val="none"/>
          <w:lang w:val="en-US" w:eastAsia="zh-CN"/>
        </w:rPr>
        <w:t>蒸汽发生器</w:t>
      </w:r>
      <w:r>
        <w:rPr>
          <w:sz w:val="24"/>
          <w:szCs w:val="24"/>
          <w:highlight w:val="none"/>
        </w:rPr>
        <w:t>废气中污染物排放量计算</w:t>
      </w:r>
    </w:p>
    <w:p w14:paraId="3A2DB4BD">
      <w:pPr>
        <w:spacing w:line="360" w:lineRule="auto"/>
        <w:ind w:firstLine="480"/>
        <w:rPr>
          <w:sz w:val="24"/>
          <w:szCs w:val="24"/>
          <w:highlight w:val="none"/>
        </w:rPr>
      </w:pPr>
      <w:r>
        <w:rPr>
          <w:sz w:val="24"/>
          <w:szCs w:val="24"/>
          <w:highlight w:val="none"/>
        </w:rPr>
        <w:t>本项目生产采用</w:t>
      </w:r>
      <w:r>
        <w:rPr>
          <w:rFonts w:hint="eastAsia"/>
          <w:sz w:val="24"/>
          <w:szCs w:val="24"/>
          <w:highlight w:val="none"/>
          <w:lang w:val="en-US" w:eastAsia="zh-CN"/>
        </w:rPr>
        <w:t>2台2.5</w:t>
      </w:r>
      <w:r>
        <w:rPr>
          <w:rFonts w:hint="eastAsia"/>
          <w:sz w:val="24"/>
          <w:szCs w:val="24"/>
          <w:highlight w:val="none"/>
        </w:rPr>
        <w:t>t/h</w:t>
      </w:r>
      <w:r>
        <w:rPr>
          <w:rFonts w:hint="eastAsia"/>
          <w:sz w:val="24"/>
          <w:szCs w:val="24"/>
          <w:highlight w:val="none"/>
          <w:lang w:val="en-US" w:eastAsia="zh-CN"/>
        </w:rPr>
        <w:t>燃生物质</w:t>
      </w:r>
      <w:r>
        <w:rPr>
          <w:sz w:val="24"/>
          <w:szCs w:val="24"/>
          <w:highlight w:val="none"/>
        </w:rPr>
        <w:t>蒸汽</w:t>
      </w:r>
      <w:r>
        <w:rPr>
          <w:rFonts w:hint="eastAsia"/>
          <w:sz w:val="24"/>
          <w:szCs w:val="24"/>
          <w:highlight w:val="none"/>
          <w:lang w:val="en-US" w:eastAsia="zh-CN"/>
        </w:rPr>
        <w:t>发生器（1用1备）</w:t>
      </w:r>
      <w:r>
        <w:rPr>
          <w:sz w:val="24"/>
          <w:szCs w:val="24"/>
          <w:highlight w:val="none"/>
        </w:rPr>
        <w:t>，年工作</w:t>
      </w:r>
      <w:r>
        <w:rPr>
          <w:rFonts w:hint="eastAsia"/>
          <w:sz w:val="24"/>
          <w:szCs w:val="24"/>
          <w:highlight w:val="none"/>
          <w:lang w:val="en-US" w:eastAsia="zh-CN"/>
        </w:rPr>
        <w:t>1890h</w:t>
      </w:r>
      <w:r>
        <w:rPr>
          <w:sz w:val="24"/>
          <w:szCs w:val="24"/>
          <w:highlight w:val="none"/>
        </w:rPr>
        <w:t>，燃料采用</w:t>
      </w:r>
      <w:r>
        <w:rPr>
          <w:rFonts w:hint="eastAsia"/>
          <w:sz w:val="24"/>
          <w:szCs w:val="24"/>
          <w:highlight w:val="none"/>
          <w:lang w:val="en-US" w:eastAsia="zh-CN"/>
        </w:rPr>
        <w:t>生物质颗粒</w:t>
      </w:r>
      <w:r>
        <w:rPr>
          <w:sz w:val="24"/>
          <w:szCs w:val="24"/>
          <w:highlight w:val="none"/>
        </w:rPr>
        <w:t>燃料。</w:t>
      </w:r>
    </w:p>
    <w:p w14:paraId="305B555B">
      <w:pPr>
        <w:pStyle w:val="126"/>
        <w:spacing w:line="360" w:lineRule="auto"/>
        <w:ind w:firstLine="402"/>
        <w:rPr>
          <w:sz w:val="24"/>
          <w:szCs w:val="24"/>
          <w:highlight w:val="none"/>
        </w:rPr>
      </w:pPr>
      <w:r>
        <w:rPr>
          <w:sz w:val="24"/>
          <w:szCs w:val="24"/>
          <w:highlight w:val="none"/>
        </w:rPr>
        <w:t>（一）燃料量</w:t>
      </w:r>
    </w:p>
    <w:p w14:paraId="1CCAE3B8">
      <w:pPr>
        <w:adjustRightInd w:val="0"/>
        <w:snapToGrid w:val="0"/>
        <w:spacing w:line="360" w:lineRule="auto"/>
        <w:ind w:firstLine="480" w:firstLineChars="200"/>
        <w:rPr>
          <w:sz w:val="24"/>
          <w:szCs w:val="24"/>
          <w:highlight w:val="yellow"/>
        </w:rPr>
      </w:pPr>
      <w:r>
        <w:rPr>
          <w:rFonts w:hint="eastAsia" w:ascii="Times New Roman" w:hAnsi="Times New Roman" w:eastAsia="宋体" w:cs="Times New Roman"/>
          <w:color w:val="auto"/>
          <w:kern w:val="2"/>
          <w:sz w:val="24"/>
          <w:szCs w:val="24"/>
          <w:highlight w:val="none"/>
          <w:lang w:val="en-US" w:eastAsia="zh-CN" w:bidi="ar-SA"/>
        </w:rPr>
        <w:t>本项目设置</w:t>
      </w:r>
      <w:r>
        <w:rPr>
          <w:rFonts w:hint="eastAsia"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台</w:t>
      </w:r>
      <w:r>
        <w:rPr>
          <w:rFonts w:hint="eastAsia" w:cs="Times New Roman"/>
          <w:color w:val="auto"/>
          <w:kern w:val="2"/>
          <w:sz w:val="24"/>
          <w:szCs w:val="24"/>
          <w:highlight w:val="none"/>
          <w:lang w:val="en-US" w:eastAsia="zh-CN" w:bidi="ar-SA"/>
        </w:rPr>
        <w:t>2.5t/h燃生物质</w:t>
      </w:r>
      <w:r>
        <w:rPr>
          <w:rFonts w:hint="default" w:ascii="Times New Roman" w:hAnsi="Times New Roman" w:eastAsia="宋体" w:cs="Times New Roman"/>
          <w:color w:val="auto"/>
          <w:kern w:val="2"/>
          <w:sz w:val="24"/>
          <w:szCs w:val="24"/>
          <w:highlight w:val="none"/>
          <w:lang w:val="en-US" w:eastAsia="zh-CN" w:bidi="ar-SA"/>
        </w:rPr>
        <w:t>蒸汽</w:t>
      </w:r>
      <w:r>
        <w:rPr>
          <w:rFonts w:hint="eastAsia" w:cs="Times New Roman"/>
          <w:color w:val="auto"/>
          <w:kern w:val="2"/>
          <w:sz w:val="24"/>
          <w:szCs w:val="24"/>
          <w:highlight w:val="none"/>
          <w:lang w:val="en-US" w:eastAsia="zh-CN" w:bidi="ar-SA"/>
        </w:rPr>
        <w:t>发生器</w:t>
      </w: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生物质颗粒使</w:t>
      </w:r>
      <w:r>
        <w:rPr>
          <w:rFonts w:hint="eastAsia" w:ascii="Times New Roman" w:hAnsi="Times New Roman" w:eastAsia="宋体" w:cs="Times New Roman"/>
          <w:color w:val="auto"/>
          <w:kern w:val="2"/>
          <w:sz w:val="24"/>
          <w:szCs w:val="24"/>
          <w:highlight w:val="none"/>
          <w:lang w:val="en-US" w:eastAsia="zh-CN" w:bidi="ar-SA"/>
        </w:rPr>
        <w:t>用量</w:t>
      </w:r>
      <w:r>
        <w:rPr>
          <w:rFonts w:hint="eastAsia" w:cs="Times New Roman"/>
          <w:color w:val="auto"/>
          <w:kern w:val="2"/>
          <w:sz w:val="24"/>
          <w:szCs w:val="24"/>
          <w:highlight w:val="none"/>
          <w:lang w:val="en-US" w:eastAsia="zh-CN" w:bidi="ar-SA"/>
        </w:rPr>
        <w:t>：</w:t>
      </w:r>
      <w:r>
        <w:rPr>
          <w:rFonts w:hint="eastAsia" w:ascii="宋体" w:hAnsi="宋体" w:eastAsia="宋体" w:cs="宋体"/>
          <w:color w:val="000000"/>
          <w:kern w:val="0"/>
          <w:sz w:val="24"/>
          <w:szCs w:val="24"/>
          <w:highlight w:val="none"/>
          <w:lang w:val="en-US" w:eastAsia="zh-CN" w:bidi="ar"/>
        </w:rPr>
        <w:t>本项目</w:t>
      </w:r>
      <w:r>
        <w:rPr>
          <w:rFonts w:hint="eastAsia" w:ascii="宋体" w:hAnsi="宋体" w:cs="宋体"/>
          <w:color w:val="000000"/>
          <w:kern w:val="0"/>
          <w:sz w:val="24"/>
          <w:szCs w:val="24"/>
          <w:highlight w:val="none"/>
          <w:lang w:val="en-US" w:eastAsia="zh-CN" w:bidi="ar"/>
        </w:rPr>
        <w:t>2.5</w:t>
      </w:r>
      <w:r>
        <w:rPr>
          <w:rFonts w:hint="default" w:ascii="Times New Roman" w:hAnsi="Times New Roman" w:eastAsia="宋体" w:cs="Times New Roman"/>
          <w:color w:val="000000"/>
          <w:kern w:val="0"/>
          <w:sz w:val="24"/>
          <w:szCs w:val="24"/>
          <w:highlight w:val="none"/>
          <w:lang w:val="en-US" w:eastAsia="zh-CN" w:bidi="ar"/>
        </w:rPr>
        <w:t>t/h</w:t>
      </w:r>
      <w:r>
        <w:rPr>
          <w:rFonts w:hint="eastAsia" w:ascii="宋体" w:hAnsi="宋体" w:eastAsia="宋体" w:cs="宋体"/>
          <w:color w:val="000000"/>
          <w:kern w:val="0"/>
          <w:sz w:val="24"/>
          <w:szCs w:val="24"/>
          <w:highlight w:val="none"/>
          <w:lang w:val="en-US" w:eastAsia="zh-CN" w:bidi="ar"/>
        </w:rPr>
        <w:t>的蒸汽</w:t>
      </w:r>
      <w:r>
        <w:rPr>
          <w:rFonts w:hint="eastAsia" w:ascii="宋体" w:hAnsi="宋体" w:cs="宋体"/>
          <w:color w:val="000000"/>
          <w:kern w:val="0"/>
          <w:sz w:val="24"/>
          <w:szCs w:val="24"/>
          <w:highlight w:val="none"/>
          <w:lang w:val="en-US" w:eastAsia="zh-CN" w:bidi="ar"/>
        </w:rPr>
        <w:t>发生器</w:t>
      </w:r>
      <w:r>
        <w:rPr>
          <w:rFonts w:hint="eastAsia" w:ascii="宋体" w:hAnsi="宋体" w:eastAsia="宋体" w:cs="宋体"/>
          <w:color w:val="000000"/>
          <w:kern w:val="0"/>
          <w:sz w:val="24"/>
          <w:szCs w:val="24"/>
          <w:highlight w:val="none"/>
          <w:lang w:val="en-US" w:eastAsia="zh-CN" w:bidi="ar"/>
        </w:rPr>
        <w:t>用于</w:t>
      </w:r>
      <w:r>
        <w:rPr>
          <w:rFonts w:hint="eastAsia" w:ascii="宋体" w:hAnsi="宋体" w:cs="宋体"/>
          <w:color w:val="000000"/>
          <w:kern w:val="0"/>
          <w:sz w:val="24"/>
          <w:szCs w:val="24"/>
          <w:highlight w:val="none"/>
          <w:lang w:val="en-US" w:eastAsia="zh-CN" w:bidi="ar"/>
        </w:rPr>
        <w:t>水泥制品的养护</w:t>
      </w:r>
      <w:r>
        <w:rPr>
          <w:rFonts w:hint="eastAsia" w:ascii="宋体" w:hAnsi="宋体" w:eastAsia="宋体" w:cs="宋体"/>
          <w:color w:val="000000"/>
          <w:kern w:val="0"/>
          <w:sz w:val="24"/>
          <w:szCs w:val="24"/>
          <w:highlight w:val="none"/>
          <w:lang w:val="en-US" w:eastAsia="zh-CN" w:bidi="ar"/>
        </w:rPr>
        <w:t>。本次环评按照</w:t>
      </w:r>
      <w:r>
        <w:rPr>
          <w:rFonts w:hint="eastAsia" w:ascii="宋体" w:hAnsi="宋体" w:cs="宋体"/>
          <w:color w:val="000000"/>
          <w:kern w:val="0"/>
          <w:sz w:val="24"/>
          <w:szCs w:val="24"/>
          <w:highlight w:val="none"/>
          <w:lang w:val="en-US" w:eastAsia="zh-CN" w:bidi="ar"/>
        </w:rPr>
        <w:t>2.5</w:t>
      </w:r>
      <w:r>
        <w:rPr>
          <w:rFonts w:hint="default" w:ascii="Times New Roman" w:hAnsi="Times New Roman" w:eastAsia="宋体" w:cs="Times New Roman"/>
          <w:color w:val="000000"/>
          <w:kern w:val="0"/>
          <w:sz w:val="24"/>
          <w:szCs w:val="24"/>
          <w:highlight w:val="none"/>
          <w:lang w:val="en-US" w:eastAsia="zh-CN" w:bidi="ar"/>
        </w:rPr>
        <w:t>t/h</w:t>
      </w:r>
      <w:r>
        <w:rPr>
          <w:rFonts w:hint="eastAsia" w:ascii="宋体" w:hAnsi="宋体" w:eastAsia="宋体" w:cs="宋体"/>
          <w:color w:val="000000"/>
          <w:kern w:val="0"/>
          <w:sz w:val="24"/>
          <w:szCs w:val="24"/>
          <w:highlight w:val="none"/>
          <w:lang w:val="en-US" w:eastAsia="zh-CN" w:bidi="ar"/>
        </w:rPr>
        <w:t>的蒸汽</w:t>
      </w:r>
      <w:r>
        <w:rPr>
          <w:rFonts w:hint="eastAsia" w:ascii="宋体" w:hAnsi="宋体" w:cs="宋体"/>
          <w:color w:val="000000"/>
          <w:kern w:val="0"/>
          <w:sz w:val="24"/>
          <w:szCs w:val="24"/>
          <w:highlight w:val="none"/>
          <w:lang w:val="en-US" w:eastAsia="zh-CN" w:bidi="ar"/>
        </w:rPr>
        <w:t>发生器</w:t>
      </w:r>
      <w:r>
        <w:rPr>
          <w:rFonts w:hint="eastAsia" w:ascii="宋体" w:hAnsi="宋体" w:eastAsia="宋体" w:cs="宋体"/>
          <w:color w:val="000000"/>
          <w:kern w:val="0"/>
          <w:sz w:val="24"/>
          <w:szCs w:val="24"/>
          <w:highlight w:val="none"/>
          <w:lang w:val="en-US" w:eastAsia="zh-CN" w:bidi="ar"/>
        </w:rPr>
        <w:t>最大热负荷计算燃料量及污染物排放量。</w:t>
      </w:r>
      <w:r>
        <w:rPr>
          <w:rFonts w:hint="default" w:ascii="Times New Roman" w:hAnsi="Times New Roman" w:eastAsia="宋体" w:cs="Times New Roman"/>
          <w:color w:val="auto"/>
          <w:kern w:val="2"/>
          <w:sz w:val="24"/>
          <w:szCs w:val="24"/>
          <w:highlight w:val="none"/>
          <w:lang w:val="en-US" w:eastAsia="zh-CN" w:bidi="ar-SA"/>
        </w:rPr>
        <w:t>生物</w:t>
      </w:r>
      <w:r>
        <w:rPr>
          <w:rFonts w:hint="eastAsia" w:cs="Times New Roman"/>
          <w:color w:val="auto"/>
          <w:kern w:val="2"/>
          <w:sz w:val="24"/>
          <w:szCs w:val="24"/>
          <w:highlight w:val="none"/>
          <w:lang w:val="en-US" w:eastAsia="zh-CN" w:bidi="ar-SA"/>
        </w:rPr>
        <w:t>质蒸汽发生器</w:t>
      </w:r>
      <w:r>
        <w:rPr>
          <w:rFonts w:hint="default" w:ascii="Times New Roman" w:hAnsi="Times New Roman" w:eastAsia="宋体" w:cs="Times New Roman"/>
          <w:color w:val="auto"/>
          <w:kern w:val="2"/>
          <w:sz w:val="24"/>
          <w:szCs w:val="24"/>
          <w:highlight w:val="none"/>
          <w:lang w:val="en-US" w:eastAsia="zh-CN" w:bidi="ar-SA"/>
        </w:rPr>
        <w:t>每小时燃料消耗量=60万大卡*吨位/燃料热值/</w:t>
      </w:r>
      <w:r>
        <w:rPr>
          <w:rFonts w:hint="eastAsia" w:cs="Times New Roman"/>
          <w:color w:val="auto"/>
          <w:kern w:val="2"/>
          <w:sz w:val="24"/>
          <w:szCs w:val="24"/>
          <w:highlight w:val="none"/>
          <w:lang w:val="en-US" w:eastAsia="zh-CN" w:bidi="ar-SA"/>
        </w:rPr>
        <w:t>蒸汽发生器</w:t>
      </w:r>
      <w:r>
        <w:rPr>
          <w:rFonts w:hint="default" w:ascii="Times New Roman" w:hAnsi="Times New Roman" w:eastAsia="宋体" w:cs="Times New Roman"/>
          <w:color w:val="auto"/>
          <w:kern w:val="2"/>
          <w:sz w:val="24"/>
          <w:szCs w:val="24"/>
          <w:highlight w:val="none"/>
          <w:lang w:val="en-US" w:eastAsia="zh-CN" w:bidi="ar-SA"/>
        </w:rPr>
        <w:t>燃烧效率，600000*</w:t>
      </w:r>
      <w:r>
        <w:rPr>
          <w:rFonts w:hint="eastAsia" w:cs="Times New Roman"/>
          <w:color w:val="auto"/>
          <w:kern w:val="2"/>
          <w:sz w:val="24"/>
          <w:szCs w:val="24"/>
          <w:highlight w:val="none"/>
          <w:lang w:val="en-US" w:eastAsia="zh-CN" w:bidi="ar-SA"/>
        </w:rPr>
        <w:t>2.5</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3480</w:t>
      </w:r>
      <w:r>
        <w:rPr>
          <w:rFonts w:hint="default" w:ascii="Times New Roman" w:hAnsi="Times New Roman" w:eastAsia="宋体" w:cs="Times New Roman"/>
          <w:color w:val="auto"/>
          <w:kern w:val="2"/>
          <w:sz w:val="24"/>
          <w:szCs w:val="24"/>
          <w:highlight w:val="none"/>
          <w:lang w:val="en-US" w:eastAsia="zh-CN" w:bidi="ar-SA"/>
        </w:rPr>
        <w:t>/0.8=</w:t>
      </w:r>
      <w:r>
        <w:rPr>
          <w:rFonts w:hint="eastAsia" w:cs="Times New Roman"/>
          <w:color w:val="auto"/>
          <w:kern w:val="2"/>
          <w:sz w:val="24"/>
          <w:szCs w:val="24"/>
          <w:highlight w:val="none"/>
          <w:lang w:val="en-US" w:eastAsia="zh-CN" w:bidi="ar-SA"/>
        </w:rPr>
        <w:t>538.79</w:t>
      </w:r>
      <w:r>
        <w:rPr>
          <w:rFonts w:hint="eastAsia" w:ascii="Times New Roman" w:hAnsi="Times New Roman" w:eastAsia="宋体" w:cs="Times New Roman"/>
          <w:color w:val="auto"/>
          <w:kern w:val="2"/>
          <w:sz w:val="24"/>
          <w:szCs w:val="24"/>
          <w:highlight w:val="none"/>
          <w:lang w:val="en-US" w:eastAsia="zh-CN" w:bidi="ar-SA"/>
        </w:rPr>
        <w:t>kg/h</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因此生物质燃料用量为</w:t>
      </w:r>
      <w:r>
        <w:rPr>
          <w:rFonts w:hint="eastAsia" w:cs="Times New Roman"/>
          <w:color w:val="auto"/>
          <w:kern w:val="2"/>
          <w:sz w:val="24"/>
          <w:szCs w:val="24"/>
          <w:highlight w:val="none"/>
          <w:lang w:val="en-US" w:eastAsia="zh-CN" w:bidi="ar-SA"/>
        </w:rPr>
        <w:t>538.79</w:t>
      </w:r>
      <w:r>
        <w:rPr>
          <w:rFonts w:hint="default" w:ascii="Times New Roman" w:hAnsi="Times New Roman" w:eastAsia="宋体" w:cs="Times New Roman"/>
          <w:color w:val="auto"/>
          <w:kern w:val="2"/>
          <w:sz w:val="24"/>
          <w:szCs w:val="24"/>
          <w:highlight w:val="none"/>
          <w:lang w:val="en-US" w:eastAsia="zh-CN" w:bidi="ar-SA"/>
        </w:rPr>
        <w:t>kg/h</w:t>
      </w: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1018.3131</w:t>
      </w:r>
      <w:r>
        <w:rPr>
          <w:rFonts w:hint="eastAsia" w:ascii="Times New Roman" w:hAnsi="Times New Roman" w:eastAsia="宋体" w:cs="Times New Roman"/>
          <w:color w:val="auto"/>
          <w:kern w:val="2"/>
          <w:sz w:val="24"/>
          <w:szCs w:val="24"/>
          <w:highlight w:val="none"/>
          <w:lang w:val="en-US" w:eastAsia="zh-CN" w:bidi="ar-SA"/>
        </w:rPr>
        <w:t>t/a）因此本项目生物质燃料年用量为</w:t>
      </w:r>
      <w:r>
        <w:rPr>
          <w:rFonts w:hint="eastAsia" w:cs="Times New Roman"/>
          <w:color w:val="auto"/>
          <w:kern w:val="2"/>
          <w:sz w:val="24"/>
          <w:szCs w:val="24"/>
          <w:highlight w:val="none"/>
          <w:lang w:val="en-US" w:eastAsia="zh-CN" w:bidi="ar-SA"/>
        </w:rPr>
        <w:t>1018.3131</w:t>
      </w:r>
      <w:r>
        <w:rPr>
          <w:rFonts w:hint="eastAsia" w:ascii="Times New Roman" w:hAnsi="Times New Roman" w:eastAsia="宋体" w:cs="Times New Roman"/>
          <w:color w:val="auto"/>
          <w:kern w:val="2"/>
          <w:sz w:val="24"/>
          <w:szCs w:val="24"/>
          <w:highlight w:val="none"/>
          <w:lang w:val="en-US" w:eastAsia="zh-CN" w:bidi="ar-SA"/>
        </w:rPr>
        <w:t>t/a</w:t>
      </w:r>
    </w:p>
    <w:p w14:paraId="3F50B27C">
      <w:pPr>
        <w:pStyle w:val="126"/>
        <w:spacing w:line="360" w:lineRule="auto"/>
        <w:ind w:firstLine="402"/>
        <w:rPr>
          <w:rFonts w:hint="default" w:ascii="Times New Roman" w:hAnsi="Times New Roman" w:eastAsia="宋体" w:cs="Times New Roman"/>
          <w:color w:val="auto"/>
          <w:kern w:val="2"/>
          <w:sz w:val="24"/>
          <w:szCs w:val="24"/>
          <w:highlight w:val="none"/>
          <w:lang w:val="en-US" w:eastAsia="zh-CN" w:bidi="ar-SA"/>
        </w:rPr>
      </w:pPr>
      <w:r>
        <w:rPr>
          <w:highlight w:val="none"/>
        </w:rPr>
        <w:t>（二）基准烟气量源强核算</w:t>
      </w:r>
    </w:p>
    <w:p w14:paraId="6AFE82B7">
      <w:pPr>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本项目年燃生物质成型燃料的量为</w:t>
      </w:r>
      <w:r>
        <w:rPr>
          <w:rFonts w:hint="eastAsia" w:cs="Times New Roman"/>
          <w:color w:val="auto"/>
          <w:kern w:val="2"/>
          <w:sz w:val="24"/>
          <w:szCs w:val="24"/>
          <w:highlight w:val="none"/>
          <w:lang w:val="en-US" w:eastAsia="zh-CN" w:bidi="ar-SA"/>
        </w:rPr>
        <w:t>1018.3131</w:t>
      </w:r>
      <w:r>
        <w:rPr>
          <w:rFonts w:hint="eastAsia" w:ascii="Times New Roman" w:hAnsi="Times New Roman" w:eastAsia="宋体" w:cs="Times New Roman"/>
          <w:color w:val="auto"/>
          <w:kern w:val="2"/>
          <w:sz w:val="24"/>
          <w:szCs w:val="24"/>
          <w:highlight w:val="none"/>
          <w:lang w:val="en-US" w:eastAsia="zh-CN" w:bidi="ar-SA"/>
        </w:rPr>
        <w:t>t/a。本项目蒸汽发生器大气污染物核算方法是产污系数法和类比法。</w:t>
      </w:r>
    </w:p>
    <w:p w14:paraId="4C8B26D7">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烟气排放量按下式计算</w:t>
      </w:r>
    </w:p>
    <w:p w14:paraId="4F5085CA">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根据《污染源源强核算技术指南 锅炉》（HJ991-2018）附录C烟气量计算C.5没有元素分析时，干烟气排放量的经验公式计算参照HJ953。计算公示如下：</w:t>
      </w:r>
    </w:p>
    <w:p w14:paraId="36EE8793">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Vgy=0.393Qnet,ar+0.876</w:t>
      </w:r>
    </w:p>
    <w:p w14:paraId="12E7A90E">
      <w:pPr>
        <w:spacing w:line="360" w:lineRule="auto"/>
        <w:ind w:firstLine="480" w:firstLineChars="200"/>
        <w:rPr>
          <w:rFonts w:hint="eastAsia"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none"/>
          <w:lang w:val="en-US" w:eastAsia="zh-CN" w:bidi="ar-SA"/>
        </w:rPr>
        <w:t>则本项目的基准烟气量为Vgy=（0.393×</w:t>
      </w:r>
      <w:r>
        <w:rPr>
          <w:rFonts w:hint="eastAsia" w:ascii="Times New Roman" w:hAnsi="Times New Roman" w:eastAsia="宋体" w:cs="Times New Roman"/>
          <w:color w:val="auto"/>
          <w:kern w:val="2"/>
          <w:sz w:val="24"/>
          <w:szCs w:val="24"/>
          <w:highlight w:val="none"/>
          <w:lang w:val="en-US" w:eastAsia="zh-CN" w:bidi="ar-SA"/>
        </w:rPr>
        <w:t>14.55</w:t>
      </w:r>
      <w:r>
        <w:rPr>
          <w:rFonts w:hint="default" w:ascii="Times New Roman" w:hAnsi="Times New Roman" w:eastAsia="宋体" w:cs="Times New Roman"/>
          <w:color w:val="auto"/>
          <w:kern w:val="2"/>
          <w:sz w:val="24"/>
          <w:szCs w:val="24"/>
          <w:highlight w:val="none"/>
          <w:lang w:val="en-US" w:eastAsia="zh-CN" w:bidi="ar-SA"/>
        </w:rPr>
        <w:t>+0.876）Nm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/kg×10</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6594.15</w:t>
      </w:r>
      <w:r>
        <w:rPr>
          <w:rFonts w:hint="default" w:ascii="Times New Roman" w:hAnsi="Times New Roman" w:eastAsia="宋体" w:cs="Times New Roman"/>
          <w:color w:val="auto"/>
          <w:kern w:val="2"/>
          <w:sz w:val="24"/>
          <w:szCs w:val="24"/>
          <w:highlight w:val="none"/>
          <w:lang w:val="en-US" w:eastAsia="zh-CN" w:bidi="ar-SA"/>
        </w:rPr>
        <w:t>Nm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/t</w:t>
      </w:r>
      <w:r>
        <w:rPr>
          <w:rFonts w:hint="eastAsia" w:cs="Times New Roman"/>
          <w:color w:val="auto"/>
          <w:kern w:val="2"/>
          <w:sz w:val="24"/>
          <w:szCs w:val="24"/>
          <w:highlight w:val="none"/>
          <w:lang w:val="en-US" w:eastAsia="zh-CN" w:bidi="ar-SA"/>
        </w:rPr>
        <w:t>（6714909.33</w:t>
      </w:r>
      <w:r>
        <w:rPr>
          <w:rFonts w:hint="default" w:ascii="Times New Roman" w:hAnsi="Times New Roman" w:eastAsia="宋体" w:cs="Times New Roman"/>
          <w:color w:val="auto"/>
          <w:kern w:val="2"/>
          <w:sz w:val="24"/>
          <w:szCs w:val="24"/>
          <w:highlight w:val="none"/>
          <w:lang w:val="en-US" w:eastAsia="zh-CN" w:bidi="ar-SA"/>
        </w:rPr>
        <w:t>Nm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a）</w:t>
      </w:r>
    </w:p>
    <w:p w14:paraId="33678721">
      <w:pPr>
        <w:pStyle w:val="126"/>
        <w:spacing w:line="360" w:lineRule="auto"/>
        <w:ind w:firstLine="402"/>
        <w:rPr>
          <w:highlight w:val="none"/>
        </w:rPr>
      </w:pPr>
      <w:r>
        <w:rPr>
          <w:highlight w:val="none"/>
        </w:rPr>
        <w:t>（三）排放浓度限值</w:t>
      </w:r>
    </w:p>
    <w:p w14:paraId="5CA5051C">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w:t>
      </w:r>
      <w:r>
        <w:rPr>
          <w:rFonts w:hint="eastAsia" w:cs="Times New Roman"/>
          <w:color w:val="auto"/>
          <w:sz w:val="24"/>
          <w:szCs w:val="24"/>
          <w:highlight w:val="none"/>
          <w:lang w:val="en-US" w:eastAsia="zh-CN"/>
        </w:rPr>
        <w:t>燃生物质蒸汽发生器烟气</w:t>
      </w:r>
      <w:r>
        <w:rPr>
          <w:rFonts w:hint="default" w:ascii="Times New Roman" w:hAnsi="Times New Roman" w:cs="Times New Roman"/>
          <w:color w:val="auto"/>
          <w:sz w:val="24"/>
          <w:szCs w:val="24"/>
          <w:highlight w:val="none"/>
        </w:rPr>
        <w:t>执行《锅炉大气污染物排放标准》（GB13271-2014）表</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中</w:t>
      </w:r>
      <w:r>
        <w:rPr>
          <w:rFonts w:hint="eastAsia" w:cs="Times New Roman"/>
          <w:color w:val="auto"/>
          <w:sz w:val="24"/>
          <w:szCs w:val="24"/>
          <w:highlight w:val="none"/>
          <w:lang w:val="en-US" w:eastAsia="zh-CN"/>
        </w:rPr>
        <w:t>新建燃煤锅炉大气排放限值</w:t>
      </w:r>
      <w:r>
        <w:rPr>
          <w:rFonts w:hint="default" w:ascii="Times New Roman" w:hAnsi="Times New Roman" w:cs="Times New Roman"/>
          <w:color w:val="auto"/>
          <w:sz w:val="24"/>
          <w:szCs w:val="24"/>
          <w:highlight w:val="none"/>
        </w:rPr>
        <w:t>，具体标准浓度限值见</w:t>
      </w:r>
      <w:r>
        <w:rPr>
          <w:rFonts w:hint="eastAsia" w:cs="Times New Roman"/>
          <w:color w:val="auto"/>
          <w:sz w:val="24"/>
          <w:szCs w:val="24"/>
          <w:highlight w:val="none"/>
          <w:lang w:val="en-US" w:eastAsia="zh-CN"/>
        </w:rPr>
        <w:t>附</w:t>
      </w:r>
      <w:r>
        <w:rPr>
          <w:rFonts w:hint="default" w:ascii="Times New Roman" w:hAnsi="Times New Roman" w:cs="Times New Roman"/>
          <w:color w:val="auto"/>
          <w:sz w:val="24"/>
          <w:szCs w:val="24"/>
          <w:highlight w:val="none"/>
        </w:rPr>
        <w:t>表</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w:t>
      </w:r>
    </w:p>
    <w:p w14:paraId="615184E1">
      <w:pPr>
        <w:ind w:firstLine="482"/>
        <w:jc w:val="center"/>
        <w:rPr>
          <w:rFonts w:hint="default" w:ascii="Times New Roman" w:hAnsi="Times New Roman" w:cs="Times New Roman"/>
          <w:b/>
          <w:color w:val="auto"/>
          <w:sz w:val="24"/>
          <w:szCs w:val="24"/>
          <w:highlight w:val="none"/>
        </w:rPr>
      </w:pPr>
      <w:r>
        <w:rPr>
          <w:rFonts w:hint="eastAsia" w:cs="Times New Roman"/>
          <w:b/>
          <w:color w:val="auto"/>
          <w:sz w:val="24"/>
          <w:szCs w:val="24"/>
          <w:highlight w:val="none"/>
          <w:lang w:val="en-US" w:eastAsia="zh-CN"/>
        </w:rPr>
        <w:t>附表1</w:t>
      </w:r>
      <w:r>
        <w:rPr>
          <w:rFonts w:hint="default" w:ascii="Times New Roman" w:hAnsi="Times New Roman" w:cs="Times New Roman"/>
          <w:b/>
          <w:color w:val="auto"/>
          <w:sz w:val="24"/>
          <w:szCs w:val="24"/>
          <w:highlight w:val="none"/>
        </w:rPr>
        <w:t xml:space="preserve"> 锅炉大气污染物排放标准  单位：mg/m</w:t>
      </w:r>
      <w:r>
        <w:rPr>
          <w:rFonts w:hint="default" w:ascii="Times New Roman" w:hAnsi="Times New Roman" w:cs="Times New Roman"/>
          <w:b/>
          <w:color w:val="auto"/>
          <w:sz w:val="24"/>
          <w:szCs w:val="24"/>
          <w:highlight w:val="none"/>
          <w:vertAlign w:val="superscript"/>
        </w:rPr>
        <w:t>3</w:t>
      </w:r>
    </w:p>
    <w:tbl>
      <w:tblPr>
        <w:tblStyle w:val="31"/>
        <w:tblW w:w="469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6" w:type="dxa"/>
          <w:bottom w:w="0" w:type="dxa"/>
          <w:right w:w="56" w:type="dxa"/>
        </w:tblCellMar>
      </w:tblPr>
      <w:tblGrid>
        <w:gridCol w:w="1309"/>
        <w:gridCol w:w="898"/>
        <w:gridCol w:w="1162"/>
        <w:gridCol w:w="1336"/>
        <w:gridCol w:w="1849"/>
        <w:gridCol w:w="1850"/>
      </w:tblGrid>
      <w:tr w14:paraId="7493D4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309" w:hRule="exact"/>
          <w:jc w:val="center"/>
        </w:trPr>
        <w:tc>
          <w:tcPr>
            <w:tcW w:w="778" w:type="pct"/>
            <w:tcBorders>
              <w:tl2br w:val="nil"/>
              <w:tr2bl w:val="nil"/>
            </w:tcBorders>
          </w:tcPr>
          <w:p w14:paraId="6ABB1F9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污染物项目</w:t>
            </w:r>
          </w:p>
        </w:tc>
        <w:tc>
          <w:tcPr>
            <w:tcW w:w="534" w:type="pct"/>
            <w:tcBorders>
              <w:tl2br w:val="nil"/>
              <w:tr2bl w:val="nil"/>
            </w:tcBorders>
            <w:vAlign w:val="center"/>
          </w:tcPr>
          <w:p w14:paraId="499AB79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691" w:type="pct"/>
            <w:tcBorders>
              <w:tl2br w:val="nil"/>
              <w:tr2bl w:val="nil"/>
            </w:tcBorders>
            <w:vAlign w:val="center"/>
          </w:tcPr>
          <w:p w14:paraId="58B43B7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二氧化硫</w:t>
            </w:r>
          </w:p>
        </w:tc>
        <w:tc>
          <w:tcPr>
            <w:tcW w:w="794" w:type="pct"/>
            <w:tcBorders>
              <w:tl2br w:val="nil"/>
              <w:tr2bl w:val="nil"/>
            </w:tcBorders>
            <w:vAlign w:val="center"/>
          </w:tcPr>
          <w:p w14:paraId="42AA1B1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氮氧化物</w:t>
            </w:r>
          </w:p>
        </w:tc>
        <w:tc>
          <w:tcPr>
            <w:tcW w:w="1099" w:type="pct"/>
            <w:tcBorders>
              <w:tl2br w:val="nil"/>
              <w:tr2bl w:val="nil"/>
            </w:tcBorders>
            <w:vAlign w:val="center"/>
          </w:tcPr>
          <w:p w14:paraId="34EDA54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烟气黑度</w:t>
            </w:r>
          </w:p>
        </w:tc>
        <w:tc>
          <w:tcPr>
            <w:tcW w:w="1100" w:type="pct"/>
            <w:tcBorders>
              <w:tl2br w:val="nil"/>
              <w:tr2bl w:val="nil"/>
            </w:tcBorders>
            <w:vAlign w:val="center"/>
          </w:tcPr>
          <w:p w14:paraId="30253286">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汞及其化合物</w:t>
            </w:r>
          </w:p>
        </w:tc>
      </w:tr>
      <w:tr w14:paraId="332370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715" w:hRule="exact"/>
          <w:jc w:val="center"/>
        </w:trPr>
        <w:tc>
          <w:tcPr>
            <w:tcW w:w="778" w:type="pct"/>
            <w:tcBorders>
              <w:tl2br w:val="nil"/>
              <w:tr2bl w:val="nil"/>
            </w:tcBorders>
            <w:vAlign w:val="center"/>
          </w:tcPr>
          <w:p w14:paraId="7C78E512">
            <w:pPr>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限值</w:t>
            </w:r>
          </w:p>
        </w:tc>
        <w:tc>
          <w:tcPr>
            <w:tcW w:w="534" w:type="pct"/>
            <w:tcBorders>
              <w:tl2br w:val="nil"/>
              <w:tr2bl w:val="nil"/>
            </w:tcBorders>
            <w:vAlign w:val="center"/>
          </w:tcPr>
          <w:p w14:paraId="23AD7C88">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691" w:type="pct"/>
            <w:tcBorders>
              <w:tl2br w:val="nil"/>
              <w:tr2bl w:val="nil"/>
            </w:tcBorders>
            <w:vAlign w:val="center"/>
          </w:tcPr>
          <w:p w14:paraId="0C47D80F">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794" w:type="pct"/>
            <w:tcBorders>
              <w:tl2br w:val="nil"/>
              <w:tr2bl w:val="nil"/>
            </w:tcBorders>
            <w:vAlign w:val="center"/>
          </w:tcPr>
          <w:p w14:paraId="0B40D285">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1099" w:type="pct"/>
            <w:tcBorders>
              <w:tl2br w:val="nil"/>
              <w:tr2bl w:val="nil"/>
            </w:tcBorders>
            <w:vAlign w:val="center"/>
          </w:tcPr>
          <w:p w14:paraId="73590F3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≤1级</w:t>
            </w:r>
          </w:p>
        </w:tc>
        <w:tc>
          <w:tcPr>
            <w:tcW w:w="1100" w:type="pct"/>
            <w:tcBorders>
              <w:tl2br w:val="nil"/>
              <w:tr2bl w:val="nil"/>
            </w:tcBorders>
            <w:vAlign w:val="center"/>
          </w:tcPr>
          <w:p w14:paraId="66D4895C">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0.05</w:t>
            </w:r>
          </w:p>
        </w:tc>
      </w:tr>
    </w:tbl>
    <w:p w14:paraId="6AF63CAD">
      <w:pPr>
        <w:pStyle w:val="126"/>
        <w:spacing w:line="360" w:lineRule="auto"/>
        <w:ind w:firstLine="402"/>
        <w:rPr>
          <w:rFonts w:hint="eastAsia" w:eastAsia="宋体"/>
          <w:sz w:val="24"/>
          <w:szCs w:val="24"/>
          <w:highlight w:val="none"/>
          <w:lang w:eastAsia="zh-CN"/>
        </w:rPr>
      </w:pPr>
      <w:r>
        <w:rPr>
          <w:sz w:val="24"/>
          <w:szCs w:val="24"/>
          <w:highlight w:val="none"/>
        </w:rPr>
        <w:t>（四）本项目大气污染物核定排放量</w:t>
      </w:r>
    </w:p>
    <w:p w14:paraId="7755FDEC">
      <w:pPr>
        <w:spacing w:line="360" w:lineRule="auto"/>
        <w:ind w:firstLine="480"/>
        <w:rPr>
          <w:sz w:val="24"/>
          <w:szCs w:val="24"/>
          <w:highlight w:val="none"/>
        </w:rPr>
      </w:pPr>
      <w:r>
        <w:rPr>
          <w:sz w:val="24"/>
          <w:szCs w:val="24"/>
          <w:highlight w:val="none"/>
        </w:rPr>
        <w:t>颗粒物（烟尘）排放量（单位：t/a）=基准烟气量×</w:t>
      </w:r>
      <w:r>
        <w:rPr>
          <w:rFonts w:hint="eastAsia"/>
          <w:sz w:val="24"/>
          <w:szCs w:val="24"/>
          <w:highlight w:val="none"/>
          <w:lang w:val="en-US" w:eastAsia="zh-CN"/>
        </w:rPr>
        <w:t>标准</w:t>
      </w:r>
      <w:r>
        <w:rPr>
          <w:sz w:val="24"/>
          <w:szCs w:val="24"/>
          <w:highlight w:val="none"/>
        </w:rPr>
        <w:t>浓度</w:t>
      </w:r>
    </w:p>
    <w:p w14:paraId="1369DCF7">
      <w:pPr>
        <w:spacing w:line="360" w:lineRule="auto"/>
        <w:ind w:firstLine="480"/>
        <w:rPr>
          <w:sz w:val="24"/>
          <w:szCs w:val="24"/>
          <w:highlight w:val="none"/>
        </w:rPr>
      </w:pPr>
      <w:r>
        <w:rPr>
          <w:sz w:val="24"/>
          <w:szCs w:val="24"/>
          <w:highlight w:val="none"/>
        </w:rPr>
        <w:t>=</w:t>
      </w:r>
      <w:r>
        <w:rPr>
          <w:rFonts w:hint="eastAsia" w:cs="Times New Roman"/>
          <w:color w:val="auto"/>
          <w:kern w:val="2"/>
          <w:sz w:val="24"/>
          <w:szCs w:val="24"/>
          <w:highlight w:val="none"/>
          <w:lang w:val="en-US" w:eastAsia="zh-CN" w:bidi="ar-SA"/>
        </w:rPr>
        <w:t>6714909.33</w:t>
      </w:r>
      <w:r>
        <w:rPr>
          <w:sz w:val="24"/>
          <w:szCs w:val="24"/>
          <w:highlight w:val="none"/>
        </w:rPr>
        <w:t>Nm</w:t>
      </w:r>
      <w:r>
        <w:rPr>
          <w:sz w:val="24"/>
          <w:szCs w:val="24"/>
          <w:highlight w:val="none"/>
          <w:vertAlign w:val="superscript"/>
        </w:rPr>
        <w:t>3</w:t>
      </w:r>
      <w:r>
        <w:rPr>
          <w:sz w:val="24"/>
          <w:szCs w:val="24"/>
          <w:highlight w:val="none"/>
        </w:rPr>
        <w:t>/a×</w:t>
      </w:r>
      <w:r>
        <w:rPr>
          <w:rFonts w:hint="eastAsia"/>
          <w:sz w:val="24"/>
          <w:szCs w:val="24"/>
          <w:highlight w:val="none"/>
          <w:lang w:val="en-US" w:eastAsia="zh-CN"/>
        </w:rPr>
        <w:t>50</w:t>
      </w:r>
      <w:r>
        <w:rPr>
          <w:sz w:val="24"/>
          <w:szCs w:val="24"/>
          <w:highlight w:val="none"/>
        </w:rPr>
        <w:t>mg/m</w:t>
      </w:r>
      <w:r>
        <w:rPr>
          <w:sz w:val="24"/>
          <w:szCs w:val="24"/>
          <w:highlight w:val="none"/>
          <w:vertAlign w:val="superscript"/>
        </w:rPr>
        <w:t>3</w:t>
      </w:r>
      <w:r>
        <w:rPr>
          <w:sz w:val="24"/>
          <w:szCs w:val="24"/>
          <w:highlight w:val="none"/>
        </w:rPr>
        <w:t>×10</w:t>
      </w:r>
      <w:r>
        <w:rPr>
          <w:sz w:val="24"/>
          <w:szCs w:val="24"/>
          <w:highlight w:val="none"/>
          <w:vertAlign w:val="superscript"/>
        </w:rPr>
        <w:t>-9</w:t>
      </w:r>
      <w:r>
        <w:rPr>
          <w:sz w:val="24"/>
          <w:szCs w:val="24"/>
          <w:highlight w:val="none"/>
        </w:rPr>
        <w:t>≈</w:t>
      </w:r>
      <w:r>
        <w:rPr>
          <w:rFonts w:hint="eastAsia"/>
          <w:sz w:val="24"/>
          <w:szCs w:val="24"/>
          <w:highlight w:val="none"/>
          <w:lang w:val="en-US" w:eastAsia="zh-CN"/>
        </w:rPr>
        <w:t>0.336t</w:t>
      </w:r>
      <w:r>
        <w:rPr>
          <w:sz w:val="24"/>
          <w:szCs w:val="24"/>
          <w:highlight w:val="none"/>
        </w:rPr>
        <w:t>/a。</w:t>
      </w:r>
    </w:p>
    <w:p w14:paraId="12452BC8">
      <w:pPr>
        <w:spacing w:line="360" w:lineRule="auto"/>
        <w:ind w:firstLine="480"/>
        <w:rPr>
          <w:sz w:val="24"/>
          <w:szCs w:val="24"/>
          <w:highlight w:val="none"/>
        </w:rPr>
      </w:pPr>
      <w:r>
        <w:rPr>
          <w:sz w:val="24"/>
          <w:szCs w:val="24"/>
          <w:highlight w:val="none"/>
        </w:rPr>
        <w:t>SO</w:t>
      </w:r>
      <w:r>
        <w:rPr>
          <w:sz w:val="24"/>
          <w:szCs w:val="24"/>
          <w:highlight w:val="none"/>
          <w:vertAlign w:val="subscript"/>
        </w:rPr>
        <w:t>2</w:t>
      </w:r>
      <w:r>
        <w:rPr>
          <w:sz w:val="24"/>
          <w:szCs w:val="24"/>
          <w:highlight w:val="none"/>
        </w:rPr>
        <w:t>排放量（单位：t/a）=基准烟气量×</w:t>
      </w:r>
      <w:r>
        <w:rPr>
          <w:rFonts w:hint="eastAsia"/>
          <w:sz w:val="24"/>
          <w:szCs w:val="24"/>
          <w:highlight w:val="none"/>
          <w:lang w:val="en-US" w:eastAsia="zh-CN"/>
        </w:rPr>
        <w:t>标准</w:t>
      </w:r>
      <w:r>
        <w:rPr>
          <w:sz w:val="24"/>
          <w:szCs w:val="24"/>
          <w:highlight w:val="none"/>
        </w:rPr>
        <w:t>浓度</w:t>
      </w:r>
    </w:p>
    <w:p w14:paraId="4D3949B1">
      <w:pPr>
        <w:spacing w:line="360" w:lineRule="auto"/>
        <w:ind w:firstLine="480"/>
        <w:rPr>
          <w:sz w:val="24"/>
          <w:szCs w:val="24"/>
          <w:highlight w:val="none"/>
        </w:rPr>
      </w:pPr>
      <w:r>
        <w:rPr>
          <w:sz w:val="24"/>
          <w:szCs w:val="24"/>
          <w:highlight w:val="none"/>
        </w:rPr>
        <w:t>=</w:t>
      </w:r>
      <w:r>
        <w:rPr>
          <w:rFonts w:hint="eastAsia" w:cs="Times New Roman"/>
          <w:color w:val="auto"/>
          <w:kern w:val="2"/>
          <w:sz w:val="24"/>
          <w:szCs w:val="24"/>
          <w:highlight w:val="none"/>
          <w:lang w:val="en-US" w:eastAsia="zh-CN" w:bidi="ar-SA"/>
        </w:rPr>
        <w:t>6714909.33</w:t>
      </w:r>
      <w:r>
        <w:rPr>
          <w:sz w:val="24"/>
          <w:szCs w:val="24"/>
          <w:highlight w:val="none"/>
        </w:rPr>
        <w:t>Nm</w:t>
      </w:r>
      <w:r>
        <w:rPr>
          <w:sz w:val="24"/>
          <w:szCs w:val="24"/>
          <w:highlight w:val="none"/>
          <w:vertAlign w:val="superscript"/>
        </w:rPr>
        <w:t>3</w:t>
      </w:r>
      <w:r>
        <w:rPr>
          <w:sz w:val="24"/>
          <w:szCs w:val="24"/>
          <w:highlight w:val="none"/>
        </w:rPr>
        <w:t>/a×</w:t>
      </w:r>
      <w:r>
        <w:rPr>
          <w:rFonts w:hint="eastAsia"/>
          <w:sz w:val="24"/>
          <w:szCs w:val="24"/>
          <w:highlight w:val="none"/>
          <w:lang w:val="en-US" w:eastAsia="zh-CN"/>
        </w:rPr>
        <w:t>300</w:t>
      </w:r>
      <w:r>
        <w:rPr>
          <w:sz w:val="24"/>
          <w:szCs w:val="24"/>
          <w:highlight w:val="none"/>
        </w:rPr>
        <w:t>mg/m</w:t>
      </w:r>
      <w:r>
        <w:rPr>
          <w:sz w:val="24"/>
          <w:szCs w:val="24"/>
          <w:highlight w:val="none"/>
          <w:vertAlign w:val="superscript"/>
        </w:rPr>
        <w:t>3</w:t>
      </w:r>
      <w:r>
        <w:rPr>
          <w:sz w:val="24"/>
          <w:szCs w:val="24"/>
          <w:highlight w:val="none"/>
        </w:rPr>
        <w:t>×</w:t>
      </w:r>
      <w:r>
        <w:rPr>
          <w:rFonts w:hint="eastAsia"/>
          <w:sz w:val="24"/>
          <w:szCs w:val="24"/>
          <w:highlight w:val="none"/>
          <w:lang w:val="en-US" w:eastAsia="zh-CN"/>
        </w:rPr>
        <w:t>0.8×</w:t>
      </w:r>
      <w:r>
        <w:rPr>
          <w:sz w:val="24"/>
          <w:szCs w:val="24"/>
          <w:highlight w:val="none"/>
        </w:rPr>
        <w:t>10</w:t>
      </w:r>
      <w:r>
        <w:rPr>
          <w:sz w:val="24"/>
          <w:szCs w:val="24"/>
          <w:highlight w:val="none"/>
          <w:vertAlign w:val="superscript"/>
        </w:rPr>
        <w:t>-9</w:t>
      </w:r>
      <w:r>
        <w:rPr>
          <w:sz w:val="24"/>
          <w:szCs w:val="24"/>
          <w:highlight w:val="none"/>
        </w:rPr>
        <w:t>≈</w:t>
      </w:r>
      <w:r>
        <w:rPr>
          <w:rFonts w:hint="eastAsia"/>
          <w:sz w:val="24"/>
          <w:szCs w:val="24"/>
          <w:highlight w:val="none"/>
          <w:lang w:val="en-US" w:eastAsia="zh-CN"/>
        </w:rPr>
        <w:t>1.6112</w:t>
      </w:r>
      <w:r>
        <w:rPr>
          <w:sz w:val="24"/>
          <w:szCs w:val="24"/>
          <w:highlight w:val="none"/>
        </w:rPr>
        <w:t>t/a。</w:t>
      </w:r>
    </w:p>
    <w:p w14:paraId="22444268">
      <w:pPr>
        <w:spacing w:line="360" w:lineRule="auto"/>
        <w:ind w:firstLine="480"/>
        <w:rPr>
          <w:sz w:val="24"/>
          <w:szCs w:val="24"/>
          <w:highlight w:val="none"/>
        </w:rPr>
      </w:pPr>
      <w:r>
        <w:rPr>
          <w:sz w:val="24"/>
          <w:szCs w:val="24"/>
          <w:highlight w:val="none"/>
        </w:rPr>
        <w:t>NO</w:t>
      </w:r>
      <w:r>
        <w:rPr>
          <w:sz w:val="24"/>
          <w:szCs w:val="24"/>
          <w:highlight w:val="none"/>
          <w:vertAlign w:val="subscript"/>
        </w:rPr>
        <w:t>x</w:t>
      </w:r>
      <w:r>
        <w:rPr>
          <w:sz w:val="24"/>
          <w:szCs w:val="24"/>
          <w:highlight w:val="none"/>
        </w:rPr>
        <w:t>排放量（单位：t/a）=基准烟气量×</w:t>
      </w:r>
      <w:r>
        <w:rPr>
          <w:rFonts w:hint="eastAsia"/>
          <w:sz w:val="24"/>
          <w:szCs w:val="24"/>
          <w:highlight w:val="none"/>
          <w:lang w:val="en-US" w:eastAsia="zh-CN"/>
        </w:rPr>
        <w:t>标准</w:t>
      </w:r>
      <w:r>
        <w:rPr>
          <w:sz w:val="24"/>
          <w:szCs w:val="24"/>
          <w:highlight w:val="none"/>
        </w:rPr>
        <w:t>浓度</w:t>
      </w:r>
    </w:p>
    <w:p w14:paraId="1696149C">
      <w:pPr>
        <w:spacing w:line="360" w:lineRule="auto"/>
        <w:ind w:firstLine="480"/>
        <w:rPr>
          <w:sz w:val="24"/>
          <w:szCs w:val="24"/>
          <w:highlight w:val="none"/>
        </w:rPr>
      </w:pPr>
      <w:r>
        <w:rPr>
          <w:sz w:val="24"/>
          <w:szCs w:val="24"/>
          <w:highlight w:val="none"/>
        </w:rPr>
        <w:t>=</w:t>
      </w:r>
      <w:r>
        <w:rPr>
          <w:rFonts w:hint="eastAsia" w:cs="Times New Roman"/>
          <w:color w:val="auto"/>
          <w:kern w:val="2"/>
          <w:sz w:val="24"/>
          <w:szCs w:val="24"/>
          <w:highlight w:val="none"/>
          <w:lang w:val="en-US" w:eastAsia="zh-CN" w:bidi="ar-SA"/>
        </w:rPr>
        <w:t>6714909.33</w:t>
      </w:r>
      <w:r>
        <w:rPr>
          <w:sz w:val="24"/>
          <w:szCs w:val="24"/>
          <w:highlight w:val="none"/>
        </w:rPr>
        <w:t>Nm</w:t>
      </w:r>
      <w:r>
        <w:rPr>
          <w:sz w:val="24"/>
          <w:szCs w:val="24"/>
          <w:highlight w:val="none"/>
          <w:vertAlign w:val="superscript"/>
        </w:rPr>
        <w:t>3</w:t>
      </w:r>
      <w:r>
        <w:rPr>
          <w:sz w:val="24"/>
          <w:szCs w:val="24"/>
          <w:highlight w:val="none"/>
        </w:rPr>
        <w:t>/a×</w:t>
      </w:r>
      <w:r>
        <w:rPr>
          <w:rFonts w:hint="eastAsia"/>
          <w:sz w:val="24"/>
          <w:szCs w:val="24"/>
          <w:highlight w:val="none"/>
          <w:lang w:val="en-US" w:eastAsia="zh-CN"/>
        </w:rPr>
        <w:t>300</w:t>
      </w:r>
      <w:r>
        <w:rPr>
          <w:sz w:val="24"/>
          <w:szCs w:val="24"/>
          <w:highlight w:val="none"/>
        </w:rPr>
        <w:t>mg/m</w:t>
      </w:r>
      <w:r>
        <w:rPr>
          <w:sz w:val="24"/>
          <w:szCs w:val="24"/>
          <w:highlight w:val="none"/>
          <w:vertAlign w:val="superscript"/>
        </w:rPr>
        <w:t>3</w:t>
      </w:r>
      <w:r>
        <w:rPr>
          <w:sz w:val="24"/>
          <w:szCs w:val="24"/>
          <w:highlight w:val="none"/>
        </w:rPr>
        <w:t>×10</w:t>
      </w:r>
      <w:r>
        <w:rPr>
          <w:sz w:val="24"/>
          <w:szCs w:val="24"/>
          <w:highlight w:val="none"/>
          <w:vertAlign w:val="superscript"/>
        </w:rPr>
        <w:t>-9</w:t>
      </w:r>
      <w:r>
        <w:rPr>
          <w:sz w:val="24"/>
          <w:szCs w:val="24"/>
          <w:highlight w:val="none"/>
        </w:rPr>
        <w:t>≈</w:t>
      </w:r>
      <w:r>
        <w:rPr>
          <w:rFonts w:hint="eastAsia"/>
          <w:sz w:val="24"/>
          <w:szCs w:val="24"/>
          <w:highlight w:val="none"/>
          <w:lang w:val="en-US" w:eastAsia="zh-CN"/>
        </w:rPr>
        <w:t>2.014</w:t>
      </w:r>
      <w:r>
        <w:rPr>
          <w:sz w:val="24"/>
          <w:szCs w:val="24"/>
          <w:highlight w:val="none"/>
        </w:rPr>
        <w:t>t/a。</w:t>
      </w:r>
    </w:p>
    <w:p w14:paraId="5D437356">
      <w:pPr>
        <w:spacing w:line="360" w:lineRule="auto"/>
        <w:ind w:firstLine="480"/>
        <w:rPr>
          <w:rFonts w:hint="eastAsia"/>
          <w:sz w:val="24"/>
          <w:szCs w:val="24"/>
          <w:highlight w:val="none"/>
          <w:lang w:val="en-US" w:eastAsia="zh-CN"/>
        </w:rPr>
      </w:pPr>
      <w:r>
        <w:rPr>
          <w:rFonts w:hint="eastAsia"/>
          <w:sz w:val="24"/>
          <w:szCs w:val="24"/>
          <w:highlight w:val="none"/>
          <w:lang w:val="en-US" w:eastAsia="zh-CN"/>
        </w:rPr>
        <w:t>二、废水污染物排放量计算</w:t>
      </w:r>
    </w:p>
    <w:p w14:paraId="04419AB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color w:val="000000"/>
          <w:kern w:val="0"/>
          <w:sz w:val="24"/>
          <w:szCs w:val="24"/>
          <w:highlight w:val="none"/>
          <w:lang w:val="en-US" w:eastAsia="zh-CN" w:bidi="ar"/>
        </w:rPr>
        <w:t>生产废水：本项目道路抑尘用水和各生产线抑尘用水全部自然蒸发，水泥预制品生产线拌合用水进入产品后蒸发，</w:t>
      </w:r>
      <w:r>
        <w:rPr>
          <w:rFonts w:hint="eastAsia" w:ascii="宋体" w:hAnsi="宋体" w:cs="宋体"/>
          <w:color w:val="000000"/>
          <w:kern w:val="0"/>
          <w:sz w:val="24"/>
          <w:szCs w:val="24"/>
          <w:highlight w:val="none"/>
          <w:lang w:val="en-US" w:eastAsia="zh-CN" w:bidi="ar"/>
        </w:rPr>
        <w:t>养护废水、</w:t>
      </w:r>
      <w:r>
        <w:rPr>
          <w:rFonts w:hint="eastAsia" w:ascii="宋体" w:hAnsi="宋体" w:eastAsia="宋体" w:cs="宋体"/>
          <w:color w:val="000000"/>
          <w:kern w:val="0"/>
          <w:sz w:val="24"/>
          <w:szCs w:val="24"/>
          <w:highlight w:val="none"/>
          <w:lang w:val="en-US" w:eastAsia="zh-CN" w:bidi="ar"/>
        </w:rPr>
        <w:t>搅拌机清洗废水</w:t>
      </w:r>
      <w:r>
        <w:rPr>
          <w:rFonts w:hint="eastAsia" w:ascii="宋体" w:hAnsi="宋体" w:cs="宋体"/>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蒸汽发生器排水和软水制备废水</w:t>
      </w:r>
      <w:r>
        <w:rPr>
          <w:rFonts w:hint="eastAsia" w:ascii="宋体" w:hAnsi="宋体" w:cs="宋体"/>
          <w:color w:val="000000"/>
          <w:kern w:val="0"/>
          <w:sz w:val="24"/>
          <w:szCs w:val="24"/>
          <w:highlight w:val="none"/>
          <w:lang w:val="en-US" w:eastAsia="zh-CN" w:bidi="ar"/>
        </w:rPr>
        <w:t>和初期雨水经厂区一座150m</w:t>
      </w:r>
      <w:r>
        <w:rPr>
          <w:rFonts w:hint="eastAsia" w:ascii="宋体" w:hAnsi="宋体" w:cs="宋体"/>
          <w:color w:val="000000"/>
          <w:kern w:val="0"/>
          <w:sz w:val="24"/>
          <w:szCs w:val="24"/>
          <w:highlight w:val="none"/>
          <w:vertAlign w:val="superscript"/>
          <w:lang w:val="en-US" w:eastAsia="zh-CN" w:bidi="ar"/>
        </w:rPr>
        <w:t>3</w:t>
      </w:r>
      <w:r>
        <w:rPr>
          <w:rFonts w:hint="eastAsia" w:ascii="宋体" w:hAnsi="宋体" w:cs="宋体"/>
          <w:color w:val="000000"/>
          <w:kern w:val="0"/>
          <w:sz w:val="24"/>
          <w:szCs w:val="24"/>
          <w:highlight w:val="none"/>
          <w:lang w:val="en-US" w:eastAsia="zh-CN" w:bidi="ar"/>
        </w:rPr>
        <w:t>沉淀池沉淀后回用于生产，用于混凝土的搅拌和厂区洒水和喷淋降尘</w:t>
      </w:r>
      <w:r>
        <w:rPr>
          <w:rFonts w:hint="eastAsia" w:ascii="宋体" w:hAnsi="宋体" w:eastAsia="宋体" w:cs="宋体"/>
          <w:color w:val="000000"/>
          <w:kern w:val="0"/>
          <w:sz w:val="24"/>
          <w:szCs w:val="24"/>
          <w:highlight w:val="none"/>
          <w:lang w:val="en-US" w:eastAsia="zh-CN" w:bidi="ar"/>
        </w:rPr>
        <w:t>，不外排。运输车辆为外雇，不在厂内进行清洗处理，因此无车辆清洗废水。</w:t>
      </w:r>
    </w:p>
    <w:p w14:paraId="1CF7281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color w:val="000000"/>
          <w:kern w:val="0"/>
          <w:sz w:val="24"/>
          <w:szCs w:val="24"/>
          <w:highlight w:val="none"/>
          <w:lang w:val="en-US" w:eastAsia="zh-CN" w:bidi="ar"/>
        </w:rPr>
        <w:t>生活污水：生活污水排入厂区现有防渗旱厕，定期清掏，外运堆肥。</w:t>
      </w:r>
    </w:p>
    <w:p w14:paraId="6EA7F342">
      <w:pPr>
        <w:spacing w:line="360" w:lineRule="auto"/>
        <w:ind w:firstLine="480"/>
        <w:rPr>
          <w:rFonts w:hint="default" w:ascii="Times New Roman" w:hAnsi="Times New Roman" w:eastAsia="宋体" w:cs="Times New Roman"/>
          <w:bCs/>
          <w:color w:val="auto"/>
          <w:sz w:val="24"/>
          <w:szCs w:val="24"/>
          <w:highlight w:val="none"/>
          <w:lang w:val="en-US"/>
        </w:rPr>
      </w:pPr>
      <w:r>
        <w:rPr>
          <w:rFonts w:hint="eastAsia" w:ascii="宋体" w:hAnsi="宋体" w:eastAsia="宋体" w:cs="宋体"/>
          <w:color w:val="000000"/>
          <w:kern w:val="0"/>
          <w:sz w:val="24"/>
          <w:szCs w:val="24"/>
          <w:highlight w:val="none"/>
          <w:lang w:val="en-US" w:eastAsia="zh-CN" w:bidi="ar"/>
        </w:rPr>
        <w:t>综上，本项目生产废水采用沉淀</w:t>
      </w:r>
      <w:r>
        <w:rPr>
          <w:rFonts w:hint="eastAsia" w:ascii="宋体" w:hAnsi="宋体" w:cs="宋体"/>
          <w:color w:val="000000"/>
          <w:kern w:val="0"/>
          <w:sz w:val="24"/>
          <w:szCs w:val="24"/>
          <w:highlight w:val="none"/>
          <w:lang w:val="en-US" w:eastAsia="zh-CN" w:bidi="ar"/>
        </w:rPr>
        <w:t>后回用于生产</w:t>
      </w:r>
      <w:r>
        <w:rPr>
          <w:rFonts w:hint="eastAsia" w:ascii="宋体" w:hAnsi="宋体" w:eastAsia="宋体" w:cs="宋体"/>
          <w:color w:val="000000"/>
          <w:kern w:val="0"/>
          <w:sz w:val="24"/>
          <w:szCs w:val="24"/>
          <w:highlight w:val="none"/>
          <w:lang w:val="en-US" w:eastAsia="zh-CN" w:bidi="ar"/>
        </w:rPr>
        <w:t>措施可行</w:t>
      </w:r>
      <w:r>
        <w:rPr>
          <w:rFonts w:hint="eastAsia" w:ascii="宋体" w:hAnsi="宋体" w:cs="宋体"/>
          <w:color w:val="000000"/>
          <w:kern w:val="0"/>
          <w:sz w:val="24"/>
          <w:szCs w:val="24"/>
          <w:highlight w:val="none"/>
          <w:lang w:val="en-US" w:eastAsia="zh-CN" w:bidi="ar"/>
        </w:rPr>
        <w:t>，因此</w:t>
      </w:r>
      <w:r>
        <w:rPr>
          <w:rFonts w:hint="eastAsia" w:ascii="宋体" w:hAnsi="宋体" w:eastAsia="宋体" w:cs="宋体"/>
          <w:color w:val="000000"/>
          <w:kern w:val="0"/>
          <w:sz w:val="24"/>
          <w:szCs w:val="24"/>
          <w:highlight w:val="none"/>
          <w:lang w:val="en-US" w:eastAsia="zh-CN" w:bidi="ar"/>
        </w:rPr>
        <w:t>无废水排放</w:t>
      </w:r>
      <w:r>
        <w:rPr>
          <w:rFonts w:hint="eastAsia" w:ascii="宋体" w:hAnsi="宋体" w:cs="宋体"/>
          <w:color w:val="000000"/>
          <w:kern w:val="0"/>
          <w:sz w:val="24"/>
          <w:szCs w:val="24"/>
          <w:highlight w:val="none"/>
          <w:lang w:val="en-US" w:eastAsia="zh-CN" w:bidi="ar"/>
        </w:rPr>
        <w:t>。</w:t>
      </w:r>
    </w:p>
    <w:p w14:paraId="7D215134">
      <w:pPr>
        <w:pStyle w:val="127"/>
        <w:spacing w:line="360" w:lineRule="auto"/>
        <w:rPr>
          <w:sz w:val="24"/>
          <w:szCs w:val="24"/>
          <w:highlight w:val="none"/>
        </w:rPr>
      </w:pPr>
      <w:r>
        <w:rPr>
          <w:sz w:val="24"/>
          <w:szCs w:val="24"/>
          <w:highlight w:val="none"/>
        </w:rPr>
        <w:t>附表2   本项目污染物核定排放总量一览表   单位：t/a</w:t>
      </w:r>
    </w:p>
    <w:tbl>
      <w:tblPr>
        <w:tblStyle w:val="3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13"/>
        <w:gridCol w:w="1919"/>
        <w:gridCol w:w="1594"/>
        <w:gridCol w:w="2244"/>
      </w:tblGrid>
      <w:tr w14:paraId="2BAF7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8170" w:type="dxa"/>
            <w:gridSpan w:val="4"/>
            <w:tcBorders>
              <w:tl2br w:val="nil"/>
              <w:tr2bl w:val="nil"/>
            </w:tcBorders>
            <w:vAlign w:val="center"/>
          </w:tcPr>
          <w:p w14:paraId="2BF47F97">
            <w:pPr>
              <w:pStyle w:val="128"/>
              <w:rPr>
                <w:highlight w:val="none"/>
              </w:rPr>
            </w:pPr>
            <w:r>
              <w:rPr>
                <w:rFonts w:hint="eastAsia"/>
                <w:highlight w:val="none"/>
                <w:lang w:val="en-US" w:eastAsia="zh-CN"/>
              </w:rPr>
              <w:t>废气</w:t>
            </w:r>
          </w:p>
        </w:tc>
      </w:tr>
      <w:tr w14:paraId="400FA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2413" w:type="dxa"/>
            <w:tcBorders>
              <w:tl2br w:val="nil"/>
              <w:tr2bl w:val="nil"/>
            </w:tcBorders>
            <w:vAlign w:val="center"/>
          </w:tcPr>
          <w:p w14:paraId="16B4EA9E">
            <w:pPr>
              <w:pStyle w:val="128"/>
              <w:rPr>
                <w:highlight w:val="none"/>
              </w:rPr>
            </w:pPr>
            <w:r>
              <w:rPr>
                <w:highlight w:val="none"/>
              </w:rPr>
              <w:t>污染物名称</w:t>
            </w:r>
          </w:p>
        </w:tc>
        <w:tc>
          <w:tcPr>
            <w:tcW w:w="1919" w:type="dxa"/>
            <w:tcBorders>
              <w:tl2br w:val="nil"/>
              <w:tr2bl w:val="nil"/>
            </w:tcBorders>
            <w:vAlign w:val="center"/>
          </w:tcPr>
          <w:p w14:paraId="6671184C">
            <w:pPr>
              <w:pStyle w:val="128"/>
              <w:rPr>
                <w:rFonts w:hint="eastAsia"/>
                <w:highlight w:val="none"/>
                <w:lang w:val="en-US" w:eastAsia="zh-CN"/>
              </w:rPr>
            </w:pPr>
            <w:r>
              <w:rPr>
                <w:rFonts w:hint="eastAsia"/>
                <w:highlight w:val="none"/>
                <w:lang w:val="en-US" w:eastAsia="zh-CN"/>
              </w:rPr>
              <w:t>颗粒物</w:t>
            </w:r>
          </w:p>
        </w:tc>
        <w:tc>
          <w:tcPr>
            <w:tcW w:w="1594" w:type="dxa"/>
            <w:tcBorders>
              <w:tl2br w:val="nil"/>
              <w:tr2bl w:val="nil"/>
            </w:tcBorders>
            <w:vAlign w:val="center"/>
          </w:tcPr>
          <w:p w14:paraId="11AF577F">
            <w:pPr>
              <w:pStyle w:val="128"/>
              <w:rPr>
                <w:highlight w:val="none"/>
              </w:rPr>
            </w:pPr>
            <w:r>
              <w:rPr>
                <w:highlight w:val="none"/>
              </w:rPr>
              <w:t>二氧化硫</w:t>
            </w:r>
          </w:p>
        </w:tc>
        <w:tc>
          <w:tcPr>
            <w:tcW w:w="2244" w:type="dxa"/>
            <w:tcBorders>
              <w:tl2br w:val="nil"/>
              <w:tr2bl w:val="nil"/>
            </w:tcBorders>
            <w:vAlign w:val="center"/>
          </w:tcPr>
          <w:p w14:paraId="6AF18908">
            <w:pPr>
              <w:pStyle w:val="128"/>
              <w:rPr>
                <w:highlight w:val="none"/>
              </w:rPr>
            </w:pPr>
            <w:r>
              <w:rPr>
                <w:highlight w:val="none"/>
              </w:rPr>
              <w:t>氮氧化物</w:t>
            </w:r>
          </w:p>
        </w:tc>
      </w:tr>
      <w:tr w14:paraId="055276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13" w:type="dxa"/>
            <w:tcBorders>
              <w:tl2br w:val="nil"/>
              <w:tr2bl w:val="nil"/>
            </w:tcBorders>
            <w:vAlign w:val="center"/>
          </w:tcPr>
          <w:p w14:paraId="27B92000">
            <w:pPr>
              <w:pStyle w:val="128"/>
              <w:rPr>
                <w:highlight w:val="none"/>
              </w:rPr>
            </w:pPr>
            <w:r>
              <w:rPr>
                <w:highlight w:val="none"/>
              </w:rPr>
              <w:t>核定排放量</w:t>
            </w:r>
          </w:p>
        </w:tc>
        <w:tc>
          <w:tcPr>
            <w:tcW w:w="1919" w:type="dxa"/>
            <w:tcBorders>
              <w:tl2br w:val="nil"/>
              <w:tr2bl w:val="nil"/>
            </w:tcBorders>
            <w:vAlign w:val="center"/>
          </w:tcPr>
          <w:p w14:paraId="69CF3694">
            <w:pPr>
              <w:pStyle w:val="128"/>
              <w:rPr>
                <w:rFonts w:hint="default" w:eastAsia="宋体"/>
                <w:highlight w:val="none"/>
                <w:lang w:val="en-US" w:eastAsia="zh-CN"/>
              </w:rPr>
            </w:pPr>
            <w:r>
              <w:rPr>
                <w:rFonts w:hint="eastAsia"/>
                <w:highlight w:val="none"/>
                <w:lang w:val="en-US" w:eastAsia="zh-CN"/>
              </w:rPr>
              <w:t>0.336</w:t>
            </w:r>
          </w:p>
        </w:tc>
        <w:tc>
          <w:tcPr>
            <w:tcW w:w="1594" w:type="dxa"/>
            <w:tcBorders>
              <w:tl2br w:val="nil"/>
              <w:tr2bl w:val="nil"/>
            </w:tcBorders>
            <w:vAlign w:val="center"/>
          </w:tcPr>
          <w:p w14:paraId="662CB16C">
            <w:pPr>
              <w:pStyle w:val="128"/>
              <w:rPr>
                <w:rFonts w:hint="default" w:eastAsia="宋体"/>
                <w:highlight w:val="none"/>
                <w:lang w:val="en-US" w:eastAsia="zh-CN"/>
              </w:rPr>
            </w:pPr>
            <w:r>
              <w:rPr>
                <w:rFonts w:hint="eastAsia"/>
                <w:highlight w:val="none"/>
                <w:lang w:val="en-US" w:eastAsia="zh-CN"/>
              </w:rPr>
              <w:t>1.6112</w:t>
            </w:r>
          </w:p>
        </w:tc>
        <w:tc>
          <w:tcPr>
            <w:tcW w:w="2244" w:type="dxa"/>
            <w:tcBorders>
              <w:tl2br w:val="nil"/>
              <w:tr2bl w:val="nil"/>
            </w:tcBorders>
            <w:vAlign w:val="center"/>
          </w:tcPr>
          <w:p w14:paraId="796D4E8A">
            <w:pPr>
              <w:pStyle w:val="128"/>
              <w:rPr>
                <w:rFonts w:hint="default" w:eastAsia="宋体"/>
                <w:highlight w:val="none"/>
                <w:lang w:val="en-US" w:eastAsia="zh-CN"/>
              </w:rPr>
            </w:pPr>
            <w:r>
              <w:rPr>
                <w:rFonts w:hint="eastAsia"/>
                <w:highlight w:val="none"/>
                <w:lang w:val="en-US" w:eastAsia="zh-CN"/>
              </w:rPr>
              <w:t>2.014</w:t>
            </w:r>
          </w:p>
        </w:tc>
      </w:tr>
    </w:tbl>
    <w:p w14:paraId="00546C05">
      <w:pPr>
        <w:bidi w:val="0"/>
        <w:rPr>
          <w:rFonts w:hint="default" w:ascii="Times New Roman" w:hAnsi="Times New Roman" w:cs="Times New Roman"/>
          <w:color w:val="auto"/>
          <w:highlight w:val="yellow"/>
        </w:rPr>
      </w:pP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442">
      <wne:acd wne:acdName="acd0"/>
    </wne:keymap>
    <wne:keymap wne:kcmPrimary="0454">
      <wne:acd wne:acdName="acd1"/>
    </wne:keymap>
  </wne:keymaps>
  <wne:acds>
    <wne:acd wne:argValue="AgBrWGiIN2gPXw==" wne:acdName="acd0" wne:fciIndexBasedOn="0065"/>
    <wne:acd wne:argValue="AgBrWGiIh2VXWw==" wne:acdName="acd1"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E5BAF06E-0C99-4368-8B00-3B169E83468F}"/>
  </w:font>
  <w:font w:name="黑体">
    <w:panose1 w:val="02010609060101010101"/>
    <w:charset w:val="86"/>
    <w:family w:val="auto"/>
    <w:pitch w:val="default"/>
    <w:sig w:usb0="800002BF" w:usb1="38CF7CFA" w:usb2="00000016" w:usb3="00000000" w:csb0="00040001" w:csb1="00000000"/>
    <w:embedRegular r:id="rId2" w:fontKey="{71DF17DB-72CC-4705-B2E0-2EC5795FD2C4}"/>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libri Light">
    <w:panose1 w:val="020F0302020204030204"/>
    <w:charset w:val="00"/>
    <w:family w:val="auto"/>
    <w:pitch w:val="default"/>
    <w:sig w:usb0="E0002A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Consolas">
    <w:panose1 w:val="020B0609020204030204"/>
    <w:charset w:val="00"/>
    <w:family w:val="modern"/>
    <w:pitch w:val="default"/>
    <w:sig w:usb0="E00006FF" w:usb1="0000FCFF" w:usb2="00000001" w:usb3="00000000" w:csb0="6000019F" w:csb1="DFD70000"/>
  </w:font>
  <w:font w:name="Verdana">
    <w:panose1 w:val="020B0604030504040204"/>
    <w:charset w:val="00"/>
    <w:family w:val="swiss"/>
    <w:pitch w:val="default"/>
    <w:sig w:usb0="A00006FF" w:usb1="4000205B" w:usb2="00000010" w:usb3="00000000" w:csb0="2000019F" w:csb1="00000000"/>
  </w:font>
  <w:font w:name="华文行楷">
    <w:altName w:val="华文行楷"/>
    <w:panose1 w:val="02010800040101010101"/>
    <w:charset w:val="86"/>
    <w:family w:val="auto"/>
    <w:pitch w:val="default"/>
    <w:sig w:usb0="00000001" w:usb1="080F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新宋体">
    <w:panose1 w:val="02010609030101010101"/>
    <w:charset w:val="86"/>
    <w:family w:val="modern"/>
    <w:pitch w:val="default"/>
    <w:sig w:usb0="00000203" w:usb1="288F0000" w:usb2="00000006" w:usb3="00000000" w:csb0="00040001" w:csb1="00000000"/>
  </w:font>
  <w:font w:name="仿宋_GB2312">
    <w:panose1 w:val="02010609030101010101"/>
    <w:charset w:val="86"/>
    <w:family w:val="modern"/>
    <w:pitch w:val="default"/>
    <w:sig w:usb0="00000001" w:usb1="080E0000" w:usb2="00000000" w:usb3="00000000" w:csb0="00040000" w:csb1="00000000"/>
    <w:embedRegular r:id="rId3" w:fontKey="{AABAF258-FFE3-4523-8594-07C4ED10FDF8}"/>
  </w:font>
  <w:font w:name="华文中宋">
    <w:panose1 w:val="02010600040101010101"/>
    <w:charset w:val="86"/>
    <w:family w:val="auto"/>
    <w:pitch w:val="default"/>
    <w:sig w:usb0="00000287" w:usb1="080F0000" w:usb2="00000000" w:usb3="00000000" w:csb0="0004009F" w:csb1="DFD70000"/>
  </w:font>
  <w:font w:name="方正小标宋_GBK">
    <w:panose1 w:val="02000000000000000000"/>
    <w:charset w:val="86"/>
    <w:family w:val="script"/>
    <w:pitch w:val="default"/>
    <w:sig w:usb0="A00002BF" w:usb1="38CF7CFA" w:usb2="00082016" w:usb3="00000000" w:csb0="00040001" w:csb1="00000000"/>
    <w:embedRegular r:id="rId4" w:fontKey="{D5DBF461-A632-400D-B7F6-69C7EFB79C64}"/>
  </w:font>
  <w:font w:name="楷体_GB2312">
    <w:panose1 w:val="02010609030101010101"/>
    <w:charset w:val="86"/>
    <w:family w:val="modern"/>
    <w:pitch w:val="default"/>
    <w:sig w:usb0="00000001" w:usb1="080E0000" w:usb2="00000000" w:usb3="00000000" w:csb0="00040000" w:csb1="00000000"/>
    <w:embedRegular r:id="rId5" w:fontKey="{7C9BFEA3-02F8-4D5D-8AF6-B8F0DBA6CE9A}"/>
  </w:font>
  <w:font w:name="仿宋">
    <w:panose1 w:val="02010609060101010101"/>
    <w:charset w:val="86"/>
    <w:family w:val="auto"/>
    <w:pitch w:val="default"/>
    <w:sig w:usb0="800002BF" w:usb1="38CF7CFA" w:usb2="00000016" w:usb3="00000000" w:csb0="00040001" w:csb1="00000000"/>
    <w:embedRegular r:id="rId6" w:fontKey="{0C6E8D5B-A980-4AF3-AC03-BB632DA21A57}"/>
  </w:font>
  <w:font w:name="Wingdings 2">
    <w:panose1 w:val="05020102010507070707"/>
    <w:charset w:val="02"/>
    <w:family w:val="roman"/>
    <w:pitch w:val="default"/>
    <w:sig w:usb0="00000000" w:usb1="00000000" w:usb2="00000000" w:usb3="00000000" w:csb0="80000000" w:csb1="00000000"/>
    <w:embedRegular r:id="rId7" w:fontKey="{06BC5BE2-4166-4E1B-AE02-1576B2EB9CE1}"/>
  </w:font>
  <w:font w:name="Cambria Math">
    <w:panose1 w:val="02040503050406030204"/>
    <w:charset w:val="00"/>
    <w:family w:val="auto"/>
    <w:pitch w:val="default"/>
    <w:sig w:usb0="E00006FF" w:usb1="420024FF" w:usb2="02000000" w:usb3="00000000" w:csb0="2000019F" w:csb1="00000000"/>
    <w:embedRegular r:id="rId8" w:fontKey="{7601290D-F9DA-46D3-BE0B-80A5E5B139A3}"/>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D09041">
    <w:pPr>
      <w:pStyle w:val="1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E55220">
    <w:pPr>
      <w:pStyle w:val="18"/>
      <w:framePr w:wrap="around" w:vAnchor="text" w:hAnchor="margin" w:xAlign="center" w:y="1"/>
      <w:rPr>
        <w:rStyle w:val="36"/>
      </w:rPr>
    </w:pPr>
    <w:r>
      <w:fldChar w:fldCharType="begin"/>
    </w:r>
    <w:r>
      <w:rPr>
        <w:rStyle w:val="36"/>
      </w:rPr>
      <w:instrText xml:space="preserve">PAGE  </w:instrText>
    </w:r>
    <w:r>
      <w:fldChar w:fldCharType="end"/>
    </w:r>
  </w:p>
  <w:p w14:paraId="32C0BBD3">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CC25FE">
    <w:pPr>
      <w:pStyle w:val="18"/>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A468FB">
    <w:pPr>
      <w:pStyle w:val="18"/>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88DFC6D">
                          <w:pPr>
                            <w:pStyle w:val="18"/>
                            <w:rPr>
                              <w:rStyle w:val="36"/>
                              <w:rFonts w:ascii="宋体" w:hAnsi="宋体"/>
                              <w:sz w:val="28"/>
                              <w:szCs w:val="28"/>
                            </w:rPr>
                          </w:pPr>
                          <w:r>
                            <w:rPr>
                              <w:sz w:val="21"/>
                              <w:szCs w:val="21"/>
                            </w:rPr>
                            <w:fldChar w:fldCharType="begin"/>
                          </w:r>
                          <w:r>
                            <w:rPr>
                              <w:rStyle w:val="36"/>
                              <w:sz w:val="21"/>
                              <w:szCs w:val="21"/>
                            </w:rPr>
                            <w:instrText xml:space="preserve">PAGE  </w:instrText>
                          </w:r>
                          <w:r>
                            <w:rPr>
                              <w:sz w:val="21"/>
                              <w:szCs w:val="21"/>
                            </w:rPr>
                            <w:fldChar w:fldCharType="separate"/>
                          </w:r>
                          <w:r>
                            <w:rPr>
                              <w:rStyle w:val="36"/>
                              <w:sz w:val="21"/>
                              <w:szCs w:val="21"/>
                            </w:rPr>
                            <w:t>1</w:t>
                          </w:r>
                          <w:r>
                            <w:rPr>
                              <w:sz w:val="21"/>
                              <w:szCs w:val="21"/>
                            </w:rPr>
                            <w:fldChar w:fldCharType="end"/>
                          </w:r>
                        </w:p>
                      </w:txbxContent>
                    </wps:txbx>
                    <wps:bodyPr wrap="none" lIns="0" tIns="0" rIns="0" bIns="0" upright="0">
                      <a:spAutoFit/>
                    </wps:bodyPr>
                  </wps:wsp>
                </a:graphicData>
              </a:graphic>
            </wp:anchor>
          </w:drawing>
        </mc:Choice>
        <mc:Fallback>
          <w:pict>
            <v:shape id="文本框 102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1cI3ncoBAACcAwAADgAAAAAAAAABACAAAAAeAQAAZHJzL2Uyb0Rv&#10;Yy54bWxQSwUGAAAAAAYABgBZAQAAWgUAAAAA&#10;">
              <v:fill on="f" focussize="0,0"/>
              <v:stroke on="f"/>
              <v:imagedata o:title=""/>
              <o:lock v:ext="edit" aspectratio="f"/>
              <v:textbox inset="0mm,0mm,0mm,0mm" style="mso-fit-shape-to-text:t;">
                <w:txbxContent>
                  <w:p w14:paraId="288DFC6D">
                    <w:pPr>
                      <w:pStyle w:val="18"/>
                      <w:rPr>
                        <w:rStyle w:val="36"/>
                        <w:rFonts w:ascii="宋体" w:hAnsi="宋体"/>
                        <w:sz w:val="28"/>
                        <w:szCs w:val="28"/>
                      </w:rPr>
                    </w:pPr>
                    <w:r>
                      <w:rPr>
                        <w:sz w:val="21"/>
                        <w:szCs w:val="21"/>
                      </w:rPr>
                      <w:fldChar w:fldCharType="begin"/>
                    </w:r>
                    <w:r>
                      <w:rPr>
                        <w:rStyle w:val="36"/>
                        <w:sz w:val="21"/>
                        <w:szCs w:val="21"/>
                      </w:rPr>
                      <w:instrText xml:space="preserve">PAGE  </w:instrText>
                    </w:r>
                    <w:r>
                      <w:rPr>
                        <w:sz w:val="21"/>
                        <w:szCs w:val="21"/>
                      </w:rPr>
                      <w:fldChar w:fldCharType="separate"/>
                    </w:r>
                    <w:r>
                      <w:rPr>
                        <w:rStyle w:val="36"/>
                        <w:sz w:val="21"/>
                        <w:szCs w:val="21"/>
                      </w:rPr>
                      <w:t>1</w:t>
                    </w:r>
                    <w:r>
                      <w:rPr>
                        <w:sz w:val="21"/>
                        <w:szCs w:val="21"/>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B93ECE">
    <w:pPr>
      <w:pStyle w:val="18"/>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D7B498D">
                          <w:pPr>
                            <w:pStyle w:val="18"/>
                            <w:rPr>
                              <w:rStyle w:val="36"/>
                              <w:rFonts w:ascii="宋体" w:hAnsi="宋体"/>
                              <w:sz w:val="21"/>
                              <w:szCs w:val="21"/>
                            </w:rPr>
                          </w:pPr>
                          <w:r>
                            <w:rPr>
                              <w:sz w:val="21"/>
                              <w:szCs w:val="21"/>
                            </w:rPr>
                            <w:fldChar w:fldCharType="begin"/>
                          </w:r>
                          <w:r>
                            <w:rPr>
                              <w:rStyle w:val="36"/>
                              <w:sz w:val="21"/>
                              <w:szCs w:val="21"/>
                            </w:rPr>
                            <w:instrText xml:space="preserve">PAGE  </w:instrText>
                          </w:r>
                          <w:r>
                            <w:rPr>
                              <w:sz w:val="21"/>
                              <w:szCs w:val="21"/>
                            </w:rPr>
                            <w:fldChar w:fldCharType="separate"/>
                          </w:r>
                          <w:r>
                            <w:rPr>
                              <w:rStyle w:val="36"/>
                              <w:sz w:val="21"/>
                              <w:szCs w:val="21"/>
                            </w:rPr>
                            <w:t>43</w:t>
                          </w:r>
                          <w:r>
                            <w:rPr>
                              <w:sz w:val="21"/>
                              <w:szCs w:val="21"/>
                            </w:rPr>
                            <w:fldChar w:fldCharType="end"/>
                          </w:r>
                        </w:p>
                      </w:txbxContent>
                    </wps:txbx>
                    <wps:bodyPr wrap="none" lIns="0" tIns="0" rIns="0" bIns="0" upright="0">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BApiNOzAEAAJ0DAAAOAAAAAAAAAAEAIAAAAB4BAABkcnMvZTJv&#10;RG9jLnhtbFBLBQYAAAAABgAGAFkBAABcBQAAAAA=&#10;">
              <v:fill on="f" focussize="0,0"/>
              <v:stroke on="f"/>
              <v:imagedata o:title=""/>
              <o:lock v:ext="edit" aspectratio="f"/>
              <v:textbox inset="0mm,0mm,0mm,0mm" style="mso-fit-shape-to-text:t;">
                <w:txbxContent>
                  <w:p w14:paraId="5D7B498D">
                    <w:pPr>
                      <w:pStyle w:val="18"/>
                      <w:rPr>
                        <w:rStyle w:val="36"/>
                        <w:rFonts w:ascii="宋体" w:hAnsi="宋体"/>
                        <w:sz w:val="21"/>
                        <w:szCs w:val="21"/>
                      </w:rPr>
                    </w:pPr>
                    <w:r>
                      <w:rPr>
                        <w:sz w:val="21"/>
                        <w:szCs w:val="21"/>
                      </w:rPr>
                      <w:fldChar w:fldCharType="begin"/>
                    </w:r>
                    <w:r>
                      <w:rPr>
                        <w:rStyle w:val="36"/>
                        <w:sz w:val="21"/>
                        <w:szCs w:val="21"/>
                      </w:rPr>
                      <w:instrText xml:space="preserve">PAGE  </w:instrText>
                    </w:r>
                    <w:r>
                      <w:rPr>
                        <w:sz w:val="21"/>
                        <w:szCs w:val="21"/>
                      </w:rPr>
                      <w:fldChar w:fldCharType="separate"/>
                    </w:r>
                    <w:r>
                      <w:rPr>
                        <w:rStyle w:val="36"/>
                        <w:sz w:val="21"/>
                        <w:szCs w:val="21"/>
                      </w:rPr>
                      <w:t>43</w:t>
                    </w:r>
                    <w:r>
                      <w:rPr>
                        <w:sz w:val="21"/>
                        <w:szCs w:val="21"/>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492019"/>
    <w:multiLevelType w:val="singleLevel"/>
    <w:tmpl w:val="81492019"/>
    <w:lvl w:ilvl="0" w:tentative="0">
      <w:start w:val="1"/>
      <w:numFmt w:val="decimal"/>
      <w:suff w:val="space"/>
      <w:lvlText w:val="%1."/>
      <w:lvlJc w:val="left"/>
    </w:lvl>
  </w:abstractNum>
  <w:abstractNum w:abstractNumId="1">
    <w:nsid w:val="8792B156"/>
    <w:multiLevelType w:val="singleLevel"/>
    <w:tmpl w:val="8792B156"/>
    <w:lvl w:ilvl="0" w:tentative="0">
      <w:start w:val="1"/>
      <w:numFmt w:val="chineseCounting"/>
      <w:suff w:val="nothing"/>
      <w:lvlText w:val="%1、"/>
      <w:lvlJc w:val="left"/>
      <w:rPr>
        <w:rFonts w:hint="eastAsia"/>
      </w:rPr>
    </w:lvl>
  </w:abstractNum>
  <w:abstractNum w:abstractNumId="2">
    <w:nsid w:val="95A12856"/>
    <w:multiLevelType w:val="singleLevel"/>
    <w:tmpl w:val="95A12856"/>
    <w:lvl w:ilvl="0" w:tentative="0">
      <w:start w:val="1"/>
      <w:numFmt w:val="decimal"/>
      <w:suff w:val="space"/>
      <w:lvlText w:val="%1."/>
      <w:lvlJc w:val="left"/>
      <w:rPr>
        <w:rFonts w:hint="default"/>
        <w:b/>
        <w:bCs/>
      </w:rPr>
    </w:lvl>
  </w:abstractNum>
  <w:abstractNum w:abstractNumId="3">
    <w:nsid w:val="9D91D666"/>
    <w:multiLevelType w:val="singleLevel"/>
    <w:tmpl w:val="9D91D666"/>
    <w:lvl w:ilvl="0" w:tentative="0">
      <w:start w:val="1"/>
      <w:numFmt w:val="decimal"/>
      <w:suff w:val="space"/>
      <w:lvlText w:val="%1."/>
      <w:lvlJc w:val="left"/>
    </w:lvl>
  </w:abstractNum>
  <w:abstractNum w:abstractNumId="4">
    <w:nsid w:val="9EE90010"/>
    <w:multiLevelType w:val="singleLevel"/>
    <w:tmpl w:val="9EE90010"/>
    <w:lvl w:ilvl="0" w:tentative="0">
      <w:start w:val="3"/>
      <w:numFmt w:val="decimal"/>
      <w:suff w:val="space"/>
      <w:lvlText w:val="%1."/>
      <w:lvlJc w:val="left"/>
    </w:lvl>
  </w:abstractNum>
  <w:abstractNum w:abstractNumId="5">
    <w:nsid w:val="C1C494EF"/>
    <w:multiLevelType w:val="singleLevel"/>
    <w:tmpl w:val="C1C494EF"/>
    <w:lvl w:ilvl="0" w:tentative="0">
      <w:start w:val="2"/>
      <w:numFmt w:val="decimal"/>
      <w:suff w:val="nothing"/>
      <w:lvlText w:val="%1、"/>
      <w:lvlJc w:val="left"/>
    </w:lvl>
  </w:abstractNum>
  <w:abstractNum w:abstractNumId="6">
    <w:nsid w:val="D703AF19"/>
    <w:multiLevelType w:val="singleLevel"/>
    <w:tmpl w:val="D703AF19"/>
    <w:lvl w:ilvl="0" w:tentative="0">
      <w:start w:val="7"/>
      <w:numFmt w:val="decimal"/>
      <w:suff w:val="space"/>
      <w:lvlText w:val="%1."/>
      <w:lvlJc w:val="left"/>
    </w:lvl>
  </w:abstractNum>
  <w:abstractNum w:abstractNumId="7">
    <w:nsid w:val="E4C2D495"/>
    <w:multiLevelType w:val="singleLevel"/>
    <w:tmpl w:val="E4C2D495"/>
    <w:lvl w:ilvl="0" w:tentative="0">
      <w:start w:val="4"/>
      <w:numFmt w:val="decimal"/>
      <w:suff w:val="space"/>
      <w:lvlText w:val="%1."/>
      <w:lvlJc w:val="left"/>
    </w:lvl>
  </w:abstractNum>
  <w:abstractNum w:abstractNumId="8">
    <w:nsid w:val="E5008A9A"/>
    <w:multiLevelType w:val="singleLevel"/>
    <w:tmpl w:val="E5008A9A"/>
    <w:lvl w:ilvl="0" w:tentative="0">
      <w:start w:val="5"/>
      <w:numFmt w:val="decimal"/>
      <w:suff w:val="space"/>
      <w:lvlText w:val="%1."/>
      <w:lvlJc w:val="left"/>
    </w:lvl>
  </w:abstractNum>
  <w:abstractNum w:abstractNumId="9">
    <w:nsid w:val="E8C15E04"/>
    <w:multiLevelType w:val="singleLevel"/>
    <w:tmpl w:val="E8C15E04"/>
    <w:lvl w:ilvl="0" w:tentative="0">
      <w:start w:val="16"/>
      <w:numFmt w:val="upperLetter"/>
      <w:suff w:val="nothing"/>
      <w:lvlText w:val="%1-"/>
      <w:lvlJc w:val="left"/>
    </w:lvl>
  </w:abstractNum>
  <w:abstractNum w:abstractNumId="10">
    <w:nsid w:val="F23D3F33"/>
    <w:multiLevelType w:val="singleLevel"/>
    <w:tmpl w:val="F23D3F33"/>
    <w:lvl w:ilvl="0" w:tentative="0">
      <w:start w:val="3"/>
      <w:numFmt w:val="decimal"/>
      <w:suff w:val="nothing"/>
      <w:lvlText w:val="（%1）"/>
      <w:lvlJc w:val="left"/>
    </w:lvl>
  </w:abstractNum>
  <w:abstractNum w:abstractNumId="11">
    <w:nsid w:val="F4BC55F7"/>
    <w:multiLevelType w:val="singleLevel"/>
    <w:tmpl w:val="F4BC55F7"/>
    <w:lvl w:ilvl="0" w:tentative="0">
      <w:start w:val="1"/>
      <w:numFmt w:val="chineseCounting"/>
      <w:suff w:val="nothing"/>
      <w:lvlText w:val="%1、"/>
      <w:lvlJc w:val="left"/>
      <w:rPr>
        <w:rFonts w:hint="eastAsia"/>
      </w:rPr>
    </w:lvl>
  </w:abstractNum>
  <w:abstractNum w:abstractNumId="12">
    <w:nsid w:val="13050978"/>
    <w:multiLevelType w:val="singleLevel"/>
    <w:tmpl w:val="13050978"/>
    <w:lvl w:ilvl="0" w:tentative="0">
      <w:start w:val="1"/>
      <w:numFmt w:val="decimal"/>
      <w:suff w:val="nothing"/>
      <w:lvlText w:val="%1）"/>
      <w:lvlJc w:val="left"/>
    </w:lvl>
  </w:abstractNum>
  <w:abstractNum w:abstractNumId="13">
    <w:nsid w:val="1E0FCA63"/>
    <w:multiLevelType w:val="singleLevel"/>
    <w:tmpl w:val="1E0FCA63"/>
    <w:lvl w:ilvl="0" w:tentative="0">
      <w:start w:val="2"/>
      <w:numFmt w:val="chineseCounting"/>
      <w:suff w:val="nothing"/>
      <w:lvlText w:val="%1、"/>
      <w:lvlJc w:val="left"/>
      <w:rPr>
        <w:rFonts w:hint="eastAsia"/>
      </w:rPr>
    </w:lvl>
  </w:abstractNum>
  <w:abstractNum w:abstractNumId="14">
    <w:nsid w:val="278C0F3C"/>
    <w:multiLevelType w:val="singleLevel"/>
    <w:tmpl w:val="278C0F3C"/>
    <w:lvl w:ilvl="0" w:tentative="0">
      <w:start w:val="1"/>
      <w:numFmt w:val="bullet"/>
      <w:pStyle w:val="11"/>
      <w:lvlText w:val=""/>
      <w:lvlJc w:val="left"/>
      <w:pPr>
        <w:tabs>
          <w:tab w:val="left" w:pos="2040"/>
        </w:tabs>
        <w:ind w:left="2040" w:hanging="360"/>
      </w:pPr>
      <w:rPr>
        <w:rFonts w:hint="default" w:ascii="Wingdings" w:hAnsi="Wingdings"/>
      </w:rPr>
    </w:lvl>
  </w:abstractNum>
  <w:abstractNum w:abstractNumId="15">
    <w:nsid w:val="47E58224"/>
    <w:multiLevelType w:val="singleLevel"/>
    <w:tmpl w:val="47E58224"/>
    <w:lvl w:ilvl="0" w:tentative="0">
      <w:start w:val="5"/>
      <w:numFmt w:val="decimal"/>
      <w:suff w:val="nothing"/>
      <w:lvlText w:val="%1、"/>
      <w:lvlJc w:val="left"/>
    </w:lvl>
  </w:abstractNum>
  <w:abstractNum w:abstractNumId="16">
    <w:nsid w:val="4BA7EE17"/>
    <w:multiLevelType w:val="singleLevel"/>
    <w:tmpl w:val="4BA7EE17"/>
    <w:lvl w:ilvl="0" w:tentative="0">
      <w:start w:val="2"/>
      <w:numFmt w:val="decimal"/>
      <w:suff w:val="space"/>
      <w:lvlText w:val="%1."/>
      <w:lvlJc w:val="left"/>
    </w:lvl>
  </w:abstractNum>
  <w:abstractNum w:abstractNumId="17">
    <w:nsid w:val="7BA77D17"/>
    <w:multiLevelType w:val="singleLevel"/>
    <w:tmpl w:val="7BA77D17"/>
    <w:lvl w:ilvl="0" w:tentative="0">
      <w:start w:val="2"/>
      <w:numFmt w:val="chineseCounting"/>
      <w:suff w:val="nothing"/>
      <w:lvlText w:val="（%1）"/>
      <w:lvlJc w:val="left"/>
      <w:rPr>
        <w:rFonts w:hint="eastAsia"/>
      </w:rPr>
    </w:lvl>
  </w:abstractNum>
  <w:num w:numId="1">
    <w:abstractNumId w:val="14"/>
  </w:num>
  <w:num w:numId="2">
    <w:abstractNumId w:val="16"/>
  </w:num>
  <w:num w:numId="3">
    <w:abstractNumId w:val="4"/>
  </w:num>
  <w:num w:numId="4">
    <w:abstractNumId w:val="7"/>
  </w:num>
  <w:num w:numId="5">
    <w:abstractNumId w:val="8"/>
  </w:num>
  <w:num w:numId="6">
    <w:abstractNumId w:val="12"/>
  </w:num>
  <w:num w:numId="7">
    <w:abstractNumId w:val="9"/>
  </w:num>
  <w:num w:numId="8">
    <w:abstractNumId w:val="6"/>
  </w:num>
  <w:num w:numId="9">
    <w:abstractNumId w:val="2"/>
  </w:num>
  <w:num w:numId="10">
    <w:abstractNumId w:val="5"/>
  </w:num>
  <w:num w:numId="11">
    <w:abstractNumId w:val="1"/>
  </w:num>
  <w:num w:numId="12">
    <w:abstractNumId w:val="3"/>
  </w:num>
  <w:num w:numId="13">
    <w:abstractNumId w:val="0"/>
  </w:num>
  <w:num w:numId="14">
    <w:abstractNumId w:val="11"/>
  </w:num>
  <w:num w:numId="15">
    <w:abstractNumId w:val="17"/>
  </w:num>
  <w:num w:numId="16">
    <w:abstractNumId w:val="13"/>
  </w:num>
  <w:num w:numId="17">
    <w:abstractNumId w:val="10"/>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E4NDY2MTM0Y2EyODBhZWQyMGMyOTg1MGUyMmFlZTQifQ=="/>
    <w:docVar w:name="KSO_WPS_MARK_KEY" w:val="d7ac48d8-e132-4e9a-923f-197b982793a2"/>
  </w:docVars>
  <w:rsids>
    <w:rsidRoot w:val="00A14947"/>
    <w:rsid w:val="000060B3"/>
    <w:rsid w:val="00012E80"/>
    <w:rsid w:val="00015E01"/>
    <w:rsid w:val="000160D0"/>
    <w:rsid w:val="0004364B"/>
    <w:rsid w:val="00044597"/>
    <w:rsid w:val="00046F1A"/>
    <w:rsid w:val="00061B1F"/>
    <w:rsid w:val="000733C4"/>
    <w:rsid w:val="00074783"/>
    <w:rsid w:val="0008070B"/>
    <w:rsid w:val="000810AC"/>
    <w:rsid w:val="00081A02"/>
    <w:rsid w:val="00082231"/>
    <w:rsid w:val="00092331"/>
    <w:rsid w:val="00092D38"/>
    <w:rsid w:val="0009377B"/>
    <w:rsid w:val="000A20C9"/>
    <w:rsid w:val="000B058F"/>
    <w:rsid w:val="000B4467"/>
    <w:rsid w:val="000B4DB9"/>
    <w:rsid w:val="000B5B34"/>
    <w:rsid w:val="000B7965"/>
    <w:rsid w:val="000C0238"/>
    <w:rsid w:val="000C09AC"/>
    <w:rsid w:val="000C767F"/>
    <w:rsid w:val="000D5A44"/>
    <w:rsid w:val="000E3ED2"/>
    <w:rsid w:val="001011F9"/>
    <w:rsid w:val="00104906"/>
    <w:rsid w:val="00131F42"/>
    <w:rsid w:val="001357F1"/>
    <w:rsid w:val="0013751D"/>
    <w:rsid w:val="00140FA8"/>
    <w:rsid w:val="00142FEB"/>
    <w:rsid w:val="00143A2D"/>
    <w:rsid w:val="00145A41"/>
    <w:rsid w:val="00151675"/>
    <w:rsid w:val="00157435"/>
    <w:rsid w:val="0016666B"/>
    <w:rsid w:val="0017504D"/>
    <w:rsid w:val="0017671A"/>
    <w:rsid w:val="00177422"/>
    <w:rsid w:val="00184590"/>
    <w:rsid w:val="001870D1"/>
    <w:rsid w:val="0018781E"/>
    <w:rsid w:val="00191865"/>
    <w:rsid w:val="0019262D"/>
    <w:rsid w:val="001A1B35"/>
    <w:rsid w:val="001A2989"/>
    <w:rsid w:val="001A2E31"/>
    <w:rsid w:val="001A48A2"/>
    <w:rsid w:val="001A6F61"/>
    <w:rsid w:val="001B30CE"/>
    <w:rsid w:val="001B72B8"/>
    <w:rsid w:val="001C2CA6"/>
    <w:rsid w:val="001C555F"/>
    <w:rsid w:val="001C6892"/>
    <w:rsid w:val="001C69B3"/>
    <w:rsid w:val="001D3F4F"/>
    <w:rsid w:val="001D5595"/>
    <w:rsid w:val="001D7874"/>
    <w:rsid w:val="001D7F22"/>
    <w:rsid w:val="001E2942"/>
    <w:rsid w:val="001F0F17"/>
    <w:rsid w:val="001F3347"/>
    <w:rsid w:val="001F69A5"/>
    <w:rsid w:val="001F69E4"/>
    <w:rsid w:val="002020A3"/>
    <w:rsid w:val="002125B4"/>
    <w:rsid w:val="002155B8"/>
    <w:rsid w:val="00224839"/>
    <w:rsid w:val="002249B2"/>
    <w:rsid w:val="00226574"/>
    <w:rsid w:val="002278EC"/>
    <w:rsid w:val="0023280E"/>
    <w:rsid w:val="002357E4"/>
    <w:rsid w:val="002377D1"/>
    <w:rsid w:val="002506BC"/>
    <w:rsid w:val="00254345"/>
    <w:rsid w:val="00264557"/>
    <w:rsid w:val="00277732"/>
    <w:rsid w:val="002805AB"/>
    <w:rsid w:val="00284204"/>
    <w:rsid w:val="00291773"/>
    <w:rsid w:val="002A168C"/>
    <w:rsid w:val="002A3AA7"/>
    <w:rsid w:val="002A3DC7"/>
    <w:rsid w:val="002B49E2"/>
    <w:rsid w:val="002B7B00"/>
    <w:rsid w:val="002B7C44"/>
    <w:rsid w:val="002C2B17"/>
    <w:rsid w:val="002D3DD0"/>
    <w:rsid w:val="002D440A"/>
    <w:rsid w:val="002E1F3A"/>
    <w:rsid w:val="002E298A"/>
    <w:rsid w:val="002F7C5D"/>
    <w:rsid w:val="00301978"/>
    <w:rsid w:val="0030332C"/>
    <w:rsid w:val="003051C2"/>
    <w:rsid w:val="00312296"/>
    <w:rsid w:val="00314F0E"/>
    <w:rsid w:val="003166C1"/>
    <w:rsid w:val="00321D8E"/>
    <w:rsid w:val="00325928"/>
    <w:rsid w:val="00327841"/>
    <w:rsid w:val="00332863"/>
    <w:rsid w:val="0033684D"/>
    <w:rsid w:val="0033776A"/>
    <w:rsid w:val="00337B42"/>
    <w:rsid w:val="00341B42"/>
    <w:rsid w:val="0034348F"/>
    <w:rsid w:val="00346DF0"/>
    <w:rsid w:val="003474EA"/>
    <w:rsid w:val="00356653"/>
    <w:rsid w:val="0035743F"/>
    <w:rsid w:val="00357BE2"/>
    <w:rsid w:val="0036170C"/>
    <w:rsid w:val="00366E0F"/>
    <w:rsid w:val="00374ADC"/>
    <w:rsid w:val="00381A72"/>
    <w:rsid w:val="00384676"/>
    <w:rsid w:val="00390857"/>
    <w:rsid w:val="003A4BF3"/>
    <w:rsid w:val="003B420D"/>
    <w:rsid w:val="003C6C16"/>
    <w:rsid w:val="003D1039"/>
    <w:rsid w:val="003D1A24"/>
    <w:rsid w:val="003D3F93"/>
    <w:rsid w:val="003D794D"/>
    <w:rsid w:val="003E3058"/>
    <w:rsid w:val="003E705A"/>
    <w:rsid w:val="003E76A9"/>
    <w:rsid w:val="003F0809"/>
    <w:rsid w:val="003F6A8C"/>
    <w:rsid w:val="003F755C"/>
    <w:rsid w:val="00406F01"/>
    <w:rsid w:val="00407D70"/>
    <w:rsid w:val="00416D50"/>
    <w:rsid w:val="00416FD5"/>
    <w:rsid w:val="00417772"/>
    <w:rsid w:val="00420E6A"/>
    <w:rsid w:val="00425A9E"/>
    <w:rsid w:val="00426D6B"/>
    <w:rsid w:val="0043196D"/>
    <w:rsid w:val="00431E6C"/>
    <w:rsid w:val="00433CE7"/>
    <w:rsid w:val="00444B12"/>
    <w:rsid w:val="00452738"/>
    <w:rsid w:val="00456091"/>
    <w:rsid w:val="00456AB6"/>
    <w:rsid w:val="00461D82"/>
    <w:rsid w:val="004643C5"/>
    <w:rsid w:val="00466321"/>
    <w:rsid w:val="004669AD"/>
    <w:rsid w:val="00484B9B"/>
    <w:rsid w:val="004855F6"/>
    <w:rsid w:val="0048661E"/>
    <w:rsid w:val="00494670"/>
    <w:rsid w:val="004A3823"/>
    <w:rsid w:val="004B39E7"/>
    <w:rsid w:val="004C1098"/>
    <w:rsid w:val="004E6946"/>
    <w:rsid w:val="004F1AD8"/>
    <w:rsid w:val="005014FF"/>
    <w:rsid w:val="005039CB"/>
    <w:rsid w:val="0050558F"/>
    <w:rsid w:val="00506286"/>
    <w:rsid w:val="00510813"/>
    <w:rsid w:val="00511990"/>
    <w:rsid w:val="00511DE0"/>
    <w:rsid w:val="00513AE3"/>
    <w:rsid w:val="005141BA"/>
    <w:rsid w:val="00514870"/>
    <w:rsid w:val="00514B9B"/>
    <w:rsid w:val="00517F02"/>
    <w:rsid w:val="00524303"/>
    <w:rsid w:val="005258A2"/>
    <w:rsid w:val="005401AE"/>
    <w:rsid w:val="00542E07"/>
    <w:rsid w:val="00545424"/>
    <w:rsid w:val="0055059C"/>
    <w:rsid w:val="00554A7B"/>
    <w:rsid w:val="0055572C"/>
    <w:rsid w:val="0056106A"/>
    <w:rsid w:val="005653D2"/>
    <w:rsid w:val="005720AE"/>
    <w:rsid w:val="005730DC"/>
    <w:rsid w:val="00594D77"/>
    <w:rsid w:val="005969E4"/>
    <w:rsid w:val="005A06B7"/>
    <w:rsid w:val="005A1759"/>
    <w:rsid w:val="005A68A7"/>
    <w:rsid w:val="005B5B11"/>
    <w:rsid w:val="005C200B"/>
    <w:rsid w:val="005D2C3B"/>
    <w:rsid w:val="005D36AB"/>
    <w:rsid w:val="005E0399"/>
    <w:rsid w:val="005F60FD"/>
    <w:rsid w:val="00617CC3"/>
    <w:rsid w:val="00635476"/>
    <w:rsid w:val="006377A6"/>
    <w:rsid w:val="00637A3D"/>
    <w:rsid w:val="006411EF"/>
    <w:rsid w:val="00662029"/>
    <w:rsid w:val="006730EB"/>
    <w:rsid w:val="006748B8"/>
    <w:rsid w:val="006775C3"/>
    <w:rsid w:val="0069290A"/>
    <w:rsid w:val="0069775A"/>
    <w:rsid w:val="00697813"/>
    <w:rsid w:val="006A3EE8"/>
    <w:rsid w:val="006A72BF"/>
    <w:rsid w:val="006B03F2"/>
    <w:rsid w:val="006B37DC"/>
    <w:rsid w:val="006B4D8B"/>
    <w:rsid w:val="006B4F68"/>
    <w:rsid w:val="006C0592"/>
    <w:rsid w:val="006C272E"/>
    <w:rsid w:val="006C5479"/>
    <w:rsid w:val="006D13B5"/>
    <w:rsid w:val="006D72F3"/>
    <w:rsid w:val="006E12FF"/>
    <w:rsid w:val="006E607E"/>
    <w:rsid w:val="00706C5D"/>
    <w:rsid w:val="00706D2F"/>
    <w:rsid w:val="00714004"/>
    <w:rsid w:val="00732922"/>
    <w:rsid w:val="00745572"/>
    <w:rsid w:val="007457D7"/>
    <w:rsid w:val="0075162E"/>
    <w:rsid w:val="00754034"/>
    <w:rsid w:val="00754923"/>
    <w:rsid w:val="00756556"/>
    <w:rsid w:val="007618C4"/>
    <w:rsid w:val="00767980"/>
    <w:rsid w:val="00770B19"/>
    <w:rsid w:val="0077463F"/>
    <w:rsid w:val="007836EA"/>
    <w:rsid w:val="00784CDA"/>
    <w:rsid w:val="007906C4"/>
    <w:rsid w:val="007940EA"/>
    <w:rsid w:val="007967E8"/>
    <w:rsid w:val="007A2170"/>
    <w:rsid w:val="007A22BF"/>
    <w:rsid w:val="007A3323"/>
    <w:rsid w:val="007B036E"/>
    <w:rsid w:val="007B72B8"/>
    <w:rsid w:val="007B7A58"/>
    <w:rsid w:val="007C21B5"/>
    <w:rsid w:val="007E3A36"/>
    <w:rsid w:val="007E4BD2"/>
    <w:rsid w:val="00801393"/>
    <w:rsid w:val="00802F88"/>
    <w:rsid w:val="0081293E"/>
    <w:rsid w:val="00815465"/>
    <w:rsid w:val="00817E9A"/>
    <w:rsid w:val="00825702"/>
    <w:rsid w:val="008306BD"/>
    <w:rsid w:val="00831A80"/>
    <w:rsid w:val="00833743"/>
    <w:rsid w:val="008340A4"/>
    <w:rsid w:val="00842F47"/>
    <w:rsid w:val="00853145"/>
    <w:rsid w:val="008553D4"/>
    <w:rsid w:val="0087135F"/>
    <w:rsid w:val="00872D94"/>
    <w:rsid w:val="00880364"/>
    <w:rsid w:val="00887D4D"/>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55C"/>
    <w:rsid w:val="008F2D29"/>
    <w:rsid w:val="008F5187"/>
    <w:rsid w:val="008F60D8"/>
    <w:rsid w:val="00902727"/>
    <w:rsid w:val="0090312B"/>
    <w:rsid w:val="0091736D"/>
    <w:rsid w:val="009269A2"/>
    <w:rsid w:val="0093037A"/>
    <w:rsid w:val="0094154D"/>
    <w:rsid w:val="00942E32"/>
    <w:rsid w:val="00950240"/>
    <w:rsid w:val="0095155F"/>
    <w:rsid w:val="00954429"/>
    <w:rsid w:val="009563CE"/>
    <w:rsid w:val="00961621"/>
    <w:rsid w:val="00964AFD"/>
    <w:rsid w:val="00974A7F"/>
    <w:rsid w:val="00975D66"/>
    <w:rsid w:val="00976328"/>
    <w:rsid w:val="0097680D"/>
    <w:rsid w:val="00982438"/>
    <w:rsid w:val="0098404C"/>
    <w:rsid w:val="00985283"/>
    <w:rsid w:val="0099062C"/>
    <w:rsid w:val="00995992"/>
    <w:rsid w:val="009A03E5"/>
    <w:rsid w:val="009A0F3B"/>
    <w:rsid w:val="009A1BB4"/>
    <w:rsid w:val="009A2628"/>
    <w:rsid w:val="009A3200"/>
    <w:rsid w:val="009B0897"/>
    <w:rsid w:val="009B1ED1"/>
    <w:rsid w:val="009B59E7"/>
    <w:rsid w:val="009B7BD9"/>
    <w:rsid w:val="009C7DD5"/>
    <w:rsid w:val="009E227D"/>
    <w:rsid w:val="009E5019"/>
    <w:rsid w:val="009E5601"/>
    <w:rsid w:val="00A04F1B"/>
    <w:rsid w:val="00A0501B"/>
    <w:rsid w:val="00A14947"/>
    <w:rsid w:val="00A32A83"/>
    <w:rsid w:val="00A34A45"/>
    <w:rsid w:val="00A368DB"/>
    <w:rsid w:val="00A423AA"/>
    <w:rsid w:val="00A53EC6"/>
    <w:rsid w:val="00A55C0F"/>
    <w:rsid w:val="00A67DCC"/>
    <w:rsid w:val="00A86469"/>
    <w:rsid w:val="00A8713F"/>
    <w:rsid w:val="00A90121"/>
    <w:rsid w:val="00A90BA1"/>
    <w:rsid w:val="00A97A9A"/>
    <w:rsid w:val="00AA0671"/>
    <w:rsid w:val="00AA2531"/>
    <w:rsid w:val="00AA3CBA"/>
    <w:rsid w:val="00AA47AD"/>
    <w:rsid w:val="00AB1E09"/>
    <w:rsid w:val="00AB4A83"/>
    <w:rsid w:val="00AB5330"/>
    <w:rsid w:val="00AB7747"/>
    <w:rsid w:val="00AC14CE"/>
    <w:rsid w:val="00AC2A56"/>
    <w:rsid w:val="00AD055E"/>
    <w:rsid w:val="00AD47A7"/>
    <w:rsid w:val="00AF0CBF"/>
    <w:rsid w:val="00AF121C"/>
    <w:rsid w:val="00AF257F"/>
    <w:rsid w:val="00AF2E82"/>
    <w:rsid w:val="00AF33CF"/>
    <w:rsid w:val="00AF4D50"/>
    <w:rsid w:val="00AF6179"/>
    <w:rsid w:val="00AF7620"/>
    <w:rsid w:val="00B05B6C"/>
    <w:rsid w:val="00B07F8A"/>
    <w:rsid w:val="00B1295A"/>
    <w:rsid w:val="00B20A45"/>
    <w:rsid w:val="00B22C5C"/>
    <w:rsid w:val="00B24F30"/>
    <w:rsid w:val="00B31ABF"/>
    <w:rsid w:val="00B33BE3"/>
    <w:rsid w:val="00B53B5D"/>
    <w:rsid w:val="00B6055E"/>
    <w:rsid w:val="00B6317D"/>
    <w:rsid w:val="00B7680D"/>
    <w:rsid w:val="00B7723F"/>
    <w:rsid w:val="00B80534"/>
    <w:rsid w:val="00B8433C"/>
    <w:rsid w:val="00B87491"/>
    <w:rsid w:val="00B9391A"/>
    <w:rsid w:val="00BA29E9"/>
    <w:rsid w:val="00BA7142"/>
    <w:rsid w:val="00BB237C"/>
    <w:rsid w:val="00BB41A3"/>
    <w:rsid w:val="00BC32DC"/>
    <w:rsid w:val="00BC35B6"/>
    <w:rsid w:val="00BD1B51"/>
    <w:rsid w:val="00BD4596"/>
    <w:rsid w:val="00BD7A15"/>
    <w:rsid w:val="00BE1405"/>
    <w:rsid w:val="00BE312D"/>
    <w:rsid w:val="00BF1C20"/>
    <w:rsid w:val="00C073CE"/>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82D31"/>
    <w:rsid w:val="00C958CD"/>
    <w:rsid w:val="00C972B1"/>
    <w:rsid w:val="00CA2CCE"/>
    <w:rsid w:val="00CA43FD"/>
    <w:rsid w:val="00CA7EF8"/>
    <w:rsid w:val="00CB0B5E"/>
    <w:rsid w:val="00CB5CCF"/>
    <w:rsid w:val="00CC489B"/>
    <w:rsid w:val="00CD2BCD"/>
    <w:rsid w:val="00CD3A4C"/>
    <w:rsid w:val="00CD5315"/>
    <w:rsid w:val="00CE10E9"/>
    <w:rsid w:val="00CE2910"/>
    <w:rsid w:val="00CE5393"/>
    <w:rsid w:val="00CF36BE"/>
    <w:rsid w:val="00CF6000"/>
    <w:rsid w:val="00D003F3"/>
    <w:rsid w:val="00D0364F"/>
    <w:rsid w:val="00D06834"/>
    <w:rsid w:val="00D15D3A"/>
    <w:rsid w:val="00D308ED"/>
    <w:rsid w:val="00D34241"/>
    <w:rsid w:val="00D36D86"/>
    <w:rsid w:val="00D4012F"/>
    <w:rsid w:val="00D428AA"/>
    <w:rsid w:val="00D50A34"/>
    <w:rsid w:val="00D53EFA"/>
    <w:rsid w:val="00D6756C"/>
    <w:rsid w:val="00D90AAC"/>
    <w:rsid w:val="00D94A7C"/>
    <w:rsid w:val="00D95896"/>
    <w:rsid w:val="00DA5C09"/>
    <w:rsid w:val="00DB2983"/>
    <w:rsid w:val="00DC1257"/>
    <w:rsid w:val="00DC3DC0"/>
    <w:rsid w:val="00DC5B2B"/>
    <w:rsid w:val="00DD318D"/>
    <w:rsid w:val="00DF2E12"/>
    <w:rsid w:val="00DF514A"/>
    <w:rsid w:val="00DF6690"/>
    <w:rsid w:val="00DF6804"/>
    <w:rsid w:val="00E0358D"/>
    <w:rsid w:val="00E04323"/>
    <w:rsid w:val="00E070A2"/>
    <w:rsid w:val="00E14E16"/>
    <w:rsid w:val="00E2656A"/>
    <w:rsid w:val="00E412D0"/>
    <w:rsid w:val="00E4593A"/>
    <w:rsid w:val="00E473D8"/>
    <w:rsid w:val="00E539BC"/>
    <w:rsid w:val="00E56322"/>
    <w:rsid w:val="00E60982"/>
    <w:rsid w:val="00E62C62"/>
    <w:rsid w:val="00E654C1"/>
    <w:rsid w:val="00E65D97"/>
    <w:rsid w:val="00E65F4F"/>
    <w:rsid w:val="00E72A5A"/>
    <w:rsid w:val="00E73354"/>
    <w:rsid w:val="00E86262"/>
    <w:rsid w:val="00E9242D"/>
    <w:rsid w:val="00EB5255"/>
    <w:rsid w:val="00EB5C47"/>
    <w:rsid w:val="00ED0639"/>
    <w:rsid w:val="00ED23E2"/>
    <w:rsid w:val="00EE11E1"/>
    <w:rsid w:val="00EF29ED"/>
    <w:rsid w:val="00EF4755"/>
    <w:rsid w:val="00EF7135"/>
    <w:rsid w:val="00F01C87"/>
    <w:rsid w:val="00F027DB"/>
    <w:rsid w:val="00F14A7A"/>
    <w:rsid w:val="00F22985"/>
    <w:rsid w:val="00F3383E"/>
    <w:rsid w:val="00F465A7"/>
    <w:rsid w:val="00F50B7C"/>
    <w:rsid w:val="00F550E6"/>
    <w:rsid w:val="00F74345"/>
    <w:rsid w:val="00F80A0A"/>
    <w:rsid w:val="00F82B19"/>
    <w:rsid w:val="00F8383B"/>
    <w:rsid w:val="00F9047D"/>
    <w:rsid w:val="00F9212D"/>
    <w:rsid w:val="00F965DA"/>
    <w:rsid w:val="00FA1E31"/>
    <w:rsid w:val="00FA406A"/>
    <w:rsid w:val="00FB503A"/>
    <w:rsid w:val="00FB516C"/>
    <w:rsid w:val="00FC199D"/>
    <w:rsid w:val="00FC1E26"/>
    <w:rsid w:val="00FD0236"/>
    <w:rsid w:val="00FD18F4"/>
    <w:rsid w:val="00FD1D17"/>
    <w:rsid w:val="00FD54DB"/>
    <w:rsid w:val="00FD619F"/>
    <w:rsid w:val="00FE51A8"/>
    <w:rsid w:val="01282E62"/>
    <w:rsid w:val="01290F7E"/>
    <w:rsid w:val="012E5BDE"/>
    <w:rsid w:val="015D1E09"/>
    <w:rsid w:val="01AC75F0"/>
    <w:rsid w:val="02025B62"/>
    <w:rsid w:val="02147BAA"/>
    <w:rsid w:val="022B0E5C"/>
    <w:rsid w:val="023B1CEC"/>
    <w:rsid w:val="02697903"/>
    <w:rsid w:val="02DA63DE"/>
    <w:rsid w:val="02E520D6"/>
    <w:rsid w:val="02F8758C"/>
    <w:rsid w:val="02F96569"/>
    <w:rsid w:val="03152636"/>
    <w:rsid w:val="034321D6"/>
    <w:rsid w:val="03577C98"/>
    <w:rsid w:val="036C1B50"/>
    <w:rsid w:val="03B1493A"/>
    <w:rsid w:val="03C33BC6"/>
    <w:rsid w:val="03E823F0"/>
    <w:rsid w:val="03EA7B21"/>
    <w:rsid w:val="040F20B8"/>
    <w:rsid w:val="046C3C43"/>
    <w:rsid w:val="04885C03"/>
    <w:rsid w:val="04CD190D"/>
    <w:rsid w:val="04CD7FA9"/>
    <w:rsid w:val="04E43544"/>
    <w:rsid w:val="05342DF2"/>
    <w:rsid w:val="053837E8"/>
    <w:rsid w:val="053D5B7D"/>
    <w:rsid w:val="056C6DC3"/>
    <w:rsid w:val="056D7436"/>
    <w:rsid w:val="058B453B"/>
    <w:rsid w:val="058C1C12"/>
    <w:rsid w:val="058D5227"/>
    <w:rsid w:val="05EC1510"/>
    <w:rsid w:val="05F83EAE"/>
    <w:rsid w:val="06006594"/>
    <w:rsid w:val="063E7D85"/>
    <w:rsid w:val="066E1317"/>
    <w:rsid w:val="068220B1"/>
    <w:rsid w:val="06977448"/>
    <w:rsid w:val="06DC1469"/>
    <w:rsid w:val="070634EF"/>
    <w:rsid w:val="071972F0"/>
    <w:rsid w:val="071A324D"/>
    <w:rsid w:val="07256B46"/>
    <w:rsid w:val="07293586"/>
    <w:rsid w:val="07295285"/>
    <w:rsid w:val="07636392"/>
    <w:rsid w:val="07770C56"/>
    <w:rsid w:val="08157403"/>
    <w:rsid w:val="081A7E89"/>
    <w:rsid w:val="081B0829"/>
    <w:rsid w:val="083245C7"/>
    <w:rsid w:val="083D5445"/>
    <w:rsid w:val="083D6901"/>
    <w:rsid w:val="085207C5"/>
    <w:rsid w:val="08687FE8"/>
    <w:rsid w:val="08841607"/>
    <w:rsid w:val="08950398"/>
    <w:rsid w:val="08A05F2E"/>
    <w:rsid w:val="08A47BBD"/>
    <w:rsid w:val="090C38C7"/>
    <w:rsid w:val="091163D0"/>
    <w:rsid w:val="092217DD"/>
    <w:rsid w:val="09222B27"/>
    <w:rsid w:val="092403B3"/>
    <w:rsid w:val="093A7294"/>
    <w:rsid w:val="09446B26"/>
    <w:rsid w:val="09831C78"/>
    <w:rsid w:val="09A01E43"/>
    <w:rsid w:val="0A0D0373"/>
    <w:rsid w:val="0A263993"/>
    <w:rsid w:val="0A2C4EC2"/>
    <w:rsid w:val="0A2D3AC2"/>
    <w:rsid w:val="0AA755DF"/>
    <w:rsid w:val="0AA92E21"/>
    <w:rsid w:val="0AAC6E51"/>
    <w:rsid w:val="0ABF086F"/>
    <w:rsid w:val="0AE903B4"/>
    <w:rsid w:val="0B0A5387"/>
    <w:rsid w:val="0B120D44"/>
    <w:rsid w:val="0B2F7965"/>
    <w:rsid w:val="0B61201C"/>
    <w:rsid w:val="0B6727D9"/>
    <w:rsid w:val="0B785C4C"/>
    <w:rsid w:val="0B7A6D5D"/>
    <w:rsid w:val="0B8E296E"/>
    <w:rsid w:val="0BA02C73"/>
    <w:rsid w:val="0BD27BF6"/>
    <w:rsid w:val="0BF24799"/>
    <w:rsid w:val="0BF8395A"/>
    <w:rsid w:val="0BFC5617"/>
    <w:rsid w:val="0C05627A"/>
    <w:rsid w:val="0C3B3C7D"/>
    <w:rsid w:val="0CAB2EAE"/>
    <w:rsid w:val="0CAC113E"/>
    <w:rsid w:val="0CB95D92"/>
    <w:rsid w:val="0CC4340C"/>
    <w:rsid w:val="0CD776AF"/>
    <w:rsid w:val="0CDA3A9C"/>
    <w:rsid w:val="0CDB519E"/>
    <w:rsid w:val="0CE42333"/>
    <w:rsid w:val="0D222E5C"/>
    <w:rsid w:val="0D453500"/>
    <w:rsid w:val="0D53160F"/>
    <w:rsid w:val="0D615031"/>
    <w:rsid w:val="0D621C7D"/>
    <w:rsid w:val="0D7D2F03"/>
    <w:rsid w:val="0DA959CB"/>
    <w:rsid w:val="0DFE631D"/>
    <w:rsid w:val="0E2F01F0"/>
    <w:rsid w:val="0E6354DA"/>
    <w:rsid w:val="0E682AF0"/>
    <w:rsid w:val="0E73034D"/>
    <w:rsid w:val="0EBB5316"/>
    <w:rsid w:val="0EC341CA"/>
    <w:rsid w:val="0ECB60D2"/>
    <w:rsid w:val="0ED818B2"/>
    <w:rsid w:val="0EFF1503"/>
    <w:rsid w:val="0F064649"/>
    <w:rsid w:val="0F13775A"/>
    <w:rsid w:val="0F144A26"/>
    <w:rsid w:val="0F34775C"/>
    <w:rsid w:val="0F384456"/>
    <w:rsid w:val="0F5F45FE"/>
    <w:rsid w:val="0F6F521C"/>
    <w:rsid w:val="0F9A112B"/>
    <w:rsid w:val="10305E2E"/>
    <w:rsid w:val="10536835"/>
    <w:rsid w:val="10577238"/>
    <w:rsid w:val="106C7693"/>
    <w:rsid w:val="106D2F64"/>
    <w:rsid w:val="108B1FC7"/>
    <w:rsid w:val="10B63710"/>
    <w:rsid w:val="10C81F6C"/>
    <w:rsid w:val="10F10820"/>
    <w:rsid w:val="111C2F7A"/>
    <w:rsid w:val="11501A29"/>
    <w:rsid w:val="11665CA1"/>
    <w:rsid w:val="1191235E"/>
    <w:rsid w:val="11974C93"/>
    <w:rsid w:val="119A56B6"/>
    <w:rsid w:val="11AD51DE"/>
    <w:rsid w:val="11E576D1"/>
    <w:rsid w:val="12822883"/>
    <w:rsid w:val="129E11D6"/>
    <w:rsid w:val="12D61721"/>
    <w:rsid w:val="13072763"/>
    <w:rsid w:val="13536072"/>
    <w:rsid w:val="13893C35"/>
    <w:rsid w:val="13951726"/>
    <w:rsid w:val="13B000A5"/>
    <w:rsid w:val="13B82BA4"/>
    <w:rsid w:val="13E56991"/>
    <w:rsid w:val="140D63D3"/>
    <w:rsid w:val="14396509"/>
    <w:rsid w:val="14432035"/>
    <w:rsid w:val="14496F20"/>
    <w:rsid w:val="147F2D2E"/>
    <w:rsid w:val="14DD2C3C"/>
    <w:rsid w:val="153848C3"/>
    <w:rsid w:val="153B3F0D"/>
    <w:rsid w:val="15520BE1"/>
    <w:rsid w:val="15687FFA"/>
    <w:rsid w:val="158F246E"/>
    <w:rsid w:val="15C26F8A"/>
    <w:rsid w:val="15CF4F0C"/>
    <w:rsid w:val="15D50C54"/>
    <w:rsid w:val="16087E1D"/>
    <w:rsid w:val="16C40FBD"/>
    <w:rsid w:val="16C444FD"/>
    <w:rsid w:val="16DA5B6C"/>
    <w:rsid w:val="16EC5CC5"/>
    <w:rsid w:val="171B2DF6"/>
    <w:rsid w:val="17215F32"/>
    <w:rsid w:val="176E09C9"/>
    <w:rsid w:val="17701D14"/>
    <w:rsid w:val="17735226"/>
    <w:rsid w:val="18045DF2"/>
    <w:rsid w:val="18133ACD"/>
    <w:rsid w:val="18254498"/>
    <w:rsid w:val="183E7AD3"/>
    <w:rsid w:val="189F624C"/>
    <w:rsid w:val="18A44CA0"/>
    <w:rsid w:val="18B705C1"/>
    <w:rsid w:val="18D32501"/>
    <w:rsid w:val="18DB72CC"/>
    <w:rsid w:val="18E30493"/>
    <w:rsid w:val="1940412A"/>
    <w:rsid w:val="195679CD"/>
    <w:rsid w:val="19CD5F2C"/>
    <w:rsid w:val="19D63004"/>
    <w:rsid w:val="19E31462"/>
    <w:rsid w:val="1A144135"/>
    <w:rsid w:val="1A1C66C0"/>
    <w:rsid w:val="1A380800"/>
    <w:rsid w:val="1A42393B"/>
    <w:rsid w:val="1A491A28"/>
    <w:rsid w:val="1A5E4E10"/>
    <w:rsid w:val="1A8A5984"/>
    <w:rsid w:val="1A98475D"/>
    <w:rsid w:val="1AAC1FB7"/>
    <w:rsid w:val="1AAD45DE"/>
    <w:rsid w:val="1ACC0151"/>
    <w:rsid w:val="1AED7ED5"/>
    <w:rsid w:val="1B0105E7"/>
    <w:rsid w:val="1B046F80"/>
    <w:rsid w:val="1B152E9C"/>
    <w:rsid w:val="1B3267B5"/>
    <w:rsid w:val="1B3F44E8"/>
    <w:rsid w:val="1B40161D"/>
    <w:rsid w:val="1B410951"/>
    <w:rsid w:val="1B441859"/>
    <w:rsid w:val="1B581FFE"/>
    <w:rsid w:val="1B6606B1"/>
    <w:rsid w:val="1B9C4119"/>
    <w:rsid w:val="1BDE2525"/>
    <w:rsid w:val="1C220782"/>
    <w:rsid w:val="1C3D11CC"/>
    <w:rsid w:val="1C3F332E"/>
    <w:rsid w:val="1C4E5A1B"/>
    <w:rsid w:val="1C5E7925"/>
    <w:rsid w:val="1C5F6DEF"/>
    <w:rsid w:val="1C68713F"/>
    <w:rsid w:val="1C752F59"/>
    <w:rsid w:val="1C8D0D5A"/>
    <w:rsid w:val="1C944F1A"/>
    <w:rsid w:val="1C9F14A7"/>
    <w:rsid w:val="1CC2432F"/>
    <w:rsid w:val="1CC34E1D"/>
    <w:rsid w:val="1CE17BBF"/>
    <w:rsid w:val="1CFD070F"/>
    <w:rsid w:val="1D4A4435"/>
    <w:rsid w:val="1D5F6196"/>
    <w:rsid w:val="1D6132A5"/>
    <w:rsid w:val="1D69418F"/>
    <w:rsid w:val="1D6B7F07"/>
    <w:rsid w:val="1D83660F"/>
    <w:rsid w:val="1D8C1EC4"/>
    <w:rsid w:val="1D8E56D5"/>
    <w:rsid w:val="1DA50210"/>
    <w:rsid w:val="1DA60B33"/>
    <w:rsid w:val="1DD97CAE"/>
    <w:rsid w:val="1DF70B64"/>
    <w:rsid w:val="1DFD02F3"/>
    <w:rsid w:val="1E262080"/>
    <w:rsid w:val="1E7A43DA"/>
    <w:rsid w:val="1E8176EB"/>
    <w:rsid w:val="1E8A0861"/>
    <w:rsid w:val="1E934925"/>
    <w:rsid w:val="1EAC12CE"/>
    <w:rsid w:val="1EC92098"/>
    <w:rsid w:val="1EDF21CB"/>
    <w:rsid w:val="1EF839CE"/>
    <w:rsid w:val="1F0F4DAA"/>
    <w:rsid w:val="1F3A2E51"/>
    <w:rsid w:val="1F6B41EE"/>
    <w:rsid w:val="1FE7539E"/>
    <w:rsid w:val="204D7932"/>
    <w:rsid w:val="20535F35"/>
    <w:rsid w:val="20564E9E"/>
    <w:rsid w:val="205C082C"/>
    <w:rsid w:val="20671BE0"/>
    <w:rsid w:val="208B42C7"/>
    <w:rsid w:val="20963CB8"/>
    <w:rsid w:val="20A81A1B"/>
    <w:rsid w:val="20B07FB6"/>
    <w:rsid w:val="20B646FB"/>
    <w:rsid w:val="20BA224F"/>
    <w:rsid w:val="20DD111C"/>
    <w:rsid w:val="21210ABB"/>
    <w:rsid w:val="213B74B1"/>
    <w:rsid w:val="215A2310"/>
    <w:rsid w:val="21B70D22"/>
    <w:rsid w:val="21DE318A"/>
    <w:rsid w:val="21E36C06"/>
    <w:rsid w:val="21EF5B80"/>
    <w:rsid w:val="220B7F0B"/>
    <w:rsid w:val="222757EE"/>
    <w:rsid w:val="222E483B"/>
    <w:rsid w:val="2252728E"/>
    <w:rsid w:val="2255132C"/>
    <w:rsid w:val="22576990"/>
    <w:rsid w:val="228A7172"/>
    <w:rsid w:val="22E64245"/>
    <w:rsid w:val="22F47480"/>
    <w:rsid w:val="23005595"/>
    <w:rsid w:val="230B74F3"/>
    <w:rsid w:val="2319100B"/>
    <w:rsid w:val="23197D82"/>
    <w:rsid w:val="231C32E1"/>
    <w:rsid w:val="23861693"/>
    <w:rsid w:val="239669EF"/>
    <w:rsid w:val="23BC770E"/>
    <w:rsid w:val="23D031BA"/>
    <w:rsid w:val="23D15E6F"/>
    <w:rsid w:val="23DE1C48"/>
    <w:rsid w:val="23FA18C5"/>
    <w:rsid w:val="23FD01D9"/>
    <w:rsid w:val="240210CD"/>
    <w:rsid w:val="24BF09F7"/>
    <w:rsid w:val="24E36DCF"/>
    <w:rsid w:val="24E9195A"/>
    <w:rsid w:val="24FB688A"/>
    <w:rsid w:val="250008AF"/>
    <w:rsid w:val="25251431"/>
    <w:rsid w:val="252D53FE"/>
    <w:rsid w:val="25481DAF"/>
    <w:rsid w:val="25BA3898"/>
    <w:rsid w:val="25D93C7E"/>
    <w:rsid w:val="25E517CF"/>
    <w:rsid w:val="25EA1689"/>
    <w:rsid w:val="25EC2D81"/>
    <w:rsid w:val="25FA2433"/>
    <w:rsid w:val="260F67A9"/>
    <w:rsid w:val="261A37C8"/>
    <w:rsid w:val="26722306"/>
    <w:rsid w:val="268838D8"/>
    <w:rsid w:val="26D22DA5"/>
    <w:rsid w:val="26DB7CFE"/>
    <w:rsid w:val="2709648F"/>
    <w:rsid w:val="27133AE9"/>
    <w:rsid w:val="272C1306"/>
    <w:rsid w:val="27565784"/>
    <w:rsid w:val="275817E6"/>
    <w:rsid w:val="276C4A9F"/>
    <w:rsid w:val="277057A2"/>
    <w:rsid w:val="27706A3C"/>
    <w:rsid w:val="2774551B"/>
    <w:rsid w:val="27912C60"/>
    <w:rsid w:val="27933EA9"/>
    <w:rsid w:val="27C748D4"/>
    <w:rsid w:val="27DF39CB"/>
    <w:rsid w:val="28046B4F"/>
    <w:rsid w:val="28266304"/>
    <w:rsid w:val="283C4441"/>
    <w:rsid w:val="28435434"/>
    <w:rsid w:val="28547F29"/>
    <w:rsid w:val="28575C58"/>
    <w:rsid w:val="287842E9"/>
    <w:rsid w:val="28BF569E"/>
    <w:rsid w:val="28DB43F7"/>
    <w:rsid w:val="29206EB8"/>
    <w:rsid w:val="29242BE0"/>
    <w:rsid w:val="293D53F0"/>
    <w:rsid w:val="29411B2D"/>
    <w:rsid w:val="29595666"/>
    <w:rsid w:val="29874881"/>
    <w:rsid w:val="299564FC"/>
    <w:rsid w:val="29AE3DC6"/>
    <w:rsid w:val="29B3081E"/>
    <w:rsid w:val="29E325E0"/>
    <w:rsid w:val="29EB25A5"/>
    <w:rsid w:val="2A0276E2"/>
    <w:rsid w:val="2A1C2B2E"/>
    <w:rsid w:val="2A1D0EFA"/>
    <w:rsid w:val="2A452503"/>
    <w:rsid w:val="2A615063"/>
    <w:rsid w:val="2AA0743E"/>
    <w:rsid w:val="2AB23619"/>
    <w:rsid w:val="2AD01CF1"/>
    <w:rsid w:val="2AFB7E93"/>
    <w:rsid w:val="2B1E2A5D"/>
    <w:rsid w:val="2B283179"/>
    <w:rsid w:val="2B2B6F28"/>
    <w:rsid w:val="2B434271"/>
    <w:rsid w:val="2B464577"/>
    <w:rsid w:val="2B977D1C"/>
    <w:rsid w:val="2BA936A8"/>
    <w:rsid w:val="2BB77950"/>
    <w:rsid w:val="2BD42FFE"/>
    <w:rsid w:val="2BE11961"/>
    <w:rsid w:val="2BEB03EC"/>
    <w:rsid w:val="2C18097B"/>
    <w:rsid w:val="2C315A5A"/>
    <w:rsid w:val="2C4B1C25"/>
    <w:rsid w:val="2CA456F0"/>
    <w:rsid w:val="2CA567FD"/>
    <w:rsid w:val="2D5424B9"/>
    <w:rsid w:val="2D5B48E2"/>
    <w:rsid w:val="2D852054"/>
    <w:rsid w:val="2D9E56F5"/>
    <w:rsid w:val="2DA32E56"/>
    <w:rsid w:val="2DE0224B"/>
    <w:rsid w:val="2DEB6E74"/>
    <w:rsid w:val="2DF126AA"/>
    <w:rsid w:val="2E051CB2"/>
    <w:rsid w:val="2E0A551A"/>
    <w:rsid w:val="2E4A1658"/>
    <w:rsid w:val="2E667F96"/>
    <w:rsid w:val="2E70537D"/>
    <w:rsid w:val="2E8226AB"/>
    <w:rsid w:val="2E913546"/>
    <w:rsid w:val="2EA81E7D"/>
    <w:rsid w:val="2EC538D8"/>
    <w:rsid w:val="2ECC20BA"/>
    <w:rsid w:val="2EE41815"/>
    <w:rsid w:val="2F0366AB"/>
    <w:rsid w:val="2F0C09E8"/>
    <w:rsid w:val="2F294252"/>
    <w:rsid w:val="2F5E1BF8"/>
    <w:rsid w:val="2F732B0F"/>
    <w:rsid w:val="2F8E23AD"/>
    <w:rsid w:val="2FC71901"/>
    <w:rsid w:val="2FCE574E"/>
    <w:rsid w:val="2FD065E6"/>
    <w:rsid w:val="2FD96870"/>
    <w:rsid w:val="301934DF"/>
    <w:rsid w:val="30297EDA"/>
    <w:rsid w:val="303279A2"/>
    <w:rsid w:val="30580BC9"/>
    <w:rsid w:val="307B48E9"/>
    <w:rsid w:val="309E1A0E"/>
    <w:rsid w:val="30BF25EC"/>
    <w:rsid w:val="30CE64E7"/>
    <w:rsid w:val="311D3986"/>
    <w:rsid w:val="311E2ED7"/>
    <w:rsid w:val="315619EE"/>
    <w:rsid w:val="315C449C"/>
    <w:rsid w:val="316351A6"/>
    <w:rsid w:val="31833572"/>
    <w:rsid w:val="318350D1"/>
    <w:rsid w:val="31B82709"/>
    <w:rsid w:val="31D04E70"/>
    <w:rsid w:val="31D05482"/>
    <w:rsid w:val="31EC7411"/>
    <w:rsid w:val="31EF3498"/>
    <w:rsid w:val="31EF5153"/>
    <w:rsid w:val="31F407D3"/>
    <w:rsid w:val="32140412"/>
    <w:rsid w:val="32192A69"/>
    <w:rsid w:val="3236701A"/>
    <w:rsid w:val="32400B34"/>
    <w:rsid w:val="32664304"/>
    <w:rsid w:val="329E6876"/>
    <w:rsid w:val="32BB32D5"/>
    <w:rsid w:val="32D54349"/>
    <w:rsid w:val="33176563"/>
    <w:rsid w:val="333015F2"/>
    <w:rsid w:val="333A0650"/>
    <w:rsid w:val="333C1C9F"/>
    <w:rsid w:val="334B6320"/>
    <w:rsid w:val="33714C2C"/>
    <w:rsid w:val="33746931"/>
    <w:rsid w:val="33873DC4"/>
    <w:rsid w:val="339733AC"/>
    <w:rsid w:val="339840FE"/>
    <w:rsid w:val="33D934D4"/>
    <w:rsid w:val="33E34843"/>
    <w:rsid w:val="33FE2F6A"/>
    <w:rsid w:val="340E07E5"/>
    <w:rsid w:val="34235BF7"/>
    <w:rsid w:val="342C1291"/>
    <w:rsid w:val="34346EE2"/>
    <w:rsid w:val="3460777C"/>
    <w:rsid w:val="349D5218"/>
    <w:rsid w:val="34AA6ACD"/>
    <w:rsid w:val="34AC10D9"/>
    <w:rsid w:val="34CA77B1"/>
    <w:rsid w:val="34EC49A4"/>
    <w:rsid w:val="35041C90"/>
    <w:rsid w:val="35683252"/>
    <w:rsid w:val="35795DD6"/>
    <w:rsid w:val="3589083C"/>
    <w:rsid w:val="358C4F0F"/>
    <w:rsid w:val="358C5FA8"/>
    <w:rsid w:val="35C15DF1"/>
    <w:rsid w:val="35C21D9C"/>
    <w:rsid w:val="35D35979"/>
    <w:rsid w:val="35E30B2B"/>
    <w:rsid w:val="35ED22F7"/>
    <w:rsid w:val="35F76384"/>
    <w:rsid w:val="36074A7F"/>
    <w:rsid w:val="36923549"/>
    <w:rsid w:val="36B75FBF"/>
    <w:rsid w:val="36BD0C45"/>
    <w:rsid w:val="36F8145B"/>
    <w:rsid w:val="37305FF2"/>
    <w:rsid w:val="37960776"/>
    <w:rsid w:val="379F4F25"/>
    <w:rsid w:val="37BF6ECD"/>
    <w:rsid w:val="37E00298"/>
    <w:rsid w:val="37FF7772"/>
    <w:rsid w:val="386C187C"/>
    <w:rsid w:val="387B4EE4"/>
    <w:rsid w:val="38855EC9"/>
    <w:rsid w:val="38A807AA"/>
    <w:rsid w:val="38B302F9"/>
    <w:rsid w:val="38B95B73"/>
    <w:rsid w:val="38E155E6"/>
    <w:rsid w:val="38F12CD3"/>
    <w:rsid w:val="38F94775"/>
    <w:rsid w:val="38FE1B46"/>
    <w:rsid w:val="392971ED"/>
    <w:rsid w:val="39325651"/>
    <w:rsid w:val="393955A9"/>
    <w:rsid w:val="393E6781"/>
    <w:rsid w:val="39691347"/>
    <w:rsid w:val="39D5634C"/>
    <w:rsid w:val="39D569DC"/>
    <w:rsid w:val="39E032BD"/>
    <w:rsid w:val="39F07CBA"/>
    <w:rsid w:val="3A5442BC"/>
    <w:rsid w:val="3A872856"/>
    <w:rsid w:val="3AE50EA1"/>
    <w:rsid w:val="3B3763D1"/>
    <w:rsid w:val="3B7A540A"/>
    <w:rsid w:val="3C166A9C"/>
    <w:rsid w:val="3C2F6E1E"/>
    <w:rsid w:val="3C4F64BA"/>
    <w:rsid w:val="3C5F007C"/>
    <w:rsid w:val="3C6127A9"/>
    <w:rsid w:val="3C7931E0"/>
    <w:rsid w:val="3C8F5568"/>
    <w:rsid w:val="3CAE3557"/>
    <w:rsid w:val="3CCA47F2"/>
    <w:rsid w:val="3CDA245A"/>
    <w:rsid w:val="3D141416"/>
    <w:rsid w:val="3D1E06B7"/>
    <w:rsid w:val="3DBF5D22"/>
    <w:rsid w:val="3DFA11DC"/>
    <w:rsid w:val="3E427380"/>
    <w:rsid w:val="3E5E4B58"/>
    <w:rsid w:val="3E834C59"/>
    <w:rsid w:val="3E913B02"/>
    <w:rsid w:val="3E9506CD"/>
    <w:rsid w:val="3EB82F61"/>
    <w:rsid w:val="3EBC016B"/>
    <w:rsid w:val="3EDA0523"/>
    <w:rsid w:val="3EF20030"/>
    <w:rsid w:val="3EFB5137"/>
    <w:rsid w:val="3F175ECD"/>
    <w:rsid w:val="3F556861"/>
    <w:rsid w:val="3F7D78FA"/>
    <w:rsid w:val="3FBE44C2"/>
    <w:rsid w:val="3FDC4C5E"/>
    <w:rsid w:val="3FED2E71"/>
    <w:rsid w:val="3FEE6A4A"/>
    <w:rsid w:val="40295CD4"/>
    <w:rsid w:val="403E177F"/>
    <w:rsid w:val="40520D87"/>
    <w:rsid w:val="405565C0"/>
    <w:rsid w:val="40730CFD"/>
    <w:rsid w:val="407A6407"/>
    <w:rsid w:val="409A6144"/>
    <w:rsid w:val="409E5C24"/>
    <w:rsid w:val="40B32646"/>
    <w:rsid w:val="40FE2255"/>
    <w:rsid w:val="41232723"/>
    <w:rsid w:val="412B1E9E"/>
    <w:rsid w:val="41662610"/>
    <w:rsid w:val="41AF0FFA"/>
    <w:rsid w:val="41BD4E8B"/>
    <w:rsid w:val="41D82453"/>
    <w:rsid w:val="41EA5C7B"/>
    <w:rsid w:val="4200449D"/>
    <w:rsid w:val="423A3BCC"/>
    <w:rsid w:val="42440BA3"/>
    <w:rsid w:val="424E57D2"/>
    <w:rsid w:val="42724EF4"/>
    <w:rsid w:val="42957651"/>
    <w:rsid w:val="42994A35"/>
    <w:rsid w:val="429F5DD9"/>
    <w:rsid w:val="42B24DA4"/>
    <w:rsid w:val="42B26C49"/>
    <w:rsid w:val="42D25BFE"/>
    <w:rsid w:val="433A6FE6"/>
    <w:rsid w:val="43480868"/>
    <w:rsid w:val="4350713C"/>
    <w:rsid w:val="4352123B"/>
    <w:rsid w:val="436653E0"/>
    <w:rsid w:val="43AF71D5"/>
    <w:rsid w:val="43B27D8E"/>
    <w:rsid w:val="43C4431A"/>
    <w:rsid w:val="43FB0295"/>
    <w:rsid w:val="44335538"/>
    <w:rsid w:val="44853D94"/>
    <w:rsid w:val="44A21CDC"/>
    <w:rsid w:val="44B951CC"/>
    <w:rsid w:val="44CB21EC"/>
    <w:rsid w:val="44CD14E0"/>
    <w:rsid w:val="44CF75B8"/>
    <w:rsid w:val="44EE129A"/>
    <w:rsid w:val="44F20B0B"/>
    <w:rsid w:val="451A5BEB"/>
    <w:rsid w:val="452A1AEE"/>
    <w:rsid w:val="452E5F4C"/>
    <w:rsid w:val="45612018"/>
    <w:rsid w:val="45744530"/>
    <w:rsid w:val="458946E9"/>
    <w:rsid w:val="45981267"/>
    <w:rsid w:val="45A47C0E"/>
    <w:rsid w:val="45DD5596"/>
    <w:rsid w:val="4630260D"/>
    <w:rsid w:val="463926E5"/>
    <w:rsid w:val="46456B13"/>
    <w:rsid w:val="46577FD6"/>
    <w:rsid w:val="46914D0F"/>
    <w:rsid w:val="46A612C4"/>
    <w:rsid w:val="46C309C8"/>
    <w:rsid w:val="46D955A7"/>
    <w:rsid w:val="46F20FF0"/>
    <w:rsid w:val="470101FB"/>
    <w:rsid w:val="47057F0E"/>
    <w:rsid w:val="47133957"/>
    <w:rsid w:val="47411B55"/>
    <w:rsid w:val="47857C94"/>
    <w:rsid w:val="47A07E0C"/>
    <w:rsid w:val="47A2345C"/>
    <w:rsid w:val="47A47C74"/>
    <w:rsid w:val="47B265AF"/>
    <w:rsid w:val="47C773F1"/>
    <w:rsid w:val="47E03CE3"/>
    <w:rsid w:val="47FB1D04"/>
    <w:rsid w:val="4870272E"/>
    <w:rsid w:val="4874505C"/>
    <w:rsid w:val="489A1407"/>
    <w:rsid w:val="489B7043"/>
    <w:rsid w:val="48A979B2"/>
    <w:rsid w:val="48AA42E9"/>
    <w:rsid w:val="48BD7E40"/>
    <w:rsid w:val="48E24C72"/>
    <w:rsid w:val="48FE11F1"/>
    <w:rsid w:val="492139EC"/>
    <w:rsid w:val="49910354"/>
    <w:rsid w:val="49B66455"/>
    <w:rsid w:val="49B760FE"/>
    <w:rsid w:val="49DC7715"/>
    <w:rsid w:val="4A023139"/>
    <w:rsid w:val="4A2861F7"/>
    <w:rsid w:val="4A4B32FD"/>
    <w:rsid w:val="4A7B576F"/>
    <w:rsid w:val="4A8561FD"/>
    <w:rsid w:val="4A987664"/>
    <w:rsid w:val="4AB12B43"/>
    <w:rsid w:val="4AEC627C"/>
    <w:rsid w:val="4AF561A9"/>
    <w:rsid w:val="4B1732F9"/>
    <w:rsid w:val="4B1C090F"/>
    <w:rsid w:val="4B345D58"/>
    <w:rsid w:val="4B7674F4"/>
    <w:rsid w:val="4B7B6614"/>
    <w:rsid w:val="4B8F6090"/>
    <w:rsid w:val="4BE965B6"/>
    <w:rsid w:val="4BEA14D5"/>
    <w:rsid w:val="4BED236C"/>
    <w:rsid w:val="4C192F88"/>
    <w:rsid w:val="4C3861B2"/>
    <w:rsid w:val="4C3E603E"/>
    <w:rsid w:val="4C4A0649"/>
    <w:rsid w:val="4C7E5ECA"/>
    <w:rsid w:val="4C801323"/>
    <w:rsid w:val="4C820C46"/>
    <w:rsid w:val="4C876AA5"/>
    <w:rsid w:val="4CC633C5"/>
    <w:rsid w:val="4CDA0AB5"/>
    <w:rsid w:val="4CE81047"/>
    <w:rsid w:val="4D0E00FB"/>
    <w:rsid w:val="4D176606"/>
    <w:rsid w:val="4D524AD6"/>
    <w:rsid w:val="4D5A0849"/>
    <w:rsid w:val="4D5C3245"/>
    <w:rsid w:val="4D6755D3"/>
    <w:rsid w:val="4DD728CB"/>
    <w:rsid w:val="4DD96410"/>
    <w:rsid w:val="4DEC4FB0"/>
    <w:rsid w:val="4E075D8A"/>
    <w:rsid w:val="4E277DBC"/>
    <w:rsid w:val="4E540F78"/>
    <w:rsid w:val="4E8B1782"/>
    <w:rsid w:val="4EA8398E"/>
    <w:rsid w:val="4EC00FAD"/>
    <w:rsid w:val="4EF85840"/>
    <w:rsid w:val="4F1727E1"/>
    <w:rsid w:val="4F1E7E26"/>
    <w:rsid w:val="4F3501F1"/>
    <w:rsid w:val="4F9843DC"/>
    <w:rsid w:val="4FA566C7"/>
    <w:rsid w:val="4FA92D7F"/>
    <w:rsid w:val="4FC62A8C"/>
    <w:rsid w:val="4FD317B8"/>
    <w:rsid w:val="4FD93882"/>
    <w:rsid w:val="4FE20F0D"/>
    <w:rsid w:val="4FE51552"/>
    <w:rsid w:val="4FF65EED"/>
    <w:rsid w:val="4FFE4A87"/>
    <w:rsid w:val="50267B3A"/>
    <w:rsid w:val="50461F8A"/>
    <w:rsid w:val="50504C4B"/>
    <w:rsid w:val="507534D0"/>
    <w:rsid w:val="50757DC8"/>
    <w:rsid w:val="509C6E7C"/>
    <w:rsid w:val="509F3DE1"/>
    <w:rsid w:val="50A7559D"/>
    <w:rsid w:val="50B21464"/>
    <w:rsid w:val="50C25AB5"/>
    <w:rsid w:val="50F568B3"/>
    <w:rsid w:val="513B0CCC"/>
    <w:rsid w:val="51596F5E"/>
    <w:rsid w:val="5162104E"/>
    <w:rsid w:val="518D057B"/>
    <w:rsid w:val="51B16972"/>
    <w:rsid w:val="51B722DE"/>
    <w:rsid w:val="51BD0615"/>
    <w:rsid w:val="524045C0"/>
    <w:rsid w:val="52527141"/>
    <w:rsid w:val="52830AF1"/>
    <w:rsid w:val="52936A4F"/>
    <w:rsid w:val="52B21B59"/>
    <w:rsid w:val="52E65221"/>
    <w:rsid w:val="52F11103"/>
    <w:rsid w:val="535F7A73"/>
    <w:rsid w:val="536058AC"/>
    <w:rsid w:val="53707BA1"/>
    <w:rsid w:val="53820528"/>
    <w:rsid w:val="539E08FD"/>
    <w:rsid w:val="53A039CC"/>
    <w:rsid w:val="53A1505A"/>
    <w:rsid w:val="53A616BE"/>
    <w:rsid w:val="53B032DD"/>
    <w:rsid w:val="53CB781E"/>
    <w:rsid w:val="53F75400"/>
    <w:rsid w:val="54063E08"/>
    <w:rsid w:val="540A4E77"/>
    <w:rsid w:val="543437E8"/>
    <w:rsid w:val="545B0648"/>
    <w:rsid w:val="545E3450"/>
    <w:rsid w:val="5483555B"/>
    <w:rsid w:val="54C14FEC"/>
    <w:rsid w:val="54CA13DC"/>
    <w:rsid w:val="54DA31FC"/>
    <w:rsid w:val="54F40F18"/>
    <w:rsid w:val="54F73313"/>
    <w:rsid w:val="54F80955"/>
    <w:rsid w:val="55034184"/>
    <w:rsid w:val="554F368F"/>
    <w:rsid w:val="555170A7"/>
    <w:rsid w:val="5587536D"/>
    <w:rsid w:val="55911EF9"/>
    <w:rsid w:val="559B174B"/>
    <w:rsid w:val="55AA2FBB"/>
    <w:rsid w:val="55B1434A"/>
    <w:rsid w:val="55CE0CF4"/>
    <w:rsid w:val="55DC6DCC"/>
    <w:rsid w:val="55FE7241"/>
    <w:rsid w:val="560C241E"/>
    <w:rsid w:val="561C796F"/>
    <w:rsid w:val="56275F3C"/>
    <w:rsid w:val="5664423B"/>
    <w:rsid w:val="56AB69D0"/>
    <w:rsid w:val="56B22A9C"/>
    <w:rsid w:val="56BE6E51"/>
    <w:rsid w:val="56C85EF8"/>
    <w:rsid w:val="57127051"/>
    <w:rsid w:val="57273B7C"/>
    <w:rsid w:val="57463F09"/>
    <w:rsid w:val="57623B4D"/>
    <w:rsid w:val="579A5E8D"/>
    <w:rsid w:val="57AA2DFF"/>
    <w:rsid w:val="57B72A76"/>
    <w:rsid w:val="57C113B8"/>
    <w:rsid w:val="57C3426C"/>
    <w:rsid w:val="57CB52C8"/>
    <w:rsid w:val="57CD0748"/>
    <w:rsid w:val="57CE1F93"/>
    <w:rsid w:val="57DD553C"/>
    <w:rsid w:val="57ED254D"/>
    <w:rsid w:val="57FB5D41"/>
    <w:rsid w:val="582473AA"/>
    <w:rsid w:val="582B03E3"/>
    <w:rsid w:val="58711B6E"/>
    <w:rsid w:val="588743D1"/>
    <w:rsid w:val="5887701A"/>
    <w:rsid w:val="58D331CA"/>
    <w:rsid w:val="58E740A9"/>
    <w:rsid w:val="58F20F01"/>
    <w:rsid w:val="590E1B81"/>
    <w:rsid w:val="59104748"/>
    <w:rsid w:val="593A234A"/>
    <w:rsid w:val="594C6863"/>
    <w:rsid w:val="59571349"/>
    <w:rsid w:val="59722C38"/>
    <w:rsid w:val="5986045F"/>
    <w:rsid w:val="59BC78C3"/>
    <w:rsid w:val="59C0439F"/>
    <w:rsid w:val="5A16504F"/>
    <w:rsid w:val="5A324FED"/>
    <w:rsid w:val="5A405C9C"/>
    <w:rsid w:val="5A5677ED"/>
    <w:rsid w:val="5A6777A9"/>
    <w:rsid w:val="5A9171B5"/>
    <w:rsid w:val="5ABE2233"/>
    <w:rsid w:val="5AE65118"/>
    <w:rsid w:val="5AFA6F68"/>
    <w:rsid w:val="5B150A0A"/>
    <w:rsid w:val="5B7B25AB"/>
    <w:rsid w:val="5BD06AE9"/>
    <w:rsid w:val="5BDF5D95"/>
    <w:rsid w:val="5BE56AFB"/>
    <w:rsid w:val="5BFE7528"/>
    <w:rsid w:val="5C433822"/>
    <w:rsid w:val="5C593045"/>
    <w:rsid w:val="5C7F48CC"/>
    <w:rsid w:val="5C871960"/>
    <w:rsid w:val="5C9710BF"/>
    <w:rsid w:val="5CA00C74"/>
    <w:rsid w:val="5D0C7EDB"/>
    <w:rsid w:val="5D2D69AC"/>
    <w:rsid w:val="5D35760E"/>
    <w:rsid w:val="5D396E8F"/>
    <w:rsid w:val="5D3976D5"/>
    <w:rsid w:val="5DB13CF9"/>
    <w:rsid w:val="5DB800D6"/>
    <w:rsid w:val="5DC97FF7"/>
    <w:rsid w:val="5DFC1EDA"/>
    <w:rsid w:val="5E2467F1"/>
    <w:rsid w:val="5E457A38"/>
    <w:rsid w:val="5E5B62E3"/>
    <w:rsid w:val="5E6240F7"/>
    <w:rsid w:val="5E7647AB"/>
    <w:rsid w:val="5E767EDE"/>
    <w:rsid w:val="5E8D2A1A"/>
    <w:rsid w:val="5EA22A81"/>
    <w:rsid w:val="5EC10731"/>
    <w:rsid w:val="5ED83004"/>
    <w:rsid w:val="5EF07962"/>
    <w:rsid w:val="5EFF7ED4"/>
    <w:rsid w:val="5F090E88"/>
    <w:rsid w:val="5F0D77DB"/>
    <w:rsid w:val="5F1A2B43"/>
    <w:rsid w:val="5F3833E6"/>
    <w:rsid w:val="5F3A715E"/>
    <w:rsid w:val="5F50072F"/>
    <w:rsid w:val="5F6B7317"/>
    <w:rsid w:val="5FA26DA9"/>
    <w:rsid w:val="5FB30363"/>
    <w:rsid w:val="5FB837BB"/>
    <w:rsid w:val="5FCA136C"/>
    <w:rsid w:val="60236436"/>
    <w:rsid w:val="60593614"/>
    <w:rsid w:val="607D37A6"/>
    <w:rsid w:val="60A206C0"/>
    <w:rsid w:val="60CC405A"/>
    <w:rsid w:val="60D73635"/>
    <w:rsid w:val="60E16353"/>
    <w:rsid w:val="61096DE8"/>
    <w:rsid w:val="615C33BC"/>
    <w:rsid w:val="61E215D8"/>
    <w:rsid w:val="621B3775"/>
    <w:rsid w:val="62364782"/>
    <w:rsid w:val="62514511"/>
    <w:rsid w:val="62687EAE"/>
    <w:rsid w:val="62C24056"/>
    <w:rsid w:val="62EA2C49"/>
    <w:rsid w:val="630F5978"/>
    <w:rsid w:val="634347F2"/>
    <w:rsid w:val="6394356A"/>
    <w:rsid w:val="63A479AC"/>
    <w:rsid w:val="63C54531"/>
    <w:rsid w:val="63C61B2C"/>
    <w:rsid w:val="63C65002"/>
    <w:rsid w:val="63D40BE9"/>
    <w:rsid w:val="63D538F9"/>
    <w:rsid w:val="64102431"/>
    <w:rsid w:val="64213FD9"/>
    <w:rsid w:val="64337DCC"/>
    <w:rsid w:val="64460353"/>
    <w:rsid w:val="64A5243A"/>
    <w:rsid w:val="64AC114E"/>
    <w:rsid w:val="64AD3F2E"/>
    <w:rsid w:val="64EF09EB"/>
    <w:rsid w:val="64F531DE"/>
    <w:rsid w:val="650D2572"/>
    <w:rsid w:val="65136487"/>
    <w:rsid w:val="65373578"/>
    <w:rsid w:val="654D2E3E"/>
    <w:rsid w:val="656A1E1F"/>
    <w:rsid w:val="65850CB8"/>
    <w:rsid w:val="658E5B0E"/>
    <w:rsid w:val="65F17F68"/>
    <w:rsid w:val="664C63DE"/>
    <w:rsid w:val="665B398F"/>
    <w:rsid w:val="66961E23"/>
    <w:rsid w:val="669E7FD2"/>
    <w:rsid w:val="66A4385A"/>
    <w:rsid w:val="670818F0"/>
    <w:rsid w:val="671F124A"/>
    <w:rsid w:val="67282309"/>
    <w:rsid w:val="67617776"/>
    <w:rsid w:val="67660A12"/>
    <w:rsid w:val="67712ECC"/>
    <w:rsid w:val="677A33C6"/>
    <w:rsid w:val="678B52EF"/>
    <w:rsid w:val="679715F1"/>
    <w:rsid w:val="679967FD"/>
    <w:rsid w:val="67C65302"/>
    <w:rsid w:val="67DE0E4B"/>
    <w:rsid w:val="67F56B46"/>
    <w:rsid w:val="681F6961"/>
    <w:rsid w:val="68610A2F"/>
    <w:rsid w:val="6875280B"/>
    <w:rsid w:val="68805514"/>
    <w:rsid w:val="68963B7D"/>
    <w:rsid w:val="689877F1"/>
    <w:rsid w:val="68B52A4A"/>
    <w:rsid w:val="68BD07A4"/>
    <w:rsid w:val="691C78D4"/>
    <w:rsid w:val="69316E2F"/>
    <w:rsid w:val="69346428"/>
    <w:rsid w:val="694E2071"/>
    <w:rsid w:val="69523B25"/>
    <w:rsid w:val="69542012"/>
    <w:rsid w:val="69605A13"/>
    <w:rsid w:val="69766163"/>
    <w:rsid w:val="697A3B33"/>
    <w:rsid w:val="69D44760"/>
    <w:rsid w:val="69F66F81"/>
    <w:rsid w:val="6A04588C"/>
    <w:rsid w:val="6A096598"/>
    <w:rsid w:val="6A162576"/>
    <w:rsid w:val="6A184540"/>
    <w:rsid w:val="6A4D2B90"/>
    <w:rsid w:val="6A520EC7"/>
    <w:rsid w:val="6A8B38CC"/>
    <w:rsid w:val="6A9A4F55"/>
    <w:rsid w:val="6AB2229E"/>
    <w:rsid w:val="6AE24709"/>
    <w:rsid w:val="6AF629E0"/>
    <w:rsid w:val="6AF87E20"/>
    <w:rsid w:val="6B322639"/>
    <w:rsid w:val="6B39651C"/>
    <w:rsid w:val="6B424955"/>
    <w:rsid w:val="6B6508E5"/>
    <w:rsid w:val="6B825095"/>
    <w:rsid w:val="6B8D0216"/>
    <w:rsid w:val="6B914BA2"/>
    <w:rsid w:val="6B934A00"/>
    <w:rsid w:val="6B9412EA"/>
    <w:rsid w:val="6BAC680E"/>
    <w:rsid w:val="6BFD39ED"/>
    <w:rsid w:val="6C05558D"/>
    <w:rsid w:val="6C150D37"/>
    <w:rsid w:val="6C636C38"/>
    <w:rsid w:val="6C78474D"/>
    <w:rsid w:val="6C7C0DB6"/>
    <w:rsid w:val="6CA33476"/>
    <w:rsid w:val="6CB5519A"/>
    <w:rsid w:val="6CDC7C7D"/>
    <w:rsid w:val="6CE9242B"/>
    <w:rsid w:val="6CF365A1"/>
    <w:rsid w:val="6D1A237D"/>
    <w:rsid w:val="6D902375"/>
    <w:rsid w:val="6D983849"/>
    <w:rsid w:val="6DB34098"/>
    <w:rsid w:val="6DB545B6"/>
    <w:rsid w:val="6DD662A4"/>
    <w:rsid w:val="6DE02FB4"/>
    <w:rsid w:val="6DE92CD2"/>
    <w:rsid w:val="6DE93E7C"/>
    <w:rsid w:val="6E0A4EAB"/>
    <w:rsid w:val="6E14501E"/>
    <w:rsid w:val="6E31378E"/>
    <w:rsid w:val="6E3B5CEC"/>
    <w:rsid w:val="6E3C496B"/>
    <w:rsid w:val="6E49116B"/>
    <w:rsid w:val="6E514CED"/>
    <w:rsid w:val="6E633A4C"/>
    <w:rsid w:val="6E7D2BC3"/>
    <w:rsid w:val="6E7F2DDF"/>
    <w:rsid w:val="6E8151DA"/>
    <w:rsid w:val="6E825497"/>
    <w:rsid w:val="6EA12D56"/>
    <w:rsid w:val="6EB32A89"/>
    <w:rsid w:val="6EB563D5"/>
    <w:rsid w:val="6EBF4F8A"/>
    <w:rsid w:val="6ED92677"/>
    <w:rsid w:val="6EE41650"/>
    <w:rsid w:val="6F1A20A9"/>
    <w:rsid w:val="6F2067E3"/>
    <w:rsid w:val="6F225983"/>
    <w:rsid w:val="6F3C482C"/>
    <w:rsid w:val="6F6462BB"/>
    <w:rsid w:val="6F680D9D"/>
    <w:rsid w:val="6F924E53"/>
    <w:rsid w:val="6FD11419"/>
    <w:rsid w:val="6FFC5590"/>
    <w:rsid w:val="70027703"/>
    <w:rsid w:val="706D1DD0"/>
    <w:rsid w:val="70856B87"/>
    <w:rsid w:val="708E1553"/>
    <w:rsid w:val="708E1C50"/>
    <w:rsid w:val="70CC10B5"/>
    <w:rsid w:val="70D40583"/>
    <w:rsid w:val="70D527EE"/>
    <w:rsid w:val="70EB7229"/>
    <w:rsid w:val="715B5300"/>
    <w:rsid w:val="71706A0F"/>
    <w:rsid w:val="71D27F8A"/>
    <w:rsid w:val="721D6FC0"/>
    <w:rsid w:val="72553024"/>
    <w:rsid w:val="725B6D60"/>
    <w:rsid w:val="725D3437"/>
    <w:rsid w:val="72706ED5"/>
    <w:rsid w:val="727803C3"/>
    <w:rsid w:val="72E72D01"/>
    <w:rsid w:val="73076EFF"/>
    <w:rsid w:val="73122968"/>
    <w:rsid w:val="731F5D5E"/>
    <w:rsid w:val="73852C46"/>
    <w:rsid w:val="739015EB"/>
    <w:rsid w:val="73B2330F"/>
    <w:rsid w:val="73C21122"/>
    <w:rsid w:val="73C51AD5"/>
    <w:rsid w:val="73CF2DDF"/>
    <w:rsid w:val="73DE4104"/>
    <w:rsid w:val="73E01C2A"/>
    <w:rsid w:val="740F5F1E"/>
    <w:rsid w:val="741E793C"/>
    <w:rsid w:val="745C3920"/>
    <w:rsid w:val="745E3944"/>
    <w:rsid w:val="74A419DE"/>
    <w:rsid w:val="74C0380A"/>
    <w:rsid w:val="74D01DF4"/>
    <w:rsid w:val="74DB0DA6"/>
    <w:rsid w:val="74F83A6A"/>
    <w:rsid w:val="750330C7"/>
    <w:rsid w:val="7518696C"/>
    <w:rsid w:val="75571C5D"/>
    <w:rsid w:val="755F3023"/>
    <w:rsid w:val="75840903"/>
    <w:rsid w:val="75B55338"/>
    <w:rsid w:val="75D71C65"/>
    <w:rsid w:val="75DC28C5"/>
    <w:rsid w:val="76342701"/>
    <w:rsid w:val="7635099D"/>
    <w:rsid w:val="767F6F67"/>
    <w:rsid w:val="76877D3D"/>
    <w:rsid w:val="76A51AE4"/>
    <w:rsid w:val="76AF0600"/>
    <w:rsid w:val="76DD4DE8"/>
    <w:rsid w:val="76E32F41"/>
    <w:rsid w:val="77033593"/>
    <w:rsid w:val="77440722"/>
    <w:rsid w:val="77762421"/>
    <w:rsid w:val="77B56B1F"/>
    <w:rsid w:val="780F09F4"/>
    <w:rsid w:val="7822369D"/>
    <w:rsid w:val="782E5309"/>
    <w:rsid w:val="78600CD7"/>
    <w:rsid w:val="78A90480"/>
    <w:rsid w:val="796E54F5"/>
    <w:rsid w:val="79D55454"/>
    <w:rsid w:val="7A202B9C"/>
    <w:rsid w:val="7A364017"/>
    <w:rsid w:val="7A3C1501"/>
    <w:rsid w:val="7A441C1C"/>
    <w:rsid w:val="7A510293"/>
    <w:rsid w:val="7A7E03EF"/>
    <w:rsid w:val="7A81521C"/>
    <w:rsid w:val="7A8265E1"/>
    <w:rsid w:val="7AAE3428"/>
    <w:rsid w:val="7ACD6C80"/>
    <w:rsid w:val="7AEE4A63"/>
    <w:rsid w:val="7AFE605E"/>
    <w:rsid w:val="7B1623D5"/>
    <w:rsid w:val="7B176461"/>
    <w:rsid w:val="7B1B3E90"/>
    <w:rsid w:val="7B66089D"/>
    <w:rsid w:val="7B686D42"/>
    <w:rsid w:val="7B7C356E"/>
    <w:rsid w:val="7B841746"/>
    <w:rsid w:val="7B851FEE"/>
    <w:rsid w:val="7BB30F09"/>
    <w:rsid w:val="7BC67F43"/>
    <w:rsid w:val="7C0D12C8"/>
    <w:rsid w:val="7C0F7C8C"/>
    <w:rsid w:val="7C68120A"/>
    <w:rsid w:val="7C6C5AC7"/>
    <w:rsid w:val="7C7E34D7"/>
    <w:rsid w:val="7CA061BA"/>
    <w:rsid w:val="7CC6544B"/>
    <w:rsid w:val="7D0239FF"/>
    <w:rsid w:val="7D032E2D"/>
    <w:rsid w:val="7D5E40CD"/>
    <w:rsid w:val="7DCD56F2"/>
    <w:rsid w:val="7DE83F93"/>
    <w:rsid w:val="7E061DB0"/>
    <w:rsid w:val="7E2D302A"/>
    <w:rsid w:val="7E374822"/>
    <w:rsid w:val="7E445DFB"/>
    <w:rsid w:val="7E884E28"/>
    <w:rsid w:val="7E9E6F4B"/>
    <w:rsid w:val="7EDA196C"/>
    <w:rsid w:val="7F001CE7"/>
    <w:rsid w:val="7F087B98"/>
    <w:rsid w:val="7F0C3153"/>
    <w:rsid w:val="7F2A03AF"/>
    <w:rsid w:val="7F341F96"/>
    <w:rsid w:val="7FE0349F"/>
    <w:rsid w:val="7FE47E50"/>
    <w:rsid w:val="7FFC47E3"/>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qFormat="1" w:uiPriority="99"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qFormat="1" w:unhideWhenUsed="0" w:uiPriority="0" w:semiHidden="0" w:name="HTML Code" w:locked="1"/>
    <w:lsdException w:unhideWhenUsed="0" w:uiPriority="0" w:semiHidden="0" w:name="HTML Definition" w:locked="1"/>
    <w:lsdException w:qFormat="1" w:unhideWhenUsed="0" w:uiPriority="0" w:semiHidden="0" w:name="HTML Keyboard" w:locked="1"/>
    <w:lsdException w:unhideWhenUsed="0" w:uiPriority="0" w:semiHidden="0" w:name="HTML Preformatted" w:locked="1"/>
    <w:lsdException w:qFormat="1"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semiHidden="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qFormat="1"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semiHidden="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autoRedefine/>
    <w:qFormat/>
    <w:locked/>
    <w:uiPriority w:val="0"/>
    <w:pPr>
      <w:keepNext/>
      <w:keepLines/>
      <w:spacing w:before="260" w:after="260" w:line="416" w:lineRule="auto"/>
      <w:outlineLvl w:val="1"/>
    </w:pPr>
    <w:rPr>
      <w:rFonts w:ascii="Calibri Light" w:hAnsi="Calibri Light" w:eastAsia="宋体" w:cs="Times New Roman"/>
      <w:b/>
      <w:bCs/>
      <w:sz w:val="32"/>
      <w:szCs w:val="32"/>
    </w:rPr>
  </w:style>
  <w:style w:type="paragraph" w:styleId="4">
    <w:name w:val="heading 3"/>
    <w:basedOn w:val="1"/>
    <w:next w:val="1"/>
    <w:autoRedefine/>
    <w:qFormat/>
    <w:locked/>
    <w:uiPriority w:val="0"/>
    <w:pPr>
      <w:keepNext/>
      <w:keepLines/>
      <w:spacing w:before="260" w:after="260" w:line="416" w:lineRule="auto"/>
      <w:outlineLvl w:val="2"/>
    </w:pPr>
    <w:rPr>
      <w:b/>
      <w:bCs/>
      <w:sz w:val="32"/>
      <w:szCs w:val="32"/>
    </w:rPr>
  </w:style>
  <w:style w:type="paragraph" w:styleId="5">
    <w:name w:val="heading 4"/>
    <w:basedOn w:val="1"/>
    <w:next w:val="1"/>
    <w:autoRedefine/>
    <w:qFormat/>
    <w:locked/>
    <w:uiPriority w:val="0"/>
    <w:pPr>
      <w:spacing w:line="360" w:lineRule="auto"/>
      <w:outlineLvl w:val="3"/>
    </w:pPr>
    <w:rPr>
      <w:rFonts w:ascii="黑体" w:eastAsia="黑体"/>
      <w:sz w:val="24"/>
      <w:szCs w:val="20"/>
    </w:rPr>
  </w:style>
  <w:style w:type="character" w:default="1" w:styleId="34">
    <w:name w:val="Default Paragraph Font"/>
    <w:autoRedefine/>
    <w:semiHidden/>
    <w:qFormat/>
    <w:uiPriority w:val="0"/>
  </w:style>
  <w:style w:type="table" w:default="1" w:styleId="31">
    <w:name w:val="Normal Table"/>
    <w:autoRedefine/>
    <w:semiHidden/>
    <w:qFormat/>
    <w:uiPriority w:val="0"/>
    <w:tblPr>
      <w:tblCellMar>
        <w:top w:w="0" w:type="dxa"/>
        <w:left w:w="108" w:type="dxa"/>
        <w:bottom w:w="0" w:type="dxa"/>
        <w:right w:w="108" w:type="dxa"/>
      </w:tblCellMar>
    </w:tblPr>
  </w:style>
  <w:style w:type="paragraph" w:styleId="6">
    <w:name w:val="table of authorities"/>
    <w:basedOn w:val="1"/>
    <w:next w:val="1"/>
    <w:autoRedefine/>
    <w:qFormat/>
    <w:locked/>
    <w:uiPriority w:val="0"/>
    <w:pPr>
      <w:spacing w:line="360" w:lineRule="auto"/>
      <w:ind w:left="420" w:leftChars="200" w:firstLine="640" w:firstLineChars="200"/>
    </w:pPr>
    <w:rPr>
      <w:sz w:val="24"/>
      <w:szCs w:val="24"/>
    </w:rPr>
  </w:style>
  <w:style w:type="paragraph" w:styleId="7">
    <w:name w:val="Normal Indent"/>
    <w:basedOn w:val="1"/>
    <w:autoRedefine/>
    <w:qFormat/>
    <w:locked/>
    <w:uiPriority w:val="0"/>
    <w:pPr>
      <w:spacing w:line="520" w:lineRule="exact"/>
      <w:ind w:firstLine="624"/>
    </w:pPr>
    <w:rPr>
      <w:sz w:val="28"/>
    </w:rPr>
  </w:style>
  <w:style w:type="paragraph" w:styleId="8">
    <w:name w:val="caption"/>
    <w:basedOn w:val="1"/>
    <w:next w:val="1"/>
    <w:autoRedefine/>
    <w:qFormat/>
    <w:locked/>
    <w:uiPriority w:val="0"/>
    <w:pPr>
      <w:spacing w:before="152" w:after="160"/>
      <w:jc w:val="center"/>
    </w:pPr>
    <w:rPr>
      <w:kern w:val="0"/>
      <w:sz w:val="20"/>
      <w:szCs w:val="21"/>
    </w:rPr>
  </w:style>
  <w:style w:type="paragraph" w:styleId="9">
    <w:name w:val="annotation text"/>
    <w:basedOn w:val="1"/>
    <w:link w:val="51"/>
    <w:autoRedefine/>
    <w:qFormat/>
    <w:uiPriority w:val="0"/>
    <w:pPr>
      <w:jc w:val="left"/>
    </w:pPr>
  </w:style>
  <w:style w:type="paragraph" w:styleId="10">
    <w:name w:val="Body Text"/>
    <w:basedOn w:val="1"/>
    <w:next w:val="11"/>
    <w:autoRedefine/>
    <w:qFormat/>
    <w:uiPriority w:val="1"/>
    <w:rPr>
      <w:rFonts w:ascii="宋体" w:hAnsi="宋体" w:eastAsia="宋体" w:cs="宋体"/>
      <w:sz w:val="24"/>
      <w:szCs w:val="24"/>
      <w:lang w:val="zh-CN" w:eastAsia="zh-CN" w:bidi="zh-CN"/>
    </w:rPr>
  </w:style>
  <w:style w:type="paragraph" w:styleId="11">
    <w:name w:val="List Bullet 5"/>
    <w:basedOn w:val="1"/>
    <w:autoRedefine/>
    <w:qFormat/>
    <w:locked/>
    <w:uiPriority w:val="0"/>
    <w:pPr>
      <w:numPr>
        <w:ilvl w:val="0"/>
        <w:numId w:val="1"/>
      </w:numPr>
    </w:pPr>
  </w:style>
  <w:style w:type="paragraph" w:styleId="12">
    <w:name w:val="Body Text Indent"/>
    <w:basedOn w:val="1"/>
    <w:next w:val="13"/>
    <w:autoRedefine/>
    <w:qFormat/>
    <w:uiPriority w:val="0"/>
    <w:pPr>
      <w:spacing w:after="120"/>
      <w:ind w:left="420" w:leftChars="200"/>
    </w:pPr>
    <w:rPr>
      <w:kern w:val="0"/>
      <w:sz w:val="24"/>
      <w:szCs w:val="20"/>
    </w:rPr>
  </w:style>
  <w:style w:type="paragraph" w:customStyle="1" w:styleId="13">
    <w:name w:val="样式 正文文本缩进 + 行距: 1.5 倍行距"/>
    <w:basedOn w:val="12"/>
    <w:autoRedefine/>
    <w:qFormat/>
    <w:uiPriority w:val="0"/>
    <w:pPr>
      <w:spacing w:after="120"/>
      <w:ind w:left="90" w:leftChars="32" w:firstLine="560" w:firstLineChars="200"/>
    </w:pPr>
    <w:rPr>
      <w:rFonts w:cs="宋体"/>
    </w:rPr>
  </w:style>
  <w:style w:type="paragraph" w:styleId="14">
    <w:name w:val="Plain Text"/>
    <w:basedOn w:val="1"/>
    <w:next w:val="1"/>
    <w:autoRedefine/>
    <w:qFormat/>
    <w:uiPriority w:val="0"/>
    <w:rPr>
      <w:rFonts w:ascii="宋体" w:hAnsi="Courier New" w:cs="Courier New"/>
      <w:szCs w:val="21"/>
    </w:rPr>
  </w:style>
  <w:style w:type="paragraph" w:styleId="15">
    <w:name w:val="Date"/>
    <w:basedOn w:val="1"/>
    <w:next w:val="1"/>
    <w:link w:val="52"/>
    <w:autoRedefine/>
    <w:qFormat/>
    <w:uiPriority w:val="0"/>
    <w:pPr>
      <w:ind w:left="100" w:leftChars="2500"/>
    </w:pPr>
    <w:rPr>
      <w:kern w:val="0"/>
      <w:sz w:val="24"/>
      <w:szCs w:val="20"/>
    </w:rPr>
  </w:style>
  <w:style w:type="paragraph" w:styleId="16">
    <w:name w:val="Body Text Indent 2"/>
    <w:basedOn w:val="1"/>
    <w:next w:val="1"/>
    <w:autoRedefine/>
    <w:qFormat/>
    <w:locked/>
    <w:uiPriority w:val="0"/>
    <w:pPr>
      <w:spacing w:after="120" w:line="480" w:lineRule="auto"/>
      <w:ind w:left="420" w:leftChars="200"/>
    </w:pPr>
  </w:style>
  <w:style w:type="paragraph" w:styleId="17">
    <w:name w:val="Balloon Text"/>
    <w:basedOn w:val="1"/>
    <w:link w:val="53"/>
    <w:autoRedefine/>
    <w:qFormat/>
    <w:uiPriority w:val="0"/>
    <w:rPr>
      <w:sz w:val="18"/>
      <w:szCs w:val="18"/>
    </w:rPr>
  </w:style>
  <w:style w:type="paragraph" w:styleId="18">
    <w:name w:val="footer"/>
    <w:basedOn w:val="1"/>
    <w:link w:val="54"/>
    <w:autoRedefine/>
    <w:qFormat/>
    <w:uiPriority w:val="99"/>
    <w:pPr>
      <w:tabs>
        <w:tab w:val="center" w:pos="4153"/>
        <w:tab w:val="right" w:pos="8306"/>
      </w:tabs>
      <w:snapToGrid w:val="0"/>
      <w:jc w:val="left"/>
    </w:pPr>
    <w:rPr>
      <w:kern w:val="0"/>
      <w:sz w:val="18"/>
      <w:szCs w:val="20"/>
    </w:rPr>
  </w:style>
  <w:style w:type="paragraph" w:styleId="19">
    <w:name w:val="header"/>
    <w:basedOn w:val="1"/>
    <w:link w:val="55"/>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20">
    <w:name w:val="toc 1"/>
    <w:basedOn w:val="1"/>
    <w:next w:val="1"/>
    <w:autoRedefine/>
    <w:qFormat/>
    <w:locked/>
    <w:uiPriority w:val="39"/>
    <w:pPr>
      <w:spacing w:line="360" w:lineRule="auto"/>
    </w:pPr>
    <w:rPr>
      <w:b/>
      <w:sz w:val="24"/>
    </w:rPr>
  </w:style>
  <w:style w:type="paragraph" w:styleId="21">
    <w:name w:val="List"/>
    <w:basedOn w:val="1"/>
    <w:next w:val="10"/>
    <w:autoRedefine/>
    <w:qFormat/>
    <w:locked/>
    <w:uiPriority w:val="0"/>
    <w:pPr>
      <w:ind w:left="200" w:hanging="200" w:hangingChars="200"/>
    </w:pPr>
  </w:style>
  <w:style w:type="paragraph" w:styleId="22">
    <w:name w:val="table of figures"/>
    <w:basedOn w:val="1"/>
    <w:next w:val="1"/>
    <w:autoRedefine/>
    <w:unhideWhenUsed/>
    <w:qFormat/>
    <w:locked/>
    <w:uiPriority w:val="99"/>
    <w:pPr>
      <w:ind w:left="200" w:leftChars="200" w:hanging="200" w:hangingChars="200"/>
    </w:pPr>
  </w:style>
  <w:style w:type="paragraph" w:styleId="23">
    <w:name w:val="toc 2"/>
    <w:basedOn w:val="1"/>
    <w:next w:val="1"/>
    <w:autoRedefine/>
    <w:unhideWhenUsed/>
    <w:qFormat/>
    <w:locked/>
    <w:uiPriority w:val="39"/>
    <w:pPr>
      <w:widowControl/>
      <w:spacing w:after="100" w:afterLines="0" w:line="276" w:lineRule="auto"/>
      <w:ind w:left="220"/>
      <w:jc w:val="left"/>
    </w:pPr>
    <w:rPr>
      <w:rFonts w:ascii="Calibri" w:hAnsi="Calibri" w:eastAsia="宋体" w:cs="Times New Roman"/>
      <w:kern w:val="0"/>
      <w:sz w:val="22"/>
      <w:szCs w:val="22"/>
    </w:rPr>
  </w:style>
  <w:style w:type="paragraph" w:styleId="24">
    <w:name w:val="Body Text 2"/>
    <w:basedOn w:val="1"/>
    <w:autoRedefine/>
    <w:unhideWhenUsed/>
    <w:qFormat/>
    <w:locked/>
    <w:uiPriority w:val="0"/>
    <w:pPr>
      <w:spacing w:after="120" w:line="480" w:lineRule="auto"/>
    </w:pPr>
  </w:style>
  <w:style w:type="paragraph" w:styleId="25">
    <w:name w:val="Message Header"/>
    <w:basedOn w:val="1"/>
    <w:autoRedefine/>
    <w:qFormat/>
    <w:locked/>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26">
    <w:name w:val="Normal (Web)"/>
    <w:basedOn w:val="1"/>
    <w:link w:val="56"/>
    <w:autoRedefine/>
    <w:qFormat/>
    <w:uiPriority w:val="0"/>
    <w:pPr>
      <w:widowControl/>
      <w:spacing w:before="100" w:beforeAutospacing="1" w:after="100" w:afterAutospacing="1"/>
      <w:jc w:val="left"/>
    </w:pPr>
    <w:rPr>
      <w:rFonts w:ascii="宋体" w:hAnsi="宋体"/>
      <w:kern w:val="0"/>
      <w:sz w:val="24"/>
      <w:szCs w:val="20"/>
    </w:rPr>
  </w:style>
  <w:style w:type="paragraph" w:styleId="27">
    <w:name w:val="Title"/>
    <w:basedOn w:val="1"/>
    <w:next w:val="1"/>
    <w:autoRedefine/>
    <w:qFormat/>
    <w:locked/>
    <w:uiPriority w:val="0"/>
    <w:pPr>
      <w:spacing w:before="240" w:after="60"/>
      <w:jc w:val="center"/>
      <w:outlineLvl w:val="0"/>
    </w:pPr>
    <w:rPr>
      <w:rFonts w:ascii="等线 Light" w:hAnsi="等线 Light"/>
      <w:b/>
      <w:bCs/>
      <w:sz w:val="32"/>
      <w:szCs w:val="32"/>
    </w:rPr>
  </w:style>
  <w:style w:type="paragraph" w:styleId="28">
    <w:name w:val="annotation subject"/>
    <w:basedOn w:val="9"/>
    <w:next w:val="9"/>
    <w:link w:val="57"/>
    <w:autoRedefine/>
    <w:qFormat/>
    <w:uiPriority w:val="0"/>
    <w:rPr>
      <w:b/>
      <w:bCs/>
    </w:rPr>
  </w:style>
  <w:style w:type="paragraph" w:styleId="29">
    <w:name w:val="Body Text First Indent"/>
    <w:basedOn w:val="10"/>
    <w:next w:val="1"/>
    <w:autoRedefine/>
    <w:qFormat/>
    <w:locked/>
    <w:uiPriority w:val="0"/>
    <w:pPr>
      <w:ind w:firstLine="420" w:firstLineChars="100"/>
    </w:pPr>
  </w:style>
  <w:style w:type="paragraph" w:styleId="30">
    <w:name w:val="Body Text First Indent 2"/>
    <w:basedOn w:val="12"/>
    <w:next w:val="29"/>
    <w:autoRedefine/>
    <w:qFormat/>
    <w:locked/>
    <w:uiPriority w:val="0"/>
    <w:pPr>
      <w:adjustRightInd/>
      <w:spacing w:after="120" w:line="240" w:lineRule="auto"/>
      <w:ind w:left="420" w:leftChars="200" w:firstLine="420" w:firstLineChars="200"/>
    </w:pPr>
    <w:rPr>
      <w:rFonts w:ascii="Times New Roman" w:hAnsi="Times New Roman" w:eastAsia="宋体" w:cs="Times New Roman"/>
      <w:color w:val="auto"/>
      <w:sz w:val="21"/>
      <w:szCs w:val="21"/>
    </w:rPr>
  </w:style>
  <w:style w:type="table" w:styleId="32">
    <w:name w:val="Table Grid"/>
    <w:basedOn w:val="31"/>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3">
    <w:name w:val="Table Classic 1"/>
    <w:basedOn w:val="31"/>
    <w:autoRedefine/>
    <w:qFormat/>
    <w:locked/>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character" w:styleId="35">
    <w:name w:val="Strong"/>
    <w:autoRedefine/>
    <w:qFormat/>
    <w:locked/>
    <w:uiPriority w:val="0"/>
    <w:rPr>
      <w:b/>
    </w:rPr>
  </w:style>
  <w:style w:type="character" w:styleId="36">
    <w:name w:val="page number"/>
    <w:autoRedefine/>
    <w:qFormat/>
    <w:locked/>
    <w:uiPriority w:val="0"/>
  </w:style>
  <w:style w:type="character" w:styleId="37">
    <w:name w:val="FollowedHyperlink"/>
    <w:autoRedefine/>
    <w:qFormat/>
    <w:locked/>
    <w:uiPriority w:val="0"/>
    <w:rPr>
      <w:color w:val="196500"/>
      <w:u w:val="none"/>
    </w:rPr>
  </w:style>
  <w:style w:type="character" w:styleId="38">
    <w:name w:val="Hyperlink"/>
    <w:autoRedefine/>
    <w:qFormat/>
    <w:locked/>
    <w:uiPriority w:val="0"/>
    <w:rPr>
      <w:color w:val="196500"/>
      <w:u w:val="none"/>
    </w:rPr>
  </w:style>
  <w:style w:type="character" w:styleId="39">
    <w:name w:val="HTML Code"/>
    <w:autoRedefine/>
    <w:qFormat/>
    <w:locked/>
    <w:uiPriority w:val="0"/>
    <w:rPr>
      <w:rFonts w:hint="default" w:ascii="Consolas" w:hAnsi="Consolas" w:eastAsia="Consolas" w:cs="Consolas"/>
      <w:color w:val="C7254E"/>
      <w:sz w:val="21"/>
      <w:szCs w:val="21"/>
      <w:shd w:val="clear" w:color="auto" w:fill="F8F8F8"/>
    </w:rPr>
  </w:style>
  <w:style w:type="character" w:styleId="40">
    <w:name w:val="annotation reference"/>
    <w:autoRedefine/>
    <w:semiHidden/>
    <w:qFormat/>
    <w:uiPriority w:val="0"/>
    <w:rPr>
      <w:sz w:val="21"/>
    </w:rPr>
  </w:style>
  <w:style w:type="character" w:styleId="41">
    <w:name w:val="HTML Keyboard"/>
    <w:autoRedefine/>
    <w:qFormat/>
    <w:locked/>
    <w:uiPriority w:val="0"/>
    <w:rPr>
      <w:rFonts w:hint="default" w:ascii="Consolas" w:hAnsi="Consolas" w:eastAsia="Consolas" w:cs="Consolas"/>
      <w:sz w:val="21"/>
      <w:szCs w:val="21"/>
    </w:rPr>
  </w:style>
  <w:style w:type="character" w:styleId="42">
    <w:name w:val="HTML Sample"/>
    <w:autoRedefine/>
    <w:qFormat/>
    <w:locked/>
    <w:uiPriority w:val="0"/>
    <w:rPr>
      <w:rFonts w:hint="default" w:ascii="Consolas" w:hAnsi="Consolas" w:eastAsia="Consolas" w:cs="Consolas"/>
      <w:sz w:val="21"/>
      <w:szCs w:val="21"/>
    </w:rPr>
  </w:style>
  <w:style w:type="paragraph" w:customStyle="1" w:styleId="43">
    <w:name w:val="Normal (Web)1"/>
    <w:basedOn w:val="1"/>
    <w:next w:val="44"/>
    <w:autoRedefine/>
    <w:qFormat/>
    <w:uiPriority w:val="0"/>
    <w:pPr>
      <w:widowControl/>
      <w:jc w:val="left"/>
    </w:pPr>
    <w:rPr>
      <w:rFonts w:ascii="宋体" w:hAnsi="Times New Roman" w:eastAsia="宋体" w:cs="Times New Roman"/>
      <w:kern w:val="0"/>
      <w:sz w:val="24"/>
      <w:szCs w:val="21"/>
    </w:rPr>
  </w:style>
  <w:style w:type="paragraph" w:customStyle="1" w:styleId="44">
    <w:name w:val="Date1"/>
    <w:basedOn w:val="1"/>
    <w:next w:val="1"/>
    <w:autoRedefine/>
    <w:qFormat/>
    <w:uiPriority w:val="0"/>
    <w:pPr>
      <w:ind w:left="2500" w:leftChars="2500"/>
    </w:pPr>
    <w:rPr>
      <w:rFonts w:ascii="Times New Roman" w:hAnsi="Times New Roman" w:eastAsia="宋体" w:cs="Times New Roman"/>
    </w:rPr>
  </w:style>
  <w:style w:type="paragraph" w:customStyle="1" w:styleId="45">
    <w:name w:val="样式 正文11 + 首行缩进:  2 字符"/>
    <w:basedOn w:val="46"/>
    <w:next w:val="47"/>
    <w:autoRedefine/>
    <w:qFormat/>
    <w:uiPriority w:val="0"/>
    <w:pPr>
      <w:spacing w:line="500" w:lineRule="exact"/>
      <w:ind w:firstLine="560" w:firstLineChars="200"/>
    </w:pPr>
    <w:rPr>
      <w:rFonts w:ascii="宋体" w:hAnsi="宋体" w:cs="宋体"/>
      <w:color w:val="FF0000"/>
      <w:sz w:val="28"/>
      <w:szCs w:val="20"/>
    </w:rPr>
  </w:style>
  <w:style w:type="paragraph" w:customStyle="1" w:styleId="46">
    <w:name w:val="O.K.1"/>
    <w:basedOn w:val="3"/>
    <w:autoRedefine/>
    <w:qFormat/>
    <w:uiPriority w:val="0"/>
    <w:pPr>
      <w:ind w:firstLine="482"/>
    </w:pPr>
  </w:style>
  <w:style w:type="paragraph" w:customStyle="1" w:styleId="47">
    <w:name w:val="样式 博士论文标题2 + 段前: 0.2 行 段后: 0.2 行"/>
    <w:basedOn w:val="1"/>
    <w:autoRedefine/>
    <w:qFormat/>
    <w:uiPriority w:val="0"/>
    <w:pPr>
      <w:widowControl/>
      <w:spacing w:before="20" w:beforeLines="20" w:after="20" w:afterLines="20"/>
      <w:jc w:val="left"/>
    </w:pPr>
    <w:rPr>
      <w:rFonts w:ascii="宋体" w:hAnsi="宋体" w:eastAsia="黑体" w:cs="宋体"/>
      <w:kern w:val="0"/>
      <w:sz w:val="28"/>
      <w:szCs w:val="28"/>
    </w:rPr>
  </w:style>
  <w:style w:type="paragraph" w:customStyle="1" w:styleId="48">
    <w:name w:val="Default"/>
    <w:basedOn w:val="49"/>
    <w:next w:val="1"/>
    <w:autoRedefine/>
    <w:qFormat/>
    <w:uiPriority w:val="0"/>
    <w:pPr>
      <w:widowControl w:val="0"/>
      <w:autoSpaceDE w:val="0"/>
      <w:autoSpaceDN w:val="0"/>
      <w:adjustRightInd w:val="0"/>
    </w:pPr>
    <w:rPr>
      <w:rFonts w:ascii="宋体" w:hAnsi="宋体" w:cs="宋体"/>
      <w:color w:val="000000"/>
      <w:sz w:val="24"/>
      <w:szCs w:val="24"/>
      <w:lang w:val="en-US" w:eastAsia="zh-CN" w:bidi="ar-SA"/>
    </w:rPr>
  </w:style>
  <w:style w:type="paragraph" w:customStyle="1" w:styleId="49">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50">
    <w:name w:val="样式 正文首行缩进 + 首行缩进:  2 字符1"/>
    <w:basedOn w:val="1"/>
    <w:next w:val="20"/>
    <w:autoRedefine/>
    <w:qFormat/>
    <w:uiPriority w:val="0"/>
    <w:pPr>
      <w:spacing w:line="360" w:lineRule="auto"/>
      <w:ind w:firstLine="480" w:firstLineChars="200"/>
    </w:pPr>
    <w:rPr>
      <w:sz w:val="24"/>
    </w:rPr>
  </w:style>
  <w:style w:type="character" w:customStyle="1" w:styleId="51">
    <w:name w:val="批注文字 字符"/>
    <w:link w:val="9"/>
    <w:autoRedefine/>
    <w:qFormat/>
    <w:uiPriority w:val="0"/>
    <w:rPr>
      <w:rFonts w:ascii="Times New Roman" w:hAnsi="Times New Roman" w:eastAsia="宋体"/>
      <w:kern w:val="2"/>
      <w:sz w:val="21"/>
      <w:szCs w:val="24"/>
    </w:rPr>
  </w:style>
  <w:style w:type="character" w:customStyle="1" w:styleId="52">
    <w:name w:val="日期 字符1"/>
    <w:link w:val="15"/>
    <w:autoRedefine/>
    <w:qFormat/>
    <w:locked/>
    <w:uiPriority w:val="0"/>
    <w:rPr>
      <w:rFonts w:ascii="Times New Roman" w:hAnsi="Times New Roman" w:eastAsia="宋体"/>
      <w:sz w:val="24"/>
    </w:rPr>
  </w:style>
  <w:style w:type="character" w:customStyle="1" w:styleId="53">
    <w:name w:val="批注框文本 字符"/>
    <w:link w:val="17"/>
    <w:autoRedefine/>
    <w:qFormat/>
    <w:uiPriority w:val="0"/>
    <w:rPr>
      <w:rFonts w:ascii="Times New Roman" w:hAnsi="Times New Roman" w:eastAsia="宋体"/>
      <w:kern w:val="2"/>
      <w:sz w:val="18"/>
      <w:szCs w:val="18"/>
    </w:rPr>
  </w:style>
  <w:style w:type="character" w:customStyle="1" w:styleId="54">
    <w:name w:val="页脚 字符1"/>
    <w:link w:val="18"/>
    <w:autoRedefine/>
    <w:qFormat/>
    <w:locked/>
    <w:uiPriority w:val="99"/>
    <w:rPr>
      <w:sz w:val="18"/>
    </w:rPr>
  </w:style>
  <w:style w:type="character" w:customStyle="1" w:styleId="55">
    <w:name w:val="页眉 字符"/>
    <w:link w:val="19"/>
    <w:autoRedefine/>
    <w:qFormat/>
    <w:locked/>
    <w:uiPriority w:val="0"/>
    <w:rPr>
      <w:sz w:val="18"/>
    </w:rPr>
  </w:style>
  <w:style w:type="character" w:customStyle="1" w:styleId="56">
    <w:name w:val="普通(网站) 字符"/>
    <w:link w:val="26"/>
    <w:autoRedefine/>
    <w:qFormat/>
    <w:locked/>
    <w:uiPriority w:val="0"/>
    <w:rPr>
      <w:rFonts w:ascii="宋体" w:hAnsi="宋体" w:eastAsia="宋体"/>
      <w:sz w:val="24"/>
    </w:rPr>
  </w:style>
  <w:style w:type="character" w:customStyle="1" w:styleId="57">
    <w:name w:val="批注主题 字符"/>
    <w:link w:val="28"/>
    <w:autoRedefine/>
    <w:qFormat/>
    <w:uiPriority w:val="0"/>
    <w:rPr>
      <w:rFonts w:ascii="Times New Roman" w:hAnsi="Times New Roman" w:eastAsia="宋体"/>
      <w:b/>
      <w:bCs/>
      <w:kern w:val="2"/>
      <w:sz w:val="21"/>
      <w:szCs w:val="24"/>
    </w:rPr>
  </w:style>
  <w:style w:type="character" w:customStyle="1" w:styleId="58">
    <w:name w:val="am-datepicker-old"/>
    <w:autoRedefine/>
    <w:qFormat/>
    <w:uiPriority w:val="0"/>
    <w:rPr>
      <w:color w:val="89D7FF"/>
    </w:rPr>
  </w:style>
  <w:style w:type="character" w:customStyle="1" w:styleId="59">
    <w:name w:val="hover45"/>
    <w:autoRedefine/>
    <w:qFormat/>
    <w:uiPriority w:val="0"/>
    <w:rPr>
      <w:shd w:val="clear" w:color="auto" w:fill="F0F0F0"/>
    </w:rPr>
  </w:style>
  <w:style w:type="character" w:customStyle="1" w:styleId="60">
    <w:name w:val="日期 字符"/>
    <w:autoRedefine/>
    <w:semiHidden/>
    <w:qFormat/>
    <w:uiPriority w:val="0"/>
    <w:rPr>
      <w:rFonts w:ascii="Times New Roman" w:hAnsi="Times New Roman" w:eastAsia="宋体"/>
      <w:sz w:val="24"/>
    </w:rPr>
  </w:style>
  <w:style w:type="character" w:customStyle="1" w:styleId="61">
    <w:name w:val="am-active17"/>
    <w:autoRedefine/>
    <w:qFormat/>
    <w:uiPriority w:val="0"/>
    <w:rPr>
      <w:color w:val="0084C7"/>
      <w:shd w:val="clear" w:color="auto" w:fill="F0F0F0"/>
    </w:rPr>
  </w:style>
  <w:style w:type="character" w:customStyle="1" w:styleId="62">
    <w:name w:val="font21"/>
    <w:autoRedefine/>
    <w:qFormat/>
    <w:uiPriority w:val="0"/>
    <w:rPr>
      <w:rFonts w:hint="default" w:ascii="Times New Roman" w:hAnsi="Times New Roman" w:cs="Times New Roman"/>
      <w:color w:val="000000"/>
      <w:sz w:val="21"/>
      <w:szCs w:val="21"/>
      <w:u w:val="none"/>
    </w:rPr>
  </w:style>
  <w:style w:type="character" w:customStyle="1" w:styleId="63">
    <w:name w:val="am-active1"/>
    <w:autoRedefine/>
    <w:qFormat/>
    <w:uiPriority w:val="0"/>
    <w:rPr>
      <w:color w:val="C10802"/>
    </w:rPr>
  </w:style>
  <w:style w:type="character" w:customStyle="1" w:styleId="64">
    <w:name w:val="font11"/>
    <w:autoRedefine/>
    <w:qFormat/>
    <w:uiPriority w:val="0"/>
    <w:rPr>
      <w:rFonts w:hint="default" w:ascii="Times New Roman" w:hAnsi="Times New Roman" w:cs="Times New Roman"/>
      <w:color w:val="000000"/>
      <w:sz w:val="21"/>
      <w:szCs w:val="21"/>
      <w:u w:val="none"/>
      <w:vertAlign w:val="superscript"/>
    </w:rPr>
  </w:style>
  <w:style w:type="character" w:customStyle="1" w:styleId="65">
    <w:name w:val="am-datepicker-old1"/>
    <w:autoRedefine/>
    <w:qFormat/>
    <w:uiPriority w:val="0"/>
    <w:rPr>
      <w:color w:val="F59490"/>
    </w:rPr>
  </w:style>
  <w:style w:type="character" w:customStyle="1" w:styleId="66">
    <w:name w:val="am-active18"/>
    <w:autoRedefine/>
    <w:qFormat/>
    <w:uiPriority w:val="0"/>
    <w:rPr>
      <w:color w:val="1B961B"/>
    </w:rPr>
  </w:style>
  <w:style w:type="character" w:customStyle="1" w:styleId="67">
    <w:name w:val="页脚 字符"/>
    <w:autoRedefine/>
    <w:qFormat/>
    <w:uiPriority w:val="99"/>
  </w:style>
  <w:style w:type="character" w:customStyle="1" w:styleId="68">
    <w:name w:val="font01"/>
    <w:autoRedefine/>
    <w:qFormat/>
    <w:uiPriority w:val="0"/>
    <w:rPr>
      <w:rFonts w:hint="eastAsia" w:ascii="宋体" w:hAnsi="宋体" w:eastAsia="宋体" w:cs="宋体"/>
      <w:color w:val="000000"/>
      <w:sz w:val="21"/>
      <w:szCs w:val="21"/>
      <w:u w:val="none"/>
    </w:rPr>
  </w:style>
  <w:style w:type="character" w:customStyle="1" w:styleId="69">
    <w:name w:val="正文文本 字符1"/>
    <w:autoRedefine/>
    <w:semiHidden/>
    <w:qFormat/>
    <w:uiPriority w:val="0"/>
    <w:rPr>
      <w:rFonts w:ascii="Times New Roman" w:hAnsi="Times New Roman" w:eastAsia="宋体"/>
      <w:sz w:val="24"/>
    </w:rPr>
  </w:style>
  <w:style w:type="character" w:customStyle="1" w:styleId="70">
    <w:name w:val="am-active19"/>
    <w:autoRedefine/>
    <w:qFormat/>
    <w:uiPriority w:val="0"/>
    <w:rPr>
      <w:color w:val="C10802"/>
    </w:rPr>
  </w:style>
  <w:style w:type="character" w:customStyle="1" w:styleId="71">
    <w:name w:val="am-datepicker-old3"/>
    <w:autoRedefine/>
    <w:qFormat/>
    <w:uiPriority w:val="0"/>
    <w:rPr>
      <w:color w:val="FFAD6D"/>
    </w:rPr>
  </w:style>
  <w:style w:type="character" w:customStyle="1" w:styleId="72">
    <w:name w:val="表格 Char"/>
    <w:link w:val="73"/>
    <w:autoRedefine/>
    <w:qFormat/>
    <w:locked/>
    <w:uiPriority w:val="0"/>
    <w:rPr>
      <w:rFonts w:ascii="宋体"/>
      <w:sz w:val="21"/>
    </w:rPr>
  </w:style>
  <w:style w:type="paragraph" w:customStyle="1" w:styleId="73">
    <w:name w:val="表格"/>
    <w:basedOn w:val="1"/>
    <w:next w:val="1"/>
    <w:link w:val="72"/>
    <w:autoRedefine/>
    <w:qFormat/>
    <w:uiPriority w:val="0"/>
    <w:pPr>
      <w:adjustRightInd w:val="0"/>
      <w:snapToGrid w:val="0"/>
      <w:spacing w:beforeLines="10" w:afterLines="10" w:line="259" w:lineRule="auto"/>
      <w:jc w:val="center"/>
    </w:pPr>
    <w:rPr>
      <w:rFonts w:ascii="宋体"/>
      <w:kern w:val="0"/>
      <w:szCs w:val="20"/>
    </w:rPr>
  </w:style>
  <w:style w:type="character" w:customStyle="1" w:styleId="74">
    <w:name w:val="am-active3"/>
    <w:autoRedefine/>
    <w:qFormat/>
    <w:uiPriority w:val="0"/>
    <w:rPr>
      <w:color w:val="AA4B00"/>
    </w:rPr>
  </w:style>
  <w:style w:type="character" w:customStyle="1" w:styleId="75">
    <w:name w:val="am-active2"/>
    <w:autoRedefine/>
    <w:qFormat/>
    <w:uiPriority w:val="0"/>
    <w:rPr>
      <w:color w:val="1B961B"/>
    </w:rPr>
  </w:style>
  <w:style w:type="character" w:customStyle="1" w:styleId="76">
    <w:name w:val="am-active20"/>
    <w:autoRedefine/>
    <w:qFormat/>
    <w:uiPriority w:val="0"/>
    <w:rPr>
      <w:color w:val="AA4B00"/>
    </w:rPr>
  </w:style>
  <w:style w:type="character" w:customStyle="1" w:styleId="77">
    <w:name w:val="am-disabled16"/>
    <w:autoRedefine/>
    <w:qFormat/>
    <w:uiPriority w:val="0"/>
    <w:rPr>
      <w:color w:val="999999"/>
      <w:shd w:val="clear" w:color="auto" w:fill="FAFAFA"/>
    </w:rPr>
  </w:style>
  <w:style w:type="character" w:customStyle="1" w:styleId="78">
    <w:name w:val="am-datepicker-hour"/>
    <w:autoRedefine/>
    <w:qFormat/>
    <w:uiPriority w:val="0"/>
  </w:style>
  <w:style w:type="character" w:customStyle="1" w:styleId="79">
    <w:name w:val="am-active"/>
    <w:autoRedefine/>
    <w:qFormat/>
    <w:uiPriority w:val="0"/>
    <w:rPr>
      <w:color w:val="0084C7"/>
      <w:shd w:val="clear" w:color="auto" w:fill="F0F0F0"/>
    </w:rPr>
  </w:style>
  <w:style w:type="character" w:customStyle="1" w:styleId="80">
    <w:name w:val="am-disabled"/>
    <w:autoRedefine/>
    <w:qFormat/>
    <w:uiPriority w:val="0"/>
    <w:rPr>
      <w:color w:val="999999"/>
      <w:shd w:val="clear" w:color="auto" w:fill="FAFAFA"/>
    </w:rPr>
  </w:style>
  <w:style w:type="character" w:customStyle="1" w:styleId="81">
    <w:name w:val="am-datepicker-old2"/>
    <w:autoRedefine/>
    <w:qFormat/>
    <w:uiPriority w:val="0"/>
    <w:rPr>
      <w:color w:val="94DF94"/>
    </w:rPr>
  </w:style>
  <w:style w:type="paragraph" w:customStyle="1" w:styleId="82">
    <w:name w:val="帆表头"/>
    <w:basedOn w:val="1"/>
    <w:autoRedefine/>
    <w:qFormat/>
    <w:uiPriority w:val="0"/>
    <w:pPr>
      <w:widowControl/>
      <w:spacing w:line="360" w:lineRule="auto"/>
      <w:jc w:val="center"/>
    </w:pPr>
    <w:rPr>
      <w:rFonts w:ascii="黑体" w:hAnsi="黑体" w:eastAsia="黑体"/>
      <w:bCs/>
      <w:kern w:val="2"/>
      <w:sz w:val="21"/>
      <w:szCs w:val="21"/>
    </w:rPr>
  </w:style>
  <w:style w:type="paragraph" w:customStyle="1" w:styleId="83">
    <w:name w:val="1黑体头"/>
    <w:basedOn w:val="1"/>
    <w:autoRedefine/>
    <w:qFormat/>
    <w:uiPriority w:val="0"/>
    <w:pPr>
      <w:spacing w:line="360" w:lineRule="auto"/>
      <w:ind w:firstLine="479" w:firstLineChars="199"/>
      <w:jc w:val="left"/>
      <w:textAlignment w:val="center"/>
    </w:pPr>
    <w:rPr>
      <w:rFonts w:ascii="Verdana" w:hAnsi="Verdana"/>
      <w:b/>
      <w:sz w:val="24"/>
      <w:lang w:eastAsia="en-US"/>
    </w:rPr>
  </w:style>
  <w:style w:type="paragraph" w:customStyle="1" w:styleId="84">
    <w:name w:val="11111"/>
    <w:next w:val="1"/>
    <w:autoRedefine/>
    <w:qFormat/>
    <w:uiPriority w:val="0"/>
    <w:pPr>
      <w:widowControl w:val="0"/>
      <w:spacing w:line="360" w:lineRule="auto"/>
      <w:ind w:firstLine="200" w:firstLineChars="200"/>
      <w:jc w:val="both"/>
    </w:pPr>
    <w:rPr>
      <w:rFonts w:ascii="Times New Roman" w:hAnsi="宋体" w:eastAsia="宋体" w:cs="宋体"/>
      <w:kern w:val="2"/>
      <w:sz w:val="21"/>
      <w:szCs w:val="24"/>
      <w:lang w:val="en-US" w:eastAsia="zh-CN" w:bidi="ar-SA"/>
    </w:rPr>
  </w:style>
  <w:style w:type="paragraph" w:customStyle="1" w:styleId="85">
    <w:name w:val="填表样式"/>
    <w:basedOn w:val="1"/>
    <w:autoRedefine/>
    <w:qFormat/>
    <w:uiPriority w:val="0"/>
    <w:pPr>
      <w:adjustRightInd w:val="0"/>
      <w:snapToGrid w:val="0"/>
      <w:spacing w:line="360" w:lineRule="auto"/>
      <w:ind w:firstLine="720" w:firstLineChars="200"/>
    </w:pPr>
    <w:rPr>
      <w:rFonts w:ascii="Times New Roman" w:hAnsi="Times New Roman"/>
    </w:rPr>
  </w:style>
  <w:style w:type="paragraph" w:customStyle="1" w:styleId="86">
    <w:name w:val="Table Paragraph"/>
    <w:basedOn w:val="1"/>
    <w:autoRedefine/>
    <w:qFormat/>
    <w:uiPriority w:val="1"/>
    <w:rPr>
      <w:rFonts w:ascii="宋体" w:hAnsi="宋体" w:eastAsia="宋体" w:cs="宋体"/>
      <w:lang w:val="zh-CN" w:eastAsia="zh-CN" w:bidi="zh-CN"/>
    </w:rPr>
  </w:style>
  <w:style w:type="paragraph" w:customStyle="1" w:styleId="87">
    <w:name w:val="表中文字（工大）"/>
    <w:basedOn w:val="1"/>
    <w:autoRedefine/>
    <w:qFormat/>
    <w:uiPriority w:val="0"/>
    <w:pPr>
      <w:spacing w:line="440" w:lineRule="exact"/>
      <w:jc w:val="center"/>
    </w:pPr>
    <w:rPr>
      <w:szCs w:val="20"/>
    </w:rPr>
  </w:style>
  <w:style w:type="paragraph" w:styleId="88">
    <w:name w:val="List Paragraph"/>
    <w:basedOn w:val="1"/>
    <w:autoRedefine/>
    <w:qFormat/>
    <w:uiPriority w:val="99"/>
    <w:pPr>
      <w:spacing w:line="240" w:lineRule="auto"/>
      <w:ind w:firstLine="420" w:firstLineChars="200"/>
    </w:pPr>
    <w:rPr>
      <w:rFonts w:ascii="Calibri" w:hAnsi="Calibri"/>
      <w:sz w:val="21"/>
      <w:szCs w:val="22"/>
    </w:rPr>
  </w:style>
  <w:style w:type="paragraph" w:customStyle="1" w:styleId="89">
    <w:name w:val="登记标式"/>
    <w:basedOn w:val="1"/>
    <w:autoRedefine/>
    <w:qFormat/>
    <w:uiPriority w:val="0"/>
    <w:rPr>
      <w:sz w:val="28"/>
      <w:szCs w:val="24"/>
    </w:rPr>
  </w:style>
  <w:style w:type="paragraph" w:customStyle="1" w:styleId="90">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1">
    <w:name w:val="表格填充项"/>
    <w:basedOn w:val="1"/>
    <w:autoRedefine/>
    <w:qFormat/>
    <w:uiPriority w:val="0"/>
    <w:pPr>
      <w:spacing w:line="240" w:lineRule="atLeast"/>
      <w:jc w:val="center"/>
    </w:pPr>
    <w:rPr>
      <w:rFonts w:ascii="宋体" w:hAnsi="宋体"/>
      <w:b/>
      <w:szCs w:val="24"/>
    </w:rPr>
  </w:style>
  <w:style w:type="paragraph" w:customStyle="1" w:styleId="92">
    <w:name w:val="内容"/>
    <w:basedOn w:val="1"/>
    <w:autoRedefine/>
    <w:qFormat/>
    <w:uiPriority w:val="0"/>
    <w:pPr>
      <w:widowControl w:val="0"/>
      <w:spacing w:beforeLines="50" w:afterLines="50"/>
      <w:ind w:firstLine="200" w:firstLineChars="200"/>
      <w:jc w:val="both"/>
    </w:pPr>
    <w:rPr>
      <w:rFonts w:ascii="Times New Roman" w:hAnsi="Times New Roman" w:cs="Times New Roman"/>
      <w:color w:val="000000"/>
      <w:szCs w:val="20"/>
    </w:rPr>
  </w:style>
  <w:style w:type="paragraph" w:customStyle="1" w:styleId="93">
    <w:name w:val="报告书正文"/>
    <w:basedOn w:val="1"/>
    <w:autoRedefine/>
    <w:qFormat/>
    <w:uiPriority w:val="0"/>
    <w:pPr>
      <w:adjustRightInd w:val="0"/>
      <w:snapToGrid w:val="0"/>
      <w:ind w:firstLine="425"/>
      <w:textAlignment w:val="baseline"/>
    </w:pPr>
    <w:rPr>
      <w:rFonts w:ascii="Arial" w:hAnsi="Arial"/>
      <w:kern w:val="0"/>
    </w:rPr>
  </w:style>
  <w:style w:type="paragraph" w:customStyle="1" w:styleId="94">
    <w:name w:val="表文"/>
    <w:basedOn w:val="1"/>
    <w:autoRedefine/>
    <w:qFormat/>
    <w:uiPriority w:val="0"/>
    <w:pPr>
      <w:spacing w:line="240" w:lineRule="auto"/>
      <w:ind w:firstLine="0" w:firstLineChars="0"/>
      <w:jc w:val="center"/>
    </w:pPr>
    <w:rPr>
      <w:rFonts w:ascii="宋体"/>
      <w:sz w:val="21"/>
      <w:szCs w:val="24"/>
    </w:rPr>
  </w:style>
  <w:style w:type="paragraph" w:customStyle="1" w:styleId="95">
    <w:name w:val="图注"/>
    <w:basedOn w:val="1"/>
    <w:autoRedefine/>
    <w:qFormat/>
    <w:uiPriority w:val="0"/>
    <w:pPr>
      <w:jc w:val="center"/>
    </w:pPr>
    <w:rPr>
      <w:rFonts w:eastAsia="黑体"/>
    </w:rPr>
  </w:style>
  <w:style w:type="paragraph" w:customStyle="1" w:styleId="96">
    <w:name w:val="正文缩进1"/>
    <w:basedOn w:val="1"/>
    <w:autoRedefine/>
    <w:qFormat/>
    <w:uiPriority w:val="0"/>
    <w:pPr>
      <w:spacing w:line="520" w:lineRule="exact"/>
      <w:ind w:firstLine="624"/>
    </w:pPr>
    <w:rPr>
      <w:sz w:val="28"/>
    </w:rPr>
  </w:style>
  <w:style w:type="paragraph" w:customStyle="1" w:styleId="97">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98">
    <w:name w:val="正文自创"/>
    <w:basedOn w:val="1"/>
    <w:autoRedefine/>
    <w:qFormat/>
    <w:uiPriority w:val="0"/>
    <w:pPr>
      <w:spacing w:line="360" w:lineRule="auto"/>
      <w:ind w:firstLine="200" w:firstLineChars="200"/>
    </w:pPr>
  </w:style>
  <w:style w:type="paragraph" w:customStyle="1" w:styleId="99">
    <w:name w:val="正文11"/>
    <w:autoRedefine/>
    <w:qFormat/>
    <w:uiPriority w:val="0"/>
    <w:pPr>
      <w:widowControl w:val="0"/>
      <w:tabs>
        <w:tab w:val="left" w:pos="567"/>
      </w:tabs>
      <w:adjustRightInd w:val="0"/>
      <w:spacing w:line="360" w:lineRule="atLeast"/>
      <w:ind w:left="567" w:hanging="567"/>
      <w:textAlignment w:val="baseline"/>
    </w:pPr>
    <w:rPr>
      <w:rFonts w:ascii="宋体" w:hAnsi="Times New Roman" w:eastAsia="宋体" w:cs="Times New Roman"/>
      <w:sz w:val="24"/>
      <w:lang w:val="en-US" w:eastAsia="zh-CN" w:bidi="ar-SA"/>
    </w:rPr>
  </w:style>
  <w:style w:type="paragraph" w:customStyle="1" w:styleId="100">
    <w:name w:val="【表头】"/>
    <w:basedOn w:val="1"/>
    <w:autoRedefine/>
    <w:qFormat/>
    <w:uiPriority w:val="0"/>
    <w:pPr>
      <w:jc w:val="center"/>
    </w:pPr>
    <w:rPr>
      <w:rFonts w:eastAsia="黑体"/>
      <w:kern w:val="0"/>
      <w:sz w:val="24"/>
      <w:szCs w:val="20"/>
    </w:rPr>
  </w:style>
  <w:style w:type="paragraph" w:customStyle="1" w:styleId="101">
    <w:name w:val="【表中文字】"/>
    <w:basedOn w:val="102"/>
    <w:autoRedefine/>
    <w:qFormat/>
    <w:uiPriority w:val="0"/>
    <w:pPr>
      <w:adjustRightInd w:val="0"/>
      <w:snapToGrid w:val="0"/>
      <w:jc w:val="center"/>
    </w:pPr>
    <w:rPr>
      <w:szCs w:val="20"/>
    </w:rPr>
  </w:style>
  <w:style w:type="paragraph" w:customStyle="1" w:styleId="102">
    <w:name w:val=".表1-1-1内容"/>
    <w:basedOn w:val="1"/>
    <w:autoRedefine/>
    <w:qFormat/>
    <w:uiPriority w:val="0"/>
    <w:pPr>
      <w:spacing w:line="300" w:lineRule="exact"/>
      <w:jc w:val="center"/>
    </w:pPr>
    <w:rPr>
      <w:kern w:val="0"/>
      <w:szCs w:val="21"/>
    </w:rPr>
  </w:style>
  <w:style w:type="character" w:customStyle="1" w:styleId="103">
    <w:name w:val="【正文】 Char1"/>
    <w:autoRedefine/>
    <w:qFormat/>
    <w:locked/>
    <w:uiPriority w:val="0"/>
    <w:rPr>
      <w:rFonts w:ascii="Times New Roman" w:hAnsi="Times New Roman" w:eastAsia="宋体" w:cs="Times New Roman"/>
      <w:sz w:val="24"/>
      <w:szCs w:val="24"/>
    </w:rPr>
  </w:style>
  <w:style w:type="paragraph" w:customStyle="1" w:styleId="104">
    <w:name w:val="表头"/>
    <w:basedOn w:val="27"/>
    <w:next w:val="21"/>
    <w:autoRedefine/>
    <w:qFormat/>
    <w:uiPriority w:val="0"/>
    <w:pPr>
      <w:spacing w:line="360" w:lineRule="auto"/>
      <w:jc w:val="center"/>
    </w:pPr>
    <w:rPr>
      <w:rFonts w:ascii="Calibri" w:hAnsi="Calibri" w:eastAsia="黑体" w:cs="Times New Roman"/>
      <w:sz w:val="24"/>
      <w:szCs w:val="24"/>
    </w:rPr>
  </w:style>
  <w:style w:type="paragraph" w:customStyle="1" w:styleId="105">
    <w:name w:val="报告书表格"/>
    <w:basedOn w:val="1"/>
    <w:autoRedefine/>
    <w:qFormat/>
    <w:uiPriority w:val="0"/>
    <w:pPr>
      <w:adjustRightInd w:val="0"/>
      <w:spacing w:before="60" w:after="60" w:line="240" w:lineRule="atLeast"/>
      <w:jc w:val="center"/>
    </w:pPr>
    <w:rPr>
      <w:kern w:val="0"/>
      <w:szCs w:val="20"/>
    </w:rPr>
  </w:style>
  <w:style w:type="paragraph" w:customStyle="1" w:styleId="106">
    <w:name w:val="Char Char Char Char Char Char Char1"/>
    <w:basedOn w:val="1"/>
    <w:autoRedefine/>
    <w:qFormat/>
    <w:uiPriority w:val="0"/>
    <w:pPr>
      <w:spacing w:line="360" w:lineRule="auto"/>
      <w:ind w:firstLine="200" w:firstLineChars="200"/>
    </w:pPr>
    <w:rPr>
      <w:rFonts w:ascii="宋体" w:hAnsi="宋体" w:cs="宋体"/>
      <w:sz w:val="24"/>
      <w:szCs w:val="24"/>
    </w:rPr>
  </w:style>
  <w:style w:type="paragraph" w:customStyle="1" w:styleId="107">
    <w:name w:val="表内文"/>
    <w:basedOn w:val="1"/>
    <w:autoRedefine/>
    <w:qFormat/>
    <w:uiPriority w:val="0"/>
    <w:pPr>
      <w:adjustRightInd w:val="0"/>
      <w:snapToGrid w:val="0"/>
      <w:jc w:val="center"/>
    </w:pPr>
    <w:rPr>
      <w:rFonts w:ascii="Calibri" w:hAnsi="Calibri" w:eastAsia="Calibri"/>
    </w:rPr>
  </w:style>
  <w:style w:type="paragraph" w:customStyle="1" w:styleId="108">
    <w:name w:val="表格内容"/>
    <w:basedOn w:val="109"/>
    <w:next w:val="1"/>
    <w:autoRedefine/>
    <w:qFormat/>
    <w:uiPriority w:val="0"/>
    <w:pPr>
      <w:spacing w:line="240" w:lineRule="exact"/>
    </w:pPr>
    <w:rPr>
      <w:snapToGrid w:val="0"/>
      <w:color w:val="FF0000"/>
      <w:kern w:val="0"/>
      <w:sz w:val="21"/>
      <w:szCs w:val="21"/>
    </w:rPr>
  </w:style>
  <w:style w:type="paragraph" w:customStyle="1" w:styleId="109">
    <w:name w:val="封皮-证书编号"/>
    <w:basedOn w:val="1"/>
    <w:autoRedefine/>
    <w:qFormat/>
    <w:uiPriority w:val="0"/>
    <w:pPr>
      <w:jc w:val="center"/>
    </w:pPr>
    <w:rPr>
      <w:rFonts w:eastAsia="黑体"/>
      <w:sz w:val="28"/>
    </w:rPr>
  </w:style>
  <w:style w:type="paragraph" w:customStyle="1" w:styleId="110">
    <w:name w:val="a正文"/>
    <w:basedOn w:val="111"/>
    <w:autoRedefine/>
    <w:qFormat/>
    <w:uiPriority w:val="0"/>
    <w:pPr>
      <w:spacing w:line="520" w:lineRule="exact"/>
      <w:ind w:firstLine="200"/>
    </w:pPr>
    <w:rPr>
      <w:sz w:val="24"/>
    </w:rPr>
  </w:style>
  <w:style w:type="paragraph" w:customStyle="1" w:styleId="111">
    <w:name w:val="正文格式"/>
    <w:basedOn w:val="1"/>
    <w:next w:val="1"/>
    <w:autoRedefine/>
    <w:qFormat/>
    <w:uiPriority w:val="0"/>
    <w:pPr>
      <w:spacing w:line="360" w:lineRule="auto"/>
      <w:ind w:firstLine="482"/>
    </w:pPr>
    <w:rPr>
      <w:sz w:val="24"/>
      <w:szCs w:val="24"/>
    </w:rPr>
  </w:style>
  <w:style w:type="paragraph" w:customStyle="1" w:styleId="112">
    <w:name w:val="表体"/>
    <w:basedOn w:val="1"/>
    <w:autoRedefine/>
    <w:qFormat/>
    <w:uiPriority w:val="0"/>
    <w:pPr>
      <w:spacing w:line="240" w:lineRule="auto"/>
    </w:pPr>
    <w:rPr>
      <w:sz w:val="21"/>
      <w:szCs w:val="21"/>
    </w:rPr>
  </w:style>
  <w:style w:type="paragraph" w:customStyle="1" w:styleId="113">
    <w:name w:val="样式5"/>
    <w:basedOn w:val="1"/>
    <w:autoRedefine/>
    <w:qFormat/>
    <w:uiPriority w:val="0"/>
    <w:pPr>
      <w:spacing w:before="0" w:after="0" w:line="380" w:lineRule="exact"/>
      <w:ind w:firstLine="566" w:firstLineChars="202"/>
    </w:pPr>
    <w:rPr>
      <w:rFonts w:eastAsia="华文行楷"/>
    </w:rPr>
  </w:style>
  <w:style w:type="paragraph" w:customStyle="1" w:styleId="114">
    <w:name w:val="表格题目"/>
    <w:basedOn w:val="1"/>
    <w:autoRedefine/>
    <w:qFormat/>
    <w:uiPriority w:val="0"/>
    <w:pPr>
      <w:spacing w:line="240" w:lineRule="atLeast"/>
      <w:jc w:val="center"/>
    </w:pPr>
    <w:rPr>
      <w:rFonts w:ascii="黑体" w:hAnsi="宋体" w:eastAsia="黑体"/>
      <w:sz w:val="24"/>
    </w:rPr>
  </w:style>
  <w:style w:type="paragraph" w:customStyle="1" w:styleId="115">
    <w:name w:val="【正文】"/>
    <w:basedOn w:val="1"/>
    <w:autoRedefine/>
    <w:qFormat/>
    <w:uiPriority w:val="0"/>
    <w:pPr>
      <w:ind w:firstLine="480"/>
    </w:pPr>
    <w:rPr>
      <w:sz w:val="24"/>
    </w:rPr>
  </w:style>
  <w:style w:type="paragraph" w:customStyle="1" w:styleId="116">
    <w:name w:val="Char Char Char Char Char Char Char2"/>
    <w:basedOn w:val="1"/>
    <w:autoRedefine/>
    <w:qFormat/>
    <w:uiPriority w:val="0"/>
    <w:pPr>
      <w:snapToGrid w:val="0"/>
      <w:spacing w:line="360" w:lineRule="auto"/>
      <w:ind w:firstLine="529" w:firstLineChars="200"/>
    </w:pPr>
  </w:style>
  <w:style w:type="paragraph" w:customStyle="1" w:styleId="117">
    <w:name w:val="正文1"/>
    <w:basedOn w:val="1"/>
    <w:autoRedefine/>
    <w:qFormat/>
    <w:uiPriority w:val="0"/>
    <w:pPr>
      <w:adjustRightInd w:val="0"/>
      <w:spacing w:line="410" w:lineRule="atLeast"/>
      <w:textAlignment w:val="baseline"/>
    </w:pPr>
    <w:rPr>
      <w:rFonts w:ascii="宋体" w:hAnsi="Calibri"/>
      <w:kern w:val="0"/>
      <w:sz w:val="24"/>
      <w:szCs w:val="22"/>
    </w:rPr>
  </w:style>
  <w:style w:type="paragraph" w:customStyle="1" w:styleId="118">
    <w:name w:val="C首行缩进正文"/>
    <w:basedOn w:val="115"/>
    <w:autoRedefine/>
    <w:qFormat/>
    <w:uiPriority w:val="0"/>
    <w:pPr>
      <w:spacing w:line="360" w:lineRule="auto"/>
      <w:ind w:firstLine="200" w:firstLineChars="200"/>
    </w:pPr>
    <w:rPr>
      <w:rFonts w:cs="宋体"/>
      <w:color w:val="000000" w:themeColor="text1"/>
      <w:sz w:val="21"/>
      <w14:textFill>
        <w14:solidFill>
          <w14:schemeClr w14:val="tx1"/>
        </w14:solidFill>
      </w14:textFill>
    </w:rPr>
  </w:style>
  <w:style w:type="paragraph" w:customStyle="1" w:styleId="119">
    <w:name w:val="缩进2"/>
    <w:basedOn w:val="1"/>
    <w:autoRedefine/>
    <w:qFormat/>
    <w:uiPriority w:val="0"/>
    <w:pPr>
      <w:spacing w:line="360" w:lineRule="auto"/>
      <w:ind w:firstLine="476" w:firstLineChars="200"/>
    </w:pPr>
    <w:rPr>
      <w:rFonts w:eastAsia="新宋体"/>
      <w:sz w:val="24"/>
      <w:szCs w:val="24"/>
    </w:rPr>
  </w:style>
  <w:style w:type="paragraph" w:customStyle="1" w:styleId="120">
    <w:name w:val="表中文字"/>
    <w:basedOn w:val="1"/>
    <w:autoRedefine/>
    <w:qFormat/>
    <w:uiPriority w:val="0"/>
    <w:pPr>
      <w:jc w:val="center"/>
    </w:pPr>
  </w:style>
  <w:style w:type="paragraph" w:customStyle="1" w:styleId="121">
    <w:name w:val="【表中文字】-"/>
    <w:basedOn w:val="1"/>
    <w:autoRedefine/>
    <w:qFormat/>
    <w:uiPriority w:val="0"/>
    <w:pPr>
      <w:widowControl/>
      <w:jc w:val="center"/>
    </w:pPr>
    <w:rPr>
      <w:kern w:val="0"/>
      <w:sz w:val="20"/>
      <w:szCs w:val="20"/>
    </w:rPr>
  </w:style>
  <w:style w:type="paragraph" w:customStyle="1" w:styleId="122">
    <w:name w:val="表中字"/>
    <w:autoRedefine/>
    <w:qFormat/>
    <w:uiPriority w:val="0"/>
    <w:pPr>
      <w:jc w:val="center"/>
    </w:pPr>
    <w:rPr>
      <w:rFonts w:ascii="Times New Roman" w:hAnsi="Times New Roman" w:eastAsia="宋体" w:cs="Times New Roman"/>
      <w:kern w:val="2"/>
      <w:sz w:val="21"/>
      <w:szCs w:val="22"/>
      <w:lang w:val="zh-CN" w:eastAsia="zh-CN" w:bidi="ar-SA"/>
    </w:rPr>
  </w:style>
  <w:style w:type="paragraph" w:customStyle="1" w:styleId="123">
    <w:name w:val="表中的文字"/>
    <w:basedOn w:val="27"/>
    <w:autoRedefine/>
    <w:qFormat/>
    <w:uiPriority w:val="0"/>
    <w:pPr>
      <w:spacing w:before="0" w:after="0"/>
      <w:outlineLvl w:val="9"/>
    </w:pPr>
    <w:rPr>
      <w:rFonts w:ascii="Times New Roman" w:hAnsi="Times New Roman"/>
      <w:b w:val="0"/>
      <w:sz w:val="21"/>
      <w:szCs w:val="21"/>
    </w:rPr>
  </w:style>
  <w:style w:type="paragraph" w:customStyle="1" w:styleId="124">
    <w:name w:val="表格正文"/>
    <w:basedOn w:val="1"/>
    <w:autoRedefine/>
    <w:qFormat/>
    <w:uiPriority w:val="0"/>
    <w:pPr>
      <w:spacing w:line="320" w:lineRule="exact"/>
      <w:jc w:val="center"/>
    </w:pPr>
    <w:rPr>
      <w:rFonts w:cs="宋体"/>
    </w:rPr>
  </w:style>
  <w:style w:type="paragraph" w:customStyle="1" w:styleId="125">
    <w:name w:val="表格内文字"/>
    <w:basedOn w:val="1"/>
    <w:next w:val="1"/>
    <w:autoRedefine/>
    <w:qFormat/>
    <w:uiPriority w:val="0"/>
    <w:pPr>
      <w:widowControl/>
      <w:tabs>
        <w:tab w:val="left" w:pos="3345"/>
      </w:tabs>
      <w:adjustRightInd w:val="0"/>
      <w:snapToGrid w:val="0"/>
      <w:jc w:val="center"/>
    </w:pPr>
    <w:rPr>
      <w:iCs/>
      <w:kern w:val="0"/>
      <w:szCs w:val="18"/>
    </w:rPr>
  </w:style>
  <w:style w:type="paragraph" w:customStyle="1" w:styleId="126">
    <w:name w:val="①JM正文 加粗"/>
    <w:basedOn w:val="1"/>
    <w:next w:val="1"/>
    <w:autoRedefine/>
    <w:qFormat/>
    <w:uiPriority w:val="0"/>
    <w:rPr>
      <w:b/>
      <w:kern w:val="0"/>
      <w:sz w:val="24"/>
      <w:szCs w:val="20"/>
    </w:rPr>
  </w:style>
  <w:style w:type="paragraph" w:customStyle="1" w:styleId="127">
    <w:name w:val="①JM表格小标题"/>
    <w:basedOn w:val="1"/>
    <w:next w:val="1"/>
    <w:autoRedefine/>
    <w:qFormat/>
    <w:uiPriority w:val="0"/>
    <w:pPr>
      <w:jc w:val="center"/>
    </w:pPr>
    <w:rPr>
      <w:b/>
      <w:kern w:val="0"/>
      <w:szCs w:val="18"/>
    </w:rPr>
  </w:style>
  <w:style w:type="paragraph" w:customStyle="1" w:styleId="128">
    <w:name w:val="①JM表格 居中"/>
    <w:basedOn w:val="1"/>
    <w:next w:val="1"/>
    <w:autoRedefine/>
    <w:qFormat/>
    <w:uiPriority w:val="0"/>
    <w:pPr>
      <w:wordWrap w:val="0"/>
      <w:jc w:val="center"/>
    </w:pPr>
  </w:style>
  <w:style w:type="paragraph" w:customStyle="1" w:styleId="129">
    <w:name w:val="WPSOffice手动目录 1"/>
    <w:autoRedefine/>
    <w:qFormat/>
    <w:uiPriority w:val="0"/>
    <w:pPr>
      <w:ind w:leftChars="0"/>
    </w:pPr>
    <w:rPr>
      <w:rFonts w:ascii="Times New Roman" w:hAnsi="Times New Roman" w:eastAsia="宋体" w:cs="Times New Roman"/>
      <w:sz w:val="20"/>
      <w:szCs w:val="20"/>
    </w:rPr>
  </w:style>
  <w:style w:type="paragraph" w:customStyle="1" w:styleId="130">
    <w:name w:val="p0"/>
    <w:basedOn w:val="1"/>
    <w:qFormat/>
    <w:uiPriority w:val="0"/>
    <w:pPr>
      <w:widowControl/>
      <w:ind w:firstLine="0"/>
    </w:pPr>
    <w:rPr>
      <w:kern w:val="0"/>
      <w:sz w:val="21"/>
      <w:szCs w:val="21"/>
    </w:rPr>
  </w:style>
  <w:style w:type="paragraph" w:customStyle="1" w:styleId="131">
    <w:name w:val="L首行缩进正文"/>
    <w:basedOn w:val="115"/>
    <w:qFormat/>
    <w:uiPriority w:val="0"/>
    <w:pPr>
      <w:ind w:firstLine="480"/>
    </w:pPr>
  </w:style>
  <w:style w:type="paragraph" w:customStyle="1" w:styleId="132">
    <w:name w:val="UserStyle_0"/>
    <w:basedOn w:val="133"/>
    <w:next w:val="134"/>
    <w:qFormat/>
    <w:uiPriority w:val="0"/>
    <w:pPr>
      <w:spacing w:line="360" w:lineRule="auto"/>
      <w:ind w:firstLine="480" w:firstLineChars="200"/>
      <w:jc w:val="both"/>
      <w:textAlignment w:val="baseline"/>
    </w:pPr>
    <w:rPr>
      <w:rFonts w:ascii="Calibri" w:hAnsi="Calibri" w:eastAsia="宋体"/>
      <w:kern w:val="2"/>
      <w:sz w:val="24"/>
      <w:szCs w:val="22"/>
      <w:lang w:val="en-US" w:eastAsia="zh-CN" w:bidi="ar-SA"/>
    </w:rPr>
  </w:style>
  <w:style w:type="paragraph" w:customStyle="1" w:styleId="133">
    <w:name w:val="UserStyle_1"/>
    <w:basedOn w:val="1"/>
    <w:next w:val="1"/>
    <w:qFormat/>
    <w:uiPriority w:val="0"/>
    <w:pPr>
      <w:spacing w:after="120"/>
      <w:jc w:val="both"/>
      <w:textAlignment w:val="baseline"/>
    </w:pPr>
  </w:style>
  <w:style w:type="paragraph" w:customStyle="1" w:styleId="134">
    <w:name w:val="TOC1"/>
    <w:basedOn w:val="1"/>
    <w:next w:val="1"/>
    <w:qFormat/>
    <w:uiPriority w:val="0"/>
    <w:pPr>
      <w:spacing w:line="360" w:lineRule="auto"/>
      <w:jc w:val="both"/>
      <w:textAlignment w:val="baseline"/>
    </w:pPr>
    <w:rPr>
      <w:rFonts w:ascii="Calibri" w:hAnsi="Calibri" w:eastAsia="宋体"/>
      <w:b/>
      <w:kern w:val="2"/>
      <w:sz w:val="24"/>
      <w:szCs w:val="22"/>
      <w:lang w:val="en-US" w:eastAsia="zh-CN" w:bidi="ar-SA"/>
    </w:rPr>
  </w:style>
  <w:style w:type="paragraph" w:customStyle="1" w:styleId="135">
    <w:name w:val="正文小"/>
    <w:basedOn w:val="1"/>
    <w:autoRedefine/>
    <w:qFormat/>
    <w:uiPriority w:val="0"/>
    <w:pPr>
      <w:keepNext w:val="0"/>
      <w:keepLines w:val="0"/>
      <w:spacing w:line="560" w:lineRule="exact"/>
      <w:ind w:left="0" w:firstLine="1440" w:firstLineChars="200"/>
      <w:outlineLvl w:val="9"/>
    </w:pPr>
    <w:rPr>
      <w:rFonts w:hint="eastAsia" w:ascii="Times New Roman" w:hAnsi="Times New Roman" w:eastAsia="仿宋_GB2312"/>
      <w:sz w:val="28"/>
      <w:szCs w:val="32"/>
    </w:rPr>
  </w:style>
  <w:style w:type="paragraph" w:customStyle="1" w:styleId="136">
    <w:name w:val="我的正文"/>
    <w:basedOn w:val="1"/>
    <w:qFormat/>
    <w:uiPriority w:val="0"/>
    <w:pPr>
      <w:adjustRightInd w:val="0"/>
      <w:snapToGrid w:val="0"/>
      <w:spacing w:line="480" w:lineRule="exact"/>
      <w:ind w:firstLine="720" w:firstLineChars="200"/>
      <w:jc w:val="left"/>
    </w:pPr>
    <w:rPr>
      <w:rFonts w:ascii="Times New Roman" w:hAnsi="Times New Roman" w:eastAsia="宋体" w:cs="宋体"/>
      <w:bCs/>
      <w:szCs w:val="21"/>
    </w:rPr>
  </w:style>
  <w:style w:type="paragraph" w:customStyle="1" w:styleId="137">
    <w:name w:val="cucd-0"/>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paragraph" w:customStyle="1" w:styleId="138">
    <w:name w:val="正文00"/>
    <w:basedOn w:val="1"/>
    <w:qFormat/>
    <w:uiPriority w:val="0"/>
    <w:pPr>
      <w:spacing w:line="440" w:lineRule="exact"/>
      <w:ind w:firstLine="560" w:firstLineChars="200"/>
    </w:pPr>
    <w:rPr>
      <w:rFonts w:ascii="Calibri" w:hAnsi="Calibri" w:eastAsia="华文中宋"/>
      <w:kern w:val="0"/>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8" Type="http://schemas.openxmlformats.org/officeDocument/2006/relationships/fontTable" Target="fontTable.xml"/><Relationship Id="rId77" Type="http://schemas.microsoft.com/office/2006/relationships/keyMapCustomizations" Target="customizations.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65.pn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footer" Target="footer5.xml"/><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pn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4.xml"/><Relationship Id="rId59" Type="http://schemas.openxmlformats.org/officeDocument/2006/relationships/image" Target="media/image50.pn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3.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jpe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wmf"/><Relationship Id="rId11" Type="http://schemas.openxmlformats.org/officeDocument/2006/relationships/oleObject" Target="embeddings/oleObject1.bin"/><Relationship Id="rId10" Type="http://schemas.openxmlformats.org/officeDocument/2006/relationships/image" Target="media/image2.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kxMjI3OTMyMzg2IiwKCSJHcm91cElkIiA6ICI3MDcwNjc0NTYiLAoJIkltYWdlIiA6ICJpVkJPUncwS0dnb0FBQUFOU1VoRVVnQUFBKzBBQUFFbUNBWUFBQUFYOTNGTkFBQUFBWE5TUjBJQXJzNGM2UUFBSUFCSlJFRlVlSnpzM1hsOEUrWFdCL0RmbVVtNlVWcW9nRnV2VmkyTHhUYnpUTVFkQkJlOGJyaStvTmNYOXdVWFZOQXJ1T0VLZWxWUXVZcWlvcUMrdUlPSUNpS2lYc1NyUURKcGdZcUNXaFZSMmR0U3VpVnozajh5cVVtYXJoUmI5SHcvSHo1TlpzdVQwa25tekhPZTh3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IaEUrSDl0eTY2L0ZPVllHQUFBQUFCSlJVNUVya0pnZ2c9PSIsCgkiVGhlbWUiIDogIiIsCgkiVHlwZSIgOiAiZmxvdyIsCgkiVXNlcklkIiA6ICI0NjI0Mzg0OTUiLAoJIlZlcnNpb24iIDogIjExOCIKfQo="/>
    </extobj>
    <extobj name="ECB019B1-382A-4266-B25C-5B523AA43C14-2">
      <extobjdata type="ECB019B1-382A-4266-B25C-5B523AA43C14" data="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96</Pages>
  <Words>11688</Words>
  <Characters>12719</Characters>
  <Lines>165</Lines>
  <Paragraphs>46</Paragraphs>
  <TotalTime>196</TotalTime>
  <ScaleCrop>false</ScaleCrop>
  <LinksUpToDate>false</LinksUpToDate>
  <CharactersWithSpaces>12832</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2021-03-04T07:36:00Z</dcterms:created>
  <dc:creator>lhj</dc:creator>
  <cp:lastModifiedBy>‎</cp:lastModifiedBy>
  <cp:lastPrinted>2025-05-19T03:17:00Z</cp:lastPrinted>
  <dcterms:modified xsi:type="dcterms:W3CDTF">2025-11-05T08:53:05Z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53F09F732427498EB5C2449D7766B6BA_13</vt:lpwstr>
  </property>
  <property fmtid="{D5CDD505-2E9C-101B-9397-08002B2CF9AE}" pid="4" name="KSOTemplateDocerSaveRecord">
    <vt:lpwstr>eyJoZGlkIjoiOTE4NDY2MTM0Y2EyODBhZWQyMGMyOTg1MGUyMmFlZTQiLCJ1c2VySWQiOiI0NjI0Mzg0OTUifQ==</vt:lpwstr>
  </property>
</Properties>
</file>