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A2EBEE">
      <w:pPr>
        <w:rPr>
          <w:sz w:val="36"/>
          <w:szCs w:val="36"/>
        </w:rPr>
      </w:pPr>
    </w:p>
    <w:p w14:paraId="5A4055C4">
      <w:pPr>
        <w:rPr>
          <w:sz w:val="36"/>
          <w:szCs w:val="36"/>
        </w:rPr>
      </w:pPr>
    </w:p>
    <w:p w14:paraId="1312DCD2">
      <w:pPr>
        <w:rPr>
          <w:sz w:val="36"/>
          <w:szCs w:val="36"/>
        </w:rPr>
      </w:pPr>
    </w:p>
    <w:p w14:paraId="2DA2FC38">
      <w:pPr>
        <w:rPr>
          <w:sz w:val="36"/>
          <w:szCs w:val="36"/>
        </w:rPr>
      </w:pPr>
    </w:p>
    <w:p w14:paraId="3682F230">
      <w:pPr>
        <w:rPr>
          <w:sz w:val="36"/>
          <w:szCs w:val="36"/>
        </w:rPr>
      </w:pPr>
    </w:p>
    <w:p w14:paraId="424AE1CF">
      <w:pPr>
        <w:adjustRightInd w:val="0"/>
        <w:snapToGrid w:val="0"/>
        <w:jc w:val="center"/>
        <w:rPr>
          <w:bCs/>
          <w:sz w:val="72"/>
          <w:szCs w:val="72"/>
        </w:rPr>
      </w:pPr>
      <w:bookmarkStart w:id="0" w:name="_Toc31172"/>
      <w:r>
        <w:rPr>
          <w:bCs/>
          <w:sz w:val="72"/>
          <w:szCs w:val="72"/>
        </w:rPr>
        <w:t>建设项目环境影响报告表</w:t>
      </w:r>
      <w:bookmarkEnd w:id="0"/>
    </w:p>
    <w:p w14:paraId="05F3ABD9">
      <w:pPr>
        <w:adjustRightInd w:val="0"/>
        <w:snapToGrid w:val="0"/>
        <w:spacing w:before="192" w:beforeLines="80"/>
        <w:jc w:val="center"/>
        <w:rPr>
          <w:bCs/>
          <w:sz w:val="48"/>
          <w:szCs w:val="48"/>
        </w:rPr>
      </w:pPr>
      <w:r>
        <w:rPr>
          <w:bCs/>
          <w:sz w:val="48"/>
          <w:szCs w:val="48"/>
        </w:rPr>
        <w:t>（污染影响类）</w:t>
      </w:r>
    </w:p>
    <w:p w14:paraId="472F1E09">
      <w:pPr>
        <w:adjustRightInd w:val="0"/>
        <w:snapToGrid w:val="0"/>
        <w:spacing w:line="288" w:lineRule="auto"/>
        <w:jc w:val="center"/>
        <w:rPr>
          <w:kern w:val="44"/>
          <w:sz w:val="44"/>
          <w:szCs w:val="44"/>
        </w:rPr>
      </w:pPr>
    </w:p>
    <w:p w14:paraId="56A9FFB4">
      <w:pPr>
        <w:tabs>
          <w:tab w:val="left" w:pos="5997"/>
        </w:tabs>
        <w:jc w:val="left"/>
        <w:rPr>
          <w:sz w:val="52"/>
          <w:szCs w:val="52"/>
        </w:rPr>
      </w:pPr>
      <w:r>
        <w:rPr>
          <w:sz w:val="52"/>
          <w:szCs w:val="52"/>
        </w:rPr>
        <w:tab/>
      </w:r>
    </w:p>
    <w:p w14:paraId="1B7E9E10">
      <w:pPr>
        <w:ind w:firstLine="1040"/>
        <w:rPr>
          <w:sz w:val="44"/>
          <w:szCs w:val="44"/>
        </w:rPr>
      </w:pPr>
    </w:p>
    <w:p w14:paraId="626456AA">
      <w:pPr>
        <w:ind w:firstLine="1040"/>
        <w:rPr>
          <w:sz w:val="44"/>
          <w:szCs w:val="44"/>
        </w:rPr>
      </w:pPr>
    </w:p>
    <w:p w14:paraId="6497E1BD">
      <w:pPr>
        <w:ind w:firstLine="1040"/>
        <w:rPr>
          <w:sz w:val="44"/>
          <w:szCs w:val="44"/>
        </w:rPr>
      </w:pPr>
    </w:p>
    <w:p w14:paraId="73C561C6">
      <w:pPr>
        <w:ind w:firstLine="1040"/>
        <w:rPr>
          <w:sz w:val="44"/>
          <w:szCs w:val="44"/>
        </w:rPr>
      </w:pPr>
    </w:p>
    <w:p w14:paraId="16FC20AE">
      <w:pPr>
        <w:adjustRightInd w:val="0"/>
        <w:snapToGrid w:val="0"/>
        <w:spacing w:line="288" w:lineRule="auto"/>
        <w:ind w:left="1918" w:leftChars="304" w:hanging="1280" w:hangingChars="400"/>
        <w:rPr>
          <w:sz w:val="32"/>
          <w:szCs w:val="32"/>
          <w:u w:val="single"/>
        </w:rPr>
      </w:pPr>
      <w:r>
        <w:rPr>
          <w:sz w:val="32"/>
          <w:szCs w:val="32"/>
        </w:rPr>
        <w:t>项目名称：</w:t>
      </w:r>
      <w:r>
        <w:rPr>
          <w:rFonts w:hint="eastAsia"/>
          <w:sz w:val="32"/>
          <w:szCs w:val="32"/>
          <w:u w:val="single"/>
        </w:rPr>
        <w:t xml:space="preserve">双鸭山市润丰粮食有限公司改建项目       </w:t>
      </w:r>
    </w:p>
    <w:p w14:paraId="05720D50">
      <w:pPr>
        <w:adjustRightInd w:val="0"/>
        <w:snapToGrid w:val="0"/>
        <w:spacing w:line="288" w:lineRule="auto"/>
        <w:ind w:firstLine="640" w:firstLineChars="200"/>
        <w:rPr>
          <w:rFonts w:hint="default" w:eastAsia="宋体"/>
          <w:sz w:val="32"/>
          <w:szCs w:val="32"/>
          <w:u w:val="single"/>
          <w:lang w:val="en-US" w:eastAsia="zh-CN"/>
        </w:rPr>
      </w:pPr>
      <w:r>
        <w:rPr>
          <w:sz w:val="32"/>
          <w:szCs w:val="32"/>
        </w:rPr>
        <w:t>建设单位（盖章）：</w:t>
      </w:r>
      <w:r>
        <w:rPr>
          <w:rFonts w:hint="eastAsia"/>
          <w:sz w:val="32"/>
          <w:szCs w:val="32"/>
          <w:u w:val="single"/>
        </w:rPr>
        <w:t xml:space="preserve">双鸭山市润丰粮食有限公司 </w:t>
      </w:r>
      <w:r>
        <w:rPr>
          <w:rFonts w:hint="eastAsia"/>
          <w:sz w:val="32"/>
          <w:szCs w:val="32"/>
          <w:u w:val="single"/>
          <w:lang w:val="en-US" w:eastAsia="zh-CN"/>
        </w:rPr>
        <w:t xml:space="preserve">      </w:t>
      </w:r>
    </w:p>
    <w:p w14:paraId="5FF5B782">
      <w:pPr>
        <w:adjustRightInd w:val="0"/>
        <w:snapToGrid w:val="0"/>
        <w:spacing w:line="288" w:lineRule="auto"/>
        <w:ind w:firstLine="640" w:firstLineChars="200"/>
        <w:rPr>
          <w:sz w:val="32"/>
          <w:szCs w:val="32"/>
          <w:u w:val="single"/>
        </w:rPr>
      </w:pPr>
      <w:r>
        <w:rPr>
          <w:sz w:val="32"/>
          <w:szCs w:val="32"/>
        </w:rPr>
        <w:t>编制日期：</w:t>
      </w:r>
      <w:r>
        <w:rPr>
          <w:sz w:val="32"/>
          <w:szCs w:val="32"/>
          <w:u w:val="single"/>
        </w:rPr>
        <w:t>2025年</w:t>
      </w:r>
      <w:r>
        <w:rPr>
          <w:rFonts w:hint="eastAsia"/>
          <w:sz w:val="32"/>
          <w:szCs w:val="32"/>
          <w:u w:val="single"/>
        </w:rPr>
        <w:t>10</w:t>
      </w:r>
      <w:r>
        <w:rPr>
          <w:sz w:val="32"/>
          <w:szCs w:val="32"/>
          <w:u w:val="single"/>
        </w:rPr>
        <w:t xml:space="preserve">月  </w:t>
      </w:r>
      <w:r>
        <w:rPr>
          <w:rFonts w:hint="eastAsia"/>
          <w:sz w:val="32"/>
          <w:szCs w:val="32"/>
          <w:u w:val="single"/>
        </w:rPr>
        <w:t xml:space="preserve">    </w:t>
      </w:r>
      <w:r>
        <w:rPr>
          <w:sz w:val="32"/>
          <w:szCs w:val="32"/>
          <w:u w:val="single"/>
        </w:rPr>
        <w:t xml:space="preserve">         </w:t>
      </w:r>
      <w:r>
        <w:rPr>
          <w:rFonts w:hint="eastAsia"/>
          <w:sz w:val="32"/>
          <w:szCs w:val="32"/>
          <w:u w:val="single"/>
        </w:rPr>
        <w:t xml:space="preserve"> </w:t>
      </w:r>
      <w:r>
        <w:rPr>
          <w:sz w:val="32"/>
          <w:szCs w:val="32"/>
          <w:u w:val="single"/>
        </w:rPr>
        <w:t xml:space="preserve">       </w:t>
      </w:r>
      <w:r>
        <w:rPr>
          <w:rFonts w:hint="eastAsia"/>
          <w:sz w:val="32"/>
          <w:szCs w:val="32"/>
          <w:u w:val="single"/>
        </w:rPr>
        <w:t xml:space="preserve">    </w:t>
      </w:r>
      <w:r>
        <w:rPr>
          <w:sz w:val="32"/>
          <w:szCs w:val="32"/>
          <w:u w:val="single"/>
        </w:rPr>
        <w:t xml:space="preserve"> </w:t>
      </w:r>
    </w:p>
    <w:p w14:paraId="7C28DF91">
      <w:pPr>
        <w:adjustRightInd w:val="0"/>
        <w:snapToGrid w:val="0"/>
        <w:spacing w:line="288" w:lineRule="auto"/>
        <w:ind w:firstLine="1040"/>
        <w:rPr>
          <w:sz w:val="36"/>
          <w:szCs w:val="36"/>
          <w:u w:val="single"/>
        </w:rPr>
      </w:pPr>
      <w:bookmarkStart w:id="1" w:name="_Hlk57884087"/>
    </w:p>
    <w:p w14:paraId="4875A26F">
      <w:pPr>
        <w:adjustRightInd w:val="0"/>
        <w:snapToGrid w:val="0"/>
        <w:spacing w:line="288" w:lineRule="auto"/>
        <w:ind w:firstLine="1040"/>
        <w:rPr>
          <w:sz w:val="36"/>
          <w:szCs w:val="36"/>
        </w:rPr>
      </w:pPr>
    </w:p>
    <w:p w14:paraId="1D4056AA">
      <w:pPr>
        <w:adjustRightInd w:val="0"/>
        <w:snapToGrid w:val="0"/>
        <w:spacing w:line="288" w:lineRule="auto"/>
        <w:ind w:firstLine="1040"/>
        <w:rPr>
          <w:sz w:val="36"/>
          <w:szCs w:val="36"/>
        </w:rPr>
      </w:pPr>
    </w:p>
    <w:p w14:paraId="1F59FCAB">
      <w:pPr>
        <w:adjustRightInd w:val="0"/>
        <w:snapToGrid w:val="0"/>
        <w:spacing w:line="288" w:lineRule="auto"/>
        <w:ind w:firstLine="1040"/>
        <w:rPr>
          <w:sz w:val="36"/>
          <w:szCs w:val="36"/>
        </w:rPr>
      </w:pPr>
    </w:p>
    <w:bookmarkEnd w:id="1"/>
    <w:p w14:paraId="5F3689FC">
      <w:pPr>
        <w:adjustRightInd w:val="0"/>
        <w:snapToGrid w:val="0"/>
        <w:spacing w:line="288" w:lineRule="auto"/>
        <w:jc w:val="center"/>
        <w:rPr>
          <w:sz w:val="36"/>
          <w:szCs w:val="36"/>
        </w:rPr>
      </w:pPr>
      <w:bookmarkStart w:id="2" w:name="_Toc4772"/>
      <w:r>
        <w:rPr>
          <w:sz w:val="36"/>
          <w:szCs w:val="36"/>
        </w:rPr>
        <w:t>中华人民共和国生态环境部制</w:t>
      </w:r>
      <w:bookmarkEnd w:id="2"/>
    </w:p>
    <w:p w14:paraId="3E37C634">
      <w:pPr>
        <w:spacing w:line="360" w:lineRule="auto"/>
        <w:jc w:val="left"/>
        <w:sectPr>
          <w:footerReference r:id="rId3" w:type="default"/>
          <w:footerReference r:id="rId4" w:type="even"/>
          <w:pgSz w:w="11906" w:h="16838"/>
          <w:pgMar w:top="1701" w:right="1531" w:bottom="1701" w:left="1531" w:header="851" w:footer="1077" w:gutter="0"/>
          <w:pgNumType w:start="3"/>
          <w:cols w:space="720" w:num="1"/>
          <w:docGrid w:linePitch="312" w:charSpace="0"/>
        </w:sectPr>
      </w:pPr>
    </w:p>
    <w:p w14:paraId="07159A03">
      <w:pPr>
        <w:pageBreakBefore/>
        <w:jc w:val="center"/>
        <w:rPr>
          <w:sz w:val="32"/>
          <w:szCs w:val="40"/>
        </w:rPr>
        <w:sectPr>
          <w:footerReference r:id="rId5" w:type="default"/>
          <w:pgSz w:w="11906" w:h="16838"/>
          <w:pgMar w:top="1701" w:right="1531" w:bottom="1701" w:left="1531" w:header="851" w:footer="1077" w:gutter="0"/>
          <w:pgNumType w:start="1"/>
          <w:cols w:space="720" w:num="1"/>
          <w:docGrid w:linePitch="312" w:charSpace="0"/>
        </w:sectPr>
      </w:pPr>
      <w:r>
        <w:drawing>
          <wp:inline distT="0" distB="0" distL="114300" distR="114300">
            <wp:extent cx="5610225" cy="7919720"/>
            <wp:effectExtent l="0" t="0" r="9525"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3"/>
                    <a:stretch>
                      <a:fillRect/>
                    </a:stretch>
                  </pic:blipFill>
                  <pic:spPr>
                    <a:xfrm>
                      <a:off x="0" y="0"/>
                      <a:ext cx="5610225" cy="7919720"/>
                    </a:xfrm>
                    <a:prstGeom prst="rect">
                      <a:avLst/>
                    </a:prstGeom>
                    <a:noFill/>
                    <a:ln>
                      <a:noFill/>
                    </a:ln>
                  </pic:spPr>
                </pic:pic>
              </a:graphicData>
            </a:graphic>
          </wp:inline>
        </w:drawing>
      </w:r>
    </w:p>
    <w:sdt>
      <w:sdtPr>
        <w:rPr>
          <w:b/>
          <w:bCs/>
          <w:sz w:val="32"/>
          <w:szCs w:val="32"/>
        </w:rPr>
        <w:id w:val="147461361"/>
        <w:docPartObj>
          <w:docPartGallery w:val="Table of Contents"/>
          <w:docPartUnique/>
        </w:docPartObj>
      </w:sdtPr>
      <w:sdtEndPr>
        <w:rPr>
          <w:rFonts w:eastAsiaTheme="minorEastAsia"/>
          <w:b/>
          <w:bCs/>
          <w:sz w:val="24"/>
          <w:szCs w:val="24"/>
        </w:rPr>
      </w:sdtEndPr>
      <w:sdtContent>
        <w:p w14:paraId="59983ED5">
          <w:pPr>
            <w:pageBreakBefore/>
            <w:spacing w:line="360" w:lineRule="auto"/>
            <w:jc w:val="center"/>
            <w:rPr>
              <w:rFonts w:eastAsiaTheme="minorEastAsia"/>
              <w:b/>
              <w:bCs/>
              <w:sz w:val="32"/>
              <w:szCs w:val="32"/>
            </w:rPr>
          </w:pPr>
          <w:r>
            <w:rPr>
              <w:rFonts w:eastAsiaTheme="minorEastAsia"/>
              <w:b/>
              <w:bCs/>
              <w:sz w:val="32"/>
              <w:szCs w:val="32"/>
            </w:rPr>
            <w:t>目录</w:t>
          </w:r>
        </w:p>
        <w:p w14:paraId="7466B29A">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TOC \o "1-1" \h \u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_Toc10194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napToGrid w:val="0"/>
              <w:sz w:val="24"/>
              <w:szCs w:val="24"/>
            </w:rPr>
            <w:t>一、建设项目基本情况</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_Toc10194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1</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2AA0A14D">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_Toc23387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napToGrid w:val="0"/>
              <w:sz w:val="24"/>
              <w:szCs w:val="24"/>
            </w:rPr>
            <w:t>二、建设项目工程分析</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_Toc23387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13</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2802A572">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_Toc2178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napToGrid w:val="0"/>
              <w:sz w:val="24"/>
              <w:szCs w:val="24"/>
            </w:rPr>
            <w:t>三、区域环境质量现状、环境保护目标及评价标准</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_Toc2178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23</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036FFEA9">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_Toc17402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napToGrid w:val="0"/>
              <w:sz w:val="24"/>
              <w:szCs w:val="24"/>
            </w:rPr>
            <w:t>四、主要环境影响和保护措施</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_Toc17402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29</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53EF29D9">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_Toc14906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napToGrid w:val="0"/>
              <w:sz w:val="24"/>
              <w:szCs w:val="24"/>
            </w:rPr>
            <w:t>五、环境保护措施监督检查清单</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_Toc14906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45</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34C72ED5">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_Toc18741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napToGrid w:val="0"/>
              <w:sz w:val="24"/>
              <w:szCs w:val="24"/>
            </w:rPr>
            <w:t>六、结论</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_Toc18741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47</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7CA1AA9F">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_Toc17412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napToGrid w:val="0"/>
              <w:sz w:val="24"/>
              <w:szCs w:val="24"/>
            </w:rPr>
            <w:t>附表</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_Toc17412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48</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2801C7D1">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_Toc9604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napToGrid w:val="0"/>
              <w:sz w:val="24"/>
              <w:szCs w:val="24"/>
            </w:rPr>
            <w:t>建设项目污染物排放量汇总表</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_Toc9604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48</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370831D1">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_Toc28586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bCs/>
              <w:kern w:val="0"/>
              <w:sz w:val="24"/>
              <w:szCs w:val="24"/>
            </w:rPr>
            <w:t>附件1</w:t>
          </w:r>
          <w:r>
            <w:rPr>
              <w:rFonts w:hint="eastAsia" w:ascii="Times New Roman" w:hAnsi="Times New Roman" w:cs="Times New Roman" w:eastAsiaTheme="minorEastAsia"/>
              <w:bCs/>
              <w:kern w:val="0"/>
              <w:sz w:val="24"/>
              <w:szCs w:val="24"/>
              <w:lang w:val="en-US" w:eastAsia="zh-CN"/>
            </w:rPr>
            <w:t xml:space="preserve"> </w:t>
          </w:r>
          <w:r>
            <w:rPr>
              <w:rFonts w:hint="default" w:ascii="Times New Roman" w:hAnsi="Times New Roman" w:cs="Times New Roman" w:eastAsiaTheme="minorEastAsia"/>
              <w:bCs/>
              <w:kern w:val="0"/>
              <w:sz w:val="24"/>
              <w:szCs w:val="24"/>
            </w:rPr>
            <w:t>营业执照</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_Toc28586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49</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0ECD025D">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_Toc22521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bCs/>
              <w:kern w:val="0"/>
              <w:sz w:val="24"/>
              <w:szCs w:val="24"/>
            </w:rPr>
            <w:t>附件2</w:t>
          </w:r>
          <w:r>
            <w:rPr>
              <w:rFonts w:hint="eastAsia" w:ascii="Times New Roman" w:hAnsi="Times New Roman" w:cs="Times New Roman" w:eastAsiaTheme="minorEastAsia"/>
              <w:bCs/>
              <w:kern w:val="0"/>
              <w:sz w:val="24"/>
              <w:szCs w:val="24"/>
              <w:lang w:val="en-US" w:eastAsia="zh-CN"/>
            </w:rPr>
            <w:t xml:space="preserve"> </w:t>
          </w:r>
          <w:r>
            <w:rPr>
              <w:rFonts w:hint="default" w:ascii="Times New Roman" w:hAnsi="Times New Roman" w:cs="Times New Roman" w:eastAsiaTheme="minorEastAsia"/>
              <w:bCs/>
              <w:kern w:val="0"/>
              <w:sz w:val="24"/>
              <w:szCs w:val="24"/>
            </w:rPr>
            <w:t>厂房购买合同</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_Toc22521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50</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3B784AB1">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_Toc28585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附件3 土地证明文件</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_Toc28585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52</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69DC0648">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_Toc14530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附件4 现状评估备案登记表</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_Toc14530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54</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6C208BA9">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_Toc26459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附件5</w:t>
          </w:r>
          <w:r>
            <w:rPr>
              <w:rFonts w:hint="eastAsia" w:ascii="Times New Roman" w:hAnsi="Times New Roman" w:cs="Times New Roman" w:eastAsiaTheme="minorEastAsia"/>
              <w:sz w:val="24"/>
              <w:szCs w:val="24"/>
              <w:lang w:val="en-US" w:eastAsia="zh-CN"/>
            </w:rPr>
            <w:t xml:space="preserve"> </w:t>
          </w:r>
          <w:r>
            <w:rPr>
              <w:rFonts w:hint="default" w:ascii="Times New Roman" w:hAnsi="Times New Roman" w:cs="Times New Roman" w:eastAsiaTheme="minorEastAsia"/>
              <w:sz w:val="24"/>
              <w:szCs w:val="24"/>
            </w:rPr>
            <w:t>现状引用检测报告</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_Toc26459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57</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5FB9DC3B">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_Toc16595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highlight w:val="none"/>
            </w:rPr>
            <w:t>附件6 现状监测报告</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_Toc16595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61</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6DFB57ED">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_Toc15312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附件7 生物质燃料分析报告</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_Toc15312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65</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7C17E487">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_Toc20252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附件8</w:t>
          </w:r>
          <w:r>
            <w:rPr>
              <w:rFonts w:hint="eastAsia" w:ascii="Times New Roman" w:hAnsi="Times New Roman" w:cs="Times New Roman" w:eastAsiaTheme="minorEastAsia"/>
              <w:sz w:val="24"/>
              <w:szCs w:val="24"/>
              <w:lang w:val="en-US" w:eastAsia="zh-CN"/>
            </w:rPr>
            <w:t xml:space="preserve"> </w:t>
          </w:r>
          <w:r>
            <w:rPr>
              <w:rFonts w:hint="default" w:ascii="Times New Roman" w:hAnsi="Times New Roman" w:cs="Times New Roman" w:eastAsiaTheme="minorEastAsia"/>
              <w:sz w:val="24"/>
              <w:szCs w:val="24"/>
            </w:rPr>
            <w:t>总量计算说明</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_Toc20252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66</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6B296999">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_Toc31004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附件9 生态环境分区管控分析报告</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_Toc31004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67</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3FE8DF5D">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_Toc15717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bCs/>
              <w:sz w:val="24"/>
              <w:szCs w:val="24"/>
              <w:highlight w:val="none"/>
              <w:lang w:val="en-US" w:eastAsia="zh-CN"/>
            </w:rPr>
            <w:t>附件10</w:t>
          </w:r>
          <w:r>
            <w:rPr>
              <w:rFonts w:hint="eastAsia" w:ascii="Times New Roman" w:hAnsi="Times New Roman" w:cs="Times New Roman" w:eastAsiaTheme="minorEastAsia"/>
              <w:bCs/>
              <w:sz w:val="24"/>
              <w:szCs w:val="24"/>
              <w:highlight w:val="none"/>
              <w:lang w:val="en-US" w:eastAsia="zh-CN"/>
            </w:rPr>
            <w:t xml:space="preserve"> </w:t>
          </w:r>
          <w:r>
            <w:rPr>
              <w:rFonts w:hint="default" w:ascii="Times New Roman" w:hAnsi="Times New Roman" w:cs="Times New Roman" w:eastAsiaTheme="minorEastAsia"/>
              <w:bCs/>
              <w:sz w:val="24"/>
              <w:szCs w:val="24"/>
              <w:highlight w:val="none"/>
              <w:lang w:val="en-US" w:eastAsia="zh-CN"/>
            </w:rPr>
            <w:t>排污许可年报</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_Toc15717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77</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709CFDAE">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_Toc8161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附图1 地理位置图</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_Toc8161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78</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13599B0C">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_Toc18386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bCs/>
              <w:sz w:val="24"/>
              <w:szCs w:val="24"/>
            </w:rPr>
            <w:t>附图2 本项目平面布置图</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_Toc18386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79</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656FE02D">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_Toc2429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bCs/>
              <w:sz w:val="24"/>
              <w:szCs w:val="24"/>
            </w:rPr>
            <w:t>附图3 环境保护目标分布图</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_Toc2429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80</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3EDC2379">
          <w:pPr>
            <w:pStyle w:val="22"/>
            <w:tabs>
              <w:tab w:val="right" w:leader="dot" w:pos="8844"/>
              <w:tab w:val="clear" w:pos="9060"/>
            </w:tabs>
            <w:spacing w:line="360" w:lineRule="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HYPERLINK \l _Toc24820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附图4 厂区四周环境现状</w:t>
          </w:r>
          <w:r>
            <w:rPr>
              <w:rFonts w:hint="default" w:ascii="Times New Roman" w:hAnsi="Times New Roman" w:cs="Times New Roman" w:eastAsiaTheme="minorEastAsia"/>
              <w:sz w:val="24"/>
              <w:szCs w:val="24"/>
            </w:rPr>
            <w:tab/>
          </w:r>
          <w:r>
            <w:rPr>
              <w:rFonts w:hint="default" w:ascii="Times New Roman" w:hAnsi="Times New Roman" w:cs="Times New Roman" w:eastAsiaTheme="minorEastAsia"/>
              <w:sz w:val="24"/>
              <w:szCs w:val="24"/>
            </w:rPr>
            <w:fldChar w:fldCharType="begin"/>
          </w:r>
          <w:r>
            <w:rPr>
              <w:rFonts w:hint="default" w:ascii="Times New Roman" w:hAnsi="Times New Roman" w:cs="Times New Roman" w:eastAsiaTheme="minorEastAsia"/>
              <w:sz w:val="24"/>
              <w:szCs w:val="24"/>
            </w:rPr>
            <w:instrText xml:space="preserve"> PAGEREF _Toc24820 \h </w:instrText>
          </w:r>
          <w:r>
            <w:rPr>
              <w:rFonts w:hint="default" w:ascii="Times New Roman" w:hAnsi="Times New Roman" w:cs="Times New Roman" w:eastAsiaTheme="minorEastAsia"/>
              <w:sz w:val="24"/>
              <w:szCs w:val="24"/>
            </w:rPr>
            <w:fldChar w:fldCharType="separate"/>
          </w:r>
          <w:r>
            <w:rPr>
              <w:rFonts w:hint="default" w:ascii="Times New Roman" w:hAnsi="Times New Roman" w:cs="Times New Roman" w:eastAsiaTheme="minorEastAsia"/>
              <w:sz w:val="24"/>
              <w:szCs w:val="24"/>
            </w:rPr>
            <w:t>81</w:t>
          </w:r>
          <w:r>
            <w:rPr>
              <w:rFonts w:hint="default" w:ascii="Times New Roman" w:hAnsi="Times New Roman" w:cs="Times New Roman" w:eastAsiaTheme="minorEastAsia"/>
              <w:sz w:val="24"/>
              <w:szCs w:val="24"/>
            </w:rPr>
            <w:fldChar w:fldCharType="end"/>
          </w:r>
          <w:r>
            <w:rPr>
              <w:rFonts w:hint="default" w:ascii="Times New Roman" w:hAnsi="Times New Roman" w:cs="Times New Roman" w:eastAsiaTheme="minorEastAsia"/>
              <w:sz w:val="24"/>
              <w:szCs w:val="24"/>
            </w:rPr>
            <w:fldChar w:fldCharType="end"/>
          </w:r>
        </w:p>
        <w:p w14:paraId="68466795">
          <w:pPr>
            <w:spacing w:line="360" w:lineRule="auto"/>
            <w:jc w:val="left"/>
            <w:rPr>
              <w:rFonts w:eastAsiaTheme="minorEastAsia"/>
              <w:sz w:val="24"/>
            </w:rPr>
          </w:pPr>
          <w:r>
            <w:rPr>
              <w:rFonts w:hint="default" w:ascii="Times New Roman" w:hAnsi="Times New Roman" w:cs="Times New Roman" w:eastAsiaTheme="minorEastAsia"/>
              <w:sz w:val="24"/>
              <w:szCs w:val="24"/>
            </w:rPr>
            <w:fldChar w:fldCharType="end"/>
          </w:r>
        </w:p>
      </w:sdtContent>
    </w:sdt>
    <w:p w14:paraId="71BC35EE">
      <w:pPr>
        <w:spacing w:line="360" w:lineRule="auto"/>
        <w:jc w:val="left"/>
        <w:rPr>
          <w:rFonts w:eastAsiaTheme="minorEastAsia"/>
          <w:sz w:val="24"/>
        </w:rPr>
        <w:sectPr>
          <w:footerReference r:id="rId6" w:type="default"/>
          <w:pgSz w:w="11906" w:h="16838"/>
          <w:pgMar w:top="1701" w:right="1531" w:bottom="1701" w:left="1531" w:header="851" w:footer="1077" w:gutter="0"/>
          <w:pgNumType w:start="1"/>
          <w:cols w:space="720" w:num="1"/>
          <w:docGrid w:linePitch="312" w:charSpace="0"/>
        </w:sectPr>
      </w:pPr>
      <w:bookmarkStart w:id="64" w:name="_GoBack"/>
      <w:bookmarkEnd w:id="64"/>
    </w:p>
    <w:p w14:paraId="66A424B9">
      <w:pPr>
        <w:pStyle w:val="27"/>
        <w:jc w:val="center"/>
        <w:outlineLvl w:val="0"/>
        <w:rPr>
          <w:rFonts w:ascii="Times New Roman" w:hAnsi="Times New Roman"/>
          <w:snapToGrid w:val="0"/>
          <w:sz w:val="30"/>
          <w:szCs w:val="30"/>
        </w:rPr>
      </w:pPr>
      <w:bookmarkStart w:id="3" w:name="_Toc10194"/>
      <w:bookmarkStart w:id="4" w:name="_Toc28515"/>
      <w:r>
        <w:rPr>
          <w:rFonts w:ascii="Times New Roman" w:hAnsi="Times New Roman"/>
          <w:snapToGrid w:val="0"/>
          <w:sz w:val="30"/>
          <w:szCs w:val="30"/>
        </w:rPr>
        <w:t>一、建设项目基本情况</w:t>
      </w:r>
      <w:bookmarkEnd w:id="3"/>
      <w:bookmarkEnd w:id="4"/>
    </w:p>
    <w:tbl>
      <w:tblPr>
        <w:tblStyle w:val="32"/>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015"/>
        <w:gridCol w:w="1987"/>
        <w:gridCol w:w="1854"/>
        <w:gridCol w:w="3014"/>
      </w:tblGrid>
      <w:tr w14:paraId="6F003F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35" w:hRule="atLeast"/>
          <w:jc w:val="center"/>
        </w:trPr>
        <w:tc>
          <w:tcPr>
            <w:tcW w:w="2015" w:type="dxa"/>
            <w:tcMar>
              <w:top w:w="16" w:type="dxa"/>
              <w:left w:w="16" w:type="dxa"/>
              <w:right w:w="16" w:type="dxa"/>
            </w:tcMar>
            <w:vAlign w:val="center"/>
          </w:tcPr>
          <w:p w14:paraId="1035C0D3">
            <w:pPr>
              <w:adjustRightInd w:val="0"/>
              <w:snapToGrid w:val="0"/>
              <w:jc w:val="center"/>
              <w:rPr>
                <w:sz w:val="24"/>
              </w:rPr>
            </w:pPr>
            <w:r>
              <w:rPr>
                <w:sz w:val="24"/>
              </w:rPr>
              <w:t>建设项目名称</w:t>
            </w:r>
          </w:p>
        </w:tc>
        <w:tc>
          <w:tcPr>
            <w:tcW w:w="6855" w:type="dxa"/>
            <w:gridSpan w:val="3"/>
            <w:vAlign w:val="center"/>
          </w:tcPr>
          <w:p w14:paraId="179A8BFA">
            <w:pPr>
              <w:adjustRightInd w:val="0"/>
              <w:snapToGrid w:val="0"/>
              <w:jc w:val="center"/>
              <w:rPr>
                <w:sz w:val="24"/>
              </w:rPr>
            </w:pPr>
            <w:r>
              <w:rPr>
                <w:rFonts w:hint="eastAsia"/>
                <w:sz w:val="24"/>
              </w:rPr>
              <w:t>双鸭山市润丰粮食有限公司改建项目</w:t>
            </w:r>
          </w:p>
        </w:tc>
      </w:tr>
      <w:tr w14:paraId="167438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60" w:hRule="atLeast"/>
          <w:jc w:val="center"/>
        </w:trPr>
        <w:tc>
          <w:tcPr>
            <w:tcW w:w="2015" w:type="dxa"/>
            <w:tcMar>
              <w:top w:w="16" w:type="dxa"/>
              <w:left w:w="16" w:type="dxa"/>
              <w:right w:w="16" w:type="dxa"/>
            </w:tcMar>
            <w:vAlign w:val="center"/>
          </w:tcPr>
          <w:p w14:paraId="1672BED3">
            <w:pPr>
              <w:adjustRightInd w:val="0"/>
              <w:snapToGrid w:val="0"/>
              <w:jc w:val="center"/>
              <w:rPr>
                <w:sz w:val="24"/>
              </w:rPr>
            </w:pPr>
            <w:r>
              <w:rPr>
                <w:sz w:val="24"/>
              </w:rPr>
              <w:t>项目代码</w:t>
            </w:r>
          </w:p>
        </w:tc>
        <w:tc>
          <w:tcPr>
            <w:tcW w:w="6855" w:type="dxa"/>
            <w:gridSpan w:val="3"/>
            <w:vAlign w:val="center"/>
          </w:tcPr>
          <w:p w14:paraId="4C0F6D8E">
            <w:pPr>
              <w:adjustRightInd w:val="0"/>
              <w:snapToGrid w:val="0"/>
              <w:jc w:val="center"/>
              <w:rPr>
                <w:sz w:val="24"/>
              </w:rPr>
            </w:pPr>
            <w:r>
              <w:rPr>
                <w:sz w:val="24"/>
              </w:rPr>
              <w:t>无</w:t>
            </w:r>
          </w:p>
        </w:tc>
      </w:tr>
      <w:tr w14:paraId="50E7FE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8" w:hRule="atLeast"/>
          <w:jc w:val="center"/>
        </w:trPr>
        <w:tc>
          <w:tcPr>
            <w:tcW w:w="2015" w:type="dxa"/>
            <w:tcMar>
              <w:top w:w="16" w:type="dxa"/>
              <w:left w:w="16" w:type="dxa"/>
              <w:right w:w="16" w:type="dxa"/>
            </w:tcMar>
            <w:vAlign w:val="center"/>
          </w:tcPr>
          <w:p w14:paraId="1B9984D0">
            <w:pPr>
              <w:adjustRightInd w:val="0"/>
              <w:snapToGrid w:val="0"/>
              <w:jc w:val="center"/>
              <w:rPr>
                <w:sz w:val="24"/>
              </w:rPr>
            </w:pPr>
            <w:r>
              <w:rPr>
                <w:sz w:val="24"/>
              </w:rPr>
              <w:t>建设单位联系人</w:t>
            </w:r>
          </w:p>
        </w:tc>
        <w:tc>
          <w:tcPr>
            <w:tcW w:w="1987" w:type="dxa"/>
            <w:vAlign w:val="center"/>
          </w:tcPr>
          <w:p w14:paraId="0A68B815">
            <w:pPr>
              <w:adjustRightInd w:val="0"/>
              <w:snapToGrid w:val="0"/>
              <w:jc w:val="center"/>
              <w:rPr>
                <w:sz w:val="24"/>
              </w:rPr>
            </w:pPr>
            <w:r>
              <w:rPr>
                <w:rFonts w:hint="eastAsia"/>
                <w:sz w:val="24"/>
              </w:rPr>
              <w:t>魏国军</w:t>
            </w:r>
          </w:p>
        </w:tc>
        <w:tc>
          <w:tcPr>
            <w:tcW w:w="1854" w:type="dxa"/>
            <w:vAlign w:val="center"/>
          </w:tcPr>
          <w:p w14:paraId="4AC5F841">
            <w:pPr>
              <w:adjustRightInd w:val="0"/>
              <w:snapToGrid w:val="0"/>
              <w:jc w:val="center"/>
              <w:rPr>
                <w:sz w:val="24"/>
              </w:rPr>
            </w:pPr>
            <w:r>
              <w:rPr>
                <w:sz w:val="24"/>
              </w:rPr>
              <w:t>联系电话</w:t>
            </w:r>
          </w:p>
        </w:tc>
        <w:tc>
          <w:tcPr>
            <w:tcW w:w="3014" w:type="dxa"/>
            <w:vAlign w:val="center"/>
          </w:tcPr>
          <w:p w14:paraId="6AEEA7F7">
            <w:pPr>
              <w:adjustRightInd w:val="0"/>
              <w:snapToGrid w:val="0"/>
              <w:jc w:val="center"/>
              <w:rPr>
                <w:sz w:val="24"/>
              </w:rPr>
            </w:pPr>
            <w:r>
              <w:rPr>
                <w:rFonts w:hint="eastAsia"/>
                <w:sz w:val="24"/>
              </w:rPr>
              <w:t>13089813085</w:t>
            </w:r>
          </w:p>
        </w:tc>
      </w:tr>
      <w:tr w14:paraId="0C52D1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15" w:type="dxa"/>
            <w:tcMar>
              <w:top w:w="16" w:type="dxa"/>
              <w:left w:w="16" w:type="dxa"/>
              <w:right w:w="16" w:type="dxa"/>
            </w:tcMar>
            <w:vAlign w:val="center"/>
          </w:tcPr>
          <w:p w14:paraId="4193477A">
            <w:pPr>
              <w:adjustRightInd w:val="0"/>
              <w:snapToGrid w:val="0"/>
              <w:jc w:val="center"/>
              <w:rPr>
                <w:sz w:val="24"/>
              </w:rPr>
            </w:pPr>
            <w:r>
              <w:rPr>
                <w:sz w:val="24"/>
              </w:rPr>
              <w:t>建设地点</w:t>
            </w:r>
          </w:p>
        </w:tc>
        <w:tc>
          <w:tcPr>
            <w:tcW w:w="6855" w:type="dxa"/>
            <w:gridSpan w:val="3"/>
            <w:vAlign w:val="center"/>
          </w:tcPr>
          <w:p w14:paraId="388CD517">
            <w:pPr>
              <w:adjustRightInd w:val="0"/>
              <w:snapToGrid w:val="0"/>
              <w:jc w:val="center"/>
              <w:rPr>
                <w:sz w:val="24"/>
              </w:rPr>
            </w:pPr>
            <w:r>
              <w:rPr>
                <w:rFonts w:hint="eastAsia"/>
                <w:sz w:val="24"/>
              </w:rPr>
              <w:t xml:space="preserve">黑龙江省双鸭山市宝山区新安煤矿原建设科院内 </w:t>
            </w:r>
          </w:p>
        </w:tc>
      </w:tr>
      <w:tr w14:paraId="48CD98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15" w:type="dxa"/>
            <w:tcMar>
              <w:top w:w="16" w:type="dxa"/>
              <w:left w:w="16" w:type="dxa"/>
              <w:right w:w="16" w:type="dxa"/>
            </w:tcMar>
            <w:vAlign w:val="center"/>
          </w:tcPr>
          <w:p w14:paraId="7F639A19">
            <w:pPr>
              <w:adjustRightInd w:val="0"/>
              <w:snapToGrid w:val="0"/>
              <w:jc w:val="center"/>
              <w:rPr>
                <w:sz w:val="24"/>
              </w:rPr>
            </w:pPr>
            <w:r>
              <w:rPr>
                <w:sz w:val="24"/>
              </w:rPr>
              <w:t>地理坐标</w:t>
            </w:r>
          </w:p>
        </w:tc>
        <w:tc>
          <w:tcPr>
            <w:tcW w:w="6855" w:type="dxa"/>
            <w:gridSpan w:val="3"/>
            <w:vAlign w:val="center"/>
          </w:tcPr>
          <w:p w14:paraId="39B2FCB8">
            <w:pPr>
              <w:jc w:val="center"/>
              <w:rPr>
                <w:sz w:val="24"/>
              </w:rPr>
            </w:pPr>
            <w:r>
              <w:rPr>
                <w:sz w:val="24"/>
              </w:rPr>
              <w:t>（13</w:t>
            </w:r>
            <w:r>
              <w:rPr>
                <w:rFonts w:hint="eastAsia"/>
                <w:sz w:val="24"/>
              </w:rPr>
              <w:t>1</w:t>
            </w:r>
            <w:r>
              <w:rPr>
                <w:sz w:val="24"/>
              </w:rPr>
              <w:t>度</w:t>
            </w:r>
            <w:r>
              <w:rPr>
                <w:rFonts w:hint="eastAsia"/>
                <w:sz w:val="24"/>
              </w:rPr>
              <w:t>41</w:t>
            </w:r>
            <w:r>
              <w:rPr>
                <w:sz w:val="24"/>
              </w:rPr>
              <w:t>分</w:t>
            </w:r>
            <w:r>
              <w:rPr>
                <w:rFonts w:hint="eastAsia"/>
                <w:sz w:val="24"/>
              </w:rPr>
              <w:t>5.772</w:t>
            </w:r>
            <w:r>
              <w:rPr>
                <w:sz w:val="24"/>
              </w:rPr>
              <w:t>秒，4</w:t>
            </w:r>
            <w:r>
              <w:rPr>
                <w:rFonts w:hint="eastAsia"/>
                <w:sz w:val="24"/>
              </w:rPr>
              <w:t>6</w:t>
            </w:r>
            <w:r>
              <w:rPr>
                <w:sz w:val="24"/>
              </w:rPr>
              <w:t>度</w:t>
            </w:r>
            <w:r>
              <w:rPr>
                <w:rFonts w:hint="eastAsia"/>
                <w:sz w:val="24"/>
              </w:rPr>
              <w:t>36</w:t>
            </w:r>
            <w:r>
              <w:rPr>
                <w:sz w:val="24"/>
              </w:rPr>
              <w:t>分</w:t>
            </w:r>
            <w:r>
              <w:rPr>
                <w:rFonts w:hint="eastAsia"/>
                <w:sz w:val="24"/>
              </w:rPr>
              <w:t>55.278</w:t>
            </w:r>
            <w:r>
              <w:rPr>
                <w:sz w:val="24"/>
              </w:rPr>
              <w:t>秒）</w:t>
            </w:r>
          </w:p>
        </w:tc>
      </w:tr>
      <w:tr w14:paraId="4044EB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015" w:type="dxa"/>
            <w:tcMar>
              <w:top w:w="16" w:type="dxa"/>
              <w:left w:w="16" w:type="dxa"/>
              <w:right w:w="16" w:type="dxa"/>
            </w:tcMar>
            <w:vAlign w:val="center"/>
          </w:tcPr>
          <w:p w14:paraId="23769AA7">
            <w:pPr>
              <w:adjustRightInd w:val="0"/>
              <w:snapToGrid w:val="0"/>
              <w:jc w:val="center"/>
              <w:rPr>
                <w:sz w:val="24"/>
              </w:rPr>
            </w:pPr>
            <w:r>
              <w:rPr>
                <w:sz w:val="24"/>
              </w:rPr>
              <w:t>国民经济</w:t>
            </w:r>
          </w:p>
          <w:p w14:paraId="3E9268FE">
            <w:pPr>
              <w:adjustRightInd w:val="0"/>
              <w:snapToGrid w:val="0"/>
              <w:jc w:val="center"/>
              <w:rPr>
                <w:sz w:val="24"/>
              </w:rPr>
            </w:pPr>
            <w:r>
              <w:rPr>
                <w:sz w:val="24"/>
              </w:rPr>
              <w:t>行业类别</w:t>
            </w:r>
          </w:p>
        </w:tc>
        <w:tc>
          <w:tcPr>
            <w:tcW w:w="1987" w:type="dxa"/>
            <w:vAlign w:val="center"/>
          </w:tcPr>
          <w:p w14:paraId="5A2C9771">
            <w:pPr>
              <w:adjustRightInd w:val="0"/>
              <w:snapToGrid w:val="0"/>
              <w:jc w:val="center"/>
              <w:rPr>
                <w:sz w:val="24"/>
              </w:rPr>
            </w:pPr>
            <w:r>
              <w:rPr>
                <w:sz w:val="24"/>
              </w:rPr>
              <w:t>D4430热力生产和供应</w:t>
            </w:r>
          </w:p>
        </w:tc>
        <w:tc>
          <w:tcPr>
            <w:tcW w:w="1854" w:type="dxa"/>
            <w:vAlign w:val="center"/>
          </w:tcPr>
          <w:p w14:paraId="645D638C">
            <w:pPr>
              <w:adjustRightInd w:val="0"/>
              <w:snapToGrid w:val="0"/>
              <w:jc w:val="center"/>
              <w:rPr>
                <w:sz w:val="24"/>
              </w:rPr>
            </w:pPr>
            <w:r>
              <w:rPr>
                <w:sz w:val="24"/>
              </w:rPr>
              <w:t>建设项目</w:t>
            </w:r>
          </w:p>
          <w:p w14:paraId="36A79931">
            <w:pPr>
              <w:adjustRightInd w:val="0"/>
              <w:snapToGrid w:val="0"/>
              <w:jc w:val="center"/>
              <w:rPr>
                <w:sz w:val="24"/>
              </w:rPr>
            </w:pPr>
            <w:r>
              <w:rPr>
                <w:sz w:val="24"/>
              </w:rPr>
              <w:t>行业类别</w:t>
            </w:r>
          </w:p>
        </w:tc>
        <w:tc>
          <w:tcPr>
            <w:tcW w:w="3014" w:type="dxa"/>
            <w:vAlign w:val="center"/>
          </w:tcPr>
          <w:p w14:paraId="57FBA9CD">
            <w:pPr>
              <w:pStyle w:val="8"/>
              <w:jc w:val="center"/>
              <w:rPr>
                <w:sz w:val="24"/>
              </w:rPr>
            </w:pPr>
            <w:r>
              <w:rPr>
                <w:sz w:val="24"/>
              </w:rPr>
              <w:t>四十一、电力、热力生产和供应业91热力生产和供应工程</w:t>
            </w:r>
          </w:p>
        </w:tc>
      </w:tr>
      <w:tr w14:paraId="691D88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015" w:type="dxa"/>
            <w:tcMar>
              <w:top w:w="16" w:type="dxa"/>
              <w:left w:w="16" w:type="dxa"/>
              <w:right w:w="16" w:type="dxa"/>
            </w:tcMar>
            <w:vAlign w:val="center"/>
          </w:tcPr>
          <w:p w14:paraId="7031AE45">
            <w:pPr>
              <w:adjustRightInd w:val="0"/>
              <w:snapToGrid w:val="0"/>
              <w:jc w:val="center"/>
              <w:rPr>
                <w:sz w:val="24"/>
              </w:rPr>
            </w:pPr>
            <w:r>
              <w:rPr>
                <w:sz w:val="24"/>
              </w:rPr>
              <w:t>建设性质</w:t>
            </w:r>
          </w:p>
        </w:tc>
        <w:tc>
          <w:tcPr>
            <w:tcW w:w="1987" w:type="dxa"/>
            <w:vAlign w:val="center"/>
          </w:tcPr>
          <w:p w14:paraId="39585F6A">
            <w:pPr>
              <w:jc w:val="left"/>
              <w:rPr>
                <w:sz w:val="24"/>
              </w:rPr>
            </w:pPr>
            <w:r>
              <w:rPr>
                <w:rFonts w:hint="eastAsia"/>
                <w:sz w:val="24"/>
              </w:rPr>
              <w:t>□</w:t>
            </w:r>
            <w:r>
              <w:rPr>
                <w:sz w:val="24"/>
              </w:rPr>
              <w:t>新建（迁建）</w:t>
            </w:r>
          </w:p>
          <w:p w14:paraId="3AF16478">
            <w:pPr>
              <w:jc w:val="left"/>
              <w:rPr>
                <w:sz w:val="24"/>
              </w:rPr>
            </w:pPr>
            <w:r>
              <w:rPr>
                <w:rFonts w:hint="eastAsia"/>
                <w:sz w:val="24"/>
              </w:rPr>
              <w:t>☑</w:t>
            </w:r>
            <w:r>
              <w:rPr>
                <w:sz w:val="24"/>
              </w:rPr>
              <w:t>改建</w:t>
            </w:r>
          </w:p>
          <w:p w14:paraId="5BEDC0F1">
            <w:pPr>
              <w:jc w:val="left"/>
              <w:rPr>
                <w:sz w:val="24"/>
              </w:rPr>
            </w:pPr>
            <w:r>
              <w:rPr>
                <w:rFonts w:hint="eastAsia"/>
                <w:sz w:val="24"/>
              </w:rPr>
              <w:t>□</w:t>
            </w:r>
            <w:r>
              <w:rPr>
                <w:sz w:val="24"/>
              </w:rPr>
              <w:t>扩建</w:t>
            </w:r>
          </w:p>
          <w:p w14:paraId="1B59BFF5">
            <w:pPr>
              <w:jc w:val="left"/>
              <w:rPr>
                <w:sz w:val="24"/>
              </w:rPr>
            </w:pPr>
            <w:r>
              <w:rPr>
                <w:rFonts w:hint="eastAsia"/>
                <w:sz w:val="24"/>
              </w:rPr>
              <w:t>□</w:t>
            </w:r>
            <w:r>
              <w:rPr>
                <w:sz w:val="24"/>
              </w:rPr>
              <w:t>技术改造</w:t>
            </w:r>
          </w:p>
        </w:tc>
        <w:tc>
          <w:tcPr>
            <w:tcW w:w="1854" w:type="dxa"/>
            <w:vAlign w:val="center"/>
          </w:tcPr>
          <w:p w14:paraId="21201C8A">
            <w:pPr>
              <w:adjustRightInd w:val="0"/>
              <w:snapToGrid w:val="0"/>
              <w:jc w:val="center"/>
              <w:rPr>
                <w:sz w:val="24"/>
              </w:rPr>
            </w:pPr>
            <w:r>
              <w:rPr>
                <w:sz w:val="24"/>
              </w:rPr>
              <w:t>建设项目</w:t>
            </w:r>
          </w:p>
          <w:p w14:paraId="6984465C">
            <w:pPr>
              <w:adjustRightInd w:val="0"/>
              <w:snapToGrid w:val="0"/>
              <w:jc w:val="center"/>
              <w:rPr>
                <w:sz w:val="24"/>
              </w:rPr>
            </w:pPr>
            <w:r>
              <w:rPr>
                <w:sz w:val="24"/>
              </w:rPr>
              <w:t>申报情形</w:t>
            </w:r>
          </w:p>
        </w:tc>
        <w:tc>
          <w:tcPr>
            <w:tcW w:w="3014" w:type="dxa"/>
            <w:vAlign w:val="center"/>
          </w:tcPr>
          <w:p w14:paraId="4322EA21">
            <w:pPr>
              <w:jc w:val="left"/>
              <w:rPr>
                <w:sz w:val="24"/>
              </w:rPr>
            </w:pPr>
            <w:r>
              <w:rPr>
                <w:sz w:val="24"/>
              </w:rPr>
              <w:sym w:font="Wingdings 2" w:char="0052"/>
            </w:r>
            <w:r>
              <w:rPr>
                <w:sz w:val="24"/>
              </w:rPr>
              <w:t xml:space="preserve">首次申报项目             </w:t>
            </w:r>
          </w:p>
          <w:p w14:paraId="2FC07060">
            <w:pPr>
              <w:jc w:val="left"/>
              <w:rPr>
                <w:sz w:val="24"/>
              </w:rPr>
            </w:pPr>
            <w:r>
              <w:rPr>
                <w:rFonts w:hint="eastAsia"/>
                <w:sz w:val="24"/>
              </w:rPr>
              <w:t>□</w:t>
            </w:r>
            <w:r>
              <w:rPr>
                <w:sz w:val="24"/>
              </w:rPr>
              <w:t>不予批准后再次申报项目</w:t>
            </w:r>
          </w:p>
          <w:p w14:paraId="63751AE8">
            <w:pPr>
              <w:jc w:val="left"/>
              <w:rPr>
                <w:sz w:val="24"/>
              </w:rPr>
            </w:pPr>
            <w:r>
              <w:rPr>
                <w:rFonts w:hint="eastAsia"/>
                <w:sz w:val="24"/>
              </w:rPr>
              <w:t>□</w:t>
            </w:r>
            <w:r>
              <w:rPr>
                <w:sz w:val="24"/>
              </w:rPr>
              <w:t xml:space="preserve">超五年重新审核项目     </w:t>
            </w:r>
          </w:p>
          <w:p w14:paraId="0639DA79">
            <w:pPr>
              <w:jc w:val="left"/>
              <w:rPr>
                <w:sz w:val="24"/>
              </w:rPr>
            </w:pPr>
            <w:r>
              <w:rPr>
                <w:rFonts w:hint="eastAsia"/>
                <w:sz w:val="24"/>
              </w:rPr>
              <w:t>□</w:t>
            </w:r>
            <w:r>
              <w:rPr>
                <w:sz w:val="24"/>
              </w:rPr>
              <w:t>重大变动重新报批项目</w:t>
            </w:r>
          </w:p>
        </w:tc>
      </w:tr>
      <w:tr w14:paraId="7668B6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015" w:type="dxa"/>
            <w:tcMar>
              <w:top w:w="16" w:type="dxa"/>
              <w:left w:w="16" w:type="dxa"/>
              <w:right w:w="16" w:type="dxa"/>
            </w:tcMar>
            <w:vAlign w:val="center"/>
          </w:tcPr>
          <w:p w14:paraId="3FF8FF60">
            <w:pPr>
              <w:adjustRightInd w:val="0"/>
              <w:snapToGrid w:val="0"/>
              <w:jc w:val="center"/>
              <w:rPr>
                <w:sz w:val="24"/>
              </w:rPr>
            </w:pPr>
            <w:r>
              <w:rPr>
                <w:sz w:val="24"/>
              </w:rPr>
              <w:t>项目审批（核准/</w:t>
            </w:r>
          </w:p>
          <w:p w14:paraId="56064F60">
            <w:pPr>
              <w:adjustRightInd w:val="0"/>
              <w:snapToGrid w:val="0"/>
              <w:jc w:val="center"/>
              <w:rPr>
                <w:sz w:val="24"/>
              </w:rPr>
            </w:pPr>
            <w:r>
              <w:rPr>
                <w:sz w:val="24"/>
              </w:rPr>
              <w:t>备案）部门（选填）</w:t>
            </w:r>
          </w:p>
        </w:tc>
        <w:tc>
          <w:tcPr>
            <w:tcW w:w="1987" w:type="dxa"/>
            <w:vAlign w:val="center"/>
          </w:tcPr>
          <w:p w14:paraId="14BFB09F">
            <w:pPr>
              <w:adjustRightInd w:val="0"/>
              <w:snapToGrid w:val="0"/>
              <w:jc w:val="center"/>
              <w:rPr>
                <w:sz w:val="24"/>
              </w:rPr>
            </w:pPr>
            <w:r>
              <w:rPr>
                <w:sz w:val="24"/>
              </w:rPr>
              <w:t>无</w:t>
            </w:r>
          </w:p>
        </w:tc>
        <w:tc>
          <w:tcPr>
            <w:tcW w:w="1854" w:type="dxa"/>
            <w:vAlign w:val="center"/>
          </w:tcPr>
          <w:p w14:paraId="6A1DD65A">
            <w:pPr>
              <w:adjustRightInd w:val="0"/>
              <w:snapToGrid w:val="0"/>
              <w:jc w:val="center"/>
              <w:rPr>
                <w:sz w:val="24"/>
              </w:rPr>
            </w:pPr>
            <w:r>
              <w:rPr>
                <w:sz w:val="24"/>
              </w:rPr>
              <w:t>项目审批（核准/</w:t>
            </w:r>
          </w:p>
          <w:p w14:paraId="2BA15C99">
            <w:pPr>
              <w:adjustRightInd w:val="0"/>
              <w:snapToGrid w:val="0"/>
              <w:jc w:val="center"/>
              <w:rPr>
                <w:sz w:val="24"/>
              </w:rPr>
            </w:pPr>
            <w:r>
              <w:rPr>
                <w:sz w:val="24"/>
              </w:rPr>
              <w:t>备案）文号（选填）</w:t>
            </w:r>
          </w:p>
        </w:tc>
        <w:tc>
          <w:tcPr>
            <w:tcW w:w="3014" w:type="dxa"/>
            <w:vAlign w:val="center"/>
          </w:tcPr>
          <w:p w14:paraId="4B5C6EA3">
            <w:pPr>
              <w:adjustRightInd w:val="0"/>
              <w:snapToGrid w:val="0"/>
              <w:jc w:val="center"/>
              <w:rPr>
                <w:sz w:val="24"/>
              </w:rPr>
            </w:pPr>
            <w:r>
              <w:rPr>
                <w:sz w:val="24"/>
              </w:rPr>
              <w:t>无</w:t>
            </w:r>
          </w:p>
        </w:tc>
      </w:tr>
      <w:tr w14:paraId="1F9F78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2015" w:type="dxa"/>
            <w:shd w:val="clear" w:color="auto" w:fill="auto"/>
            <w:tcMar>
              <w:top w:w="16" w:type="dxa"/>
              <w:left w:w="16" w:type="dxa"/>
              <w:right w:w="16" w:type="dxa"/>
            </w:tcMar>
            <w:vAlign w:val="center"/>
          </w:tcPr>
          <w:p w14:paraId="1D8544D7">
            <w:pPr>
              <w:adjustRightInd w:val="0"/>
              <w:snapToGrid w:val="0"/>
              <w:jc w:val="center"/>
              <w:rPr>
                <w:sz w:val="24"/>
              </w:rPr>
            </w:pPr>
            <w:r>
              <w:rPr>
                <w:sz w:val="24"/>
              </w:rPr>
              <w:t>总投资（万元）</w:t>
            </w:r>
          </w:p>
        </w:tc>
        <w:tc>
          <w:tcPr>
            <w:tcW w:w="1987" w:type="dxa"/>
            <w:shd w:val="clear" w:color="auto" w:fill="auto"/>
            <w:vAlign w:val="center"/>
          </w:tcPr>
          <w:p w14:paraId="0E3583D2">
            <w:pPr>
              <w:adjustRightInd w:val="0"/>
              <w:snapToGrid w:val="0"/>
              <w:jc w:val="center"/>
              <w:rPr>
                <w:sz w:val="24"/>
              </w:rPr>
            </w:pPr>
            <w:r>
              <w:rPr>
                <w:rFonts w:hint="eastAsia"/>
                <w:sz w:val="24"/>
              </w:rPr>
              <w:t>36</w:t>
            </w:r>
          </w:p>
        </w:tc>
        <w:tc>
          <w:tcPr>
            <w:tcW w:w="1854" w:type="dxa"/>
            <w:tcMar>
              <w:top w:w="16" w:type="dxa"/>
              <w:left w:w="16" w:type="dxa"/>
              <w:right w:w="16" w:type="dxa"/>
            </w:tcMar>
            <w:vAlign w:val="center"/>
          </w:tcPr>
          <w:p w14:paraId="37FA84E6">
            <w:pPr>
              <w:adjustRightInd w:val="0"/>
              <w:snapToGrid w:val="0"/>
              <w:jc w:val="center"/>
              <w:rPr>
                <w:sz w:val="24"/>
              </w:rPr>
            </w:pPr>
            <w:r>
              <w:rPr>
                <w:sz w:val="24"/>
              </w:rPr>
              <w:t>环保投资（万元）</w:t>
            </w:r>
          </w:p>
        </w:tc>
        <w:tc>
          <w:tcPr>
            <w:tcW w:w="3014" w:type="dxa"/>
            <w:vAlign w:val="center"/>
          </w:tcPr>
          <w:p w14:paraId="2A409D8C">
            <w:pPr>
              <w:adjustRightInd w:val="0"/>
              <w:snapToGrid w:val="0"/>
              <w:jc w:val="center"/>
              <w:rPr>
                <w:sz w:val="24"/>
              </w:rPr>
            </w:pPr>
            <w:r>
              <w:rPr>
                <w:rFonts w:hint="eastAsia"/>
                <w:sz w:val="24"/>
              </w:rPr>
              <w:t>14</w:t>
            </w:r>
          </w:p>
        </w:tc>
      </w:tr>
      <w:tr w14:paraId="2DF295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8" w:hRule="atLeast"/>
          <w:jc w:val="center"/>
        </w:trPr>
        <w:tc>
          <w:tcPr>
            <w:tcW w:w="2015" w:type="dxa"/>
            <w:tcMar>
              <w:top w:w="16" w:type="dxa"/>
              <w:left w:w="16" w:type="dxa"/>
              <w:right w:w="16" w:type="dxa"/>
            </w:tcMar>
            <w:vAlign w:val="center"/>
          </w:tcPr>
          <w:p w14:paraId="735114A6">
            <w:pPr>
              <w:adjustRightInd w:val="0"/>
              <w:snapToGrid w:val="0"/>
              <w:jc w:val="center"/>
              <w:rPr>
                <w:sz w:val="24"/>
              </w:rPr>
            </w:pPr>
            <w:r>
              <w:rPr>
                <w:sz w:val="24"/>
              </w:rPr>
              <w:t>环保投资占比（%）</w:t>
            </w:r>
          </w:p>
        </w:tc>
        <w:tc>
          <w:tcPr>
            <w:tcW w:w="1987" w:type="dxa"/>
            <w:vAlign w:val="center"/>
          </w:tcPr>
          <w:p w14:paraId="52682625">
            <w:pPr>
              <w:adjustRightInd w:val="0"/>
              <w:snapToGrid w:val="0"/>
              <w:jc w:val="center"/>
              <w:rPr>
                <w:sz w:val="24"/>
              </w:rPr>
            </w:pPr>
            <w:r>
              <w:rPr>
                <w:rFonts w:hint="eastAsia"/>
                <w:sz w:val="24"/>
              </w:rPr>
              <w:t>38.</w:t>
            </w:r>
            <w:r>
              <w:rPr>
                <w:rFonts w:hint="eastAsia"/>
                <w:sz w:val="24"/>
                <w:lang w:val="en-US" w:eastAsia="zh-CN"/>
              </w:rPr>
              <w:t>8</w:t>
            </w:r>
            <w:r>
              <w:rPr>
                <w:rFonts w:hint="eastAsia"/>
                <w:sz w:val="24"/>
              </w:rPr>
              <w:t>9</w:t>
            </w:r>
          </w:p>
        </w:tc>
        <w:tc>
          <w:tcPr>
            <w:tcW w:w="1854" w:type="dxa"/>
            <w:tcMar>
              <w:top w:w="16" w:type="dxa"/>
              <w:left w:w="16" w:type="dxa"/>
              <w:right w:w="16" w:type="dxa"/>
            </w:tcMar>
            <w:vAlign w:val="center"/>
          </w:tcPr>
          <w:p w14:paraId="490CDDF3">
            <w:pPr>
              <w:adjustRightInd w:val="0"/>
              <w:snapToGrid w:val="0"/>
              <w:jc w:val="center"/>
              <w:rPr>
                <w:sz w:val="24"/>
              </w:rPr>
            </w:pPr>
            <w:r>
              <w:rPr>
                <w:sz w:val="24"/>
              </w:rPr>
              <w:t>施工工期</w:t>
            </w:r>
          </w:p>
        </w:tc>
        <w:tc>
          <w:tcPr>
            <w:tcW w:w="3014" w:type="dxa"/>
            <w:vAlign w:val="center"/>
          </w:tcPr>
          <w:p w14:paraId="5B1376B0">
            <w:pPr>
              <w:adjustRightInd w:val="0"/>
              <w:snapToGrid w:val="0"/>
              <w:jc w:val="center"/>
              <w:rPr>
                <w:sz w:val="24"/>
              </w:rPr>
            </w:pPr>
            <w:r>
              <w:rPr>
                <w:rFonts w:hint="eastAsia"/>
                <w:sz w:val="24"/>
              </w:rPr>
              <w:t>2025年12月-2026年1月</w:t>
            </w:r>
          </w:p>
        </w:tc>
      </w:tr>
      <w:tr w14:paraId="0332CF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15" w:type="dxa"/>
            <w:tcMar>
              <w:top w:w="16" w:type="dxa"/>
              <w:left w:w="16" w:type="dxa"/>
              <w:right w:w="16" w:type="dxa"/>
            </w:tcMar>
            <w:vAlign w:val="center"/>
          </w:tcPr>
          <w:p w14:paraId="6D299093">
            <w:pPr>
              <w:adjustRightInd w:val="0"/>
              <w:snapToGrid w:val="0"/>
              <w:jc w:val="center"/>
              <w:rPr>
                <w:sz w:val="24"/>
              </w:rPr>
            </w:pPr>
            <w:r>
              <w:rPr>
                <w:sz w:val="24"/>
              </w:rPr>
              <w:t>是否开工建设</w:t>
            </w:r>
          </w:p>
        </w:tc>
        <w:tc>
          <w:tcPr>
            <w:tcW w:w="1987" w:type="dxa"/>
            <w:vAlign w:val="center"/>
          </w:tcPr>
          <w:p w14:paraId="65F84B0F">
            <w:pPr>
              <w:adjustRightInd w:val="0"/>
              <w:snapToGrid w:val="0"/>
              <w:rPr>
                <w:sz w:val="24"/>
              </w:rPr>
            </w:pPr>
            <w:r>
              <w:rPr>
                <w:rFonts w:hint="eastAsia"/>
                <w:sz w:val="24"/>
              </w:rPr>
              <w:t>☑</w:t>
            </w:r>
            <w:r>
              <w:rPr>
                <w:sz w:val="24"/>
              </w:rPr>
              <w:t>否</w:t>
            </w:r>
          </w:p>
          <w:p w14:paraId="099DA801">
            <w:pPr>
              <w:adjustRightInd w:val="0"/>
              <w:snapToGrid w:val="0"/>
            </w:pPr>
            <w:r>
              <w:rPr>
                <w:rFonts w:hint="eastAsia"/>
                <w:sz w:val="24"/>
              </w:rPr>
              <w:t>□</w:t>
            </w:r>
            <w:r>
              <w:rPr>
                <w:sz w:val="24"/>
              </w:rPr>
              <w:t>是</w:t>
            </w:r>
          </w:p>
        </w:tc>
        <w:tc>
          <w:tcPr>
            <w:tcW w:w="1854" w:type="dxa"/>
            <w:shd w:val="clear" w:color="auto" w:fill="auto"/>
            <w:tcMar>
              <w:top w:w="16" w:type="dxa"/>
              <w:left w:w="16" w:type="dxa"/>
              <w:right w:w="16" w:type="dxa"/>
            </w:tcMar>
            <w:vAlign w:val="center"/>
          </w:tcPr>
          <w:p w14:paraId="44151ADF">
            <w:pPr>
              <w:adjustRightInd w:val="0"/>
              <w:snapToGrid w:val="0"/>
              <w:jc w:val="center"/>
              <w:rPr>
                <w:color w:val="auto"/>
                <w:spacing w:val="-6"/>
                <w:sz w:val="24"/>
              </w:rPr>
            </w:pPr>
            <w:r>
              <w:rPr>
                <w:color w:val="auto"/>
                <w:spacing w:val="-6"/>
                <w:sz w:val="24"/>
              </w:rPr>
              <w:t>用地（用海）</w:t>
            </w:r>
          </w:p>
          <w:p w14:paraId="7C7C4941">
            <w:pPr>
              <w:adjustRightInd w:val="0"/>
              <w:snapToGrid w:val="0"/>
              <w:jc w:val="center"/>
              <w:rPr>
                <w:color w:val="auto"/>
                <w:sz w:val="24"/>
              </w:rPr>
            </w:pPr>
            <w:r>
              <w:rPr>
                <w:color w:val="auto"/>
                <w:spacing w:val="-6"/>
                <w:sz w:val="24"/>
              </w:rPr>
              <w:t>面积（m</w:t>
            </w:r>
            <w:r>
              <w:rPr>
                <w:color w:val="auto"/>
                <w:spacing w:val="-6"/>
                <w:sz w:val="24"/>
                <w:vertAlign w:val="superscript"/>
              </w:rPr>
              <w:t>2</w:t>
            </w:r>
            <w:r>
              <w:rPr>
                <w:color w:val="auto"/>
                <w:spacing w:val="-6"/>
                <w:sz w:val="24"/>
              </w:rPr>
              <w:t>）</w:t>
            </w:r>
          </w:p>
        </w:tc>
        <w:tc>
          <w:tcPr>
            <w:tcW w:w="3014" w:type="dxa"/>
            <w:shd w:val="clear" w:color="auto" w:fill="auto"/>
            <w:vAlign w:val="center"/>
          </w:tcPr>
          <w:p w14:paraId="4F51E699">
            <w:pPr>
              <w:adjustRightInd w:val="0"/>
              <w:snapToGrid w:val="0"/>
              <w:jc w:val="center"/>
              <w:rPr>
                <w:rFonts w:hint="default" w:eastAsia="宋体"/>
                <w:color w:val="auto"/>
                <w:sz w:val="24"/>
                <w:lang w:val="en-US" w:eastAsia="zh-CN"/>
              </w:rPr>
            </w:pPr>
            <w:r>
              <w:rPr>
                <w:rFonts w:hint="default" w:ascii="Times New Roman" w:hAnsi="Times New Roman" w:cs="Times New Roman"/>
                <w:color w:val="auto"/>
                <w:sz w:val="24"/>
                <w:szCs w:val="24"/>
                <w:lang w:val="en-US" w:eastAsia="zh-CN"/>
              </w:rPr>
              <w:t>0（</w:t>
            </w:r>
            <w:r>
              <w:rPr>
                <w:rFonts w:hint="default" w:ascii="Times New Roman" w:hAnsi="Times New Roman" w:cs="Times New Roman"/>
                <w:color w:val="auto"/>
                <w:sz w:val="24"/>
                <w:szCs w:val="24"/>
              </w:rPr>
              <w:t>本项目不新增占地</w:t>
            </w:r>
            <w:r>
              <w:rPr>
                <w:rStyle w:val="42"/>
                <w:rFonts w:hint="default" w:ascii="Times New Roman" w:hAnsi="Times New Roman" w:cs="Times New Roman"/>
                <w:color w:val="auto"/>
                <w:sz w:val="24"/>
                <w:szCs w:val="24"/>
                <w:lang w:eastAsia="zh-CN"/>
              </w:rPr>
              <w:t>，</w:t>
            </w:r>
            <w:r>
              <w:rPr>
                <w:rStyle w:val="42"/>
                <w:rFonts w:hint="default" w:ascii="Times New Roman" w:hAnsi="Times New Roman" w:cs="Times New Roman"/>
                <w:color w:val="auto"/>
                <w:sz w:val="24"/>
                <w:szCs w:val="24"/>
                <w:lang w:val="en-US" w:eastAsia="zh-CN"/>
              </w:rPr>
              <w:t>原占地面积9081.6m</w:t>
            </w:r>
            <w:r>
              <w:rPr>
                <w:rStyle w:val="42"/>
                <w:rFonts w:hint="default" w:ascii="Times New Roman" w:hAnsi="Times New Roman" w:cs="Times New Roman"/>
                <w:color w:val="auto"/>
                <w:sz w:val="24"/>
                <w:szCs w:val="24"/>
                <w:vertAlign w:val="superscript"/>
                <w:lang w:val="en-US" w:eastAsia="zh-CN"/>
              </w:rPr>
              <w:t>2</w:t>
            </w:r>
            <w:r>
              <w:rPr>
                <w:rStyle w:val="42"/>
                <w:rFonts w:hint="default" w:ascii="Times New Roman" w:hAnsi="Times New Roman" w:cs="Times New Roman"/>
                <w:color w:val="auto"/>
                <w:sz w:val="24"/>
                <w:szCs w:val="24"/>
                <w:lang w:val="en-US" w:eastAsia="zh-CN"/>
              </w:rPr>
              <w:t>）</w:t>
            </w:r>
          </w:p>
        </w:tc>
      </w:tr>
      <w:tr w14:paraId="38FE2D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16" w:hRule="atLeast"/>
          <w:jc w:val="center"/>
        </w:trPr>
        <w:tc>
          <w:tcPr>
            <w:tcW w:w="2015" w:type="dxa"/>
            <w:vAlign w:val="center"/>
          </w:tcPr>
          <w:p w14:paraId="1973BE79">
            <w:pPr>
              <w:autoSpaceDE w:val="0"/>
              <w:autoSpaceDN w:val="0"/>
              <w:adjustRightInd w:val="0"/>
              <w:snapToGrid w:val="0"/>
              <w:jc w:val="center"/>
              <w:rPr>
                <w:kern w:val="0"/>
                <w:sz w:val="24"/>
              </w:rPr>
            </w:pPr>
            <w:r>
              <w:rPr>
                <w:kern w:val="0"/>
                <w:sz w:val="24"/>
              </w:rPr>
              <w:t>专项评价设置情况</w:t>
            </w:r>
          </w:p>
        </w:tc>
        <w:tc>
          <w:tcPr>
            <w:tcW w:w="6855" w:type="dxa"/>
            <w:gridSpan w:val="3"/>
            <w:vAlign w:val="center"/>
          </w:tcPr>
          <w:p w14:paraId="64E709D6">
            <w:pPr>
              <w:autoSpaceDE w:val="0"/>
              <w:autoSpaceDN w:val="0"/>
              <w:adjustRightInd w:val="0"/>
              <w:snapToGrid w:val="0"/>
              <w:ind w:firstLine="480" w:firstLineChars="200"/>
              <w:jc w:val="left"/>
              <w:rPr>
                <w:kern w:val="0"/>
                <w:sz w:val="24"/>
              </w:rPr>
            </w:pPr>
            <w:r>
              <w:rPr>
                <w:kern w:val="0"/>
                <w:sz w:val="24"/>
              </w:rPr>
              <w:t>根据《建设项目环境影响报告表编制技术指南（污染影响类）（试行）》（环办环评</w:t>
            </w:r>
            <w:r>
              <w:rPr>
                <w:rFonts w:hint="eastAsia"/>
                <w:kern w:val="0"/>
                <w:sz w:val="24"/>
                <w:lang w:eastAsia="zh-CN"/>
              </w:rPr>
              <w:t>〔2020〕33号</w:t>
            </w:r>
            <w:r>
              <w:rPr>
                <w:kern w:val="0"/>
                <w:sz w:val="24"/>
              </w:rPr>
              <w:t>）需要设置专项评价的情况详见表1-1。</w:t>
            </w:r>
          </w:p>
          <w:p w14:paraId="25127AC8">
            <w:pPr>
              <w:autoSpaceDE w:val="0"/>
              <w:autoSpaceDN w:val="0"/>
              <w:adjustRightInd w:val="0"/>
              <w:snapToGrid w:val="0"/>
              <w:jc w:val="center"/>
              <w:rPr>
                <w:b/>
                <w:bCs/>
                <w:kern w:val="0"/>
                <w:sz w:val="24"/>
              </w:rPr>
            </w:pPr>
            <w:r>
              <w:rPr>
                <w:b/>
                <w:bCs/>
                <w:kern w:val="0"/>
                <w:szCs w:val="21"/>
              </w:rPr>
              <w:t>表1-1 专项评价设置情况</w:t>
            </w:r>
          </w:p>
          <w:tbl>
            <w:tblPr>
              <w:tblStyle w:val="32"/>
              <w:tblW w:w="657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013"/>
              <w:gridCol w:w="2225"/>
              <w:gridCol w:w="2442"/>
              <w:gridCol w:w="896"/>
            </w:tblGrid>
            <w:tr w14:paraId="6584EB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70" w:type="pct"/>
                  <w:tcBorders>
                    <w:tl2br w:val="nil"/>
                    <w:tr2bl w:val="nil"/>
                  </w:tcBorders>
                  <w:vAlign w:val="center"/>
                </w:tcPr>
                <w:p w14:paraId="2B01A731">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专项评价的类别</w:t>
                  </w:r>
                </w:p>
              </w:tc>
              <w:tc>
                <w:tcPr>
                  <w:tcW w:w="1691" w:type="pct"/>
                  <w:tcBorders>
                    <w:tl2br w:val="nil"/>
                    <w:tr2bl w:val="nil"/>
                  </w:tcBorders>
                  <w:vAlign w:val="center"/>
                </w:tcPr>
                <w:p w14:paraId="4A15A13D">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设置原则</w:t>
                  </w:r>
                </w:p>
              </w:tc>
              <w:tc>
                <w:tcPr>
                  <w:tcW w:w="1856" w:type="pct"/>
                  <w:tcBorders>
                    <w:tl2br w:val="nil"/>
                    <w:tr2bl w:val="nil"/>
                  </w:tcBorders>
                  <w:vAlign w:val="center"/>
                </w:tcPr>
                <w:p w14:paraId="0AFDD0BB">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本项目情况</w:t>
                  </w:r>
                </w:p>
              </w:tc>
              <w:tc>
                <w:tcPr>
                  <w:tcW w:w="681" w:type="pct"/>
                  <w:tcBorders>
                    <w:tl2br w:val="nil"/>
                    <w:tr2bl w:val="nil"/>
                  </w:tcBorders>
                  <w:vAlign w:val="center"/>
                </w:tcPr>
                <w:p w14:paraId="2F8DF52B">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是否设置专项评价</w:t>
                  </w:r>
                </w:p>
              </w:tc>
            </w:tr>
            <w:tr w14:paraId="3A82C6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70" w:type="pct"/>
                  <w:tcBorders>
                    <w:tl2br w:val="nil"/>
                    <w:tr2bl w:val="nil"/>
                  </w:tcBorders>
                  <w:vAlign w:val="center"/>
                </w:tcPr>
                <w:p w14:paraId="72DE81EB">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大气</w:t>
                  </w:r>
                </w:p>
              </w:tc>
              <w:tc>
                <w:tcPr>
                  <w:tcW w:w="1691" w:type="pct"/>
                  <w:tcBorders>
                    <w:tl2br w:val="nil"/>
                    <w:tr2bl w:val="nil"/>
                  </w:tcBorders>
                  <w:vAlign w:val="center"/>
                </w:tcPr>
                <w:p w14:paraId="49B4EB32">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排放废气含有毒有害污染物、二噁英、苯并[a]芘、氰化物、氯气且厂界外500米范围内有环境空气保护目标的建设项目</w:t>
                  </w:r>
                </w:p>
              </w:tc>
              <w:tc>
                <w:tcPr>
                  <w:tcW w:w="1856" w:type="pct"/>
                  <w:tcBorders>
                    <w:tl2br w:val="nil"/>
                    <w:tr2bl w:val="nil"/>
                  </w:tcBorders>
                  <w:vAlign w:val="center"/>
                </w:tcPr>
                <w:p w14:paraId="6F46DB3E">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C00000"/>
                      <w:kern w:val="2"/>
                      <w:sz w:val="21"/>
                      <w:lang w:bidi="ar"/>
                    </w:rPr>
                    <w:t>本项目生物质分析报告中未体现汞含量，根据《直接法测定固体生物质燃料中汞的试验研究》（煤质技术，2020年）可知，生物质燃料汞含量极低。由于生物质汞含量极低的特点，本项目暂不开展汞及其化合物分析。因此，本项目不涉及大气专项设置原则中提及的有毒有害物质。</w:t>
                  </w:r>
                </w:p>
              </w:tc>
              <w:tc>
                <w:tcPr>
                  <w:tcW w:w="681" w:type="pct"/>
                  <w:tcBorders>
                    <w:tl2br w:val="nil"/>
                    <w:tr2bl w:val="nil"/>
                  </w:tcBorders>
                  <w:vAlign w:val="center"/>
                </w:tcPr>
                <w:p w14:paraId="419AC4F9">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否</w:t>
                  </w:r>
                </w:p>
              </w:tc>
            </w:tr>
            <w:tr w14:paraId="26A00A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70" w:type="pct"/>
                  <w:tcBorders>
                    <w:tl2br w:val="nil"/>
                    <w:tr2bl w:val="nil"/>
                  </w:tcBorders>
                  <w:vAlign w:val="center"/>
                </w:tcPr>
                <w:p w14:paraId="1C393AC4">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地表水</w:t>
                  </w:r>
                </w:p>
              </w:tc>
              <w:tc>
                <w:tcPr>
                  <w:tcW w:w="1691" w:type="pct"/>
                  <w:tcBorders>
                    <w:tl2br w:val="nil"/>
                    <w:tr2bl w:val="nil"/>
                  </w:tcBorders>
                  <w:vAlign w:val="center"/>
                </w:tcPr>
                <w:p w14:paraId="0C7ED190">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新增工业废水直排建设项目</w:t>
                  </w:r>
                  <w:r>
                    <w:rPr>
                      <w:rFonts w:hint="eastAsia" w:ascii="Times New Roman" w:hAnsi="Times New Roman" w:eastAsia="宋体" w:cs="Times New Roman"/>
                      <w:color w:val="auto"/>
                      <w:kern w:val="2"/>
                      <w:sz w:val="21"/>
                      <w:lang w:eastAsia="zh-CN" w:bidi="ar"/>
                    </w:rPr>
                    <w:t>（</w:t>
                  </w:r>
                  <w:r>
                    <w:rPr>
                      <w:rFonts w:ascii="Times New Roman" w:hAnsi="Times New Roman" w:eastAsia="宋体" w:cs="Times New Roman"/>
                      <w:color w:val="auto"/>
                      <w:kern w:val="2"/>
                      <w:sz w:val="21"/>
                      <w:lang w:bidi="ar"/>
                    </w:rPr>
                    <w:t>槽罐车外送污水处理厂的除外</w:t>
                  </w:r>
                  <w:r>
                    <w:rPr>
                      <w:rFonts w:hint="eastAsia" w:ascii="Times New Roman" w:hAnsi="Times New Roman" w:eastAsia="宋体" w:cs="Times New Roman"/>
                      <w:color w:val="auto"/>
                      <w:kern w:val="2"/>
                      <w:sz w:val="21"/>
                      <w:lang w:eastAsia="zh-CN" w:bidi="ar"/>
                    </w:rPr>
                    <w:t>）</w:t>
                  </w:r>
                  <w:r>
                    <w:rPr>
                      <w:rFonts w:ascii="Times New Roman" w:hAnsi="Times New Roman" w:eastAsia="宋体" w:cs="Times New Roman"/>
                      <w:color w:val="auto"/>
                      <w:kern w:val="2"/>
                      <w:sz w:val="21"/>
                      <w:lang w:bidi="ar"/>
                    </w:rPr>
                    <w:t>：新增废水直排的污水集中处理厂</w:t>
                  </w:r>
                </w:p>
              </w:tc>
              <w:tc>
                <w:tcPr>
                  <w:tcW w:w="1856" w:type="pct"/>
                  <w:tcBorders>
                    <w:tl2br w:val="nil"/>
                    <w:tr2bl w:val="nil"/>
                  </w:tcBorders>
                  <w:vAlign w:val="center"/>
                </w:tcPr>
                <w:p w14:paraId="6A170329">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本项目不属于工业废水直排建设项目以及废水直排的污水集中处理厂</w:t>
                  </w:r>
                </w:p>
              </w:tc>
              <w:tc>
                <w:tcPr>
                  <w:tcW w:w="681" w:type="pct"/>
                  <w:tcBorders>
                    <w:tl2br w:val="nil"/>
                    <w:tr2bl w:val="nil"/>
                  </w:tcBorders>
                  <w:vAlign w:val="center"/>
                </w:tcPr>
                <w:p w14:paraId="720EA720">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否</w:t>
                  </w:r>
                </w:p>
              </w:tc>
            </w:tr>
            <w:tr w14:paraId="7F64B9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28" w:hRule="atLeast"/>
                <w:jc w:val="center"/>
              </w:trPr>
              <w:tc>
                <w:tcPr>
                  <w:tcW w:w="770" w:type="pct"/>
                  <w:tcBorders>
                    <w:tl2br w:val="nil"/>
                    <w:tr2bl w:val="nil"/>
                  </w:tcBorders>
                  <w:vAlign w:val="center"/>
                </w:tcPr>
                <w:p w14:paraId="1655BF71">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环境风险</w:t>
                  </w:r>
                </w:p>
              </w:tc>
              <w:tc>
                <w:tcPr>
                  <w:tcW w:w="1691" w:type="pct"/>
                  <w:tcBorders>
                    <w:tl2br w:val="nil"/>
                    <w:tr2bl w:val="nil"/>
                  </w:tcBorders>
                  <w:vAlign w:val="center"/>
                </w:tcPr>
                <w:p w14:paraId="4591D815">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有毒有害和易燃易爆危险物质存储量超过临界量的建设项目。</w:t>
                  </w:r>
                </w:p>
              </w:tc>
              <w:tc>
                <w:tcPr>
                  <w:tcW w:w="1856" w:type="pct"/>
                  <w:tcBorders>
                    <w:tl2br w:val="nil"/>
                    <w:tr2bl w:val="nil"/>
                  </w:tcBorders>
                  <w:vAlign w:val="center"/>
                </w:tcPr>
                <w:p w14:paraId="1C589436">
                  <w:pPr>
                    <w:pStyle w:val="63"/>
                    <w:spacing w:line="240" w:lineRule="auto"/>
                    <w:rPr>
                      <w:rFonts w:hint="default" w:ascii="Times New Roman" w:hAnsi="Times New Roman" w:eastAsia="宋体" w:cs="Times New Roman"/>
                      <w:color w:val="auto"/>
                      <w:kern w:val="2"/>
                      <w:sz w:val="21"/>
                      <w:lang w:val="en-US" w:eastAsia="zh-CN" w:bidi="ar"/>
                    </w:rPr>
                  </w:pPr>
                  <w:r>
                    <w:rPr>
                      <w:rFonts w:ascii="Times New Roman" w:hAnsi="Times New Roman" w:eastAsia="宋体" w:cs="Times New Roman"/>
                      <w:color w:val="auto"/>
                      <w:kern w:val="2"/>
                      <w:sz w:val="21"/>
                      <w:lang w:bidi="ar"/>
                    </w:rPr>
                    <w:t>对照《建设项目环境风险评价技术导则》（HJ 169-</w:t>
                  </w:r>
                  <w:r>
                    <w:rPr>
                      <w:rFonts w:hint="eastAsia" w:ascii="Times New Roman" w:hAnsi="Times New Roman" w:eastAsia="宋体" w:cs="Times New Roman"/>
                      <w:color w:val="auto"/>
                      <w:kern w:val="2"/>
                      <w:sz w:val="21"/>
                      <w:lang w:val="en-US" w:eastAsia="zh-CN" w:bidi="ar"/>
                    </w:rPr>
                    <w:t>2</w:t>
                  </w:r>
                  <w:r>
                    <w:rPr>
                      <w:rFonts w:ascii="Times New Roman" w:hAnsi="Times New Roman" w:eastAsia="宋体" w:cs="Times New Roman"/>
                      <w:color w:val="auto"/>
                      <w:kern w:val="2"/>
                      <w:sz w:val="21"/>
                      <w:lang w:bidi="ar"/>
                    </w:rPr>
                    <w:cr/>
                  </w:r>
                  <w:r>
                    <w:rPr>
                      <w:rFonts w:ascii="Times New Roman" w:hAnsi="Times New Roman" w:eastAsia="宋体" w:cs="Times New Roman"/>
                      <w:color w:val="auto"/>
                      <w:kern w:val="2"/>
                      <w:sz w:val="21"/>
                      <w:lang w:bidi="ar"/>
                    </w:rPr>
                    <w:t>018）附录B，厂区存储的风险物质</w:t>
                  </w:r>
                  <w:r>
                    <w:rPr>
                      <w:rFonts w:hint="eastAsia" w:ascii="Times New Roman" w:hAnsi="Times New Roman" w:eastAsia="宋体" w:cs="Times New Roman"/>
                      <w:color w:val="auto"/>
                      <w:kern w:val="2"/>
                      <w:sz w:val="21"/>
                      <w:lang w:eastAsia="zh-CN" w:bidi="ar"/>
                    </w:rPr>
                    <w:t>为废</w:t>
                  </w:r>
                  <w:r>
                    <w:rPr>
                      <w:rFonts w:hint="eastAsia" w:ascii="Times New Roman" w:hAnsi="Times New Roman" w:eastAsia="宋体" w:cs="Times New Roman"/>
                      <w:color w:val="auto"/>
                      <w:kern w:val="2"/>
                      <w:sz w:val="21"/>
                      <w:lang w:val="en-US" w:eastAsia="zh-CN" w:bidi="ar"/>
                    </w:rPr>
                    <w:t>矿物油类（废润滑油）</w:t>
                  </w:r>
                  <w:r>
                    <w:rPr>
                      <w:rFonts w:ascii="Times New Roman" w:hAnsi="Times New Roman" w:eastAsia="宋体" w:cs="Times New Roman"/>
                      <w:color w:val="auto"/>
                      <w:kern w:val="2"/>
                      <w:sz w:val="21"/>
                      <w:lang w:bidi="ar"/>
                    </w:rPr>
                    <w:t>，经计算储存量未超过临界量</w:t>
                  </w:r>
                  <w:r>
                    <w:rPr>
                      <w:rFonts w:hint="eastAsia" w:ascii="Times New Roman" w:hAnsi="Times New Roman" w:eastAsia="宋体" w:cs="Times New Roman"/>
                      <w:color w:val="auto"/>
                      <w:kern w:val="2"/>
                      <w:sz w:val="21"/>
                      <w:lang w:eastAsia="zh-CN" w:bidi="ar"/>
                    </w:rPr>
                    <w:t>，</w:t>
                  </w:r>
                  <w:r>
                    <w:rPr>
                      <w:rFonts w:hint="default" w:ascii="Times New Roman" w:hAnsi="Times New Roman" w:eastAsia="宋体" w:cs="Times New Roman"/>
                      <w:color w:val="auto"/>
                      <w:kern w:val="2"/>
                      <w:sz w:val="21"/>
                      <w:lang w:bidi="ar"/>
                    </w:rPr>
                    <w:t>因此不需设置环境风险专项评价。</w:t>
                  </w:r>
                </w:p>
              </w:tc>
              <w:tc>
                <w:tcPr>
                  <w:tcW w:w="681" w:type="pct"/>
                  <w:tcBorders>
                    <w:tl2br w:val="nil"/>
                    <w:tr2bl w:val="nil"/>
                  </w:tcBorders>
                  <w:vAlign w:val="center"/>
                </w:tcPr>
                <w:p w14:paraId="20B5E2DD">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否</w:t>
                  </w:r>
                </w:p>
              </w:tc>
            </w:tr>
            <w:tr w14:paraId="609542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70" w:type="pct"/>
                  <w:tcBorders>
                    <w:tl2br w:val="nil"/>
                    <w:tr2bl w:val="nil"/>
                  </w:tcBorders>
                  <w:vAlign w:val="center"/>
                </w:tcPr>
                <w:p w14:paraId="7837D03C">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生态</w:t>
                  </w:r>
                </w:p>
              </w:tc>
              <w:tc>
                <w:tcPr>
                  <w:tcW w:w="1691" w:type="pct"/>
                  <w:tcBorders>
                    <w:tl2br w:val="nil"/>
                    <w:tr2bl w:val="nil"/>
                  </w:tcBorders>
                  <w:vAlign w:val="center"/>
                </w:tcPr>
                <w:p w14:paraId="46BFEA99">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涉及环境敏感区（不包括饮用水水源保护区，以居住、医疗卫生、文化教育、科研、行政办公为主要功能的区域，以及文物保护单位）的项目</w:t>
                  </w:r>
                </w:p>
              </w:tc>
              <w:tc>
                <w:tcPr>
                  <w:tcW w:w="1856" w:type="pct"/>
                  <w:tcBorders>
                    <w:tl2br w:val="nil"/>
                    <w:tr2bl w:val="nil"/>
                  </w:tcBorders>
                  <w:vAlign w:val="center"/>
                </w:tcPr>
                <w:p w14:paraId="6E6FA500">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本项目不涉及</w:t>
                  </w:r>
                </w:p>
              </w:tc>
              <w:tc>
                <w:tcPr>
                  <w:tcW w:w="681" w:type="pct"/>
                  <w:tcBorders>
                    <w:tl2br w:val="nil"/>
                    <w:tr2bl w:val="nil"/>
                  </w:tcBorders>
                  <w:vAlign w:val="center"/>
                </w:tcPr>
                <w:p w14:paraId="36FBBEDB">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否</w:t>
                  </w:r>
                </w:p>
              </w:tc>
            </w:tr>
            <w:tr w14:paraId="75AF27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70" w:type="pct"/>
                  <w:tcBorders>
                    <w:tl2br w:val="nil"/>
                    <w:tr2bl w:val="nil"/>
                  </w:tcBorders>
                  <w:vAlign w:val="center"/>
                </w:tcPr>
                <w:p w14:paraId="183B1D6B">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海洋</w:t>
                  </w:r>
                </w:p>
              </w:tc>
              <w:tc>
                <w:tcPr>
                  <w:tcW w:w="1691" w:type="pct"/>
                  <w:tcBorders>
                    <w:tl2br w:val="nil"/>
                    <w:tr2bl w:val="nil"/>
                  </w:tcBorders>
                  <w:vAlign w:val="center"/>
                </w:tcPr>
                <w:p w14:paraId="395C8123">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直接向海排放污染物的海洋工程建设项目。</w:t>
                  </w:r>
                </w:p>
              </w:tc>
              <w:tc>
                <w:tcPr>
                  <w:tcW w:w="1856" w:type="pct"/>
                  <w:tcBorders>
                    <w:tl2br w:val="nil"/>
                    <w:tr2bl w:val="nil"/>
                  </w:tcBorders>
                  <w:vAlign w:val="center"/>
                </w:tcPr>
                <w:p w14:paraId="24B5B9F0">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本项目不属于向海洋排放污染物的建设项目</w:t>
                  </w:r>
                  <w:r>
                    <w:rPr>
                      <w:rFonts w:hint="eastAsia" w:ascii="Times New Roman" w:hAnsi="Times New Roman" w:eastAsia="宋体" w:cs="Times New Roman"/>
                      <w:color w:val="auto"/>
                      <w:kern w:val="2"/>
                      <w:sz w:val="21"/>
                      <w:lang w:eastAsia="zh-CN" w:bidi="ar"/>
                    </w:rPr>
                    <w:t>，</w:t>
                  </w:r>
                  <w:r>
                    <w:rPr>
                      <w:rFonts w:ascii="Times New Roman" w:hAnsi="Times New Roman" w:eastAsia="宋体" w:cs="Times New Roman"/>
                      <w:color w:val="auto"/>
                      <w:kern w:val="2"/>
                      <w:sz w:val="21"/>
                      <w:lang w:bidi="ar"/>
                    </w:rPr>
                    <w:t>不涉及</w:t>
                  </w:r>
                </w:p>
              </w:tc>
              <w:tc>
                <w:tcPr>
                  <w:tcW w:w="681" w:type="pct"/>
                  <w:tcBorders>
                    <w:tl2br w:val="nil"/>
                    <w:tr2bl w:val="nil"/>
                  </w:tcBorders>
                  <w:vAlign w:val="center"/>
                </w:tcPr>
                <w:p w14:paraId="1E8D02DF">
                  <w:pPr>
                    <w:pStyle w:val="63"/>
                    <w:spacing w:line="240" w:lineRule="auto"/>
                    <w:rPr>
                      <w:rFonts w:ascii="Times New Roman" w:hAnsi="Times New Roman" w:eastAsia="宋体" w:cs="Times New Roman"/>
                      <w:color w:val="auto"/>
                      <w:kern w:val="2"/>
                      <w:sz w:val="21"/>
                      <w:lang w:bidi="ar"/>
                    </w:rPr>
                  </w:pPr>
                  <w:r>
                    <w:rPr>
                      <w:rFonts w:ascii="Times New Roman" w:hAnsi="Times New Roman" w:eastAsia="宋体" w:cs="Times New Roman"/>
                      <w:color w:val="auto"/>
                      <w:kern w:val="2"/>
                      <w:sz w:val="21"/>
                      <w:lang w:bidi="ar"/>
                    </w:rPr>
                    <w:t>否</w:t>
                  </w:r>
                </w:p>
              </w:tc>
            </w:tr>
          </w:tbl>
          <w:p w14:paraId="1902F921">
            <w:pPr>
              <w:autoSpaceDE w:val="0"/>
              <w:autoSpaceDN w:val="0"/>
              <w:adjustRightInd w:val="0"/>
              <w:snapToGrid w:val="0"/>
              <w:jc w:val="center"/>
              <w:rPr>
                <w:kern w:val="0"/>
                <w:sz w:val="24"/>
              </w:rPr>
            </w:pPr>
          </w:p>
        </w:tc>
      </w:tr>
      <w:tr w14:paraId="6DEE6E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2015" w:type="dxa"/>
            <w:vAlign w:val="center"/>
          </w:tcPr>
          <w:p w14:paraId="7162E953">
            <w:pPr>
              <w:autoSpaceDE w:val="0"/>
              <w:autoSpaceDN w:val="0"/>
              <w:adjustRightInd w:val="0"/>
              <w:snapToGrid w:val="0"/>
              <w:jc w:val="center"/>
              <w:rPr>
                <w:kern w:val="0"/>
                <w:sz w:val="24"/>
              </w:rPr>
            </w:pPr>
            <w:r>
              <w:rPr>
                <w:sz w:val="24"/>
              </w:rPr>
              <w:t>规划情况</w:t>
            </w:r>
          </w:p>
        </w:tc>
        <w:tc>
          <w:tcPr>
            <w:tcW w:w="6855" w:type="dxa"/>
            <w:gridSpan w:val="3"/>
            <w:vAlign w:val="center"/>
          </w:tcPr>
          <w:p w14:paraId="5832D65C">
            <w:pPr>
              <w:autoSpaceDE w:val="0"/>
              <w:autoSpaceDN w:val="0"/>
              <w:adjustRightInd w:val="0"/>
              <w:snapToGrid w:val="0"/>
              <w:jc w:val="center"/>
              <w:rPr>
                <w:kern w:val="0"/>
                <w:sz w:val="24"/>
              </w:rPr>
            </w:pPr>
            <w:r>
              <w:rPr>
                <w:kern w:val="0"/>
                <w:sz w:val="24"/>
              </w:rPr>
              <w:t>无</w:t>
            </w:r>
          </w:p>
        </w:tc>
      </w:tr>
      <w:tr w14:paraId="5F379F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9" w:hRule="atLeast"/>
          <w:jc w:val="center"/>
        </w:trPr>
        <w:tc>
          <w:tcPr>
            <w:tcW w:w="2015" w:type="dxa"/>
            <w:vAlign w:val="center"/>
          </w:tcPr>
          <w:p w14:paraId="76B85B4D">
            <w:pPr>
              <w:adjustRightInd w:val="0"/>
              <w:snapToGrid w:val="0"/>
              <w:jc w:val="center"/>
              <w:rPr>
                <w:sz w:val="24"/>
              </w:rPr>
            </w:pPr>
            <w:r>
              <w:rPr>
                <w:sz w:val="24"/>
              </w:rPr>
              <w:t>规划环境影响</w:t>
            </w:r>
          </w:p>
          <w:p w14:paraId="0CE1906C">
            <w:pPr>
              <w:adjustRightInd w:val="0"/>
              <w:snapToGrid w:val="0"/>
              <w:jc w:val="center"/>
              <w:rPr>
                <w:kern w:val="0"/>
                <w:sz w:val="24"/>
              </w:rPr>
            </w:pPr>
            <w:r>
              <w:rPr>
                <w:sz w:val="24"/>
              </w:rPr>
              <w:t>评价情况</w:t>
            </w:r>
          </w:p>
        </w:tc>
        <w:tc>
          <w:tcPr>
            <w:tcW w:w="6855" w:type="dxa"/>
            <w:gridSpan w:val="3"/>
            <w:vAlign w:val="center"/>
          </w:tcPr>
          <w:p w14:paraId="696B2543">
            <w:pPr>
              <w:autoSpaceDE w:val="0"/>
              <w:autoSpaceDN w:val="0"/>
              <w:adjustRightInd w:val="0"/>
              <w:snapToGrid w:val="0"/>
              <w:jc w:val="center"/>
              <w:rPr>
                <w:kern w:val="0"/>
                <w:sz w:val="24"/>
              </w:rPr>
            </w:pPr>
            <w:r>
              <w:rPr>
                <w:kern w:val="0"/>
                <w:sz w:val="24"/>
              </w:rPr>
              <w:t>无</w:t>
            </w:r>
          </w:p>
        </w:tc>
      </w:tr>
      <w:tr w14:paraId="5D13CD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015" w:type="dxa"/>
            <w:vAlign w:val="center"/>
          </w:tcPr>
          <w:p w14:paraId="670BEC9B">
            <w:pPr>
              <w:autoSpaceDE w:val="0"/>
              <w:autoSpaceDN w:val="0"/>
              <w:adjustRightInd w:val="0"/>
              <w:snapToGrid w:val="0"/>
              <w:jc w:val="center"/>
              <w:rPr>
                <w:kern w:val="0"/>
                <w:sz w:val="24"/>
              </w:rPr>
            </w:pPr>
            <w:r>
              <w:rPr>
                <w:kern w:val="0"/>
                <w:sz w:val="24"/>
              </w:rPr>
              <w:t>规划及规划环境影响评价符合性分析</w:t>
            </w:r>
          </w:p>
        </w:tc>
        <w:tc>
          <w:tcPr>
            <w:tcW w:w="6855" w:type="dxa"/>
            <w:gridSpan w:val="3"/>
            <w:vAlign w:val="center"/>
          </w:tcPr>
          <w:p w14:paraId="42675416">
            <w:pPr>
              <w:autoSpaceDE w:val="0"/>
              <w:autoSpaceDN w:val="0"/>
              <w:adjustRightInd w:val="0"/>
              <w:snapToGrid w:val="0"/>
              <w:jc w:val="center"/>
              <w:rPr>
                <w:kern w:val="0"/>
                <w:sz w:val="24"/>
              </w:rPr>
            </w:pPr>
            <w:r>
              <w:rPr>
                <w:kern w:val="0"/>
                <w:sz w:val="24"/>
              </w:rPr>
              <w:t>无</w:t>
            </w:r>
          </w:p>
        </w:tc>
      </w:tr>
      <w:tr w14:paraId="22E5B8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015" w:type="dxa"/>
            <w:vAlign w:val="center"/>
          </w:tcPr>
          <w:p w14:paraId="25FA6DE6">
            <w:pPr>
              <w:autoSpaceDE w:val="0"/>
              <w:autoSpaceDN w:val="0"/>
              <w:adjustRightInd w:val="0"/>
              <w:snapToGrid w:val="0"/>
              <w:jc w:val="center"/>
              <w:rPr>
                <w:kern w:val="0"/>
                <w:sz w:val="24"/>
              </w:rPr>
            </w:pPr>
            <w:r>
              <w:rPr>
                <w:kern w:val="0"/>
                <w:sz w:val="24"/>
              </w:rPr>
              <w:t>其他符合性分析</w:t>
            </w:r>
          </w:p>
        </w:tc>
        <w:tc>
          <w:tcPr>
            <w:tcW w:w="6855" w:type="dxa"/>
            <w:gridSpan w:val="3"/>
            <w:vAlign w:val="center"/>
          </w:tcPr>
          <w:p w14:paraId="2089BE7B">
            <w:pPr>
              <w:spacing w:line="360" w:lineRule="auto"/>
              <w:ind w:firstLine="482" w:firstLineChars="200"/>
              <w:rPr>
                <w:color w:val="C00000"/>
                <w:sz w:val="24"/>
              </w:rPr>
            </w:pPr>
            <w:r>
              <w:rPr>
                <w:b/>
                <w:bCs/>
                <w:color w:val="C00000"/>
                <w:sz w:val="24"/>
              </w:rPr>
              <w:t>1、产业政策相符性</w:t>
            </w:r>
          </w:p>
          <w:p w14:paraId="1B3C70FA">
            <w:pPr>
              <w:keepNext w:val="0"/>
              <w:keepLines w:val="0"/>
              <w:numPr>
                <w:ilvl w:val="0"/>
                <w:numId w:val="0"/>
              </w:numPr>
              <w:suppressLineNumbers w:val="0"/>
              <w:spacing w:before="0" w:beforeAutospacing="0" w:after="0" w:afterAutospacing="0" w:line="360" w:lineRule="auto"/>
              <w:ind w:left="0" w:right="0" w:firstLine="480" w:firstLineChars="200"/>
              <w:rPr>
                <w:rFonts w:hint="eastAsia" w:ascii="Times New Roman" w:hAnsi="Times New Roman" w:cs="Times New Roman" w:eastAsiaTheme="minorEastAsia"/>
                <w:color w:val="C00000"/>
                <w:sz w:val="24"/>
                <w:highlight w:val="none"/>
                <w:lang w:eastAsia="zh-CN"/>
              </w:rPr>
            </w:pPr>
            <w:r>
              <w:rPr>
                <w:rFonts w:hint="default" w:ascii="Times New Roman" w:hAnsi="Times New Roman" w:eastAsia="宋体" w:cs="Times New Roman"/>
                <w:color w:val="C00000"/>
                <w:sz w:val="24"/>
                <w:highlight w:val="none"/>
              </w:rPr>
              <w:t>根据国家发展和改革委员会颁布的《产业结构调整指导目录（2024年本）》，</w:t>
            </w:r>
            <w:r>
              <w:rPr>
                <w:rFonts w:hint="default" w:ascii="Times New Roman" w:hAnsi="Times New Roman" w:cs="Times New Roman" w:eastAsiaTheme="minorEastAsia"/>
                <w:color w:val="C00000"/>
                <w:sz w:val="24"/>
                <w:highlight w:val="none"/>
              </w:rPr>
              <w:t>本项目</w:t>
            </w:r>
            <w:r>
              <w:rPr>
                <w:rFonts w:hint="eastAsia" w:cs="Times New Roman" w:eastAsiaTheme="minorEastAsia"/>
                <w:color w:val="C00000"/>
                <w:sz w:val="24"/>
                <w:highlight w:val="none"/>
                <w:lang w:val="en-US" w:eastAsia="zh-CN"/>
              </w:rPr>
              <w:t>为热风炉改建项目，本项目</w:t>
            </w:r>
            <w:r>
              <w:rPr>
                <w:rFonts w:hint="default" w:ascii="Times New Roman" w:hAnsi="Times New Roman" w:cs="Times New Roman" w:eastAsiaTheme="minorEastAsia"/>
                <w:color w:val="C00000"/>
                <w:sz w:val="24"/>
                <w:highlight w:val="none"/>
              </w:rPr>
              <w:t>产业类别、所采用的生产工艺及设备不在“限制类”或“淘汰类”设备名录内</w:t>
            </w:r>
            <w:r>
              <w:rPr>
                <w:rFonts w:hint="eastAsia" w:ascii="Times New Roman" w:hAnsi="Times New Roman" w:cs="Times New Roman" w:eastAsiaTheme="minorEastAsia"/>
                <w:color w:val="C00000"/>
                <w:sz w:val="24"/>
                <w:highlight w:val="none"/>
                <w:lang w:eastAsia="zh-CN"/>
              </w:rPr>
              <w:t>。</w:t>
            </w:r>
          </w:p>
          <w:p w14:paraId="72D8C9FA">
            <w:pPr>
              <w:keepNext w:val="0"/>
              <w:keepLines w:val="0"/>
              <w:numPr>
                <w:ilvl w:val="0"/>
                <w:numId w:val="0"/>
              </w:numPr>
              <w:suppressLineNumbers w:val="0"/>
              <w:spacing w:before="0" w:beforeAutospacing="0" w:after="0" w:afterAutospacing="0" w:line="360" w:lineRule="auto"/>
              <w:ind w:left="0" w:right="0" w:firstLine="480" w:firstLineChars="200"/>
              <w:rPr>
                <w:rFonts w:hint="default" w:ascii="Times New Roman" w:hAnsi="Times New Roman" w:cs="Times New Roman" w:eastAsiaTheme="minorEastAsia"/>
                <w:color w:val="C00000"/>
                <w:kern w:val="0"/>
                <w:sz w:val="24"/>
                <w:szCs w:val="24"/>
                <w:highlight w:val="none"/>
                <w:lang w:eastAsia="zh-CN"/>
              </w:rPr>
            </w:pPr>
            <w:r>
              <w:rPr>
                <w:rFonts w:hint="default" w:ascii="Times New Roman" w:hAnsi="Times New Roman" w:eastAsia="宋体" w:cs="Times New Roman"/>
                <w:color w:val="C00000"/>
                <w:sz w:val="24"/>
                <w:highlight w:val="none"/>
              </w:rPr>
              <w:t>本项目</w:t>
            </w:r>
            <w:r>
              <w:rPr>
                <w:rFonts w:hint="eastAsia" w:cs="Times New Roman"/>
                <w:color w:val="C00000"/>
                <w:sz w:val="24"/>
                <w:highlight w:val="none"/>
                <w:lang w:val="en-US" w:eastAsia="zh-CN"/>
              </w:rPr>
              <w:t>为热力生产和供应，项目</w:t>
            </w:r>
            <w:r>
              <w:rPr>
                <w:rFonts w:hint="default" w:ascii="Times New Roman" w:hAnsi="Times New Roman" w:eastAsia="宋体" w:cs="Times New Roman"/>
                <w:color w:val="C00000"/>
                <w:sz w:val="24"/>
                <w:highlight w:val="none"/>
              </w:rPr>
              <w:t>不涉及目录中的“鼓励类、限制类、淘汰类”规定内容</w:t>
            </w:r>
            <w:r>
              <w:rPr>
                <w:rFonts w:hint="eastAsia" w:cs="Times New Roman"/>
                <w:color w:val="C00000"/>
                <w:sz w:val="24"/>
                <w:highlight w:val="none"/>
                <w:lang w:eastAsia="zh-CN"/>
              </w:rPr>
              <w:t>，</w:t>
            </w:r>
            <w:r>
              <w:rPr>
                <w:rFonts w:hint="default" w:ascii="Times New Roman" w:hAnsi="Times New Roman" w:cs="Times New Roman" w:eastAsiaTheme="minorEastAsia"/>
                <w:color w:val="C00000"/>
                <w:sz w:val="24"/>
                <w:highlight w:val="none"/>
              </w:rPr>
              <w:t>本项目依法进行环境影响评价，符合“生态环境分区管控”要求，本项目各污染物均设置相应的污染防治措施，污染物排放均可达到相应标准。综上，本项目属于“允许类”，符合《产业结构调整指导目录（2024年本）》要求</w:t>
            </w:r>
            <w:r>
              <w:rPr>
                <w:rFonts w:hint="default" w:ascii="Times New Roman" w:hAnsi="Times New Roman" w:cs="Times New Roman" w:eastAsiaTheme="minorEastAsia"/>
                <w:color w:val="C00000"/>
                <w:sz w:val="24"/>
                <w:highlight w:val="none"/>
                <w:lang w:eastAsia="zh-CN"/>
              </w:rPr>
              <w:t>。</w:t>
            </w:r>
          </w:p>
          <w:p w14:paraId="01296C87">
            <w:pPr>
              <w:spacing w:line="360" w:lineRule="auto"/>
              <w:ind w:firstLine="482" w:firstLineChars="200"/>
              <w:rPr>
                <w:b/>
                <w:color w:val="C00000"/>
                <w:sz w:val="24"/>
              </w:rPr>
            </w:pPr>
            <w:r>
              <w:rPr>
                <w:b/>
                <w:color w:val="C00000"/>
                <w:sz w:val="24"/>
              </w:rPr>
              <w:t>2、生态环境分区管控符合性分析</w:t>
            </w:r>
          </w:p>
          <w:p w14:paraId="25849FA8">
            <w:pPr>
              <w:spacing w:line="360" w:lineRule="auto"/>
              <w:ind w:firstLine="480" w:firstLineChars="200"/>
              <w:rPr>
                <w:rFonts w:hint="eastAsia" w:ascii="Times New Roman" w:hAnsi="Times New Roman" w:eastAsia="宋体" w:cs="Times New Roman"/>
                <w:color w:val="C00000"/>
                <w:sz w:val="24"/>
                <w:highlight w:val="none"/>
                <w:lang w:val="en-US" w:eastAsia="zh-CN" w:bidi="ar-SA"/>
              </w:rPr>
            </w:pPr>
            <w:r>
              <w:rPr>
                <w:color w:val="C00000"/>
                <w:sz w:val="24"/>
              </w:rPr>
              <w:t>本项目位于</w:t>
            </w:r>
            <w:r>
              <w:rPr>
                <w:rFonts w:hint="eastAsia"/>
                <w:color w:val="C00000"/>
                <w:sz w:val="24"/>
              </w:rPr>
              <w:t>黑龙江省双鸭山市宝山区新安煤矿原建设科院内</w:t>
            </w:r>
            <w:r>
              <w:rPr>
                <w:color w:val="C00000"/>
                <w:sz w:val="24"/>
              </w:rPr>
              <w:t>，</w:t>
            </w:r>
            <w:r>
              <w:rPr>
                <w:rFonts w:hint="default" w:ascii="Times New Roman" w:hAnsi="Times New Roman" w:eastAsia="宋体" w:cs="Times New Roman"/>
                <w:color w:val="C00000"/>
                <w:sz w:val="24"/>
                <w:highlight w:val="none"/>
                <w:lang w:val="en-US" w:eastAsia="zh-CN" w:bidi="ar-SA"/>
              </w:rPr>
              <w:t>根据《关于发布2023年生态环境分区管控动态更新成果的通知》（黑环发〔2024〕1号）、《黑龙江省人民政府关于实施“三线一单”生态环境分区管控的意见（黑政发[2020]14号）》、《双鸭山市人民政府关于实施“三线一单”生态环境分区控制的意见》（双政规〔2021〕2号）规定、《双鸭山市生态环境准入清单（2023年版）》</w:t>
            </w:r>
            <w:r>
              <w:rPr>
                <w:rFonts w:hint="eastAsia" w:ascii="Times New Roman" w:hAnsi="Times New Roman" w:eastAsia="宋体" w:cs="Times New Roman"/>
                <w:color w:val="C00000"/>
                <w:sz w:val="24"/>
                <w:highlight w:val="none"/>
                <w:lang w:val="en-US" w:eastAsia="zh-CN" w:bidi="ar-SA"/>
              </w:rPr>
              <w:t>、</w:t>
            </w:r>
            <w:r>
              <w:rPr>
                <w:rFonts w:hint="default" w:ascii="Times New Roman" w:hAnsi="Times New Roman" w:eastAsia="宋体" w:cs="Times New Roman"/>
                <w:color w:val="C00000"/>
                <w:sz w:val="24"/>
                <w:highlight w:val="none"/>
                <w:lang w:val="en-US" w:eastAsia="zh-CN" w:bidi="ar-SA"/>
              </w:rPr>
              <w:t>《</w:t>
            </w:r>
            <w:r>
              <w:rPr>
                <w:rFonts w:hint="eastAsia" w:ascii="Times New Roman" w:hAnsi="Times New Roman" w:eastAsia="宋体" w:cs="Times New Roman"/>
                <w:color w:val="C00000"/>
                <w:sz w:val="24"/>
                <w:highlight w:val="none"/>
                <w:lang w:val="en-US" w:eastAsia="zh-CN" w:bidi="ar-SA"/>
              </w:rPr>
              <w:t>双鸭山市润丰粮食有限公司改建项目</w:t>
            </w:r>
            <w:r>
              <w:rPr>
                <w:rFonts w:hint="default" w:ascii="Times New Roman" w:hAnsi="Times New Roman" w:eastAsia="宋体" w:cs="Times New Roman"/>
                <w:color w:val="C00000"/>
                <w:sz w:val="24"/>
                <w:highlight w:val="none"/>
                <w:lang w:val="en-US" w:eastAsia="zh-CN" w:bidi="ar-SA"/>
              </w:rPr>
              <w:t>生态环境分区管控分析报告》，项目</w:t>
            </w:r>
            <w:r>
              <w:rPr>
                <w:rFonts w:hint="default"/>
                <w:color w:val="C00000"/>
                <w:sz w:val="24"/>
                <w:szCs w:val="24"/>
                <w:highlight w:val="none"/>
                <w:shd w:val="clear" w:color="auto" w:fill="auto"/>
              </w:rPr>
              <w:t>所在地属于</w:t>
            </w:r>
            <w:r>
              <w:rPr>
                <w:rFonts w:hint="eastAsia"/>
                <w:color w:val="C00000"/>
                <w:sz w:val="24"/>
                <w:szCs w:val="24"/>
                <w:highlight w:val="none"/>
                <w:shd w:val="clear" w:color="auto" w:fill="auto"/>
                <w:lang w:val="en-US" w:eastAsia="zh-CN"/>
              </w:rPr>
              <w:t>一般</w:t>
            </w:r>
            <w:r>
              <w:rPr>
                <w:rFonts w:hint="default"/>
                <w:color w:val="C00000"/>
                <w:sz w:val="24"/>
                <w:szCs w:val="24"/>
                <w:highlight w:val="none"/>
                <w:shd w:val="clear" w:color="auto" w:fill="auto"/>
              </w:rPr>
              <w:t>管控单元</w:t>
            </w:r>
            <w:r>
              <w:rPr>
                <w:rFonts w:hint="eastAsia"/>
                <w:color w:val="C00000"/>
                <w:sz w:val="24"/>
                <w:szCs w:val="24"/>
                <w:highlight w:val="none"/>
                <w:shd w:val="clear" w:color="auto" w:fill="auto"/>
                <w:lang w:eastAsia="zh-CN"/>
              </w:rPr>
              <w:t>。</w:t>
            </w:r>
            <w:r>
              <w:rPr>
                <w:rFonts w:hint="default" w:ascii="Times New Roman" w:hAnsi="Times New Roman" w:eastAsia="宋体" w:cs="Times New Roman"/>
                <w:color w:val="C00000"/>
                <w:sz w:val="24"/>
                <w:highlight w:val="none"/>
                <w:lang w:val="en-US" w:eastAsia="zh-CN" w:bidi="ar-SA"/>
              </w:rPr>
              <w:t>生态环境分区管控报告见附件</w:t>
            </w:r>
            <w:r>
              <w:rPr>
                <w:rFonts w:hint="eastAsia" w:ascii="Times New Roman" w:hAnsi="Times New Roman" w:eastAsia="宋体" w:cs="Times New Roman"/>
                <w:color w:val="C00000"/>
                <w:sz w:val="24"/>
                <w:highlight w:val="none"/>
                <w:lang w:val="en-US" w:eastAsia="zh-CN" w:bidi="ar-SA"/>
              </w:rPr>
              <w:t>9。</w:t>
            </w:r>
          </w:p>
          <w:p w14:paraId="43C7C0D7">
            <w:pPr>
              <w:spacing w:line="360" w:lineRule="auto"/>
              <w:ind w:firstLine="480" w:firstLineChars="200"/>
              <w:rPr>
                <w:rFonts w:hint="default" w:ascii="Times New Roman" w:hAnsi="Times New Roman" w:eastAsia="宋体" w:cs="Times New Roman"/>
                <w:color w:val="C00000"/>
                <w:sz w:val="24"/>
                <w:highlight w:val="none"/>
                <w:lang w:val="en-US" w:eastAsia="zh-CN" w:bidi="ar-SA"/>
              </w:rPr>
            </w:pPr>
            <w:r>
              <w:rPr>
                <w:rFonts w:hint="eastAsia" w:cs="Times New Roman"/>
                <w:color w:val="C00000"/>
                <w:sz w:val="24"/>
                <w:highlight w:val="none"/>
                <w:lang w:val="en-US" w:eastAsia="zh-CN" w:bidi="ar-SA"/>
              </w:rPr>
              <w:t>（1）“一图”</w:t>
            </w:r>
          </w:p>
          <w:p w14:paraId="533574C3">
            <w:pPr>
              <w:spacing w:line="360" w:lineRule="auto"/>
              <w:ind w:firstLine="480" w:firstLineChars="200"/>
              <w:rPr>
                <w:rFonts w:hint="default" w:ascii="Times New Roman" w:hAnsi="Times New Roman" w:eastAsia="宋体" w:cs="Times New Roman"/>
                <w:color w:val="C00000"/>
                <w:sz w:val="24"/>
                <w:highlight w:val="none"/>
                <w:lang w:val="en-US" w:eastAsia="zh-CN" w:bidi="ar-SA"/>
              </w:rPr>
            </w:pPr>
            <w:r>
              <w:rPr>
                <w:rFonts w:hint="default" w:ascii="Times New Roman" w:hAnsi="Times New Roman" w:eastAsia="宋体" w:cs="Times New Roman"/>
                <w:color w:val="C00000"/>
                <w:sz w:val="24"/>
                <w:highlight w:val="none"/>
                <w:lang w:val="en-US" w:eastAsia="zh-CN" w:bidi="ar-SA"/>
              </w:rPr>
              <w:t>本项目所在厂区与环境管控单元叠加图见</w:t>
            </w:r>
            <w:r>
              <w:rPr>
                <w:rFonts w:hint="eastAsia" w:ascii="Times New Roman" w:hAnsi="Times New Roman" w:eastAsia="宋体" w:cs="Times New Roman"/>
                <w:color w:val="C00000"/>
                <w:sz w:val="24"/>
                <w:highlight w:val="none"/>
                <w:lang w:val="en-US" w:eastAsia="zh-CN" w:bidi="ar-SA"/>
              </w:rPr>
              <w:t>图1-1，</w:t>
            </w:r>
            <w:r>
              <w:rPr>
                <w:rFonts w:hint="eastAsia"/>
                <w:bCs/>
                <w:color w:val="C00000"/>
                <w:sz w:val="24"/>
                <w:szCs w:val="21"/>
                <w:highlight w:val="none"/>
              </w:rPr>
              <w:t>与地下水环境管控</w:t>
            </w:r>
            <w:r>
              <w:rPr>
                <w:rFonts w:hint="eastAsia"/>
                <w:bCs/>
                <w:color w:val="C00000"/>
                <w:sz w:val="24"/>
                <w:szCs w:val="21"/>
                <w:highlight w:val="none"/>
                <w:lang w:eastAsia="zh-CN"/>
              </w:rPr>
              <w:t>单元叠加</w:t>
            </w:r>
            <w:r>
              <w:rPr>
                <w:rFonts w:hint="eastAsia"/>
                <w:bCs/>
                <w:color w:val="C00000"/>
                <w:sz w:val="24"/>
                <w:szCs w:val="21"/>
                <w:highlight w:val="none"/>
              </w:rPr>
              <w:t>图</w:t>
            </w:r>
            <w:r>
              <w:rPr>
                <w:rFonts w:hint="eastAsia"/>
                <w:bCs/>
                <w:color w:val="C00000"/>
                <w:sz w:val="24"/>
                <w:szCs w:val="21"/>
                <w:highlight w:val="none"/>
                <w:lang w:val="en-US" w:eastAsia="zh-CN"/>
              </w:rPr>
              <w:t>见图</w:t>
            </w:r>
            <w:r>
              <w:rPr>
                <w:rFonts w:hint="eastAsia" w:ascii="Times New Roman" w:hAnsi="Times New Roman" w:eastAsia="宋体" w:cs="Times New Roman"/>
                <w:color w:val="C00000"/>
                <w:sz w:val="24"/>
                <w:highlight w:val="none"/>
                <w:lang w:val="en-US" w:eastAsia="zh-CN" w:bidi="ar-SA"/>
              </w:rPr>
              <w:t>1-2。</w:t>
            </w:r>
          </w:p>
          <w:p w14:paraId="3CC7477D">
            <w:pPr>
              <w:spacing w:line="360" w:lineRule="auto"/>
              <w:jc w:val="center"/>
              <w:rPr>
                <w:snapToGrid w:val="0"/>
                <w:color w:val="C00000"/>
                <w:kern w:val="44"/>
                <w:sz w:val="24"/>
                <w:szCs w:val="30"/>
                <w:highlight w:val="yellow"/>
              </w:rPr>
            </w:pPr>
            <w:r>
              <w:rPr>
                <w:color w:val="C00000"/>
              </w:rPr>
              <w:drawing>
                <wp:inline distT="0" distB="0" distL="114300" distR="114300">
                  <wp:extent cx="4213860" cy="2190115"/>
                  <wp:effectExtent l="0" t="0" r="15240" b="63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4"/>
                          <a:stretch>
                            <a:fillRect/>
                          </a:stretch>
                        </pic:blipFill>
                        <pic:spPr>
                          <a:xfrm>
                            <a:off x="0" y="0"/>
                            <a:ext cx="4213860" cy="2190115"/>
                          </a:xfrm>
                          <a:prstGeom prst="rect">
                            <a:avLst/>
                          </a:prstGeom>
                          <a:noFill/>
                          <a:ln>
                            <a:noFill/>
                          </a:ln>
                        </pic:spPr>
                      </pic:pic>
                    </a:graphicData>
                  </a:graphic>
                </wp:inline>
              </w:drawing>
            </w:r>
          </w:p>
          <w:p w14:paraId="635672BD">
            <w:pPr>
              <w:spacing w:line="360" w:lineRule="auto"/>
              <w:jc w:val="center"/>
              <w:rPr>
                <w:snapToGrid w:val="0"/>
                <w:color w:val="C00000"/>
                <w:kern w:val="44"/>
                <w:sz w:val="24"/>
                <w:szCs w:val="30"/>
              </w:rPr>
            </w:pPr>
            <w:r>
              <w:rPr>
                <w:snapToGrid w:val="0"/>
                <w:color w:val="C00000"/>
                <w:kern w:val="44"/>
                <w:sz w:val="24"/>
                <w:szCs w:val="30"/>
              </w:rPr>
              <w:t>图1-1 本项目与环境管控单元叠加图</w:t>
            </w:r>
          </w:p>
          <w:p w14:paraId="527131A0">
            <w:pPr>
              <w:pStyle w:val="9"/>
              <w:spacing w:line="240" w:lineRule="auto"/>
              <w:rPr>
                <w:color w:val="C00000"/>
              </w:rPr>
            </w:pPr>
            <w:r>
              <w:rPr>
                <w:color w:val="C00000"/>
              </w:rPr>
              <w:drawing>
                <wp:inline distT="0" distB="0" distL="114300" distR="114300">
                  <wp:extent cx="4211955" cy="2323465"/>
                  <wp:effectExtent l="0" t="0" r="17145" b="63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5"/>
                          <a:stretch>
                            <a:fillRect/>
                          </a:stretch>
                        </pic:blipFill>
                        <pic:spPr>
                          <a:xfrm>
                            <a:off x="0" y="0"/>
                            <a:ext cx="4211955" cy="2323465"/>
                          </a:xfrm>
                          <a:prstGeom prst="rect">
                            <a:avLst/>
                          </a:prstGeom>
                          <a:noFill/>
                          <a:ln>
                            <a:noFill/>
                          </a:ln>
                        </pic:spPr>
                      </pic:pic>
                    </a:graphicData>
                  </a:graphic>
                </wp:inline>
              </w:drawing>
            </w:r>
          </w:p>
          <w:p w14:paraId="46D753C3">
            <w:pPr>
              <w:autoSpaceDE w:val="0"/>
              <w:autoSpaceDN w:val="0"/>
              <w:spacing w:line="360" w:lineRule="auto"/>
              <w:ind w:firstLine="480" w:firstLineChars="200"/>
              <w:jc w:val="center"/>
              <w:rPr>
                <w:bCs/>
                <w:color w:val="C00000"/>
                <w:sz w:val="24"/>
                <w:szCs w:val="21"/>
              </w:rPr>
            </w:pPr>
            <w:r>
              <w:rPr>
                <w:rFonts w:hint="eastAsia"/>
                <w:bCs/>
                <w:color w:val="C00000"/>
                <w:sz w:val="24"/>
                <w:szCs w:val="21"/>
              </w:rPr>
              <w:t>图1-2 本项目与地下水环境管控叠加图</w:t>
            </w:r>
          </w:p>
          <w:p w14:paraId="22C2F8C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C00000"/>
                <w:sz w:val="24"/>
                <w:highlight w:val="none"/>
                <w:lang w:val="en-US" w:eastAsia="zh-CN" w:bidi="ar-SA"/>
              </w:rPr>
            </w:pPr>
            <w:r>
              <w:rPr>
                <w:rFonts w:hint="eastAsia" w:cs="Times New Roman"/>
                <w:color w:val="C00000"/>
                <w:sz w:val="24"/>
                <w:highlight w:val="none"/>
                <w:lang w:val="en-US" w:eastAsia="zh-CN" w:bidi="ar-SA"/>
              </w:rPr>
              <w:t>（2）“一表”</w:t>
            </w:r>
          </w:p>
          <w:p w14:paraId="3C9962C7">
            <w:pPr>
              <w:spacing w:line="360" w:lineRule="auto"/>
              <w:ind w:firstLine="480" w:firstLineChars="200"/>
              <w:rPr>
                <w:color w:val="C00000"/>
                <w:sz w:val="24"/>
              </w:rPr>
            </w:pPr>
            <w:r>
              <w:rPr>
                <w:rFonts w:hint="default" w:ascii="Times New Roman" w:hAnsi="Times New Roman" w:eastAsia="宋体" w:cs="Times New Roman"/>
                <w:color w:val="C00000"/>
                <w:sz w:val="24"/>
                <w:highlight w:val="none"/>
                <w:lang w:val="en-US" w:eastAsia="zh-CN" w:bidi="ar-SA"/>
              </w:rPr>
              <w:t>本项目与生态环境准入清单符合性分析见下表。</w:t>
            </w:r>
          </w:p>
          <w:p w14:paraId="778FE6FE">
            <w:pPr>
              <w:autoSpaceDE w:val="0"/>
              <w:autoSpaceDN w:val="0"/>
              <w:jc w:val="center"/>
              <w:rPr>
                <w:b/>
                <w:color w:val="C00000"/>
                <w:sz w:val="24"/>
                <w:szCs w:val="21"/>
              </w:rPr>
            </w:pPr>
            <w:r>
              <w:rPr>
                <w:b/>
                <w:color w:val="C00000"/>
                <w:sz w:val="24"/>
                <w:szCs w:val="21"/>
              </w:rPr>
              <w:t>表1-2</w:t>
            </w:r>
            <w:r>
              <w:rPr>
                <w:rFonts w:hint="eastAsia"/>
                <w:b/>
                <w:color w:val="C00000"/>
                <w:sz w:val="24"/>
                <w:szCs w:val="21"/>
              </w:rPr>
              <w:t xml:space="preserve"> </w:t>
            </w:r>
            <w:r>
              <w:rPr>
                <w:rFonts w:hint="default" w:ascii="Times New Roman" w:hAnsi="Times New Roman" w:eastAsia="宋体" w:cs="Times New Roman"/>
                <w:b/>
                <w:color w:val="C00000"/>
                <w:sz w:val="24"/>
                <w:szCs w:val="21"/>
                <w:lang w:val="en-US" w:eastAsia="zh-CN" w:bidi="ar-SA"/>
              </w:rPr>
              <w:t>生态环境准入清单管控要求符合性分析</w:t>
            </w:r>
          </w:p>
          <w:tbl>
            <w:tblPr>
              <w:tblStyle w:val="32"/>
              <w:tblW w:w="492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3"/>
              <w:gridCol w:w="2746"/>
              <w:gridCol w:w="816"/>
              <w:gridCol w:w="386"/>
              <w:gridCol w:w="1544"/>
            </w:tblGrid>
            <w:tr w14:paraId="21BA68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5000" w:type="pct"/>
                  <w:gridSpan w:val="5"/>
                  <w:vAlign w:val="center"/>
                </w:tcPr>
                <w:p w14:paraId="58DD3905">
                  <w:pPr>
                    <w:snapToGrid w:val="0"/>
                    <w:jc w:val="center"/>
                    <w:rPr>
                      <w:rFonts w:hint="eastAsia" w:eastAsiaTheme="minorEastAsia"/>
                      <w:color w:val="C00000"/>
                      <w:kern w:val="0"/>
                      <w:szCs w:val="21"/>
                    </w:rPr>
                  </w:pPr>
                  <w:r>
                    <w:rPr>
                      <w:rFonts w:hint="default" w:ascii="Times New Roman" w:hAnsi="Times New Roman" w:cs="Times New Roman" w:eastAsiaTheme="minorEastAsia"/>
                      <w:b/>
                      <w:bCs/>
                      <w:color w:val="C00000"/>
                      <w:sz w:val="21"/>
                      <w:szCs w:val="21"/>
                      <w:highlight w:val="none"/>
                    </w:rPr>
                    <w:t>一、生态保护红线</w:t>
                  </w:r>
                </w:p>
              </w:tc>
            </w:tr>
            <w:tr w14:paraId="51604D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804" w:type="pct"/>
                  <w:shd w:val="clear" w:color="auto" w:fill="auto"/>
                  <w:vAlign w:val="center"/>
                </w:tcPr>
                <w:p w14:paraId="0905FBDF">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cs="Times New Roman" w:eastAsiaTheme="minorEastAsia"/>
                      <w:b/>
                      <w:bCs/>
                      <w:color w:val="C00000"/>
                      <w:kern w:val="2"/>
                      <w:sz w:val="21"/>
                      <w:szCs w:val="21"/>
                      <w:highlight w:val="none"/>
                      <w:lang w:val="en-US" w:eastAsia="zh-CN" w:bidi="ar-SA"/>
                    </w:rPr>
                  </w:pPr>
                  <w:r>
                    <w:rPr>
                      <w:rFonts w:hint="default" w:ascii="Times New Roman" w:hAnsi="Times New Roman" w:cs="Times New Roman" w:eastAsiaTheme="minorEastAsia"/>
                      <w:b/>
                      <w:bCs/>
                      <w:color w:val="C00000"/>
                      <w:sz w:val="21"/>
                      <w:szCs w:val="21"/>
                      <w:highlight w:val="none"/>
                    </w:rPr>
                    <w:t>管控单元类别</w:t>
                  </w:r>
                </w:p>
              </w:tc>
              <w:tc>
                <w:tcPr>
                  <w:tcW w:w="4195" w:type="pct"/>
                  <w:gridSpan w:val="4"/>
                  <w:shd w:val="clear" w:color="auto" w:fill="auto"/>
                  <w:vAlign w:val="center"/>
                </w:tcPr>
                <w:p w14:paraId="5E892673">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ascii="Times New Roman" w:hAnsi="Times New Roman" w:cs="Times New Roman" w:eastAsiaTheme="minorEastAsia"/>
                      <w:color w:val="C00000"/>
                      <w:kern w:val="2"/>
                      <w:sz w:val="21"/>
                      <w:szCs w:val="21"/>
                      <w:highlight w:val="none"/>
                      <w:lang w:val="en-US" w:eastAsia="zh-CN" w:bidi="ar-SA"/>
                    </w:rPr>
                  </w:pPr>
                  <w:r>
                    <w:rPr>
                      <w:rFonts w:hint="default" w:ascii="Times New Roman" w:hAnsi="Times New Roman" w:cs="Times New Roman" w:eastAsiaTheme="minorEastAsia"/>
                      <w:color w:val="C00000"/>
                      <w:sz w:val="21"/>
                      <w:szCs w:val="21"/>
                      <w:highlight w:val="none"/>
                    </w:rPr>
                    <w:t>一般管控区</w:t>
                  </w:r>
                </w:p>
              </w:tc>
            </w:tr>
            <w:tr w14:paraId="3AC555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804" w:type="pct"/>
                  <w:shd w:val="clear" w:color="auto" w:fill="auto"/>
                  <w:vAlign w:val="center"/>
                </w:tcPr>
                <w:p w14:paraId="372C5D16">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cs="Times New Roman" w:eastAsiaTheme="minorEastAsia"/>
                      <w:b/>
                      <w:bCs/>
                      <w:color w:val="C00000"/>
                      <w:kern w:val="2"/>
                      <w:sz w:val="21"/>
                      <w:szCs w:val="21"/>
                      <w:highlight w:val="none"/>
                      <w:lang w:val="en-US" w:eastAsia="zh-CN" w:bidi="ar-SA"/>
                    </w:rPr>
                  </w:pPr>
                  <w:r>
                    <w:rPr>
                      <w:rFonts w:hint="default" w:ascii="Times New Roman" w:hAnsi="Times New Roman" w:cs="Times New Roman" w:eastAsiaTheme="minorEastAsia"/>
                      <w:b/>
                      <w:bCs/>
                      <w:color w:val="C00000"/>
                      <w:sz w:val="21"/>
                      <w:szCs w:val="21"/>
                      <w:highlight w:val="none"/>
                    </w:rPr>
                    <w:t>管控要求</w:t>
                  </w:r>
                </w:p>
              </w:tc>
              <w:tc>
                <w:tcPr>
                  <w:tcW w:w="4195" w:type="pct"/>
                  <w:gridSpan w:val="4"/>
                  <w:shd w:val="clear" w:color="auto" w:fill="auto"/>
                  <w:vAlign w:val="center"/>
                </w:tcPr>
                <w:p w14:paraId="1A0EDADD">
                  <w:pPr>
                    <w:keepNext w:val="0"/>
                    <w:keepLines w:val="0"/>
                    <w:suppressLineNumbers w:val="0"/>
                    <w:adjustRightInd w:val="0"/>
                    <w:snapToGrid w:val="0"/>
                    <w:spacing w:before="0" w:beforeAutospacing="0" w:after="0" w:afterAutospacing="0"/>
                    <w:ind w:left="0" w:leftChars="0" w:right="0" w:rightChars="0"/>
                    <w:textAlignment w:val="baseline"/>
                    <w:rPr>
                      <w:rFonts w:hint="eastAsia" w:ascii="Times New Roman" w:hAnsi="Times New Roman" w:cs="Times New Roman" w:eastAsiaTheme="minorEastAsia"/>
                      <w:color w:val="C00000"/>
                      <w:sz w:val="21"/>
                      <w:szCs w:val="21"/>
                      <w:highlight w:val="none"/>
                      <w:lang w:val="en-US" w:eastAsia="zh-CN"/>
                    </w:rPr>
                  </w:pPr>
                  <w:r>
                    <w:rPr>
                      <w:rFonts w:hint="default" w:ascii="Times New Roman" w:hAnsi="Times New Roman" w:cs="Times New Roman" w:eastAsiaTheme="minorEastAsia"/>
                      <w:color w:val="C00000"/>
                      <w:sz w:val="21"/>
                      <w:szCs w:val="21"/>
                      <w:highlight w:val="none"/>
                    </w:rPr>
                    <w:t>生态空间包括生态保护红线和一般生态空间，生态保护红线及一般生态空间均属于优先保护区，其余区域属于一般管控区。</w:t>
                  </w:r>
                </w:p>
              </w:tc>
            </w:tr>
            <w:tr w14:paraId="2A3CEE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804" w:type="pct"/>
                  <w:shd w:val="clear" w:color="auto" w:fill="auto"/>
                  <w:vAlign w:val="center"/>
                </w:tcPr>
                <w:p w14:paraId="407445B8">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cs="Times New Roman" w:eastAsiaTheme="minorEastAsia"/>
                      <w:color w:val="C00000"/>
                      <w:kern w:val="2"/>
                      <w:sz w:val="21"/>
                      <w:szCs w:val="21"/>
                      <w:highlight w:val="none"/>
                      <w:lang w:val="en-US" w:eastAsia="zh-CN" w:bidi="ar-SA"/>
                    </w:rPr>
                  </w:pPr>
                  <w:r>
                    <w:rPr>
                      <w:rFonts w:hint="default" w:ascii="Times New Roman" w:hAnsi="Times New Roman" w:cs="Times New Roman" w:eastAsiaTheme="minorEastAsia"/>
                      <w:b/>
                      <w:bCs/>
                      <w:color w:val="C00000"/>
                      <w:sz w:val="21"/>
                      <w:szCs w:val="21"/>
                      <w:highlight w:val="none"/>
                    </w:rPr>
                    <w:t>符合性分析</w:t>
                  </w:r>
                </w:p>
              </w:tc>
              <w:tc>
                <w:tcPr>
                  <w:tcW w:w="4195" w:type="pct"/>
                  <w:gridSpan w:val="4"/>
                  <w:shd w:val="clear" w:color="auto" w:fill="auto"/>
                  <w:vAlign w:val="center"/>
                </w:tcPr>
                <w:p w14:paraId="26D0F77E">
                  <w:pPr>
                    <w:keepNext w:val="0"/>
                    <w:keepLines w:val="0"/>
                    <w:suppressLineNumbers w:val="0"/>
                    <w:adjustRightInd w:val="0"/>
                    <w:snapToGrid w:val="0"/>
                    <w:spacing w:before="0" w:beforeAutospacing="0" w:after="0" w:afterAutospacing="0"/>
                    <w:ind w:left="0" w:leftChars="0" w:right="0" w:rightChars="0"/>
                    <w:textAlignment w:val="baseline"/>
                    <w:rPr>
                      <w:rFonts w:hint="eastAsia" w:ascii="Times New Roman" w:hAnsi="Times New Roman" w:cs="Times New Roman" w:eastAsiaTheme="minorEastAsia"/>
                      <w:color w:val="C00000"/>
                      <w:sz w:val="21"/>
                      <w:szCs w:val="21"/>
                      <w:highlight w:val="none"/>
                      <w:lang w:val="en-US" w:eastAsia="zh-CN"/>
                    </w:rPr>
                  </w:pPr>
                  <w:r>
                    <w:rPr>
                      <w:rFonts w:hint="default" w:ascii="Times New Roman" w:hAnsi="Times New Roman" w:cs="Times New Roman" w:eastAsiaTheme="minorEastAsia"/>
                      <w:color w:val="C00000"/>
                      <w:sz w:val="21"/>
                      <w:szCs w:val="21"/>
                      <w:highlight w:val="none"/>
                    </w:rPr>
                    <w:t>本项目位于</w:t>
                  </w:r>
                  <w:r>
                    <w:rPr>
                      <w:rFonts w:hint="eastAsia" w:ascii="Times New Roman" w:hAnsi="Times New Roman" w:cs="Times New Roman" w:eastAsiaTheme="minorEastAsia"/>
                      <w:color w:val="C00000"/>
                      <w:sz w:val="21"/>
                      <w:szCs w:val="21"/>
                      <w:highlight w:val="none"/>
                    </w:rPr>
                    <w:t>黑龙江省双鸭山市宝山区新安煤矿原建设科院内</w:t>
                  </w:r>
                  <w:r>
                    <w:rPr>
                      <w:rFonts w:hint="default" w:ascii="Times New Roman" w:hAnsi="Times New Roman" w:cs="Times New Roman" w:eastAsiaTheme="minorEastAsia"/>
                      <w:color w:val="C00000"/>
                      <w:sz w:val="21"/>
                      <w:szCs w:val="21"/>
                      <w:highlight w:val="none"/>
                    </w:rPr>
                    <w:t>，根据</w:t>
                  </w:r>
                  <w:r>
                    <w:rPr>
                      <w:rFonts w:hint="default" w:ascii="Times New Roman" w:hAnsi="Times New Roman" w:cs="Times New Roman" w:eastAsiaTheme="minorEastAsia"/>
                      <w:color w:val="C00000"/>
                      <w:sz w:val="21"/>
                      <w:szCs w:val="21"/>
                      <w:highlight w:val="none"/>
                      <w:lang w:val="en-US" w:eastAsia="zh-CN"/>
                    </w:rPr>
                    <w:t>双鸭山市</w:t>
                  </w:r>
                  <w:r>
                    <w:rPr>
                      <w:rFonts w:hint="default" w:ascii="Times New Roman" w:hAnsi="Times New Roman" w:cs="Times New Roman" w:eastAsiaTheme="minorEastAsia"/>
                      <w:color w:val="C00000"/>
                      <w:sz w:val="21"/>
                      <w:szCs w:val="21"/>
                      <w:highlight w:val="none"/>
                    </w:rPr>
                    <w:t>生态空间分布图，所在区域不属于生态保护红线和一般生态空间，各环境要素评价范围内均属于一般管控区。因此本项目符合生态保护红线要求。</w:t>
                  </w:r>
                </w:p>
              </w:tc>
            </w:tr>
            <w:tr w14:paraId="69E5D1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5000" w:type="pct"/>
                  <w:gridSpan w:val="5"/>
                  <w:vAlign w:val="center"/>
                </w:tcPr>
                <w:p w14:paraId="13B8499D">
                  <w:pPr>
                    <w:snapToGrid w:val="0"/>
                    <w:jc w:val="center"/>
                    <w:rPr>
                      <w:rFonts w:hint="eastAsia" w:eastAsiaTheme="minorEastAsia"/>
                      <w:color w:val="C00000"/>
                      <w:kern w:val="0"/>
                      <w:szCs w:val="21"/>
                    </w:rPr>
                  </w:pPr>
                  <w:r>
                    <w:rPr>
                      <w:rFonts w:hint="default" w:ascii="Times New Roman" w:hAnsi="Times New Roman" w:cs="Times New Roman" w:eastAsiaTheme="minorEastAsia"/>
                      <w:b/>
                      <w:bCs/>
                      <w:color w:val="C00000"/>
                      <w:sz w:val="21"/>
                      <w:szCs w:val="21"/>
                      <w:highlight w:val="none"/>
                    </w:rPr>
                    <w:t>二、环境质量底线</w:t>
                  </w:r>
                </w:p>
              </w:tc>
            </w:tr>
            <w:tr w14:paraId="6D54E1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5000" w:type="pct"/>
                  <w:gridSpan w:val="5"/>
                  <w:vAlign w:val="center"/>
                </w:tcPr>
                <w:p w14:paraId="6F318D1A">
                  <w:pPr>
                    <w:snapToGrid w:val="0"/>
                    <w:jc w:val="center"/>
                    <w:rPr>
                      <w:rFonts w:hint="eastAsia" w:eastAsiaTheme="minorEastAsia"/>
                      <w:color w:val="C00000"/>
                      <w:kern w:val="0"/>
                      <w:szCs w:val="21"/>
                    </w:rPr>
                  </w:pPr>
                  <w:r>
                    <w:rPr>
                      <w:rFonts w:hint="default" w:ascii="Times New Roman" w:hAnsi="Times New Roman" w:cs="Times New Roman" w:eastAsiaTheme="minorEastAsia"/>
                      <w:b/>
                      <w:bCs/>
                      <w:color w:val="C00000"/>
                      <w:sz w:val="21"/>
                      <w:szCs w:val="21"/>
                      <w:highlight w:val="none"/>
                    </w:rPr>
                    <w:t>大气环境</w:t>
                  </w:r>
                </w:p>
              </w:tc>
            </w:tr>
            <w:tr w14:paraId="48A369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804" w:type="pct"/>
                  <w:shd w:val="clear" w:color="auto" w:fill="auto"/>
                  <w:vAlign w:val="center"/>
                </w:tcPr>
                <w:p w14:paraId="40E577C6">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cs="Times New Roman" w:eastAsiaTheme="minorEastAsia"/>
                      <w:color w:val="C00000"/>
                      <w:kern w:val="2"/>
                      <w:sz w:val="21"/>
                      <w:szCs w:val="21"/>
                      <w:highlight w:val="none"/>
                      <w:lang w:val="en-US" w:eastAsia="zh-CN" w:bidi="ar-SA"/>
                    </w:rPr>
                  </w:pPr>
                  <w:r>
                    <w:rPr>
                      <w:rFonts w:hint="default" w:ascii="Times New Roman" w:hAnsi="Times New Roman" w:cs="Times New Roman" w:eastAsiaTheme="minorEastAsia"/>
                      <w:b/>
                      <w:bCs/>
                      <w:color w:val="C00000"/>
                      <w:sz w:val="21"/>
                      <w:szCs w:val="21"/>
                      <w:highlight w:val="none"/>
                    </w:rPr>
                    <w:t>管控单元类别</w:t>
                  </w:r>
                </w:p>
              </w:tc>
              <w:tc>
                <w:tcPr>
                  <w:tcW w:w="4195" w:type="pct"/>
                  <w:gridSpan w:val="4"/>
                  <w:shd w:val="clear" w:color="auto" w:fill="auto"/>
                  <w:vAlign w:val="center"/>
                </w:tcPr>
                <w:p w14:paraId="2F8A5D0A">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cs="Times New Roman" w:eastAsiaTheme="minorEastAsia"/>
                      <w:color w:val="C00000"/>
                      <w:kern w:val="2"/>
                      <w:sz w:val="21"/>
                      <w:szCs w:val="21"/>
                      <w:highlight w:val="none"/>
                      <w:lang w:val="en-US" w:eastAsia="zh-CN" w:bidi="ar-SA"/>
                    </w:rPr>
                  </w:pPr>
                  <w:r>
                    <w:rPr>
                      <w:rFonts w:hint="default" w:ascii="Times New Roman" w:hAnsi="Times New Roman" w:cs="Times New Roman" w:eastAsiaTheme="minorEastAsia"/>
                      <w:color w:val="C00000"/>
                      <w:sz w:val="21"/>
                      <w:szCs w:val="21"/>
                      <w:highlight w:val="none"/>
                      <w:lang w:eastAsia="zh-CN"/>
                    </w:rPr>
                    <w:t>大气环境</w:t>
                  </w:r>
                  <w:r>
                    <w:rPr>
                      <w:rFonts w:hint="default" w:ascii="Times New Roman" w:hAnsi="Times New Roman" w:cs="Times New Roman" w:eastAsiaTheme="minorEastAsia"/>
                      <w:color w:val="C00000"/>
                      <w:sz w:val="21"/>
                      <w:szCs w:val="21"/>
                      <w:highlight w:val="none"/>
                      <w:lang w:val="en-US" w:eastAsia="zh-CN"/>
                    </w:rPr>
                    <w:t>一般管控区</w:t>
                  </w:r>
                </w:p>
              </w:tc>
            </w:tr>
            <w:tr w14:paraId="1B0CC9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3820" w:type="pct"/>
                  <w:gridSpan w:val="4"/>
                  <w:shd w:val="clear" w:color="auto" w:fill="auto"/>
                  <w:vAlign w:val="center"/>
                </w:tcPr>
                <w:p w14:paraId="4159A5D2">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cs="Times New Roman" w:eastAsiaTheme="minorEastAsia"/>
                      <w:b/>
                      <w:bCs/>
                      <w:color w:val="C00000"/>
                      <w:kern w:val="2"/>
                      <w:sz w:val="21"/>
                      <w:szCs w:val="21"/>
                      <w:highlight w:val="none"/>
                      <w:lang w:val="en-US" w:eastAsia="zh-CN" w:bidi="ar-SA"/>
                    </w:rPr>
                  </w:pPr>
                  <w:r>
                    <w:rPr>
                      <w:rFonts w:hint="default" w:ascii="Times New Roman" w:hAnsi="Times New Roman" w:cs="Times New Roman" w:eastAsiaTheme="minorEastAsia"/>
                      <w:b/>
                      <w:bCs/>
                      <w:color w:val="C00000"/>
                      <w:sz w:val="21"/>
                      <w:szCs w:val="21"/>
                      <w:highlight w:val="none"/>
                    </w:rPr>
                    <w:t>管控要求</w:t>
                  </w:r>
                </w:p>
              </w:tc>
              <w:tc>
                <w:tcPr>
                  <w:tcW w:w="1179" w:type="pct"/>
                  <w:shd w:val="clear" w:color="auto" w:fill="auto"/>
                  <w:vAlign w:val="center"/>
                </w:tcPr>
                <w:p w14:paraId="22DB181C">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cs="Times New Roman" w:eastAsiaTheme="minorEastAsia"/>
                      <w:b/>
                      <w:bCs/>
                      <w:color w:val="C00000"/>
                      <w:kern w:val="2"/>
                      <w:sz w:val="21"/>
                      <w:szCs w:val="21"/>
                      <w:highlight w:val="none"/>
                      <w:lang w:val="en-US" w:eastAsia="zh-CN" w:bidi="ar-SA"/>
                    </w:rPr>
                  </w:pPr>
                  <w:r>
                    <w:rPr>
                      <w:rFonts w:hint="default" w:ascii="Times New Roman" w:hAnsi="Times New Roman" w:cs="Times New Roman" w:eastAsiaTheme="minorEastAsia"/>
                      <w:b/>
                      <w:bCs/>
                      <w:color w:val="C00000"/>
                      <w:sz w:val="21"/>
                      <w:szCs w:val="21"/>
                      <w:highlight w:val="none"/>
                    </w:rPr>
                    <w:t>符合性分析</w:t>
                  </w:r>
                </w:p>
              </w:tc>
            </w:tr>
            <w:tr w14:paraId="7F2789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804" w:type="pct"/>
                  <w:shd w:val="clear" w:color="auto" w:fill="auto"/>
                  <w:vAlign w:val="center"/>
                </w:tcPr>
                <w:p w14:paraId="7A800258">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cs="Times New Roman" w:eastAsiaTheme="minorEastAsia"/>
                      <w:color w:val="C00000"/>
                      <w:kern w:val="2"/>
                      <w:sz w:val="21"/>
                      <w:szCs w:val="21"/>
                      <w:highlight w:val="none"/>
                      <w:lang w:val="en-US" w:eastAsia="zh-CN" w:bidi="ar-SA"/>
                    </w:rPr>
                  </w:pPr>
                  <w:r>
                    <w:rPr>
                      <w:rFonts w:hint="default" w:ascii="Times New Roman" w:hAnsi="Times New Roman" w:cs="Times New Roman" w:eastAsiaTheme="minorEastAsia"/>
                      <w:color w:val="C00000"/>
                      <w:sz w:val="21"/>
                      <w:szCs w:val="21"/>
                      <w:highlight w:val="none"/>
                      <w:lang w:eastAsia="zh-CN"/>
                    </w:rPr>
                    <w:t>空间布局约束</w:t>
                  </w:r>
                </w:p>
              </w:tc>
              <w:tc>
                <w:tcPr>
                  <w:tcW w:w="2097" w:type="pct"/>
                  <w:shd w:val="clear" w:color="auto" w:fill="auto"/>
                  <w:vAlign w:val="center"/>
                </w:tcPr>
                <w:p w14:paraId="1CD95659">
                  <w:pPr>
                    <w:keepNext w:val="0"/>
                    <w:keepLines w:val="0"/>
                    <w:suppressLineNumbers w:val="0"/>
                    <w:adjustRightInd w:val="0"/>
                    <w:snapToGrid w:val="0"/>
                    <w:spacing w:before="0" w:beforeAutospacing="0" w:after="0" w:afterAutospacing="0"/>
                    <w:ind w:left="0" w:right="0"/>
                    <w:jc w:val="both"/>
                    <w:textAlignment w:val="baseline"/>
                    <w:rPr>
                      <w:rFonts w:hint="default" w:ascii="Times New Roman" w:hAnsi="Times New Roman" w:cs="Times New Roman" w:eastAsiaTheme="minorEastAsia"/>
                      <w:color w:val="C00000"/>
                      <w:sz w:val="21"/>
                      <w:szCs w:val="21"/>
                      <w:highlight w:val="none"/>
                      <w:lang w:eastAsia="zh-CN"/>
                    </w:rPr>
                  </w:pPr>
                  <w:r>
                    <w:rPr>
                      <w:rFonts w:hint="default" w:ascii="Times New Roman" w:hAnsi="Times New Roman" w:cs="Times New Roman" w:eastAsiaTheme="minorEastAsia"/>
                      <w:color w:val="C00000"/>
                      <w:sz w:val="21"/>
                      <w:szCs w:val="21"/>
                      <w:highlight w:val="none"/>
                      <w:lang w:eastAsia="zh-CN"/>
                    </w:rPr>
                    <w:t>执行要求：</w:t>
                  </w:r>
                </w:p>
                <w:p w14:paraId="1BF7D371">
                  <w:pPr>
                    <w:keepNext w:val="0"/>
                    <w:keepLines w:val="0"/>
                    <w:suppressLineNumbers w:val="0"/>
                    <w:adjustRightInd w:val="0"/>
                    <w:snapToGrid w:val="0"/>
                    <w:spacing w:before="0" w:beforeAutospacing="0" w:after="0" w:afterAutospacing="0"/>
                    <w:ind w:left="0" w:right="0"/>
                    <w:jc w:val="both"/>
                    <w:textAlignment w:val="baseline"/>
                    <w:rPr>
                      <w:rFonts w:hint="default" w:ascii="Times New Roman" w:hAnsi="Times New Roman" w:cs="Times New Roman" w:eastAsiaTheme="minorEastAsia"/>
                      <w:color w:val="C00000"/>
                      <w:sz w:val="21"/>
                      <w:szCs w:val="21"/>
                      <w:highlight w:val="none"/>
                      <w:lang w:val="zh-CN" w:eastAsia="zh-CN"/>
                    </w:rPr>
                  </w:pPr>
                  <w:r>
                    <w:rPr>
                      <w:rFonts w:hint="default" w:ascii="Times New Roman" w:hAnsi="Times New Roman" w:cs="Times New Roman" w:eastAsiaTheme="minorEastAsia"/>
                      <w:color w:val="C00000"/>
                      <w:sz w:val="21"/>
                      <w:szCs w:val="21"/>
                      <w:highlight w:val="none"/>
                      <w:lang w:val="en-US" w:eastAsia="zh-CN"/>
                    </w:rPr>
                    <w:t>1.</w:t>
                  </w:r>
                  <w:r>
                    <w:rPr>
                      <w:rFonts w:hint="default" w:ascii="Times New Roman" w:hAnsi="Times New Roman" w:cs="Times New Roman" w:eastAsiaTheme="minorEastAsia"/>
                      <w:color w:val="C00000"/>
                      <w:sz w:val="21"/>
                      <w:szCs w:val="21"/>
                      <w:highlight w:val="none"/>
                      <w:lang w:val="zh-CN" w:eastAsia="zh-CN"/>
                    </w:rPr>
                    <w:t>引导工业项目向开发区集中，促进产业集聚、资源集约、绿色发展。</w:t>
                  </w:r>
                </w:p>
                <w:p w14:paraId="4B3C77DC">
                  <w:pPr>
                    <w:keepNext w:val="0"/>
                    <w:keepLines w:val="0"/>
                    <w:suppressLineNumbers w:val="0"/>
                    <w:adjustRightInd w:val="0"/>
                    <w:snapToGrid w:val="0"/>
                    <w:spacing w:before="0" w:beforeAutospacing="0" w:after="0" w:afterAutospacing="0"/>
                    <w:ind w:left="0" w:leftChars="0" w:right="0" w:rightChars="0"/>
                    <w:jc w:val="both"/>
                    <w:textAlignment w:val="baseline"/>
                    <w:rPr>
                      <w:rFonts w:hint="default" w:ascii="Times New Roman" w:hAnsi="Times New Roman" w:cs="Times New Roman" w:eastAsiaTheme="minorEastAsia"/>
                      <w:color w:val="C00000"/>
                      <w:kern w:val="2"/>
                      <w:sz w:val="21"/>
                      <w:szCs w:val="21"/>
                      <w:highlight w:val="none"/>
                      <w:lang w:val="en-US" w:eastAsia="zh-CN" w:bidi="ar-SA"/>
                    </w:rPr>
                  </w:pPr>
                  <w:r>
                    <w:rPr>
                      <w:rFonts w:hint="default" w:ascii="Times New Roman" w:hAnsi="Times New Roman" w:cs="Times New Roman" w:eastAsiaTheme="minorEastAsia"/>
                      <w:color w:val="C00000"/>
                      <w:sz w:val="21"/>
                      <w:szCs w:val="21"/>
                      <w:highlight w:val="none"/>
                      <w:lang w:val="en-US" w:eastAsia="zh-CN"/>
                    </w:rPr>
                    <w:t>2.</w:t>
                  </w:r>
                  <w:r>
                    <w:rPr>
                      <w:rFonts w:hint="default" w:ascii="Times New Roman" w:hAnsi="Times New Roman" w:cs="Times New Roman" w:eastAsiaTheme="minorEastAsia"/>
                      <w:color w:val="C00000"/>
                      <w:sz w:val="21"/>
                      <w:szCs w:val="21"/>
                      <w:highlight w:val="none"/>
                      <w:lang w:val="zh-CN" w:eastAsia="zh-CN"/>
                    </w:rPr>
                    <w:t>强化节能环保标准约束，严格行业规范、准入管理和节能审查，对电力、钢铁、建材、有色、化工、石油石化、船舶、煤炭、印染、造纸、制革、染料、焦化、电镀等行业中，环保、能耗、安全等不达标或生产、使用淘汰类产品的企业和产能，要依法依规有序退出。</w:t>
                  </w:r>
                </w:p>
              </w:tc>
              <w:tc>
                <w:tcPr>
                  <w:tcW w:w="2097" w:type="pct"/>
                  <w:gridSpan w:val="3"/>
                  <w:shd w:val="clear" w:color="auto" w:fill="auto"/>
                  <w:vAlign w:val="center"/>
                </w:tcPr>
                <w:p w14:paraId="4E5B03F4">
                  <w:pPr>
                    <w:keepNext w:val="0"/>
                    <w:keepLines w:val="0"/>
                    <w:suppressLineNumbers w:val="0"/>
                    <w:adjustRightInd w:val="0"/>
                    <w:snapToGrid w:val="0"/>
                    <w:spacing w:before="0" w:beforeAutospacing="0" w:after="0" w:afterAutospacing="0"/>
                    <w:ind w:left="0" w:leftChars="0" w:right="0" w:rightChars="0"/>
                    <w:jc w:val="both"/>
                    <w:textAlignment w:val="baseline"/>
                    <w:rPr>
                      <w:rFonts w:hint="default" w:ascii="Times New Roman" w:hAnsi="Times New Roman" w:cs="Times New Roman" w:eastAsiaTheme="minorEastAsia"/>
                      <w:color w:val="C00000"/>
                      <w:kern w:val="2"/>
                      <w:sz w:val="21"/>
                      <w:szCs w:val="21"/>
                      <w:highlight w:val="none"/>
                      <w:lang w:val="en-US" w:eastAsia="zh-CN" w:bidi="ar-SA"/>
                    </w:rPr>
                  </w:pPr>
                  <w:r>
                    <w:rPr>
                      <w:rFonts w:hint="default" w:ascii="Times New Roman" w:hAnsi="Times New Roman" w:cs="Times New Roman" w:eastAsiaTheme="minorEastAsia"/>
                      <w:color w:val="C00000"/>
                      <w:sz w:val="21"/>
                      <w:szCs w:val="21"/>
                      <w:highlight w:val="none"/>
                    </w:rPr>
                    <w:t>本项目为</w:t>
                  </w:r>
                  <w:r>
                    <w:rPr>
                      <w:rFonts w:hint="eastAsia" w:ascii="Times New Roman" w:hAnsi="Times New Roman" w:cs="Times New Roman" w:eastAsiaTheme="minorEastAsia"/>
                      <w:color w:val="C00000"/>
                      <w:sz w:val="21"/>
                      <w:szCs w:val="21"/>
                      <w:highlight w:val="none"/>
                      <w:lang w:val="en-US" w:eastAsia="zh-CN"/>
                    </w:rPr>
                    <w:t>热力生产和供应项目</w:t>
                  </w:r>
                  <w:r>
                    <w:rPr>
                      <w:rFonts w:hint="default" w:ascii="Times New Roman" w:hAnsi="Times New Roman" w:cs="Times New Roman" w:eastAsiaTheme="minorEastAsia"/>
                      <w:color w:val="C00000"/>
                      <w:sz w:val="21"/>
                      <w:szCs w:val="21"/>
                      <w:highlight w:val="none"/>
                    </w:rPr>
                    <w:t>，</w:t>
                  </w:r>
                  <w:r>
                    <w:rPr>
                      <w:rFonts w:hint="default" w:ascii="Times New Roman" w:hAnsi="Times New Roman" w:cs="Times New Roman" w:eastAsiaTheme="minorEastAsia"/>
                      <w:color w:val="C00000"/>
                      <w:sz w:val="21"/>
                      <w:szCs w:val="21"/>
                      <w:highlight w:val="none"/>
                      <w:lang w:val="en-US" w:eastAsia="zh-CN"/>
                    </w:rPr>
                    <w:t>不属于</w:t>
                  </w:r>
                  <w:r>
                    <w:rPr>
                      <w:rFonts w:hint="default" w:ascii="Times New Roman" w:hAnsi="Times New Roman" w:cs="Times New Roman" w:eastAsiaTheme="minorEastAsia"/>
                      <w:color w:val="C00000"/>
                      <w:sz w:val="21"/>
                      <w:szCs w:val="21"/>
                      <w:highlight w:val="none"/>
                      <w:lang w:val="zh-CN" w:eastAsia="zh-CN"/>
                    </w:rPr>
                    <w:t>电力、钢铁、建材、有色、化工、石油石化、船舶、煤炭、印染、造纸、制革、染料、焦化、电镀等行业，</w:t>
                  </w:r>
                  <w:r>
                    <w:rPr>
                      <w:rFonts w:hint="default" w:ascii="Times New Roman" w:hAnsi="Times New Roman" w:cs="Times New Roman" w:eastAsiaTheme="minorEastAsia"/>
                      <w:color w:val="C00000"/>
                      <w:sz w:val="21"/>
                      <w:szCs w:val="21"/>
                      <w:highlight w:val="none"/>
                      <w:lang w:val="en-US" w:eastAsia="zh-CN"/>
                    </w:rPr>
                    <w:t>本项目运营期采取严格的环保设施，不属于</w:t>
                  </w:r>
                  <w:r>
                    <w:rPr>
                      <w:rFonts w:hint="default" w:ascii="Times New Roman" w:hAnsi="Times New Roman" w:cs="Times New Roman" w:eastAsiaTheme="minorEastAsia"/>
                      <w:color w:val="C00000"/>
                      <w:sz w:val="21"/>
                      <w:szCs w:val="21"/>
                      <w:highlight w:val="none"/>
                      <w:lang w:val="zh-CN" w:eastAsia="zh-CN"/>
                    </w:rPr>
                    <w:t>环保、能耗、安全等不达标或生产、使用淘汰类产品的企业和产能。</w:t>
                  </w:r>
                </w:p>
              </w:tc>
            </w:tr>
            <w:tr w14:paraId="01FDD1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5000" w:type="pct"/>
                  <w:gridSpan w:val="5"/>
                  <w:vAlign w:val="center"/>
                </w:tcPr>
                <w:p w14:paraId="0FD19B3F">
                  <w:pPr>
                    <w:snapToGrid w:val="0"/>
                    <w:jc w:val="center"/>
                    <w:rPr>
                      <w:rFonts w:hint="default" w:ascii="Times New Roman" w:hAnsi="Times New Roman" w:cs="Times New Roman" w:eastAsiaTheme="minorEastAsia"/>
                      <w:b/>
                      <w:bCs/>
                      <w:color w:val="C00000"/>
                      <w:sz w:val="21"/>
                      <w:szCs w:val="21"/>
                      <w:highlight w:val="none"/>
                    </w:rPr>
                  </w:pPr>
                  <w:r>
                    <w:rPr>
                      <w:rFonts w:hint="default" w:ascii="Times New Roman" w:hAnsi="Times New Roman" w:cs="Times New Roman" w:eastAsiaTheme="minorEastAsia"/>
                      <w:b/>
                      <w:bCs/>
                      <w:color w:val="C00000"/>
                      <w:sz w:val="21"/>
                      <w:szCs w:val="21"/>
                      <w:highlight w:val="none"/>
                    </w:rPr>
                    <w:t>三、资源利用上线</w:t>
                  </w:r>
                </w:p>
              </w:tc>
            </w:tr>
            <w:tr w14:paraId="0F7269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5000" w:type="pct"/>
                  <w:gridSpan w:val="5"/>
                  <w:vAlign w:val="center"/>
                </w:tcPr>
                <w:p w14:paraId="292BE3DB">
                  <w:pPr>
                    <w:keepNext w:val="0"/>
                    <w:keepLines w:val="0"/>
                    <w:widowControl/>
                    <w:suppressLineNumbers w:val="0"/>
                    <w:spacing w:before="0" w:beforeAutospacing="0" w:after="0" w:afterAutospacing="0"/>
                    <w:ind w:left="0" w:right="0"/>
                    <w:jc w:val="center"/>
                    <w:rPr>
                      <w:rFonts w:hint="default" w:ascii="Times New Roman" w:hAnsi="Times New Roman" w:cs="Times New Roman" w:eastAsiaTheme="minorEastAsia"/>
                      <w:b/>
                      <w:bCs/>
                      <w:color w:val="C00000"/>
                      <w:sz w:val="21"/>
                      <w:szCs w:val="21"/>
                      <w:highlight w:val="none"/>
                    </w:rPr>
                  </w:pPr>
                  <w:r>
                    <w:rPr>
                      <w:rFonts w:hint="default" w:ascii="Times New Roman" w:hAnsi="Times New Roman" w:cs="Times New Roman" w:eastAsiaTheme="minorEastAsia"/>
                      <w:color w:val="C00000"/>
                      <w:kern w:val="0"/>
                      <w:sz w:val="21"/>
                      <w:szCs w:val="21"/>
                      <w:highlight w:val="none"/>
                      <w:lang w:val="en-US" w:eastAsia="zh-CN" w:bidi="ar"/>
                    </w:rPr>
                    <w:t>自然资源一般管控区</w:t>
                  </w:r>
                </w:p>
              </w:tc>
            </w:tr>
            <w:tr w14:paraId="38FE99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804" w:type="pct"/>
                  <w:vAlign w:val="center"/>
                </w:tcPr>
                <w:p w14:paraId="45451A84">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eastAsiaTheme="minorEastAsia"/>
                      <w:b/>
                      <w:bCs/>
                      <w:color w:val="C00000"/>
                      <w:szCs w:val="21"/>
                    </w:rPr>
                  </w:pPr>
                  <w:r>
                    <w:rPr>
                      <w:rFonts w:hint="default" w:ascii="Times New Roman" w:hAnsi="Times New Roman" w:cs="Times New Roman" w:eastAsiaTheme="minorEastAsia"/>
                      <w:b/>
                      <w:bCs/>
                      <w:color w:val="C00000"/>
                      <w:sz w:val="21"/>
                      <w:szCs w:val="21"/>
                      <w:highlight w:val="none"/>
                    </w:rPr>
                    <w:t>管控要求</w:t>
                  </w:r>
                </w:p>
              </w:tc>
              <w:tc>
                <w:tcPr>
                  <w:tcW w:w="4195" w:type="pct"/>
                  <w:gridSpan w:val="4"/>
                  <w:vAlign w:val="center"/>
                </w:tcPr>
                <w:p w14:paraId="12EB9799">
                  <w:pPr>
                    <w:keepNext w:val="0"/>
                    <w:keepLines w:val="0"/>
                    <w:pageBreakBefore w:val="0"/>
                    <w:suppressLineNumbers w:val="0"/>
                    <w:kinsoku/>
                    <w:overflowPunct/>
                    <w:topLinePunct w:val="0"/>
                    <w:bidi w:val="0"/>
                    <w:spacing w:before="0" w:beforeAutospacing="0" w:after="0" w:afterAutospacing="0" w:line="240" w:lineRule="auto"/>
                    <w:ind w:left="0" w:right="0" w:firstLine="105" w:firstLineChars="50"/>
                    <w:textAlignment w:val="auto"/>
                    <w:rPr>
                      <w:rFonts w:hint="default" w:ascii="Times New Roman" w:hAnsi="Times New Roman" w:cs="Times New Roman" w:eastAsiaTheme="minorEastAsia"/>
                      <w:b/>
                      <w:bCs/>
                      <w:color w:val="C00000"/>
                      <w:sz w:val="21"/>
                      <w:szCs w:val="21"/>
                      <w:highlight w:val="none"/>
                    </w:rPr>
                  </w:pPr>
                  <w:r>
                    <w:rPr>
                      <w:rFonts w:hint="default" w:ascii="Times New Roman" w:hAnsi="Times New Roman" w:cs="Times New Roman" w:eastAsiaTheme="minorEastAsia"/>
                      <w:b/>
                      <w:bCs/>
                      <w:color w:val="C00000"/>
                      <w:sz w:val="21"/>
                      <w:szCs w:val="21"/>
                      <w:highlight w:val="none"/>
                    </w:rPr>
                    <w:t>1.水资源：</w:t>
                  </w:r>
                </w:p>
                <w:p w14:paraId="023E196F">
                  <w:pPr>
                    <w:keepNext w:val="0"/>
                    <w:keepLines w:val="0"/>
                    <w:pageBreakBefore w:val="0"/>
                    <w:suppressLineNumbers w:val="0"/>
                    <w:kinsoku/>
                    <w:overflowPunct/>
                    <w:topLinePunct w:val="0"/>
                    <w:bidi w:val="0"/>
                    <w:spacing w:before="0" w:beforeAutospacing="0" w:after="0" w:afterAutospacing="0" w:line="240" w:lineRule="auto"/>
                    <w:ind w:left="0" w:right="0"/>
                    <w:textAlignment w:val="auto"/>
                    <w:rPr>
                      <w:rFonts w:hint="default" w:ascii="Times New Roman" w:hAnsi="Times New Roman" w:cs="Times New Roman" w:eastAsiaTheme="minorEastAsia"/>
                      <w:color w:val="C00000"/>
                      <w:sz w:val="21"/>
                      <w:szCs w:val="21"/>
                      <w:highlight w:val="none"/>
                    </w:rPr>
                  </w:pPr>
                  <w:r>
                    <w:rPr>
                      <w:rFonts w:hint="default" w:ascii="Times New Roman" w:hAnsi="Times New Roman" w:cs="Times New Roman" w:eastAsiaTheme="minorEastAsia"/>
                      <w:color w:val="C00000"/>
                      <w:sz w:val="21"/>
                      <w:szCs w:val="21"/>
                      <w:highlight w:val="none"/>
                    </w:rPr>
                    <w:t>全省2030年用水总量控制指标</w:t>
                  </w:r>
                  <w:r>
                    <w:rPr>
                      <w:rFonts w:hint="default" w:ascii="Times New Roman" w:hAnsi="Times New Roman" w:cs="Times New Roman" w:eastAsiaTheme="minorEastAsia"/>
                      <w:color w:val="C00000"/>
                      <w:sz w:val="21"/>
                      <w:szCs w:val="21"/>
                      <w:highlight w:val="none"/>
                      <w:lang w:eastAsia="zh-CN"/>
                    </w:rPr>
                    <w:t>不高于省政府确定的指标。</w:t>
                  </w:r>
                </w:p>
                <w:p w14:paraId="6B9A2F2B">
                  <w:pPr>
                    <w:keepNext w:val="0"/>
                    <w:keepLines w:val="0"/>
                    <w:pageBreakBefore w:val="0"/>
                    <w:suppressLineNumbers w:val="0"/>
                    <w:kinsoku/>
                    <w:overflowPunct/>
                    <w:topLinePunct w:val="0"/>
                    <w:bidi w:val="0"/>
                    <w:spacing w:before="0" w:beforeAutospacing="0" w:after="0" w:afterAutospacing="0" w:line="240" w:lineRule="auto"/>
                    <w:ind w:left="0" w:right="0" w:firstLine="105" w:firstLineChars="50"/>
                    <w:textAlignment w:val="auto"/>
                    <w:rPr>
                      <w:rFonts w:hint="default" w:ascii="Times New Roman" w:hAnsi="Times New Roman" w:cs="Times New Roman" w:eastAsiaTheme="minorEastAsia"/>
                      <w:b/>
                      <w:bCs/>
                      <w:color w:val="C00000"/>
                      <w:sz w:val="21"/>
                      <w:szCs w:val="21"/>
                      <w:highlight w:val="none"/>
                    </w:rPr>
                  </w:pPr>
                  <w:r>
                    <w:rPr>
                      <w:rFonts w:hint="default" w:ascii="Times New Roman" w:hAnsi="Times New Roman" w:cs="Times New Roman" w:eastAsiaTheme="minorEastAsia"/>
                      <w:b/>
                      <w:bCs/>
                      <w:color w:val="C00000"/>
                      <w:sz w:val="21"/>
                      <w:szCs w:val="21"/>
                      <w:highlight w:val="none"/>
                    </w:rPr>
                    <w:t>2.土地资源</w:t>
                  </w:r>
                  <w:r>
                    <w:rPr>
                      <w:rFonts w:hint="default" w:ascii="Times New Roman" w:hAnsi="Times New Roman" w:cs="Times New Roman" w:eastAsiaTheme="minorEastAsia"/>
                      <w:b/>
                      <w:bCs/>
                      <w:color w:val="C00000"/>
                      <w:sz w:val="21"/>
                      <w:szCs w:val="21"/>
                      <w:highlight w:val="none"/>
                      <w:lang w:eastAsia="zh-CN"/>
                    </w:rPr>
                    <w:t>：</w:t>
                  </w:r>
                </w:p>
                <w:p w14:paraId="6EE5B194">
                  <w:pPr>
                    <w:keepNext w:val="0"/>
                    <w:keepLines w:val="0"/>
                    <w:pageBreakBefore w:val="0"/>
                    <w:suppressLineNumbers w:val="0"/>
                    <w:kinsoku/>
                    <w:overflowPunct/>
                    <w:topLinePunct w:val="0"/>
                    <w:bidi w:val="0"/>
                    <w:spacing w:before="0" w:beforeAutospacing="0" w:after="0" w:afterAutospacing="0" w:line="240" w:lineRule="auto"/>
                    <w:ind w:left="0" w:right="0"/>
                    <w:textAlignment w:val="auto"/>
                    <w:rPr>
                      <w:rFonts w:hint="default" w:ascii="Times New Roman" w:hAnsi="Times New Roman" w:cs="Times New Roman" w:eastAsiaTheme="minorEastAsia"/>
                      <w:color w:val="C00000"/>
                      <w:sz w:val="21"/>
                      <w:szCs w:val="21"/>
                      <w:highlight w:val="none"/>
                    </w:rPr>
                  </w:pPr>
                  <w:r>
                    <w:rPr>
                      <w:rFonts w:hint="default" w:ascii="Times New Roman" w:hAnsi="Times New Roman" w:cs="Times New Roman" w:eastAsiaTheme="minorEastAsia"/>
                      <w:color w:val="C00000"/>
                      <w:sz w:val="21"/>
                      <w:szCs w:val="21"/>
                      <w:highlight w:val="none"/>
                    </w:rPr>
                    <w:t>全省2025和2035年耕地保有量不低于</w:t>
                  </w:r>
                  <w:r>
                    <w:rPr>
                      <w:rFonts w:hint="default" w:ascii="Times New Roman" w:hAnsi="Times New Roman" w:cs="Times New Roman" w:eastAsiaTheme="minorEastAsia"/>
                      <w:color w:val="C00000"/>
                      <w:sz w:val="21"/>
                      <w:szCs w:val="21"/>
                      <w:highlight w:val="none"/>
                      <w:lang w:val="en-US" w:eastAsia="zh-CN"/>
                    </w:rPr>
                    <w:t>规划指标</w:t>
                  </w:r>
                  <w:r>
                    <w:rPr>
                      <w:rFonts w:hint="default" w:ascii="Times New Roman" w:hAnsi="Times New Roman" w:cs="Times New Roman" w:eastAsiaTheme="minorEastAsia"/>
                      <w:color w:val="C00000"/>
                      <w:sz w:val="21"/>
                      <w:szCs w:val="21"/>
                      <w:highlight w:val="none"/>
                      <w:lang w:eastAsia="zh-CN"/>
                    </w:rPr>
                    <w:t>。</w:t>
                  </w:r>
                </w:p>
                <w:p w14:paraId="4689D9EC">
                  <w:pPr>
                    <w:keepNext w:val="0"/>
                    <w:keepLines w:val="0"/>
                    <w:pageBreakBefore w:val="0"/>
                    <w:suppressLineNumbers w:val="0"/>
                    <w:kinsoku/>
                    <w:overflowPunct/>
                    <w:topLinePunct w:val="0"/>
                    <w:bidi w:val="0"/>
                    <w:spacing w:before="0" w:beforeAutospacing="0" w:after="0" w:afterAutospacing="0" w:line="240" w:lineRule="auto"/>
                    <w:ind w:left="0" w:right="0" w:firstLine="105" w:firstLineChars="50"/>
                    <w:textAlignment w:val="auto"/>
                    <w:rPr>
                      <w:rFonts w:hint="default" w:ascii="Times New Roman" w:hAnsi="Times New Roman" w:cs="Times New Roman" w:eastAsiaTheme="minorEastAsia"/>
                      <w:b/>
                      <w:bCs/>
                      <w:color w:val="C00000"/>
                      <w:sz w:val="21"/>
                      <w:szCs w:val="21"/>
                      <w:highlight w:val="none"/>
                    </w:rPr>
                  </w:pPr>
                  <w:r>
                    <w:rPr>
                      <w:rFonts w:hint="default" w:ascii="Times New Roman" w:hAnsi="Times New Roman" w:cs="Times New Roman" w:eastAsiaTheme="minorEastAsia"/>
                      <w:b/>
                      <w:bCs/>
                      <w:color w:val="C00000"/>
                      <w:sz w:val="21"/>
                      <w:szCs w:val="21"/>
                      <w:highlight w:val="none"/>
                    </w:rPr>
                    <w:t>3.能源：</w:t>
                  </w:r>
                </w:p>
                <w:p w14:paraId="64F17590">
                  <w:pPr>
                    <w:keepNext w:val="0"/>
                    <w:keepLines w:val="0"/>
                    <w:suppressLineNumbers w:val="0"/>
                    <w:adjustRightInd w:val="0"/>
                    <w:snapToGrid w:val="0"/>
                    <w:spacing w:before="0" w:beforeAutospacing="0" w:after="0" w:afterAutospacing="0" w:line="240" w:lineRule="auto"/>
                    <w:ind w:left="0" w:leftChars="0" w:right="0" w:rightChars="0"/>
                    <w:textAlignment w:val="baseline"/>
                    <w:rPr>
                      <w:rFonts w:hint="default" w:ascii="Times New Roman" w:hAnsi="Times New Roman" w:cs="Times New Roman" w:eastAsiaTheme="minorEastAsia"/>
                      <w:b/>
                      <w:bCs/>
                      <w:color w:val="C00000"/>
                      <w:sz w:val="21"/>
                      <w:szCs w:val="21"/>
                      <w:highlight w:val="none"/>
                    </w:rPr>
                  </w:pPr>
                  <w:r>
                    <w:rPr>
                      <w:rFonts w:hint="default" w:ascii="Times New Roman" w:hAnsi="Times New Roman" w:cs="Times New Roman" w:eastAsiaTheme="minorEastAsia"/>
                      <w:color w:val="C00000"/>
                      <w:sz w:val="21"/>
                      <w:szCs w:val="21"/>
                      <w:highlight w:val="none"/>
                    </w:rPr>
                    <w:t>2025年和2035年，全省煤炭消费上线</w:t>
                  </w:r>
                  <w:r>
                    <w:rPr>
                      <w:rFonts w:hint="default" w:ascii="Times New Roman" w:hAnsi="Times New Roman" w:cs="Times New Roman" w:eastAsiaTheme="minorEastAsia"/>
                      <w:color w:val="C00000"/>
                      <w:sz w:val="21"/>
                      <w:szCs w:val="21"/>
                      <w:highlight w:val="none"/>
                      <w:lang w:eastAsia="zh-CN"/>
                    </w:rPr>
                    <w:t>不高于省政府确定的指标</w:t>
                  </w:r>
                  <w:r>
                    <w:rPr>
                      <w:rFonts w:hint="default" w:ascii="Times New Roman" w:hAnsi="Times New Roman" w:cs="Times New Roman" w:eastAsiaTheme="minorEastAsia"/>
                      <w:color w:val="C00000"/>
                      <w:sz w:val="21"/>
                      <w:szCs w:val="21"/>
                      <w:highlight w:val="none"/>
                    </w:rPr>
                    <w:t>。</w:t>
                  </w:r>
                </w:p>
              </w:tc>
            </w:tr>
            <w:tr w14:paraId="3814D4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804" w:type="pct"/>
                  <w:vAlign w:val="center"/>
                </w:tcPr>
                <w:p w14:paraId="02B74CDA">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eastAsiaTheme="minorEastAsia"/>
                      <w:b/>
                      <w:bCs/>
                      <w:color w:val="C00000"/>
                      <w:szCs w:val="21"/>
                    </w:rPr>
                  </w:pPr>
                  <w:r>
                    <w:rPr>
                      <w:rFonts w:hint="default" w:ascii="Times New Roman" w:hAnsi="Times New Roman" w:cs="Times New Roman" w:eastAsiaTheme="minorEastAsia"/>
                      <w:b/>
                      <w:bCs/>
                      <w:color w:val="C00000"/>
                      <w:sz w:val="21"/>
                      <w:szCs w:val="21"/>
                      <w:highlight w:val="none"/>
                    </w:rPr>
                    <w:t>符合性分析</w:t>
                  </w:r>
                </w:p>
              </w:tc>
              <w:tc>
                <w:tcPr>
                  <w:tcW w:w="4195" w:type="pct"/>
                  <w:gridSpan w:val="4"/>
                  <w:vAlign w:val="center"/>
                </w:tcPr>
                <w:p w14:paraId="60A58E4B">
                  <w:pPr>
                    <w:pStyle w:val="95"/>
                    <w:keepNext w:val="0"/>
                    <w:keepLines w:val="0"/>
                    <w:suppressLineNumbers w:val="0"/>
                    <w:spacing w:before="0" w:beforeAutospacing="0" w:after="0" w:afterAutospacing="0" w:line="240" w:lineRule="auto"/>
                    <w:ind w:left="0" w:leftChars="0" w:right="0" w:rightChars="0" w:firstLine="0" w:firstLineChars="0"/>
                    <w:outlineLvl w:val="9"/>
                    <w:rPr>
                      <w:rFonts w:hint="default" w:ascii="Times New Roman" w:hAnsi="Times New Roman" w:cs="Times New Roman" w:eastAsiaTheme="minorEastAsia"/>
                      <w:b/>
                      <w:bCs/>
                      <w:color w:val="C00000"/>
                      <w:sz w:val="21"/>
                      <w:szCs w:val="21"/>
                      <w:highlight w:val="none"/>
                    </w:rPr>
                  </w:pPr>
                  <w:r>
                    <w:rPr>
                      <w:rFonts w:hint="default" w:ascii="Times New Roman" w:hAnsi="Times New Roman" w:cs="Times New Roman" w:eastAsiaTheme="minorEastAsia"/>
                      <w:color w:val="C00000"/>
                      <w:kern w:val="0"/>
                      <w:sz w:val="21"/>
                      <w:szCs w:val="21"/>
                      <w:highlight w:val="none"/>
                      <w:lang w:val="en-US" w:eastAsia="zh-CN"/>
                    </w:rPr>
                    <w:t>本项目位于</w:t>
                  </w:r>
                  <w:r>
                    <w:rPr>
                      <w:rFonts w:hint="eastAsia" w:ascii="Times New Roman" w:hAnsi="Times New Roman" w:cs="Times New Roman" w:eastAsiaTheme="minorEastAsia"/>
                      <w:color w:val="C00000"/>
                      <w:kern w:val="0"/>
                      <w:sz w:val="21"/>
                      <w:szCs w:val="21"/>
                      <w:highlight w:val="none"/>
                    </w:rPr>
                    <w:t>黑龙江省双鸭山市宝山区新安煤矿原建设科院内</w:t>
                  </w:r>
                  <w:r>
                    <w:rPr>
                      <w:rFonts w:hint="default" w:ascii="Times New Roman" w:hAnsi="Times New Roman" w:cs="Times New Roman" w:eastAsiaTheme="minorEastAsia"/>
                      <w:color w:val="C00000"/>
                      <w:kern w:val="0"/>
                      <w:sz w:val="21"/>
                      <w:szCs w:val="21"/>
                      <w:highlight w:val="none"/>
                      <w:lang w:val="en-US" w:eastAsia="zh-CN"/>
                    </w:rPr>
                    <w:t>，用地性质为工业用地，符合土地资源利用要求。</w:t>
                  </w:r>
                  <w:r>
                    <w:rPr>
                      <w:rFonts w:hint="default" w:ascii="Times New Roman" w:hAnsi="Times New Roman" w:cs="Times New Roman" w:eastAsiaTheme="minorEastAsia"/>
                      <w:color w:val="C00000"/>
                      <w:kern w:val="0"/>
                      <w:sz w:val="21"/>
                      <w:szCs w:val="21"/>
                      <w:highlight w:val="none"/>
                    </w:rPr>
                    <w:t>供水水源为</w:t>
                  </w:r>
                  <w:r>
                    <w:rPr>
                      <w:rFonts w:hint="default" w:ascii="Times New Roman" w:hAnsi="Times New Roman" w:cs="Times New Roman" w:eastAsiaTheme="minorEastAsia"/>
                      <w:color w:val="C00000"/>
                      <w:kern w:val="0"/>
                      <w:sz w:val="21"/>
                      <w:szCs w:val="21"/>
                      <w:highlight w:val="none"/>
                      <w:lang w:val="en-US" w:eastAsia="zh-CN"/>
                    </w:rPr>
                    <w:t>市政管网</w:t>
                  </w:r>
                  <w:r>
                    <w:rPr>
                      <w:rFonts w:hint="default" w:ascii="Times New Roman" w:hAnsi="Times New Roman" w:cs="Times New Roman" w:eastAsiaTheme="minorEastAsia"/>
                      <w:color w:val="C00000"/>
                      <w:kern w:val="0"/>
                      <w:sz w:val="21"/>
                      <w:szCs w:val="21"/>
                      <w:highlight w:val="none"/>
                    </w:rPr>
                    <w:t>、供电电源为当地供电电网，</w:t>
                  </w:r>
                  <w:r>
                    <w:rPr>
                      <w:rFonts w:hint="default" w:ascii="Times New Roman" w:hAnsi="Times New Roman" w:cs="Times New Roman" w:eastAsiaTheme="minorEastAsia"/>
                      <w:color w:val="C00000"/>
                      <w:kern w:val="0"/>
                      <w:sz w:val="21"/>
                      <w:szCs w:val="21"/>
                      <w:highlight w:val="none"/>
                      <w:lang w:val="en-US" w:eastAsia="zh-CN"/>
                    </w:rPr>
                    <w:t>项目</w:t>
                  </w:r>
                  <w:r>
                    <w:rPr>
                      <w:rFonts w:hint="default" w:ascii="Times New Roman" w:hAnsi="Times New Roman" w:cs="Times New Roman" w:eastAsiaTheme="minorEastAsia"/>
                      <w:color w:val="C00000"/>
                      <w:kern w:val="0"/>
                      <w:sz w:val="21"/>
                      <w:szCs w:val="21"/>
                      <w:highlight w:val="none"/>
                    </w:rPr>
                    <w:t>用水水源及供电电源可靠，</w:t>
                  </w:r>
                  <w:r>
                    <w:rPr>
                      <w:rFonts w:hint="default" w:ascii="Times New Roman" w:hAnsi="Times New Roman" w:cs="Times New Roman" w:eastAsiaTheme="minorEastAsia"/>
                      <w:color w:val="C00000"/>
                      <w:kern w:val="0"/>
                      <w:sz w:val="21"/>
                      <w:szCs w:val="21"/>
                      <w:highlight w:val="none"/>
                      <w:lang w:val="en-US" w:eastAsia="zh-CN"/>
                    </w:rPr>
                    <w:t>项目资源消耗量相对区域资源总量较小，符合资源利用上线要求。</w:t>
                  </w:r>
                </w:p>
              </w:tc>
            </w:tr>
            <w:tr w14:paraId="38CCA9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804" w:type="pct"/>
                  <w:vAlign w:val="top"/>
                </w:tcPr>
                <w:p w14:paraId="256F3244">
                  <w:pPr>
                    <w:adjustRightInd w:val="0"/>
                    <w:snapToGrid w:val="0"/>
                    <w:jc w:val="center"/>
                    <w:textAlignment w:val="baseline"/>
                    <w:rPr>
                      <w:rFonts w:eastAsiaTheme="minorEastAsia"/>
                      <w:b/>
                      <w:bCs/>
                      <w:color w:val="C00000"/>
                      <w:szCs w:val="21"/>
                    </w:rPr>
                  </w:pPr>
                  <w:r>
                    <w:rPr>
                      <w:rFonts w:eastAsiaTheme="minorEastAsia"/>
                      <w:b/>
                      <w:bCs/>
                      <w:color w:val="C00000"/>
                      <w:szCs w:val="21"/>
                    </w:rPr>
                    <w:t>环境管控单元名称</w:t>
                  </w:r>
                </w:p>
              </w:tc>
              <w:tc>
                <w:tcPr>
                  <w:tcW w:w="4195" w:type="pct"/>
                  <w:gridSpan w:val="4"/>
                  <w:vAlign w:val="center"/>
                </w:tcPr>
                <w:p w14:paraId="2F30650A">
                  <w:pPr>
                    <w:snapToGrid w:val="0"/>
                    <w:jc w:val="center"/>
                    <w:rPr>
                      <w:rFonts w:eastAsiaTheme="minorEastAsia"/>
                      <w:color w:val="C00000"/>
                      <w:szCs w:val="21"/>
                    </w:rPr>
                  </w:pPr>
                  <w:r>
                    <w:rPr>
                      <w:rFonts w:hint="eastAsia" w:eastAsiaTheme="minorEastAsia"/>
                      <w:color w:val="C00000"/>
                      <w:kern w:val="0"/>
                      <w:szCs w:val="21"/>
                    </w:rPr>
                    <w:t>宝山区</w:t>
                  </w:r>
                  <w:r>
                    <w:rPr>
                      <w:rFonts w:eastAsiaTheme="minorEastAsia"/>
                      <w:color w:val="C00000"/>
                      <w:kern w:val="0"/>
                      <w:szCs w:val="21"/>
                    </w:rPr>
                    <w:t>其他区域</w:t>
                  </w:r>
                </w:p>
              </w:tc>
            </w:tr>
            <w:tr w14:paraId="2A06AB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804" w:type="pct"/>
                  <w:vAlign w:val="center"/>
                </w:tcPr>
                <w:p w14:paraId="58FF013F">
                  <w:pPr>
                    <w:adjustRightInd w:val="0"/>
                    <w:snapToGrid w:val="0"/>
                    <w:jc w:val="center"/>
                    <w:textAlignment w:val="baseline"/>
                    <w:rPr>
                      <w:rFonts w:eastAsiaTheme="minorEastAsia"/>
                      <w:b/>
                      <w:bCs/>
                      <w:color w:val="C00000"/>
                      <w:szCs w:val="21"/>
                    </w:rPr>
                  </w:pPr>
                  <w:r>
                    <w:rPr>
                      <w:rFonts w:eastAsiaTheme="minorEastAsia"/>
                      <w:b/>
                      <w:bCs/>
                      <w:color w:val="C00000"/>
                      <w:szCs w:val="21"/>
                    </w:rPr>
                    <w:t>环境管控单元编码</w:t>
                  </w:r>
                </w:p>
              </w:tc>
              <w:tc>
                <w:tcPr>
                  <w:tcW w:w="4195" w:type="pct"/>
                  <w:gridSpan w:val="4"/>
                  <w:vAlign w:val="center"/>
                </w:tcPr>
                <w:p w14:paraId="0BD22857">
                  <w:pPr>
                    <w:snapToGrid w:val="0"/>
                    <w:jc w:val="center"/>
                    <w:rPr>
                      <w:rFonts w:eastAsiaTheme="minorEastAsia"/>
                      <w:color w:val="C00000"/>
                      <w:kern w:val="0"/>
                      <w:szCs w:val="21"/>
                    </w:rPr>
                  </w:pPr>
                  <w:r>
                    <w:rPr>
                      <w:rFonts w:eastAsiaTheme="minorEastAsia"/>
                      <w:color w:val="C00000"/>
                      <w:kern w:val="0"/>
                      <w:szCs w:val="21"/>
                    </w:rPr>
                    <w:t>ZH2305</w:t>
                  </w:r>
                  <w:r>
                    <w:rPr>
                      <w:rFonts w:hint="eastAsia" w:eastAsiaTheme="minorEastAsia"/>
                      <w:color w:val="C00000"/>
                      <w:kern w:val="0"/>
                      <w:szCs w:val="21"/>
                    </w:rPr>
                    <w:t>0630002</w:t>
                  </w:r>
                </w:p>
              </w:tc>
            </w:tr>
            <w:tr w14:paraId="573B4D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804" w:type="pct"/>
                  <w:vAlign w:val="center"/>
                </w:tcPr>
                <w:p w14:paraId="75420B59">
                  <w:pPr>
                    <w:adjustRightInd w:val="0"/>
                    <w:snapToGrid w:val="0"/>
                    <w:jc w:val="center"/>
                    <w:textAlignment w:val="baseline"/>
                    <w:rPr>
                      <w:rFonts w:eastAsiaTheme="minorEastAsia"/>
                      <w:b/>
                      <w:bCs/>
                      <w:color w:val="C00000"/>
                      <w:szCs w:val="21"/>
                    </w:rPr>
                  </w:pPr>
                  <w:r>
                    <w:rPr>
                      <w:rFonts w:eastAsiaTheme="minorEastAsia"/>
                      <w:b/>
                      <w:bCs/>
                      <w:color w:val="C00000"/>
                      <w:szCs w:val="21"/>
                    </w:rPr>
                    <w:t>管控单元类别</w:t>
                  </w:r>
                </w:p>
              </w:tc>
              <w:tc>
                <w:tcPr>
                  <w:tcW w:w="4195" w:type="pct"/>
                  <w:gridSpan w:val="4"/>
                  <w:vAlign w:val="center"/>
                </w:tcPr>
                <w:p w14:paraId="1A5EE34A">
                  <w:pPr>
                    <w:snapToGrid w:val="0"/>
                    <w:jc w:val="center"/>
                    <w:rPr>
                      <w:rFonts w:eastAsiaTheme="minorEastAsia"/>
                      <w:color w:val="C00000"/>
                      <w:kern w:val="0"/>
                      <w:szCs w:val="21"/>
                    </w:rPr>
                  </w:pPr>
                  <w:r>
                    <w:rPr>
                      <w:rFonts w:eastAsiaTheme="minorEastAsia"/>
                      <w:color w:val="C00000"/>
                      <w:kern w:val="0"/>
                      <w:szCs w:val="21"/>
                    </w:rPr>
                    <w:t>一般管控单元</w:t>
                  </w:r>
                </w:p>
              </w:tc>
            </w:tr>
            <w:tr w14:paraId="298F8D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525" w:type="pct"/>
                  <w:gridSpan w:val="3"/>
                  <w:vAlign w:val="center"/>
                </w:tcPr>
                <w:p w14:paraId="45702578">
                  <w:pPr>
                    <w:adjustRightInd w:val="0"/>
                    <w:snapToGrid w:val="0"/>
                    <w:jc w:val="center"/>
                    <w:textAlignment w:val="baseline"/>
                    <w:rPr>
                      <w:rFonts w:eastAsiaTheme="minorEastAsia"/>
                      <w:color w:val="C00000"/>
                      <w:szCs w:val="21"/>
                    </w:rPr>
                  </w:pPr>
                  <w:r>
                    <w:rPr>
                      <w:rFonts w:eastAsiaTheme="minorEastAsia"/>
                      <w:b/>
                      <w:bCs/>
                      <w:color w:val="C00000"/>
                      <w:szCs w:val="21"/>
                    </w:rPr>
                    <w:t>管控要求</w:t>
                  </w:r>
                </w:p>
              </w:tc>
              <w:tc>
                <w:tcPr>
                  <w:tcW w:w="1474" w:type="pct"/>
                  <w:gridSpan w:val="2"/>
                  <w:vAlign w:val="center"/>
                </w:tcPr>
                <w:p w14:paraId="5A2DF00A">
                  <w:pPr>
                    <w:adjustRightInd w:val="0"/>
                    <w:snapToGrid w:val="0"/>
                    <w:jc w:val="center"/>
                    <w:textAlignment w:val="baseline"/>
                    <w:rPr>
                      <w:rFonts w:eastAsiaTheme="minorEastAsia"/>
                      <w:color w:val="C00000"/>
                      <w:szCs w:val="21"/>
                    </w:rPr>
                  </w:pPr>
                  <w:r>
                    <w:rPr>
                      <w:rFonts w:eastAsiaTheme="minorEastAsia"/>
                      <w:b/>
                      <w:bCs/>
                      <w:color w:val="C00000"/>
                      <w:szCs w:val="21"/>
                    </w:rPr>
                    <w:t>项目符合性分析</w:t>
                  </w:r>
                </w:p>
              </w:tc>
            </w:tr>
            <w:tr w14:paraId="4455C6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8" w:hRule="atLeast"/>
                <w:jc w:val="center"/>
              </w:trPr>
              <w:tc>
                <w:tcPr>
                  <w:tcW w:w="804" w:type="pct"/>
                  <w:vAlign w:val="center"/>
                </w:tcPr>
                <w:p w14:paraId="4D2E67DD">
                  <w:pPr>
                    <w:jc w:val="center"/>
                    <w:rPr>
                      <w:rFonts w:eastAsiaTheme="minorEastAsia"/>
                      <w:color w:val="C00000"/>
                      <w:szCs w:val="21"/>
                    </w:rPr>
                  </w:pPr>
                  <w:r>
                    <w:rPr>
                      <w:rFonts w:eastAsiaTheme="minorEastAsia"/>
                      <w:color w:val="C00000"/>
                      <w:szCs w:val="21"/>
                    </w:rPr>
                    <w:t>空间布局约束</w:t>
                  </w:r>
                </w:p>
              </w:tc>
              <w:tc>
                <w:tcPr>
                  <w:tcW w:w="2721" w:type="pct"/>
                  <w:gridSpan w:val="2"/>
                  <w:shd w:val="clear" w:color="auto" w:fill="auto"/>
                  <w:vAlign w:val="center"/>
                </w:tcPr>
                <w:p w14:paraId="45DB2C92">
                  <w:pPr>
                    <w:numPr>
                      <w:ilvl w:val="0"/>
                      <w:numId w:val="4"/>
                    </w:numPr>
                    <w:rPr>
                      <w:rFonts w:eastAsiaTheme="minorEastAsia"/>
                      <w:color w:val="C00000"/>
                      <w:szCs w:val="21"/>
                    </w:rPr>
                  </w:pPr>
                  <w:r>
                    <w:rPr>
                      <w:rFonts w:eastAsiaTheme="minorEastAsia"/>
                      <w:color w:val="C00000"/>
                      <w:szCs w:val="21"/>
                    </w:rPr>
                    <w:t>引导工业项目向开发区集中，促进产业集聚、资源集约、绿色发展。</w:t>
                  </w:r>
                </w:p>
                <w:p w14:paraId="4B31415F">
                  <w:pPr>
                    <w:rPr>
                      <w:rFonts w:eastAsiaTheme="minorEastAsia"/>
                      <w:color w:val="C00000"/>
                      <w:szCs w:val="21"/>
                    </w:rPr>
                  </w:pPr>
                  <w:r>
                    <w:rPr>
                      <w:rFonts w:eastAsiaTheme="minorEastAsia"/>
                      <w:color w:val="C00000"/>
                      <w:szCs w:val="21"/>
                    </w:rPr>
                    <w:t>2.强化节能环保标准约束，严格行业规范、准入管理和节能审查，对电力、钢铁、建材、有色、化工、石油石化、船舶、煤炭、印染、造纸、制革、染料、焦化、电镀等行业中，环保、能耗、安全等不达标或生产、使用淘汰类产品的企业和产能，要依法依规有序退出</w:t>
                  </w:r>
                </w:p>
              </w:tc>
              <w:tc>
                <w:tcPr>
                  <w:tcW w:w="1474" w:type="pct"/>
                  <w:gridSpan w:val="2"/>
                  <w:shd w:val="clear" w:color="auto" w:fill="auto"/>
                  <w:vAlign w:val="center"/>
                </w:tcPr>
                <w:p w14:paraId="79AE3E98">
                  <w:pPr>
                    <w:pStyle w:val="126"/>
                    <w:rPr>
                      <w:rFonts w:cs="Times New Roman" w:eastAsiaTheme="minorEastAsia"/>
                      <w:color w:val="C00000"/>
                    </w:rPr>
                  </w:pPr>
                  <w:r>
                    <w:rPr>
                      <w:rFonts w:cs="Times New Roman" w:eastAsiaTheme="minorEastAsia"/>
                      <w:color w:val="C00000"/>
                    </w:rPr>
                    <w:t>本项目为</w:t>
                  </w:r>
                  <w:r>
                    <w:rPr>
                      <w:rFonts w:hint="eastAsia" w:cs="Times New Roman" w:eastAsiaTheme="minorEastAsia"/>
                      <w:color w:val="C00000"/>
                      <w:lang w:eastAsia="zh-CN"/>
                    </w:rPr>
                    <w:t>热力生产和供应项目</w:t>
                  </w:r>
                  <w:r>
                    <w:rPr>
                      <w:rFonts w:cs="Times New Roman" w:eastAsiaTheme="minorEastAsia"/>
                      <w:color w:val="C00000"/>
                    </w:rPr>
                    <w:t>，符合相应规范要求，项目不属于高耗能、淘汰类项目</w:t>
                  </w:r>
                </w:p>
              </w:tc>
            </w:tr>
            <w:tr w14:paraId="53EC8F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804" w:type="pct"/>
                  <w:vAlign w:val="center"/>
                </w:tcPr>
                <w:p w14:paraId="024A8E91">
                  <w:pPr>
                    <w:adjustRightInd w:val="0"/>
                    <w:snapToGrid w:val="0"/>
                    <w:jc w:val="center"/>
                    <w:textAlignment w:val="baseline"/>
                    <w:rPr>
                      <w:rFonts w:eastAsiaTheme="minorEastAsia"/>
                      <w:b/>
                      <w:bCs/>
                      <w:color w:val="C00000"/>
                      <w:szCs w:val="21"/>
                    </w:rPr>
                  </w:pPr>
                  <w:r>
                    <w:rPr>
                      <w:rFonts w:eastAsiaTheme="minorEastAsia"/>
                      <w:b/>
                      <w:bCs/>
                      <w:color w:val="C00000"/>
                      <w:szCs w:val="21"/>
                    </w:rPr>
                    <w:t>环境管控单元名称</w:t>
                  </w:r>
                </w:p>
              </w:tc>
              <w:tc>
                <w:tcPr>
                  <w:tcW w:w="4195" w:type="pct"/>
                  <w:gridSpan w:val="4"/>
                  <w:vAlign w:val="center"/>
                </w:tcPr>
                <w:p w14:paraId="6853125F">
                  <w:pPr>
                    <w:widowControl/>
                    <w:jc w:val="center"/>
                    <w:rPr>
                      <w:rFonts w:eastAsiaTheme="minorEastAsia"/>
                      <w:color w:val="C00000"/>
                      <w:szCs w:val="21"/>
                    </w:rPr>
                  </w:pPr>
                  <w:r>
                    <w:rPr>
                      <w:rFonts w:hint="eastAsia" w:eastAsiaTheme="minorEastAsia"/>
                      <w:color w:val="C00000"/>
                      <w:kern w:val="0"/>
                      <w:szCs w:val="21"/>
                      <w:lang w:bidi="ar"/>
                    </w:rPr>
                    <w:t>宝山区</w:t>
                  </w:r>
                  <w:r>
                    <w:rPr>
                      <w:rFonts w:eastAsiaTheme="minorEastAsia"/>
                      <w:color w:val="C00000"/>
                      <w:kern w:val="0"/>
                      <w:szCs w:val="21"/>
                      <w:lang w:bidi="ar"/>
                    </w:rPr>
                    <w:t>地下水环境一般管控区</w:t>
                  </w:r>
                </w:p>
              </w:tc>
            </w:tr>
            <w:tr w14:paraId="5FC839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804" w:type="pct"/>
                  <w:vAlign w:val="center"/>
                </w:tcPr>
                <w:p w14:paraId="4DA052CB">
                  <w:pPr>
                    <w:adjustRightInd w:val="0"/>
                    <w:snapToGrid w:val="0"/>
                    <w:jc w:val="center"/>
                    <w:textAlignment w:val="baseline"/>
                    <w:rPr>
                      <w:rFonts w:eastAsiaTheme="minorEastAsia"/>
                      <w:b/>
                      <w:bCs/>
                      <w:color w:val="C00000"/>
                      <w:szCs w:val="21"/>
                    </w:rPr>
                  </w:pPr>
                  <w:r>
                    <w:rPr>
                      <w:rFonts w:eastAsiaTheme="minorEastAsia"/>
                      <w:b/>
                      <w:bCs/>
                      <w:color w:val="C00000"/>
                      <w:szCs w:val="21"/>
                    </w:rPr>
                    <w:t>环境管控单元编码</w:t>
                  </w:r>
                </w:p>
              </w:tc>
              <w:tc>
                <w:tcPr>
                  <w:tcW w:w="4195" w:type="pct"/>
                  <w:gridSpan w:val="4"/>
                  <w:vAlign w:val="center"/>
                </w:tcPr>
                <w:p w14:paraId="0CE052DA">
                  <w:pPr>
                    <w:widowControl/>
                    <w:jc w:val="center"/>
                    <w:rPr>
                      <w:rFonts w:eastAsiaTheme="minorEastAsia"/>
                      <w:color w:val="C00000"/>
                      <w:szCs w:val="21"/>
                    </w:rPr>
                  </w:pPr>
                  <w:r>
                    <w:rPr>
                      <w:rFonts w:eastAsiaTheme="minorEastAsia"/>
                      <w:color w:val="C00000"/>
                      <w:kern w:val="0"/>
                      <w:szCs w:val="21"/>
                      <w:lang w:bidi="ar"/>
                    </w:rPr>
                    <w:t>YS2305066310001</w:t>
                  </w:r>
                </w:p>
              </w:tc>
            </w:tr>
            <w:tr w14:paraId="34B7D7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804" w:type="pct"/>
                  <w:vAlign w:val="center"/>
                </w:tcPr>
                <w:p w14:paraId="53F825D2">
                  <w:pPr>
                    <w:adjustRightInd w:val="0"/>
                    <w:snapToGrid w:val="0"/>
                    <w:jc w:val="center"/>
                    <w:textAlignment w:val="baseline"/>
                    <w:rPr>
                      <w:rFonts w:eastAsiaTheme="minorEastAsia"/>
                      <w:b/>
                      <w:bCs/>
                      <w:color w:val="C00000"/>
                      <w:szCs w:val="21"/>
                    </w:rPr>
                  </w:pPr>
                  <w:r>
                    <w:rPr>
                      <w:rFonts w:eastAsiaTheme="minorEastAsia"/>
                      <w:b/>
                      <w:bCs/>
                      <w:color w:val="C00000"/>
                      <w:szCs w:val="21"/>
                    </w:rPr>
                    <w:t>管控单元类别</w:t>
                  </w:r>
                </w:p>
              </w:tc>
              <w:tc>
                <w:tcPr>
                  <w:tcW w:w="4195" w:type="pct"/>
                  <w:gridSpan w:val="4"/>
                  <w:vAlign w:val="center"/>
                </w:tcPr>
                <w:p w14:paraId="00783694">
                  <w:pPr>
                    <w:adjustRightInd w:val="0"/>
                    <w:snapToGrid w:val="0"/>
                    <w:jc w:val="center"/>
                    <w:textAlignment w:val="baseline"/>
                    <w:rPr>
                      <w:rFonts w:eastAsiaTheme="minorEastAsia"/>
                      <w:color w:val="C00000"/>
                      <w:szCs w:val="21"/>
                    </w:rPr>
                  </w:pPr>
                  <w:r>
                    <w:rPr>
                      <w:rFonts w:eastAsiaTheme="minorEastAsia"/>
                      <w:color w:val="C00000"/>
                      <w:kern w:val="0"/>
                      <w:szCs w:val="21"/>
                      <w:lang w:bidi="ar"/>
                    </w:rPr>
                    <w:t>一般管控区</w:t>
                  </w:r>
                </w:p>
              </w:tc>
            </w:tr>
            <w:tr w14:paraId="489173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25" w:type="pct"/>
                  <w:gridSpan w:val="3"/>
                  <w:vAlign w:val="center"/>
                </w:tcPr>
                <w:p w14:paraId="3E9BA3F0">
                  <w:pPr>
                    <w:adjustRightInd w:val="0"/>
                    <w:snapToGrid w:val="0"/>
                    <w:jc w:val="center"/>
                    <w:rPr>
                      <w:rFonts w:eastAsiaTheme="minorEastAsia"/>
                      <w:b/>
                      <w:bCs/>
                      <w:color w:val="C00000"/>
                      <w:szCs w:val="21"/>
                      <w:lang w:val="zh-CN"/>
                    </w:rPr>
                  </w:pPr>
                  <w:r>
                    <w:rPr>
                      <w:rFonts w:eastAsiaTheme="minorEastAsia"/>
                      <w:b/>
                      <w:bCs/>
                      <w:color w:val="C00000"/>
                      <w:szCs w:val="21"/>
                      <w:lang w:val="zh-CN"/>
                    </w:rPr>
                    <w:t>管控要求</w:t>
                  </w:r>
                </w:p>
              </w:tc>
              <w:tc>
                <w:tcPr>
                  <w:tcW w:w="1474" w:type="pct"/>
                  <w:gridSpan w:val="2"/>
                  <w:vAlign w:val="center"/>
                </w:tcPr>
                <w:p w14:paraId="7A5B89FA">
                  <w:pPr>
                    <w:adjustRightInd w:val="0"/>
                    <w:snapToGrid w:val="0"/>
                    <w:jc w:val="center"/>
                    <w:textAlignment w:val="baseline"/>
                    <w:rPr>
                      <w:rFonts w:eastAsiaTheme="minorEastAsia"/>
                      <w:b/>
                      <w:bCs/>
                      <w:color w:val="C00000"/>
                      <w:szCs w:val="21"/>
                      <w:lang w:val="zh-TW"/>
                    </w:rPr>
                  </w:pPr>
                  <w:r>
                    <w:rPr>
                      <w:rFonts w:eastAsiaTheme="minorEastAsia"/>
                      <w:b/>
                      <w:bCs/>
                      <w:color w:val="C00000"/>
                      <w:szCs w:val="21"/>
                      <w:lang w:val="zh-TW"/>
                    </w:rPr>
                    <w:t>项目符合性分析</w:t>
                  </w:r>
                </w:p>
              </w:tc>
            </w:tr>
            <w:tr w14:paraId="7E45E8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4" w:type="pct"/>
                  <w:vAlign w:val="center"/>
                </w:tcPr>
                <w:p w14:paraId="11B1E659">
                  <w:pPr>
                    <w:adjustRightInd w:val="0"/>
                    <w:snapToGrid w:val="0"/>
                    <w:jc w:val="center"/>
                    <w:rPr>
                      <w:rFonts w:eastAsiaTheme="minorEastAsia"/>
                      <w:b/>
                      <w:bCs/>
                      <w:color w:val="C00000"/>
                      <w:szCs w:val="21"/>
                    </w:rPr>
                  </w:pPr>
                  <w:r>
                    <w:rPr>
                      <w:rFonts w:eastAsiaTheme="minorEastAsia"/>
                      <w:b/>
                      <w:bCs/>
                      <w:color w:val="C00000"/>
                      <w:szCs w:val="21"/>
                    </w:rPr>
                    <w:t>环境风险防控</w:t>
                  </w:r>
                </w:p>
              </w:tc>
              <w:tc>
                <w:tcPr>
                  <w:tcW w:w="2721" w:type="pct"/>
                  <w:gridSpan w:val="2"/>
                  <w:vAlign w:val="center"/>
                </w:tcPr>
                <w:p w14:paraId="0EA00E12">
                  <w:pPr>
                    <w:widowControl/>
                    <w:rPr>
                      <w:rFonts w:eastAsiaTheme="minorEastAsia"/>
                      <w:color w:val="C00000"/>
                      <w:szCs w:val="21"/>
                      <w:lang w:val="zh-CN"/>
                    </w:rPr>
                  </w:pPr>
                  <w:r>
                    <w:rPr>
                      <w:rFonts w:eastAsiaTheme="minorEastAsia"/>
                      <w:color w:val="C00000"/>
                      <w:kern w:val="0"/>
                      <w:szCs w:val="21"/>
                      <w:lang w:bidi="ar"/>
                    </w:rPr>
                    <w:t>1.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2.重点单位新、改、扩建项目地下储罐储存有毒有害物质的，应当在项目投入生产或者使用之前，将地下储罐的信息报所在地设区的市级生态环境主管部门备案。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474" w:type="pct"/>
                  <w:gridSpan w:val="2"/>
                  <w:vAlign w:val="center"/>
                </w:tcPr>
                <w:p w14:paraId="662F5D81">
                  <w:pPr>
                    <w:adjustRightInd w:val="0"/>
                    <w:snapToGrid w:val="0"/>
                    <w:textAlignment w:val="baseline"/>
                    <w:rPr>
                      <w:rFonts w:eastAsiaTheme="minorEastAsia"/>
                      <w:b/>
                      <w:color w:val="C00000"/>
                      <w:szCs w:val="21"/>
                    </w:rPr>
                  </w:pPr>
                  <w:r>
                    <w:rPr>
                      <w:rFonts w:eastAsiaTheme="minorEastAsia"/>
                      <w:color w:val="C00000"/>
                      <w:szCs w:val="21"/>
                    </w:rPr>
                    <w:t>本项目为</w:t>
                  </w:r>
                  <w:r>
                    <w:rPr>
                      <w:rFonts w:ascii="Times New Roman" w:hAnsi="Times New Roman" w:cs="Times New Roman" w:eastAsiaTheme="minorEastAsia"/>
                      <w:color w:val="C00000"/>
                      <w:szCs w:val="21"/>
                    </w:rPr>
                    <w:t>热力生产和供应</w:t>
                  </w:r>
                  <w:r>
                    <w:rPr>
                      <w:rFonts w:hint="eastAsia" w:ascii="Times New Roman" w:hAnsi="Times New Roman" w:cs="Times New Roman" w:eastAsiaTheme="minorEastAsia"/>
                      <w:color w:val="C00000"/>
                      <w:szCs w:val="21"/>
                      <w:lang w:val="en-US" w:eastAsia="zh-CN"/>
                    </w:rPr>
                    <w:t>项目</w:t>
                  </w:r>
                  <w:r>
                    <w:rPr>
                      <w:rFonts w:eastAsiaTheme="minorEastAsia"/>
                      <w:color w:val="C00000"/>
                      <w:szCs w:val="21"/>
                    </w:rPr>
                    <w:t>，不涉及</w:t>
                  </w:r>
                  <w:r>
                    <w:rPr>
                      <w:rFonts w:eastAsiaTheme="minorEastAsia"/>
                      <w:color w:val="C00000"/>
                      <w:kern w:val="0"/>
                      <w:szCs w:val="21"/>
                      <w:lang w:bidi="ar"/>
                    </w:rPr>
                    <w:t>有毒有害物质排放，无土壤下渗污染途径。</w:t>
                  </w:r>
                </w:p>
              </w:tc>
            </w:tr>
          </w:tbl>
          <w:p w14:paraId="01586DF0">
            <w:pPr>
              <w:autoSpaceDE w:val="0"/>
              <w:autoSpaceDN w:val="0"/>
              <w:adjustRightInd w:val="0"/>
              <w:snapToGrid w:val="0"/>
              <w:spacing w:line="360" w:lineRule="auto"/>
              <w:ind w:firstLine="480" w:firstLineChars="200"/>
              <w:jc w:val="left"/>
              <w:rPr>
                <w:rFonts w:hint="eastAsia"/>
                <w:snapToGrid w:val="0"/>
                <w:color w:val="C00000"/>
                <w:kern w:val="0"/>
                <w:sz w:val="24"/>
                <w:lang w:val="en-US" w:eastAsia="zh-CN"/>
              </w:rPr>
            </w:pPr>
            <w:r>
              <w:rPr>
                <w:rFonts w:hint="eastAsia"/>
                <w:snapToGrid w:val="0"/>
                <w:color w:val="C00000"/>
                <w:kern w:val="0"/>
                <w:sz w:val="24"/>
                <w:lang w:eastAsia="zh-CN"/>
              </w:rPr>
              <w:t>（</w:t>
            </w:r>
            <w:r>
              <w:rPr>
                <w:rFonts w:hint="eastAsia"/>
                <w:snapToGrid w:val="0"/>
                <w:color w:val="C00000"/>
                <w:kern w:val="0"/>
                <w:sz w:val="24"/>
                <w:lang w:val="en-US" w:eastAsia="zh-CN"/>
              </w:rPr>
              <w:t>3）“一说明”</w:t>
            </w:r>
          </w:p>
          <w:p w14:paraId="7970C274">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C00000"/>
                <w:sz w:val="24"/>
                <w:highlight w:val="none"/>
                <w:lang w:val="en-US" w:eastAsia="zh-CN" w:bidi="ar-SA"/>
              </w:rPr>
            </w:pPr>
            <w:r>
              <w:rPr>
                <w:rFonts w:hint="eastAsia" w:ascii="Times New Roman" w:hAnsi="Times New Roman" w:eastAsia="宋体" w:cs="Times New Roman"/>
                <w:color w:val="C00000"/>
                <w:sz w:val="24"/>
                <w:highlight w:val="none"/>
                <w:lang w:val="en-US" w:eastAsia="zh-CN" w:bidi="ar-SA"/>
              </w:rPr>
              <w:t xml:space="preserve">双鸭山市润丰粮食有限公司改建项目位置涉及双鸭山市宝山区；项目占地总面积小于 </w:t>
            </w:r>
            <w:r>
              <w:rPr>
                <w:rFonts w:hint="default" w:ascii="Times New Roman" w:hAnsi="Times New Roman" w:eastAsia="宋体" w:cs="Times New Roman"/>
                <w:color w:val="C00000"/>
                <w:sz w:val="24"/>
                <w:highlight w:val="none"/>
                <w:lang w:val="en-US" w:eastAsia="zh-CN" w:bidi="ar-SA"/>
              </w:rPr>
              <w:t xml:space="preserve">0.01 </w:t>
            </w:r>
            <w:r>
              <w:rPr>
                <w:rFonts w:hint="eastAsia" w:ascii="Times New Roman" w:hAnsi="Times New Roman" w:eastAsia="宋体" w:cs="Times New Roman"/>
                <w:color w:val="C00000"/>
                <w:sz w:val="24"/>
                <w:highlight w:val="none"/>
                <w:lang w:val="en-US" w:eastAsia="zh-CN" w:bidi="ar-SA"/>
              </w:rPr>
              <w:t xml:space="preserve">平方公里。 </w:t>
            </w:r>
          </w:p>
          <w:p w14:paraId="7615618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C00000"/>
                <w:sz w:val="24"/>
                <w:highlight w:val="none"/>
                <w:lang w:val="en-US" w:eastAsia="zh-CN" w:bidi="ar-SA"/>
              </w:rPr>
            </w:pPr>
            <w:r>
              <w:rPr>
                <w:rFonts w:hint="eastAsia" w:ascii="Times New Roman" w:hAnsi="Times New Roman" w:eastAsia="宋体" w:cs="Times New Roman"/>
                <w:color w:val="C00000"/>
                <w:sz w:val="24"/>
                <w:highlight w:val="none"/>
                <w:lang w:val="en-US" w:eastAsia="zh-CN" w:bidi="ar-SA"/>
              </w:rPr>
              <w:t xml:space="preserve">与生态保护红线交集面积为 </w:t>
            </w:r>
            <w:r>
              <w:rPr>
                <w:rFonts w:hint="default" w:ascii="Times New Roman" w:hAnsi="Times New Roman" w:eastAsia="宋体" w:cs="Times New Roman"/>
                <w:color w:val="C00000"/>
                <w:sz w:val="24"/>
                <w:highlight w:val="none"/>
                <w:lang w:val="en-US" w:eastAsia="zh-CN" w:bidi="ar-SA"/>
              </w:rPr>
              <w:t xml:space="preserve">0.00 </w:t>
            </w:r>
            <w:r>
              <w:rPr>
                <w:rFonts w:hint="eastAsia" w:ascii="Times New Roman" w:hAnsi="Times New Roman" w:eastAsia="宋体" w:cs="Times New Roman"/>
                <w:color w:val="C00000"/>
                <w:sz w:val="24"/>
                <w:highlight w:val="none"/>
                <w:lang w:val="en-US" w:eastAsia="zh-CN" w:bidi="ar-SA"/>
              </w:rPr>
              <w:t xml:space="preserve">平方公里，占项目占地面积的 </w:t>
            </w:r>
            <w:r>
              <w:rPr>
                <w:rFonts w:hint="default" w:ascii="Times New Roman" w:hAnsi="Times New Roman" w:eastAsia="宋体" w:cs="Times New Roman"/>
                <w:color w:val="C00000"/>
                <w:sz w:val="24"/>
                <w:highlight w:val="none"/>
                <w:lang w:val="en-US" w:eastAsia="zh-CN" w:bidi="ar-SA"/>
              </w:rPr>
              <w:t>0.00%</w:t>
            </w:r>
            <w:r>
              <w:rPr>
                <w:rFonts w:hint="eastAsia" w:ascii="Times New Roman" w:hAnsi="Times New Roman" w:eastAsia="宋体" w:cs="Times New Roman"/>
                <w:color w:val="C00000"/>
                <w:sz w:val="24"/>
                <w:highlight w:val="none"/>
                <w:lang w:val="en-US" w:eastAsia="zh-CN" w:bidi="ar-SA"/>
              </w:rPr>
              <w:t xml:space="preserve">。 </w:t>
            </w:r>
          </w:p>
          <w:p w14:paraId="425EEC8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C00000"/>
                <w:sz w:val="24"/>
                <w:highlight w:val="none"/>
                <w:lang w:val="en-US" w:eastAsia="zh-CN" w:bidi="ar-SA"/>
              </w:rPr>
            </w:pPr>
            <w:r>
              <w:rPr>
                <w:rFonts w:hint="eastAsia" w:ascii="Times New Roman" w:hAnsi="Times New Roman" w:eastAsia="宋体" w:cs="Times New Roman"/>
                <w:color w:val="C00000"/>
                <w:sz w:val="24"/>
                <w:highlight w:val="none"/>
                <w:lang w:val="en-US" w:eastAsia="zh-CN" w:bidi="ar-SA"/>
              </w:rPr>
              <w:t xml:space="preserve">与自然保护地整合优化方案数据交集面积为 </w:t>
            </w:r>
            <w:r>
              <w:rPr>
                <w:rFonts w:hint="default" w:ascii="Times New Roman" w:hAnsi="Times New Roman" w:eastAsia="宋体" w:cs="Times New Roman"/>
                <w:color w:val="C00000"/>
                <w:sz w:val="24"/>
                <w:highlight w:val="none"/>
                <w:lang w:val="en-US" w:eastAsia="zh-CN" w:bidi="ar-SA"/>
              </w:rPr>
              <w:t xml:space="preserve">0.00 </w:t>
            </w:r>
            <w:r>
              <w:rPr>
                <w:rFonts w:hint="eastAsia" w:ascii="Times New Roman" w:hAnsi="Times New Roman" w:eastAsia="宋体" w:cs="Times New Roman"/>
                <w:color w:val="C00000"/>
                <w:sz w:val="24"/>
                <w:highlight w:val="none"/>
                <w:lang w:val="en-US" w:eastAsia="zh-CN" w:bidi="ar-SA"/>
              </w:rPr>
              <w:t xml:space="preserve">平方公里，占项目占地面积的 </w:t>
            </w:r>
            <w:r>
              <w:rPr>
                <w:rFonts w:hint="default" w:ascii="Times New Roman" w:hAnsi="Times New Roman" w:eastAsia="宋体" w:cs="Times New Roman"/>
                <w:color w:val="C00000"/>
                <w:sz w:val="24"/>
                <w:highlight w:val="none"/>
                <w:lang w:val="en-US" w:eastAsia="zh-CN" w:bidi="ar-SA"/>
              </w:rPr>
              <w:t>0.00%</w:t>
            </w:r>
            <w:r>
              <w:rPr>
                <w:rFonts w:hint="eastAsia" w:ascii="Times New Roman" w:hAnsi="Times New Roman" w:eastAsia="宋体" w:cs="Times New Roman"/>
                <w:color w:val="C00000"/>
                <w:sz w:val="24"/>
                <w:highlight w:val="none"/>
                <w:lang w:val="en-US" w:eastAsia="zh-CN" w:bidi="ar-SA"/>
              </w:rPr>
              <w:t xml:space="preserve">。保护地涉及等类型。与自然保护地（现状管理数据）交集面积为 </w:t>
            </w:r>
            <w:r>
              <w:rPr>
                <w:rFonts w:hint="default" w:ascii="Times New Roman" w:hAnsi="Times New Roman" w:eastAsia="宋体" w:cs="Times New Roman"/>
                <w:color w:val="C00000"/>
                <w:sz w:val="24"/>
                <w:highlight w:val="none"/>
                <w:lang w:val="en-US" w:eastAsia="zh-CN" w:bidi="ar-SA"/>
              </w:rPr>
              <w:t xml:space="preserve">0.00 </w:t>
            </w:r>
            <w:r>
              <w:rPr>
                <w:rFonts w:hint="eastAsia" w:ascii="Times New Roman" w:hAnsi="Times New Roman" w:eastAsia="宋体" w:cs="Times New Roman"/>
                <w:color w:val="C00000"/>
                <w:sz w:val="24"/>
                <w:highlight w:val="none"/>
                <w:lang w:val="en-US" w:eastAsia="zh-CN" w:bidi="ar-SA"/>
              </w:rPr>
              <w:t xml:space="preserve">平方公里，占项目占地面积的 </w:t>
            </w:r>
            <w:r>
              <w:rPr>
                <w:rFonts w:hint="default" w:ascii="Times New Roman" w:hAnsi="Times New Roman" w:eastAsia="宋体" w:cs="Times New Roman"/>
                <w:color w:val="C00000"/>
                <w:sz w:val="24"/>
                <w:highlight w:val="none"/>
                <w:lang w:val="en-US" w:eastAsia="zh-CN" w:bidi="ar-SA"/>
              </w:rPr>
              <w:t>0.00%</w:t>
            </w:r>
            <w:r>
              <w:rPr>
                <w:rFonts w:hint="eastAsia" w:ascii="Times New Roman" w:hAnsi="Times New Roman" w:eastAsia="宋体" w:cs="Times New Roman"/>
                <w:color w:val="C00000"/>
                <w:sz w:val="24"/>
                <w:highlight w:val="none"/>
                <w:lang w:val="en-US" w:eastAsia="zh-CN" w:bidi="ar-SA"/>
              </w:rPr>
              <w:t xml:space="preserve">。保护地涉及等类型。 </w:t>
            </w:r>
          </w:p>
          <w:p w14:paraId="788E4D4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C00000"/>
                <w:sz w:val="24"/>
                <w:highlight w:val="none"/>
                <w:lang w:val="en-US" w:eastAsia="zh-CN" w:bidi="ar-SA"/>
              </w:rPr>
            </w:pPr>
            <w:r>
              <w:rPr>
                <w:rFonts w:hint="eastAsia" w:ascii="Times New Roman" w:hAnsi="Times New Roman" w:eastAsia="宋体" w:cs="Times New Roman"/>
                <w:color w:val="C00000"/>
                <w:sz w:val="24"/>
                <w:highlight w:val="none"/>
                <w:lang w:val="en-US" w:eastAsia="zh-CN" w:bidi="ar-SA"/>
              </w:rPr>
              <w:t xml:space="preserve">与饮用水水源保护区交集面积为 </w:t>
            </w:r>
            <w:r>
              <w:rPr>
                <w:rFonts w:hint="default" w:ascii="Times New Roman" w:hAnsi="Times New Roman" w:eastAsia="宋体" w:cs="Times New Roman"/>
                <w:color w:val="C00000"/>
                <w:sz w:val="24"/>
                <w:highlight w:val="none"/>
                <w:lang w:val="en-US" w:eastAsia="zh-CN" w:bidi="ar-SA"/>
              </w:rPr>
              <w:t xml:space="preserve">0.00 </w:t>
            </w:r>
            <w:r>
              <w:rPr>
                <w:rFonts w:hint="eastAsia" w:ascii="Times New Roman" w:hAnsi="Times New Roman" w:eastAsia="宋体" w:cs="Times New Roman"/>
                <w:color w:val="C00000"/>
                <w:sz w:val="24"/>
                <w:highlight w:val="none"/>
                <w:lang w:val="en-US" w:eastAsia="zh-CN" w:bidi="ar-SA"/>
              </w:rPr>
              <w:t xml:space="preserve">平方公里，占项目占地面积的 </w:t>
            </w:r>
            <w:r>
              <w:rPr>
                <w:rFonts w:hint="default" w:ascii="Times New Roman" w:hAnsi="Times New Roman" w:eastAsia="宋体" w:cs="Times New Roman"/>
                <w:color w:val="C00000"/>
                <w:sz w:val="24"/>
                <w:highlight w:val="none"/>
                <w:lang w:val="en-US" w:eastAsia="zh-CN" w:bidi="ar-SA"/>
              </w:rPr>
              <w:t>0.00%</w:t>
            </w:r>
            <w:r>
              <w:rPr>
                <w:rFonts w:hint="eastAsia" w:ascii="Times New Roman" w:hAnsi="Times New Roman" w:eastAsia="宋体" w:cs="Times New Roman"/>
                <w:color w:val="C00000"/>
                <w:sz w:val="24"/>
                <w:highlight w:val="none"/>
                <w:lang w:val="en-US" w:eastAsia="zh-CN" w:bidi="ar-SA"/>
              </w:rPr>
              <w:t xml:space="preserve">。与国家级水产种质资源保护区交集面积为 </w:t>
            </w:r>
            <w:r>
              <w:rPr>
                <w:rFonts w:hint="default" w:ascii="Times New Roman" w:hAnsi="Times New Roman" w:eastAsia="宋体" w:cs="Times New Roman"/>
                <w:color w:val="C00000"/>
                <w:sz w:val="24"/>
                <w:highlight w:val="none"/>
                <w:lang w:val="en-US" w:eastAsia="zh-CN" w:bidi="ar-SA"/>
              </w:rPr>
              <w:t xml:space="preserve">0.00 </w:t>
            </w:r>
            <w:r>
              <w:rPr>
                <w:rFonts w:hint="eastAsia" w:ascii="Times New Roman" w:hAnsi="Times New Roman" w:eastAsia="宋体" w:cs="Times New Roman"/>
                <w:color w:val="C00000"/>
                <w:sz w:val="24"/>
                <w:highlight w:val="none"/>
                <w:lang w:val="en-US" w:eastAsia="zh-CN" w:bidi="ar-SA"/>
              </w:rPr>
              <w:t xml:space="preserve">平方公里，占项目占地面积的 </w:t>
            </w:r>
            <w:r>
              <w:rPr>
                <w:rFonts w:hint="default" w:ascii="Times New Roman" w:hAnsi="Times New Roman" w:eastAsia="宋体" w:cs="Times New Roman"/>
                <w:color w:val="C00000"/>
                <w:sz w:val="24"/>
                <w:highlight w:val="none"/>
                <w:lang w:val="en-US" w:eastAsia="zh-CN" w:bidi="ar-SA"/>
              </w:rPr>
              <w:t>0.00%</w:t>
            </w:r>
            <w:r>
              <w:rPr>
                <w:rFonts w:hint="eastAsia" w:ascii="Times New Roman" w:hAnsi="Times New Roman" w:eastAsia="宋体" w:cs="Times New Roman"/>
                <w:color w:val="C00000"/>
                <w:sz w:val="24"/>
                <w:highlight w:val="none"/>
                <w:lang w:val="en-US" w:eastAsia="zh-CN" w:bidi="ar-SA"/>
              </w:rPr>
              <w:t xml:space="preserve">。 </w:t>
            </w:r>
          </w:p>
          <w:p w14:paraId="0F474FB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C00000"/>
                <w:sz w:val="24"/>
                <w:highlight w:val="none"/>
                <w:lang w:val="en-US" w:eastAsia="zh-CN" w:bidi="ar-SA"/>
              </w:rPr>
            </w:pPr>
            <w:r>
              <w:rPr>
                <w:rFonts w:hint="eastAsia" w:ascii="Times New Roman" w:hAnsi="Times New Roman" w:eastAsia="宋体" w:cs="Times New Roman"/>
                <w:color w:val="C00000"/>
                <w:sz w:val="24"/>
                <w:highlight w:val="none"/>
                <w:lang w:val="en-US" w:eastAsia="zh-CN" w:bidi="ar-SA"/>
              </w:rPr>
              <w:t xml:space="preserve">与环境管控单元优先保护单元交集面积为 </w:t>
            </w:r>
            <w:r>
              <w:rPr>
                <w:rFonts w:hint="default" w:ascii="Times New Roman" w:hAnsi="Times New Roman" w:eastAsia="宋体" w:cs="Times New Roman"/>
                <w:color w:val="C00000"/>
                <w:sz w:val="24"/>
                <w:highlight w:val="none"/>
                <w:lang w:val="en-US" w:eastAsia="zh-CN" w:bidi="ar-SA"/>
              </w:rPr>
              <w:t xml:space="preserve">0.00 </w:t>
            </w:r>
            <w:r>
              <w:rPr>
                <w:rFonts w:hint="eastAsia" w:ascii="Times New Roman" w:hAnsi="Times New Roman" w:eastAsia="宋体" w:cs="Times New Roman"/>
                <w:color w:val="C00000"/>
                <w:sz w:val="24"/>
                <w:highlight w:val="none"/>
                <w:lang w:val="en-US" w:eastAsia="zh-CN" w:bidi="ar-SA"/>
              </w:rPr>
              <w:t xml:space="preserve">平方公里，占项目占地面积的 </w:t>
            </w:r>
            <w:r>
              <w:rPr>
                <w:rFonts w:hint="default" w:ascii="Times New Roman" w:hAnsi="Times New Roman" w:eastAsia="宋体" w:cs="Times New Roman"/>
                <w:color w:val="C00000"/>
                <w:sz w:val="24"/>
                <w:highlight w:val="none"/>
                <w:lang w:val="en-US" w:eastAsia="zh-CN" w:bidi="ar-SA"/>
              </w:rPr>
              <w:t>0.00%</w:t>
            </w:r>
            <w:r>
              <w:rPr>
                <w:rFonts w:hint="eastAsia" w:ascii="Times New Roman" w:hAnsi="Times New Roman" w:eastAsia="宋体" w:cs="Times New Roman"/>
                <w:color w:val="C00000"/>
                <w:sz w:val="24"/>
                <w:highlight w:val="none"/>
                <w:lang w:val="en-US" w:eastAsia="zh-CN" w:bidi="ar-SA"/>
              </w:rPr>
              <w:t xml:space="preserve">；与重点管控单元交集面积为 </w:t>
            </w:r>
            <w:r>
              <w:rPr>
                <w:rFonts w:hint="default" w:ascii="Times New Roman" w:hAnsi="Times New Roman" w:eastAsia="宋体" w:cs="Times New Roman"/>
                <w:color w:val="C00000"/>
                <w:sz w:val="24"/>
                <w:highlight w:val="none"/>
                <w:lang w:val="en-US" w:eastAsia="zh-CN" w:bidi="ar-SA"/>
              </w:rPr>
              <w:t xml:space="preserve">0.00 </w:t>
            </w:r>
            <w:r>
              <w:rPr>
                <w:rFonts w:hint="eastAsia" w:ascii="Times New Roman" w:hAnsi="Times New Roman" w:eastAsia="宋体" w:cs="Times New Roman"/>
                <w:color w:val="C00000"/>
                <w:sz w:val="24"/>
                <w:highlight w:val="none"/>
                <w:lang w:val="en-US" w:eastAsia="zh-CN" w:bidi="ar-SA"/>
              </w:rPr>
              <w:t xml:space="preserve">平方公里，占项目占地面积的 </w:t>
            </w:r>
            <w:r>
              <w:rPr>
                <w:rFonts w:hint="default" w:ascii="Times New Roman" w:hAnsi="Times New Roman" w:eastAsia="宋体" w:cs="Times New Roman"/>
                <w:color w:val="C00000"/>
                <w:sz w:val="24"/>
                <w:highlight w:val="none"/>
                <w:lang w:val="en-US" w:eastAsia="zh-CN" w:bidi="ar-SA"/>
              </w:rPr>
              <w:t>0.00%</w:t>
            </w:r>
            <w:r>
              <w:rPr>
                <w:rFonts w:hint="eastAsia" w:ascii="Times New Roman" w:hAnsi="Times New Roman" w:eastAsia="宋体" w:cs="Times New Roman"/>
                <w:color w:val="C00000"/>
                <w:sz w:val="24"/>
                <w:highlight w:val="none"/>
                <w:lang w:val="en-US" w:eastAsia="zh-CN" w:bidi="ar-SA"/>
              </w:rPr>
              <w:t xml:space="preserve">；一般管控单元交集面积为小于 </w:t>
            </w:r>
            <w:r>
              <w:rPr>
                <w:rFonts w:hint="default" w:ascii="Times New Roman" w:hAnsi="Times New Roman" w:eastAsia="宋体" w:cs="Times New Roman"/>
                <w:color w:val="C00000"/>
                <w:sz w:val="24"/>
                <w:highlight w:val="none"/>
                <w:lang w:val="en-US" w:eastAsia="zh-CN" w:bidi="ar-SA"/>
              </w:rPr>
              <w:t xml:space="preserve">0.01 </w:t>
            </w:r>
            <w:r>
              <w:rPr>
                <w:rFonts w:hint="eastAsia" w:ascii="Times New Roman" w:hAnsi="Times New Roman" w:eastAsia="宋体" w:cs="Times New Roman"/>
                <w:color w:val="C00000"/>
                <w:sz w:val="24"/>
                <w:highlight w:val="none"/>
                <w:lang w:val="en-US" w:eastAsia="zh-CN" w:bidi="ar-SA"/>
              </w:rPr>
              <w:t xml:space="preserve">平方公里，占项目占地面积的 </w:t>
            </w:r>
            <w:r>
              <w:rPr>
                <w:rFonts w:hint="default" w:ascii="Times New Roman" w:hAnsi="Times New Roman" w:eastAsia="宋体" w:cs="Times New Roman"/>
                <w:color w:val="C00000"/>
                <w:sz w:val="24"/>
                <w:highlight w:val="none"/>
                <w:lang w:val="en-US" w:eastAsia="zh-CN" w:bidi="ar-SA"/>
              </w:rPr>
              <w:t>100.00%</w:t>
            </w:r>
            <w:r>
              <w:rPr>
                <w:rFonts w:hint="eastAsia" w:ascii="Times New Roman" w:hAnsi="Times New Roman" w:eastAsia="宋体" w:cs="Times New Roman"/>
                <w:color w:val="C00000"/>
                <w:sz w:val="24"/>
                <w:highlight w:val="none"/>
                <w:lang w:val="en-US" w:eastAsia="zh-CN" w:bidi="ar-SA"/>
              </w:rPr>
              <w:t xml:space="preserve">。 </w:t>
            </w:r>
          </w:p>
          <w:p w14:paraId="3809C66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C00000"/>
                <w:sz w:val="24"/>
                <w:highlight w:val="none"/>
                <w:lang w:val="en-US" w:eastAsia="zh-CN" w:bidi="ar-SA"/>
              </w:rPr>
            </w:pPr>
            <w:r>
              <w:rPr>
                <w:rFonts w:hint="eastAsia" w:ascii="Times New Roman" w:hAnsi="Times New Roman" w:eastAsia="宋体" w:cs="Times New Roman"/>
                <w:color w:val="C00000"/>
                <w:sz w:val="24"/>
                <w:highlight w:val="none"/>
                <w:lang w:val="en-US" w:eastAsia="zh-CN" w:bidi="ar-SA"/>
              </w:rPr>
              <w:t xml:space="preserve">与地下水环境优先保护区交集面积为 </w:t>
            </w:r>
            <w:r>
              <w:rPr>
                <w:rFonts w:hint="default" w:ascii="Times New Roman" w:hAnsi="Times New Roman" w:eastAsia="宋体" w:cs="Times New Roman"/>
                <w:color w:val="C00000"/>
                <w:sz w:val="24"/>
                <w:highlight w:val="none"/>
                <w:lang w:val="en-US" w:eastAsia="zh-CN" w:bidi="ar-SA"/>
              </w:rPr>
              <w:t xml:space="preserve">0.00 </w:t>
            </w:r>
            <w:r>
              <w:rPr>
                <w:rFonts w:hint="eastAsia" w:ascii="Times New Roman" w:hAnsi="Times New Roman" w:eastAsia="宋体" w:cs="Times New Roman"/>
                <w:color w:val="C00000"/>
                <w:sz w:val="24"/>
                <w:highlight w:val="none"/>
                <w:lang w:val="en-US" w:eastAsia="zh-CN" w:bidi="ar-SA"/>
              </w:rPr>
              <w:t xml:space="preserve">平方公里，占项目占地面积的 </w:t>
            </w:r>
            <w:r>
              <w:rPr>
                <w:rFonts w:hint="default" w:ascii="Times New Roman" w:hAnsi="Times New Roman" w:eastAsia="宋体" w:cs="Times New Roman"/>
                <w:color w:val="C00000"/>
                <w:sz w:val="24"/>
                <w:highlight w:val="none"/>
                <w:lang w:val="en-US" w:eastAsia="zh-CN" w:bidi="ar-SA"/>
              </w:rPr>
              <w:t>0.00%</w:t>
            </w:r>
            <w:r>
              <w:rPr>
                <w:rFonts w:hint="eastAsia" w:ascii="Times New Roman" w:hAnsi="Times New Roman" w:eastAsia="宋体" w:cs="Times New Roman"/>
                <w:color w:val="C00000"/>
                <w:sz w:val="24"/>
                <w:highlight w:val="none"/>
                <w:lang w:val="en-US" w:eastAsia="zh-CN" w:bidi="ar-SA"/>
              </w:rPr>
              <w:t xml:space="preserve">；与地下水环境重点管控区交集面积为 </w:t>
            </w:r>
            <w:r>
              <w:rPr>
                <w:rFonts w:hint="default" w:ascii="Times New Roman" w:hAnsi="Times New Roman" w:eastAsia="宋体" w:cs="Times New Roman"/>
                <w:color w:val="C00000"/>
                <w:sz w:val="24"/>
                <w:highlight w:val="none"/>
                <w:lang w:val="en-US" w:eastAsia="zh-CN" w:bidi="ar-SA"/>
              </w:rPr>
              <w:t xml:space="preserve">0.00 </w:t>
            </w:r>
            <w:r>
              <w:rPr>
                <w:rFonts w:hint="eastAsia" w:ascii="Times New Roman" w:hAnsi="Times New Roman" w:eastAsia="宋体" w:cs="Times New Roman"/>
                <w:color w:val="C00000"/>
                <w:sz w:val="24"/>
                <w:highlight w:val="none"/>
                <w:lang w:val="en-US" w:eastAsia="zh-CN" w:bidi="ar-SA"/>
              </w:rPr>
              <w:t xml:space="preserve">平方公里，占项目占地面积的 </w:t>
            </w:r>
            <w:r>
              <w:rPr>
                <w:rFonts w:hint="default" w:ascii="Times New Roman" w:hAnsi="Times New Roman" w:eastAsia="宋体" w:cs="Times New Roman"/>
                <w:color w:val="C00000"/>
                <w:sz w:val="24"/>
                <w:highlight w:val="none"/>
                <w:lang w:val="en-US" w:eastAsia="zh-CN" w:bidi="ar-SA"/>
              </w:rPr>
              <w:t>0.00%</w:t>
            </w:r>
            <w:r>
              <w:rPr>
                <w:rFonts w:hint="eastAsia" w:ascii="Times New Roman" w:hAnsi="Times New Roman" w:eastAsia="宋体" w:cs="Times New Roman"/>
                <w:color w:val="C00000"/>
                <w:sz w:val="24"/>
                <w:highlight w:val="none"/>
                <w:lang w:val="en-US" w:eastAsia="zh-CN" w:bidi="ar-SA"/>
              </w:rPr>
              <w:t xml:space="preserve">，与地下水环境一般管控区交集面积为小于 </w:t>
            </w:r>
            <w:r>
              <w:rPr>
                <w:rFonts w:hint="default" w:ascii="Times New Roman" w:hAnsi="Times New Roman" w:eastAsia="宋体" w:cs="Times New Roman"/>
                <w:color w:val="C00000"/>
                <w:sz w:val="24"/>
                <w:highlight w:val="none"/>
                <w:lang w:val="en-US" w:eastAsia="zh-CN" w:bidi="ar-SA"/>
              </w:rPr>
              <w:t xml:space="preserve">0.01 </w:t>
            </w:r>
            <w:r>
              <w:rPr>
                <w:rFonts w:hint="eastAsia" w:ascii="Times New Roman" w:hAnsi="Times New Roman" w:eastAsia="宋体" w:cs="Times New Roman"/>
                <w:color w:val="C00000"/>
                <w:sz w:val="24"/>
                <w:highlight w:val="none"/>
                <w:lang w:val="en-US" w:eastAsia="zh-CN" w:bidi="ar-SA"/>
              </w:rPr>
              <w:t xml:space="preserve">平方公里，占项目占地面积的 </w:t>
            </w:r>
            <w:r>
              <w:rPr>
                <w:rFonts w:hint="default" w:ascii="Times New Roman" w:hAnsi="Times New Roman" w:eastAsia="宋体" w:cs="Times New Roman"/>
                <w:color w:val="C00000"/>
                <w:sz w:val="24"/>
                <w:highlight w:val="none"/>
                <w:lang w:val="en-US" w:eastAsia="zh-CN" w:bidi="ar-SA"/>
              </w:rPr>
              <w:t>100.00%</w:t>
            </w:r>
            <w:r>
              <w:rPr>
                <w:rFonts w:hint="eastAsia" w:ascii="Times New Roman" w:hAnsi="Times New Roman" w:eastAsia="宋体" w:cs="Times New Roman"/>
                <w:color w:val="C00000"/>
                <w:sz w:val="24"/>
                <w:highlight w:val="none"/>
                <w:lang w:val="en-US" w:eastAsia="zh-CN" w:bidi="ar-SA"/>
              </w:rPr>
              <w:t>。</w:t>
            </w:r>
          </w:p>
          <w:p w14:paraId="040B88B0">
            <w:pPr>
              <w:autoSpaceDE w:val="0"/>
              <w:autoSpaceDN w:val="0"/>
              <w:adjustRightInd w:val="0"/>
              <w:snapToGrid w:val="0"/>
              <w:spacing w:line="360" w:lineRule="auto"/>
              <w:ind w:firstLine="480" w:firstLineChars="200"/>
              <w:jc w:val="left"/>
              <w:rPr>
                <w:color w:val="auto"/>
                <w:kern w:val="0"/>
                <w:sz w:val="24"/>
              </w:rPr>
            </w:pPr>
            <w:r>
              <w:rPr>
                <w:snapToGrid w:val="0"/>
                <w:color w:val="C00000"/>
                <w:kern w:val="0"/>
                <w:sz w:val="24"/>
              </w:rPr>
              <w:t>综上所述</w:t>
            </w:r>
            <w:r>
              <w:rPr>
                <w:rFonts w:hint="eastAsia"/>
                <w:snapToGrid w:val="0"/>
                <w:color w:val="C00000"/>
                <w:kern w:val="0"/>
                <w:sz w:val="24"/>
              </w:rPr>
              <w:t>，本项目</w:t>
            </w:r>
            <w:r>
              <w:rPr>
                <w:snapToGrid w:val="0"/>
                <w:color w:val="C00000"/>
                <w:kern w:val="0"/>
                <w:sz w:val="24"/>
              </w:rPr>
              <w:t>符合</w:t>
            </w:r>
            <w:r>
              <w:rPr>
                <w:rFonts w:hint="eastAsia"/>
                <w:bCs/>
                <w:color w:val="C00000"/>
                <w:sz w:val="24"/>
              </w:rPr>
              <w:t>《双鸭山市人民政府关于实施“三线一单”生态环境分区管控的意见》（双政规〔2021〕2号）</w:t>
            </w:r>
            <w:r>
              <w:rPr>
                <w:rFonts w:hint="eastAsia"/>
                <w:snapToGrid w:val="0"/>
                <w:color w:val="C00000"/>
                <w:kern w:val="0"/>
                <w:sz w:val="24"/>
              </w:rPr>
              <w:t>要求</w:t>
            </w:r>
            <w:r>
              <w:rPr>
                <w:color w:val="auto"/>
                <w:kern w:val="0"/>
                <w:sz w:val="24"/>
                <w:lang w:val="sq-AL"/>
              </w:rPr>
              <w:t>。</w:t>
            </w:r>
          </w:p>
          <w:p w14:paraId="197CB922">
            <w:pPr>
              <w:spacing w:line="360" w:lineRule="auto"/>
              <w:ind w:firstLine="482"/>
              <w:rPr>
                <w:b/>
                <w:bCs/>
                <w:sz w:val="24"/>
              </w:rPr>
            </w:pPr>
            <w:r>
              <w:rPr>
                <w:b/>
                <w:sz w:val="24"/>
              </w:rPr>
              <w:t>3、</w:t>
            </w:r>
            <w:r>
              <w:rPr>
                <w:b/>
                <w:bCs/>
                <w:sz w:val="24"/>
              </w:rPr>
              <w:t>与《黑龙江省大气污染防治条例》符合性分析</w:t>
            </w:r>
          </w:p>
          <w:p w14:paraId="13312260">
            <w:pPr>
              <w:pStyle w:val="75"/>
              <w:ind w:firstLine="480"/>
              <w:rPr>
                <w:sz w:val="24"/>
              </w:rPr>
            </w:pPr>
            <w:r>
              <w:rPr>
                <w:sz w:val="24"/>
              </w:rPr>
              <w:t>根据黑龙江省人民代表大会常务委员会发布的，《黑龙江省大气污染防治条例》（2017年1月20日），第三章 大气污染防治措施、第一节、燃煤污染防治措施，第二十九条各级人民政府应当调整能源结构，推广清洁能源的生产和使用，制定并组织实施煤炭消费总量控制规划，减少煤炭生产、使用、转化过程中的大气污染物排放。......第三十六条各级人民政府应当加强民用散煤管理，设区的市级人民政府可以制定具体的奖励或者补贴政策，推广供应和使用优质煤炭、洁净型煤和节能环保型炉灶。</w:t>
            </w:r>
          </w:p>
          <w:p w14:paraId="5D020EA3">
            <w:pPr>
              <w:pStyle w:val="75"/>
              <w:ind w:firstLine="480"/>
              <w:rPr>
                <w:bCs/>
                <w:sz w:val="24"/>
              </w:rPr>
            </w:pPr>
            <w:r>
              <w:rPr>
                <w:sz w:val="24"/>
              </w:rPr>
              <w:t>本项目</w:t>
            </w:r>
            <w:r>
              <w:rPr>
                <w:rFonts w:hint="eastAsia"/>
                <w:sz w:val="24"/>
              </w:rPr>
              <w:t>改建后</w:t>
            </w:r>
            <w:r>
              <w:rPr>
                <w:sz w:val="24"/>
              </w:rPr>
              <w:t>热风炉采用生物质颗粒</w:t>
            </w:r>
            <w:r>
              <w:rPr>
                <w:rFonts w:hint="eastAsia"/>
                <w:sz w:val="24"/>
              </w:rPr>
              <w:t>为燃料</w:t>
            </w:r>
            <w:r>
              <w:rPr>
                <w:sz w:val="24"/>
              </w:rPr>
              <w:t>，符合《黑龙江省大气污染防治条例》中减少煤炭生产、使用、转化过程中的大气污染物排放的意见。</w:t>
            </w:r>
          </w:p>
          <w:p w14:paraId="7E194683">
            <w:pPr>
              <w:pStyle w:val="71"/>
              <w:ind w:firstLine="482"/>
              <w:rPr>
                <w:b/>
                <w:bCs/>
              </w:rPr>
            </w:pPr>
            <w:r>
              <w:rPr>
                <w:b/>
              </w:rPr>
              <w:t>4、</w:t>
            </w:r>
            <w:r>
              <w:rPr>
                <w:b/>
                <w:bCs/>
              </w:rPr>
              <w:t>与《工业炉窑大气污染综合治理方案》（环大气</w:t>
            </w:r>
            <w:r>
              <w:rPr>
                <w:rFonts w:hint="eastAsia"/>
                <w:b/>
                <w:bCs/>
                <w:lang w:eastAsia="zh-CN"/>
              </w:rPr>
              <w:t>〔2019〕56号</w:t>
            </w:r>
            <w:r>
              <w:rPr>
                <w:b/>
                <w:bCs/>
              </w:rPr>
              <w:t>）符合性分析</w:t>
            </w:r>
          </w:p>
          <w:p w14:paraId="72652513">
            <w:pPr>
              <w:pStyle w:val="71"/>
            </w:pPr>
            <w:r>
              <w:t>本项目与《工业炉窑大气污染综合治理方案》（环大气</w:t>
            </w:r>
            <w:r>
              <w:rPr>
                <w:rFonts w:hint="eastAsia"/>
                <w:lang w:eastAsia="zh-CN"/>
              </w:rPr>
              <w:t>〔2019〕56号</w:t>
            </w:r>
            <w:r>
              <w:t>）相符性分析如下。</w:t>
            </w:r>
          </w:p>
          <w:p w14:paraId="17363FD9">
            <w:pPr>
              <w:jc w:val="center"/>
              <w:textAlignment w:val="baseline"/>
              <w:rPr>
                <w:b/>
                <w:bCs/>
                <w:kern w:val="0"/>
                <w:sz w:val="24"/>
              </w:rPr>
            </w:pPr>
            <w:r>
              <w:rPr>
                <w:b/>
                <w:bCs/>
                <w:kern w:val="0"/>
                <w:sz w:val="24"/>
              </w:rPr>
              <w:t>表1-</w:t>
            </w:r>
            <w:r>
              <w:rPr>
                <w:rFonts w:hint="eastAsia"/>
                <w:b/>
                <w:bCs/>
                <w:kern w:val="0"/>
                <w:sz w:val="24"/>
              </w:rPr>
              <w:t>3</w:t>
            </w:r>
            <w:r>
              <w:rPr>
                <w:b/>
                <w:bCs/>
                <w:kern w:val="0"/>
                <w:sz w:val="24"/>
              </w:rPr>
              <w:t>《工业炉窑大气污染综合治理方案》相符性分析表</w:t>
            </w:r>
          </w:p>
          <w:tbl>
            <w:tblPr>
              <w:tblStyle w:val="33"/>
              <w:tblW w:w="653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3552"/>
              <w:gridCol w:w="2166"/>
              <w:gridCol w:w="813"/>
            </w:tblGrid>
            <w:tr w14:paraId="77865F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48" w:hRule="atLeast"/>
                <w:jc w:val="center"/>
              </w:trPr>
              <w:tc>
                <w:tcPr>
                  <w:tcW w:w="3552" w:type="dxa"/>
                  <w:tcBorders>
                    <w:tl2br w:val="nil"/>
                    <w:tr2bl w:val="nil"/>
                  </w:tcBorders>
                  <w:vAlign w:val="center"/>
                </w:tcPr>
                <w:p w14:paraId="0BDBC19F">
                  <w:pPr>
                    <w:jc w:val="center"/>
                    <w:rPr>
                      <w:bCs/>
                      <w:szCs w:val="21"/>
                    </w:rPr>
                  </w:pPr>
                  <w:r>
                    <w:rPr>
                      <w:bCs/>
                      <w:szCs w:val="21"/>
                    </w:rPr>
                    <w:t>方案内容</w:t>
                  </w:r>
                </w:p>
              </w:tc>
              <w:tc>
                <w:tcPr>
                  <w:tcW w:w="2166" w:type="dxa"/>
                  <w:tcBorders>
                    <w:tl2br w:val="nil"/>
                    <w:tr2bl w:val="nil"/>
                  </w:tcBorders>
                  <w:vAlign w:val="center"/>
                </w:tcPr>
                <w:p w14:paraId="49BC6652">
                  <w:pPr>
                    <w:jc w:val="center"/>
                    <w:rPr>
                      <w:bCs/>
                      <w:szCs w:val="21"/>
                    </w:rPr>
                  </w:pPr>
                  <w:r>
                    <w:rPr>
                      <w:bCs/>
                      <w:szCs w:val="21"/>
                    </w:rPr>
                    <w:t>项目概况</w:t>
                  </w:r>
                </w:p>
              </w:tc>
              <w:tc>
                <w:tcPr>
                  <w:tcW w:w="813" w:type="dxa"/>
                  <w:tcBorders>
                    <w:tl2br w:val="nil"/>
                    <w:tr2bl w:val="nil"/>
                  </w:tcBorders>
                  <w:vAlign w:val="center"/>
                </w:tcPr>
                <w:p w14:paraId="1300C02D">
                  <w:pPr>
                    <w:jc w:val="center"/>
                    <w:rPr>
                      <w:bCs/>
                      <w:szCs w:val="21"/>
                    </w:rPr>
                  </w:pPr>
                  <w:r>
                    <w:rPr>
                      <w:bCs/>
                      <w:szCs w:val="21"/>
                    </w:rPr>
                    <w:t>符合性</w:t>
                  </w:r>
                </w:p>
              </w:tc>
            </w:tr>
            <w:tr w14:paraId="1986C5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26" w:hRule="atLeast"/>
                <w:jc w:val="center"/>
              </w:trPr>
              <w:tc>
                <w:tcPr>
                  <w:tcW w:w="3552" w:type="dxa"/>
                  <w:tcBorders>
                    <w:tl2br w:val="nil"/>
                    <w:tr2bl w:val="nil"/>
                  </w:tcBorders>
                  <w:vAlign w:val="center"/>
                </w:tcPr>
                <w:p w14:paraId="16E8235B">
                  <w:pPr>
                    <w:jc w:val="center"/>
                    <w:rPr>
                      <w:bCs/>
                      <w:szCs w:val="21"/>
                    </w:rPr>
                  </w:pPr>
                  <w:r>
                    <w:rPr>
                      <w:rFonts w:hint="eastAsia" w:ascii="Times New Roman" w:hAnsi="Times New Roman" w:eastAsia="宋体" w:cs="Times New Roman"/>
                      <w:color w:val="C00000"/>
                      <w:szCs w:val="21"/>
                    </w:rPr>
                    <w:t>（一）加大产业结构调整力度。严格建设项目环境准入。新建涉工业炉窑的建设项目，原则上要入园区，配套建设高效环保治理设施。重点区域严格控制涉工业炉窑建设项目，严禁新增钢铁、焦化、电解铝、铸造、水泥和平板玻璃等产能；严格执行钢铁、水泥、平板玻璃等行业产能置换实施办法；原则上禁止新建燃料类煤气发生炉（园区现有企业统一建设的清洁煤制气中心除外）。</w:t>
                  </w:r>
                </w:p>
              </w:tc>
              <w:tc>
                <w:tcPr>
                  <w:tcW w:w="2166" w:type="dxa"/>
                  <w:tcBorders>
                    <w:tl2br w:val="nil"/>
                    <w:tr2bl w:val="nil"/>
                  </w:tcBorders>
                  <w:vAlign w:val="center"/>
                </w:tcPr>
                <w:p w14:paraId="5FE80626">
                  <w:pPr>
                    <w:jc w:val="center"/>
                    <w:rPr>
                      <w:rFonts w:hint="eastAsia" w:eastAsia="宋体"/>
                      <w:bCs/>
                      <w:szCs w:val="21"/>
                      <w:lang w:eastAsia="zh-CN"/>
                    </w:rPr>
                  </w:pPr>
                  <w:r>
                    <w:rPr>
                      <w:rFonts w:hint="eastAsia"/>
                      <w:color w:val="C00000"/>
                      <w:szCs w:val="21"/>
                    </w:rPr>
                    <w:t>本项目为</w:t>
                  </w:r>
                  <w:r>
                    <w:rPr>
                      <w:rFonts w:hint="eastAsia"/>
                      <w:color w:val="C00000"/>
                      <w:szCs w:val="21"/>
                      <w:lang w:val="en-US" w:eastAsia="zh-CN"/>
                    </w:rPr>
                    <w:t>热风炉改建，属于热力生产和供应项目</w:t>
                  </w:r>
                  <w:r>
                    <w:rPr>
                      <w:rFonts w:hint="eastAsia"/>
                      <w:color w:val="C00000"/>
                      <w:szCs w:val="21"/>
                    </w:rPr>
                    <w:t>，不属于以上提到的高污染行业，且作为农村特有的为粮食安全提供的烘干服务企业，结合黑龙江省现有粮食烘干企业的情况，目前均未要求粮食烘干企业进驻工业园区。项目所在区域不属于国家规定的重点区域，不属于城市建成区，本项目建设热风炉配套建设了高效除尘措施</w:t>
                  </w:r>
                  <w:r>
                    <w:rPr>
                      <w:bCs/>
                      <w:color w:val="C00000"/>
                      <w:szCs w:val="21"/>
                    </w:rPr>
                    <w:t>，符合要求</w:t>
                  </w:r>
                  <w:r>
                    <w:rPr>
                      <w:rStyle w:val="42"/>
                      <w:rFonts w:hint="eastAsia"/>
                      <w:color w:val="C00000"/>
                      <w:lang w:eastAsia="zh-CN"/>
                    </w:rPr>
                    <w:t>。</w:t>
                  </w:r>
                </w:p>
              </w:tc>
              <w:tc>
                <w:tcPr>
                  <w:tcW w:w="813" w:type="dxa"/>
                  <w:tcBorders>
                    <w:tl2br w:val="nil"/>
                    <w:tr2bl w:val="nil"/>
                  </w:tcBorders>
                  <w:vAlign w:val="center"/>
                </w:tcPr>
                <w:p w14:paraId="13F2E132">
                  <w:pPr>
                    <w:jc w:val="center"/>
                    <w:rPr>
                      <w:bCs/>
                      <w:szCs w:val="21"/>
                    </w:rPr>
                  </w:pPr>
                  <w:r>
                    <w:rPr>
                      <w:bCs/>
                      <w:szCs w:val="21"/>
                    </w:rPr>
                    <w:t>符合</w:t>
                  </w:r>
                </w:p>
              </w:tc>
            </w:tr>
            <w:tr w14:paraId="184EDB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55" w:hRule="atLeast"/>
                <w:jc w:val="center"/>
              </w:trPr>
              <w:tc>
                <w:tcPr>
                  <w:tcW w:w="3552" w:type="dxa"/>
                  <w:tcBorders>
                    <w:tl2br w:val="nil"/>
                    <w:tr2bl w:val="nil"/>
                  </w:tcBorders>
                  <w:vAlign w:val="center"/>
                </w:tcPr>
                <w:p w14:paraId="59596D13">
                  <w:pPr>
                    <w:jc w:val="center"/>
                    <w:rPr>
                      <w:rFonts w:hint="eastAsia" w:ascii="Times New Roman" w:hAnsi="Times New Roman" w:eastAsia="宋体" w:cs="Times New Roman"/>
                      <w:bCs/>
                      <w:color w:val="C00000"/>
                      <w:szCs w:val="21"/>
                    </w:rPr>
                  </w:pPr>
                  <w:r>
                    <w:rPr>
                      <w:rFonts w:hint="eastAsia" w:ascii="Times New Roman" w:hAnsi="Times New Roman" w:eastAsia="宋体" w:cs="Times New Roman"/>
                      <w:bCs/>
                      <w:color w:val="C00000"/>
                      <w:szCs w:val="21"/>
                    </w:rPr>
                    <w:t>（二）加快燃料清洁低碳化替代。对以煤、石油焦、渣油、重油等为燃料的工业炉窑，加快使用清洁低碳能源以及利用工厂余热、电厂热力等进行替代。重点区域禁止掺烧高硫石油焦（硫含量大于3%）。玻璃行业全面禁止掺烧高硫石油焦。加大煤气发生炉淘汰力度。2020年年底前，重点区域淘汰炉膛直径3米以下燃料类煤气发生炉；集中使用煤气发生炉的工业园区，暂不具备改用天然气条件的，原则上应建设统一的清洁煤制气中心。</w:t>
                  </w:r>
                </w:p>
                <w:p w14:paraId="37AF83B5">
                  <w:pPr>
                    <w:jc w:val="center"/>
                    <w:rPr>
                      <w:bCs/>
                      <w:szCs w:val="21"/>
                    </w:rPr>
                  </w:pPr>
                  <w:r>
                    <w:rPr>
                      <w:rFonts w:hint="eastAsia" w:ascii="Times New Roman" w:hAnsi="Times New Roman" w:eastAsia="宋体" w:cs="Times New Roman"/>
                      <w:bCs/>
                      <w:color w:val="C00000"/>
                      <w:szCs w:val="21"/>
                    </w:rPr>
                    <w:t>加快淘汰燃煤工业炉窑。重点区域取缔燃煤热风炉，基本淘汰热电联产供热管网覆盖范围内的燃煤加热、烘干炉（窑）。加快推动铸造（10吨/小时及以下）、岩棉等行业冲天炉改为电炉。</w:t>
                  </w:r>
                </w:p>
              </w:tc>
              <w:tc>
                <w:tcPr>
                  <w:tcW w:w="2166" w:type="dxa"/>
                  <w:tcBorders>
                    <w:tl2br w:val="nil"/>
                    <w:tr2bl w:val="nil"/>
                  </w:tcBorders>
                  <w:vAlign w:val="center"/>
                </w:tcPr>
                <w:p w14:paraId="3FEC57FE">
                  <w:pPr>
                    <w:jc w:val="center"/>
                    <w:rPr>
                      <w:rFonts w:hint="eastAsia" w:eastAsia="宋体"/>
                      <w:bCs/>
                      <w:szCs w:val="21"/>
                      <w:lang w:eastAsia="zh-CN"/>
                    </w:rPr>
                  </w:pPr>
                  <w:r>
                    <w:rPr>
                      <w:bCs/>
                      <w:color w:val="C00000"/>
                      <w:szCs w:val="21"/>
                    </w:rPr>
                    <w:t>本项目</w:t>
                  </w:r>
                  <w:r>
                    <w:rPr>
                      <w:rFonts w:hint="eastAsia"/>
                      <w:bCs/>
                      <w:color w:val="C00000"/>
                      <w:szCs w:val="21"/>
                      <w:lang w:val="en-US" w:eastAsia="zh-CN"/>
                    </w:rPr>
                    <w:t>热风炉由燃煤改为燃生物质</w:t>
                  </w:r>
                  <w:r>
                    <w:rPr>
                      <w:bCs/>
                      <w:color w:val="C00000"/>
                      <w:szCs w:val="21"/>
                    </w:rPr>
                    <w:t>，不使用煤、重油等高污染燃料，符合要求</w:t>
                  </w:r>
                  <w:r>
                    <w:rPr>
                      <w:rStyle w:val="42"/>
                      <w:rFonts w:hint="eastAsia"/>
                      <w:color w:val="C00000"/>
                      <w:lang w:eastAsia="zh-CN"/>
                    </w:rPr>
                    <w:t>。</w:t>
                  </w:r>
                </w:p>
              </w:tc>
              <w:tc>
                <w:tcPr>
                  <w:tcW w:w="813" w:type="dxa"/>
                  <w:tcBorders>
                    <w:tl2br w:val="nil"/>
                    <w:tr2bl w:val="nil"/>
                  </w:tcBorders>
                  <w:vAlign w:val="center"/>
                </w:tcPr>
                <w:p w14:paraId="6445EC5A">
                  <w:pPr>
                    <w:jc w:val="center"/>
                    <w:rPr>
                      <w:bCs/>
                      <w:szCs w:val="21"/>
                    </w:rPr>
                  </w:pPr>
                  <w:r>
                    <w:rPr>
                      <w:bCs/>
                      <w:szCs w:val="21"/>
                    </w:rPr>
                    <w:t>符合</w:t>
                  </w:r>
                </w:p>
              </w:tc>
            </w:tr>
            <w:tr w14:paraId="5715E2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87" w:hRule="atLeast"/>
                <w:jc w:val="center"/>
              </w:trPr>
              <w:tc>
                <w:tcPr>
                  <w:tcW w:w="3552" w:type="dxa"/>
                  <w:tcBorders>
                    <w:tl2br w:val="nil"/>
                    <w:tr2bl w:val="nil"/>
                  </w:tcBorders>
                  <w:vAlign w:val="center"/>
                </w:tcPr>
                <w:p w14:paraId="5566E2AA">
                  <w:pPr>
                    <w:jc w:val="center"/>
                    <w:rPr>
                      <w:bCs/>
                      <w:szCs w:val="21"/>
                    </w:rPr>
                  </w:pPr>
                  <w:r>
                    <w:rPr>
                      <w:rFonts w:hint="eastAsia"/>
                      <w:bCs/>
                      <w:szCs w:val="21"/>
                      <w:lang w:eastAsia="zh-CN"/>
                    </w:rPr>
                    <w:t>（</w:t>
                  </w:r>
                  <w:r>
                    <w:rPr>
                      <w:rFonts w:hint="eastAsia"/>
                      <w:bCs/>
                      <w:szCs w:val="21"/>
                      <w:lang w:val="en-US" w:eastAsia="zh-CN"/>
                    </w:rPr>
                    <w:t>三）</w:t>
                  </w:r>
                  <w:r>
                    <w:rPr>
                      <w:bCs/>
                      <w:szCs w:val="21"/>
                    </w:rPr>
                    <w:t>实施污染深度治理。推进工业炉窑全面达标排放。已有行业排放标准的工业炉窑，严格执行行业排放标准相关规定，配套建设高效脱硫脱硝除尘设施，确保稳定达标排放。已制定更严格地方排放标准的，按地方标准执行。重点区域钢铁、水泥、焦化、石化、化工、有色等行业，二氧化硫、氮氧化物、颗粒物、挥发性有机物（VOCs）排放全面执行大气污染物特别排放限值。已核发排污许可证的，应严格执行许可要求</w:t>
                  </w:r>
                </w:p>
              </w:tc>
              <w:tc>
                <w:tcPr>
                  <w:tcW w:w="2166" w:type="dxa"/>
                  <w:tcBorders>
                    <w:tl2br w:val="nil"/>
                    <w:tr2bl w:val="nil"/>
                  </w:tcBorders>
                  <w:vAlign w:val="center"/>
                </w:tcPr>
                <w:p w14:paraId="76E0AFF8">
                  <w:pPr>
                    <w:pStyle w:val="8"/>
                    <w:rPr>
                      <w:bCs/>
                      <w:szCs w:val="21"/>
                    </w:rPr>
                  </w:pPr>
                  <w:r>
                    <w:rPr>
                      <w:bCs/>
                      <w:szCs w:val="21"/>
                    </w:rPr>
                    <w:t>本项目生物质热风炉配套建</w:t>
                  </w:r>
                  <w:r>
                    <w:rPr>
                      <w:rFonts w:hint="eastAsia"/>
                      <w:bCs/>
                      <w:szCs w:val="21"/>
                      <w:lang w:val="en-US" w:eastAsia="zh-CN"/>
                    </w:rPr>
                    <w:t>设高效</w:t>
                  </w:r>
                  <w:r>
                    <w:rPr>
                      <w:bCs/>
                      <w:szCs w:val="21"/>
                    </w:rPr>
                    <w:t>布袋除尘器，热风炉烟气经除尘系统处理后</w:t>
                  </w:r>
                  <w:r>
                    <w:rPr>
                      <w:rFonts w:hint="eastAsia"/>
                      <w:bCs/>
                      <w:szCs w:val="21"/>
                    </w:rPr>
                    <w:t>由</w:t>
                  </w:r>
                  <w:r>
                    <w:rPr>
                      <w:rFonts w:hint="eastAsia"/>
                      <w:bCs/>
                      <w:szCs w:val="21"/>
                      <w:lang w:eastAsia="zh-CN"/>
                    </w:rPr>
                    <w:t>20m</w:t>
                  </w:r>
                  <w:r>
                    <w:rPr>
                      <w:rFonts w:hint="eastAsia"/>
                      <w:bCs/>
                      <w:szCs w:val="21"/>
                      <w:lang w:val="en-US" w:eastAsia="zh-CN"/>
                    </w:rPr>
                    <w:t>烟囱</w:t>
                  </w:r>
                  <w:r>
                    <w:rPr>
                      <w:rFonts w:hint="eastAsia"/>
                      <w:bCs/>
                      <w:szCs w:val="21"/>
                    </w:rPr>
                    <w:t>筒</w:t>
                  </w:r>
                  <w:r>
                    <w:rPr>
                      <w:bCs/>
                      <w:szCs w:val="21"/>
                    </w:rPr>
                    <w:t>排放，烟气可以达标排放；本项目建成后</w:t>
                  </w:r>
                  <w:r>
                    <w:rPr>
                      <w:bCs/>
                      <w:color w:val="auto"/>
                      <w:szCs w:val="21"/>
                    </w:rPr>
                    <w:t>将</w:t>
                  </w:r>
                  <w:r>
                    <w:rPr>
                      <w:color w:val="auto"/>
                    </w:rPr>
                    <w:t>及时进行排污许可证变更</w:t>
                  </w:r>
                  <w:r>
                    <w:rPr>
                      <w:bCs/>
                      <w:color w:val="auto"/>
                      <w:szCs w:val="21"/>
                    </w:rPr>
                    <w:t>，取得后将严格按照排污许可要求进行项目运营管</w:t>
                  </w:r>
                  <w:r>
                    <w:rPr>
                      <w:bCs/>
                      <w:szCs w:val="21"/>
                    </w:rPr>
                    <w:t>理</w:t>
                  </w:r>
                  <w:r>
                    <w:rPr>
                      <w:rFonts w:hint="eastAsia"/>
                      <w:bCs/>
                      <w:szCs w:val="21"/>
                    </w:rPr>
                    <w:t>。</w:t>
                  </w:r>
                </w:p>
              </w:tc>
              <w:tc>
                <w:tcPr>
                  <w:tcW w:w="813" w:type="dxa"/>
                  <w:tcBorders>
                    <w:tl2br w:val="nil"/>
                    <w:tr2bl w:val="nil"/>
                  </w:tcBorders>
                  <w:vAlign w:val="center"/>
                </w:tcPr>
                <w:p w14:paraId="74733BB3">
                  <w:pPr>
                    <w:jc w:val="center"/>
                    <w:rPr>
                      <w:bCs/>
                      <w:szCs w:val="21"/>
                    </w:rPr>
                  </w:pPr>
                  <w:r>
                    <w:rPr>
                      <w:bCs/>
                      <w:szCs w:val="21"/>
                    </w:rPr>
                    <w:t>符合</w:t>
                  </w:r>
                </w:p>
              </w:tc>
            </w:tr>
            <w:tr w14:paraId="2A8EDB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3552" w:type="dxa"/>
                  <w:tcBorders>
                    <w:tl2br w:val="nil"/>
                    <w:tr2bl w:val="nil"/>
                  </w:tcBorders>
                  <w:vAlign w:val="center"/>
                </w:tcPr>
                <w:p w14:paraId="0D4E9579">
                  <w:pPr>
                    <w:jc w:val="center"/>
                    <w:rPr>
                      <w:bCs/>
                      <w:szCs w:val="21"/>
                    </w:rPr>
                  </w:pPr>
                  <w:r>
                    <w:rPr>
                      <w:bCs/>
                      <w:szCs w:val="21"/>
                    </w:rPr>
                    <w:t>开展工业园区和产业集群综合整治。各地要加大涉工业炉窑类工业园区和产业集群的综合整治力度，结合“三线一单”（生态保护红线、环境质量底线、资源利用上线和生态环境准入清单）、规划环评等要求，进一步梳理确定园区和产业发展定位、规模及结构等。制定综合整治方案，对标先进企业，从生产工艺、产能规模、燃料类型、污染治理等方面提出明确要求，提升产业发展质量和环保治理水平。按照统一标准、统一时间表的要求，同步推进区域环境综合整治和企业升级改造。加强工业园区能源替代利用与资源共享，积极推广集中供汽供热或建设清洁低碳能源中心等，替代工业炉窑燃料用煤；充分利用园区内工厂余热、焦炉煤气等清洁低碳能源，加强分质与梯级利用，提高能源利用效率，促进形成清洁低碳高效产业链</w:t>
                  </w:r>
                </w:p>
              </w:tc>
              <w:tc>
                <w:tcPr>
                  <w:tcW w:w="2166" w:type="dxa"/>
                  <w:tcBorders>
                    <w:tl2br w:val="nil"/>
                    <w:tr2bl w:val="nil"/>
                  </w:tcBorders>
                  <w:vAlign w:val="center"/>
                </w:tcPr>
                <w:p w14:paraId="47874CD5">
                  <w:pPr>
                    <w:jc w:val="center"/>
                    <w:rPr>
                      <w:bCs/>
                      <w:szCs w:val="21"/>
                    </w:rPr>
                  </w:pPr>
                  <w:r>
                    <w:rPr>
                      <w:bCs/>
                      <w:szCs w:val="21"/>
                    </w:rPr>
                    <w:t>本项目为</w:t>
                  </w:r>
                  <w:r>
                    <w:rPr>
                      <w:rFonts w:hint="eastAsia"/>
                      <w:bCs/>
                      <w:color w:val="C00000"/>
                      <w:szCs w:val="21"/>
                      <w:lang w:eastAsia="zh-CN"/>
                    </w:rPr>
                    <w:t>热力生产和供应项目</w:t>
                  </w:r>
                  <w:r>
                    <w:rPr>
                      <w:bCs/>
                      <w:szCs w:val="21"/>
                    </w:rPr>
                    <w:t>，不涉及烟草、木材、铸造砂、砂石、矿料（渣）、化工产品、有机涂层产品等，不属于《工业炉窑大气污染物综合治理方案》附件1工业炉窑分类表中农林产品、设备制造、金属制品、监测、化工等行业，本项目热风炉使用成型生物质燃料，不使用煤、重油等高污染燃料，热风炉废气经除尘系统处理后排放，烟气可以达标排放，符合要求</w:t>
                  </w:r>
                  <w:r>
                    <w:rPr>
                      <w:rFonts w:hint="eastAsia"/>
                      <w:bCs/>
                      <w:szCs w:val="21"/>
                    </w:rPr>
                    <w:t>。</w:t>
                  </w:r>
                </w:p>
              </w:tc>
              <w:tc>
                <w:tcPr>
                  <w:tcW w:w="813" w:type="dxa"/>
                  <w:tcBorders>
                    <w:tl2br w:val="nil"/>
                    <w:tr2bl w:val="nil"/>
                  </w:tcBorders>
                  <w:vAlign w:val="center"/>
                </w:tcPr>
                <w:p w14:paraId="7A4F4868">
                  <w:pPr>
                    <w:jc w:val="center"/>
                    <w:rPr>
                      <w:bCs/>
                      <w:szCs w:val="21"/>
                    </w:rPr>
                  </w:pPr>
                  <w:r>
                    <w:rPr>
                      <w:bCs/>
                      <w:szCs w:val="21"/>
                    </w:rPr>
                    <w:t>符合</w:t>
                  </w:r>
                </w:p>
              </w:tc>
            </w:tr>
          </w:tbl>
          <w:p w14:paraId="2F8E766E">
            <w:pPr>
              <w:pStyle w:val="59"/>
              <w:spacing w:line="360" w:lineRule="auto"/>
              <w:ind w:firstLine="482"/>
              <w:rPr>
                <w:b/>
                <w:color w:val="auto"/>
                <w:szCs w:val="24"/>
                <w:highlight w:val="none"/>
              </w:rPr>
            </w:pPr>
            <w:r>
              <w:rPr>
                <w:b/>
                <w:bCs/>
                <w:color w:val="auto"/>
                <w:highlight w:val="none"/>
              </w:rPr>
              <w:t>5、</w:t>
            </w:r>
            <w:r>
              <w:rPr>
                <w:b/>
                <w:color w:val="auto"/>
                <w:szCs w:val="24"/>
                <w:highlight w:val="none"/>
              </w:rPr>
              <w:t>与《黑龙江省工业炉窑大气污染综合治理方案》（黑环发</w:t>
            </w:r>
            <w:r>
              <w:rPr>
                <w:rFonts w:hint="eastAsia"/>
                <w:b/>
                <w:color w:val="auto"/>
                <w:szCs w:val="24"/>
                <w:highlight w:val="none"/>
                <w:lang w:eastAsia="zh-CN"/>
              </w:rPr>
              <w:t>〔2019〕144号</w:t>
            </w:r>
            <w:r>
              <w:rPr>
                <w:b/>
                <w:color w:val="auto"/>
                <w:szCs w:val="24"/>
                <w:highlight w:val="none"/>
              </w:rPr>
              <w:t>）符合性分析</w:t>
            </w:r>
          </w:p>
          <w:p w14:paraId="0D363C58">
            <w:pPr>
              <w:keepNext w:val="0"/>
              <w:keepLines w:val="0"/>
              <w:pageBreakBefore w:val="0"/>
              <w:widowControl w:val="0"/>
              <w:kinsoku/>
              <w:wordWrap/>
              <w:overflowPunct/>
              <w:topLinePunct w:val="0"/>
              <w:autoSpaceDE/>
              <w:autoSpaceDN/>
              <w:bidi w:val="0"/>
              <w:adjustRightInd/>
              <w:snapToGrid/>
              <w:spacing w:before="0" w:after="0" w:line="360" w:lineRule="auto"/>
              <w:ind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主要目标：到2020年，完善工业炉窑大气污染防治管理体系，推进工业炉窑全面达标排放，工业炉窑装备和污染治理水平有所提高，实现工业行业二氧化硫、氮氧化物、颗粒物等污染物排放进一步下降，推动全省环境空气质量改善。</w:t>
            </w:r>
          </w:p>
          <w:p w14:paraId="1D3ECCDE">
            <w:pPr>
              <w:keepNext w:val="0"/>
              <w:keepLines w:val="0"/>
              <w:pageBreakBefore w:val="0"/>
              <w:widowControl w:val="0"/>
              <w:kinsoku/>
              <w:wordWrap/>
              <w:overflowPunct/>
              <w:topLinePunct w:val="0"/>
              <w:autoSpaceDE/>
              <w:autoSpaceDN/>
              <w:bidi w:val="0"/>
              <w:adjustRightInd/>
              <w:snapToGrid/>
              <w:spacing w:before="0" w:after="0" w:line="360" w:lineRule="auto"/>
              <w:ind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严格项目环境准入。新建涉工业炉窑的建设项目，原则上要入园区，配套建设高效环保治理设施。加大落后产能和不达标工业炉窑淘汰力度。分行业清理《产业结构调整指导目录》淘汰类工业炉窑。对热效率低下、敞开未封闭，装备简易落后、自动化程度低，无组织排放突出，以及无治理设施或治理设施工作落后等严重污染环境的工业炉窑，依法责令停业关闭。</w:t>
            </w:r>
          </w:p>
          <w:p w14:paraId="5A1DF038">
            <w:pPr>
              <w:autoSpaceDE w:val="0"/>
              <w:autoSpaceDN w:val="0"/>
              <w:adjustRightInd w:val="0"/>
              <w:snapToGrid w:val="0"/>
              <w:spacing w:line="360" w:lineRule="auto"/>
              <w:ind w:firstLine="480" w:firstLineChars="200"/>
              <w:rPr>
                <w:color w:val="auto"/>
                <w:sz w:val="24"/>
                <w:highlight w:val="none"/>
              </w:rPr>
            </w:pPr>
            <w:r>
              <w:rPr>
                <w:color w:val="auto"/>
                <w:sz w:val="24"/>
                <w:highlight w:val="none"/>
              </w:rPr>
              <w:t>本项目烘干塔热风炉燃用生物质成型燃料，不涉及燃煤及煤气发生炉设备，符合文件中“二、重点任务：（二）加快燃料清洁低碳化替代”中的相关要求。</w:t>
            </w:r>
          </w:p>
          <w:p w14:paraId="49AE80E8">
            <w:pPr>
              <w:autoSpaceDE w:val="0"/>
              <w:autoSpaceDN w:val="0"/>
              <w:adjustRightInd w:val="0"/>
              <w:snapToGrid w:val="0"/>
              <w:spacing w:line="360" w:lineRule="auto"/>
              <w:ind w:firstLine="480" w:firstLineChars="200"/>
              <w:rPr>
                <w:color w:val="auto"/>
                <w:sz w:val="24"/>
                <w:highlight w:val="none"/>
              </w:rPr>
            </w:pPr>
            <w:r>
              <w:rPr>
                <w:color w:val="auto"/>
                <w:sz w:val="24"/>
                <w:highlight w:val="none"/>
              </w:rPr>
              <w:t>本项目烘干塔热风炉配套建设除尘系统，可使热风炉烟气达标排放；本项目采取减小装卸高度、密闭输送等降尘措施；原粮筛分采用密闭式</w:t>
            </w:r>
            <w:r>
              <w:rPr>
                <w:rFonts w:hint="eastAsia"/>
                <w:color w:val="auto"/>
                <w:sz w:val="24"/>
                <w:highlight w:val="none"/>
              </w:rPr>
              <w:t>设施</w:t>
            </w:r>
            <w:r>
              <w:rPr>
                <w:color w:val="auto"/>
                <w:sz w:val="24"/>
                <w:highlight w:val="none"/>
              </w:rPr>
              <w:t>；烘干塔</w:t>
            </w:r>
            <w:r>
              <w:rPr>
                <w:rFonts w:hint="eastAsia"/>
                <w:color w:val="auto"/>
                <w:sz w:val="24"/>
                <w:highlight w:val="none"/>
                <w:lang w:val="en-US" w:eastAsia="zh-CN"/>
              </w:rPr>
              <w:t>塔体外设置铁皮塔衣，塔顶设置抑尘网</w:t>
            </w:r>
            <w:r>
              <w:rPr>
                <w:color w:val="auto"/>
                <w:sz w:val="24"/>
                <w:highlight w:val="none"/>
              </w:rPr>
              <w:t>，通过上述措施可使厂界颗粒物无组织达标排放，符合文件中“二、重点任务：（三）实施污染深度治理。推进工业炉窑全面达标排放。”中的相关要求。</w:t>
            </w:r>
          </w:p>
          <w:p w14:paraId="5AEBB7F9">
            <w:pPr>
              <w:pStyle w:val="59"/>
              <w:spacing w:line="360" w:lineRule="auto"/>
              <w:ind w:firstLine="480"/>
              <w:rPr>
                <w:color w:val="auto"/>
                <w:szCs w:val="24"/>
                <w:highlight w:val="none"/>
              </w:rPr>
            </w:pPr>
            <w:r>
              <w:rPr>
                <w:color w:val="auto"/>
                <w:szCs w:val="24"/>
                <w:highlight w:val="none"/>
              </w:rPr>
              <w:t>综上所述，本项目符合《黑龙江省工业炉窑大气污染综合治理方案》（黑环发</w:t>
            </w:r>
            <w:r>
              <w:rPr>
                <w:rFonts w:hint="eastAsia"/>
                <w:color w:val="auto"/>
                <w:szCs w:val="24"/>
                <w:highlight w:val="none"/>
                <w:lang w:eastAsia="zh-CN"/>
              </w:rPr>
              <w:t>〔2019〕144号</w:t>
            </w:r>
            <w:r>
              <w:rPr>
                <w:color w:val="auto"/>
                <w:szCs w:val="24"/>
                <w:highlight w:val="none"/>
              </w:rPr>
              <w:t>）中的相关要求。</w:t>
            </w:r>
          </w:p>
          <w:p w14:paraId="40ED4A46">
            <w:pPr>
              <w:pStyle w:val="59"/>
              <w:spacing w:line="360" w:lineRule="auto"/>
              <w:ind w:firstLine="482"/>
              <w:rPr>
                <w:color w:val="auto"/>
              </w:rPr>
            </w:pPr>
            <w:r>
              <w:rPr>
                <w:b/>
                <w:bCs/>
                <w:color w:val="auto"/>
              </w:rPr>
              <w:t>6、</w:t>
            </w:r>
            <w:r>
              <w:rPr>
                <w:b/>
                <w:bCs/>
                <w:color w:val="auto"/>
                <w:szCs w:val="24"/>
              </w:rPr>
              <w:t>与《黑龙江省空气质量持续改善行动计划实施方案》（黑政发〔2023〕19号）符合性分析</w:t>
            </w:r>
          </w:p>
          <w:p w14:paraId="56BF2F62">
            <w:pPr>
              <w:pStyle w:val="59"/>
              <w:spacing w:line="360" w:lineRule="auto"/>
              <w:ind w:firstLine="480"/>
              <w:rPr>
                <w:bCs/>
                <w:color w:val="auto"/>
                <w:kern w:val="2"/>
                <w:szCs w:val="24"/>
              </w:rPr>
            </w:pPr>
            <w:r>
              <w:rPr>
                <w:bCs/>
                <w:color w:val="auto"/>
                <w:kern w:val="2"/>
                <w:szCs w:val="24"/>
              </w:rPr>
              <w:t>根据《黑龙江省空气质量持续改善行动计划实施方案》，（十二）加快工业炉窑燃料清洁替代。有序推进以电代煤，积极稳妥推进以气代煤。稳步推进在用高污染燃料的工业炉窑改用工业余热、电能、天然气等。</w:t>
            </w:r>
          </w:p>
          <w:p w14:paraId="7083349A">
            <w:pPr>
              <w:pStyle w:val="59"/>
              <w:spacing w:line="360" w:lineRule="auto"/>
              <w:ind w:firstLine="480"/>
              <w:rPr>
                <w:bCs/>
                <w:kern w:val="2"/>
                <w:szCs w:val="24"/>
              </w:rPr>
            </w:pPr>
            <w:r>
              <w:rPr>
                <w:bCs/>
                <w:color w:val="auto"/>
                <w:kern w:val="2"/>
                <w:szCs w:val="24"/>
              </w:rPr>
              <w:t>本项目热风炉采用</w:t>
            </w:r>
            <w:r>
              <w:rPr>
                <w:rFonts w:hint="eastAsia"/>
                <w:bCs/>
                <w:color w:val="auto"/>
                <w:kern w:val="2"/>
                <w:szCs w:val="24"/>
              </w:rPr>
              <w:t>生物质颗粒</w:t>
            </w:r>
            <w:r>
              <w:rPr>
                <w:bCs/>
                <w:color w:val="auto"/>
                <w:kern w:val="2"/>
                <w:szCs w:val="24"/>
              </w:rPr>
              <w:t>，</w:t>
            </w:r>
            <w:r>
              <w:rPr>
                <w:rFonts w:hint="eastAsia"/>
                <w:bCs/>
                <w:color w:val="auto"/>
                <w:kern w:val="2"/>
                <w:szCs w:val="24"/>
                <w:lang w:val="en-US" w:eastAsia="zh-CN"/>
              </w:rPr>
              <w:t>热风炉烟气</w:t>
            </w:r>
            <w:r>
              <w:rPr>
                <w:bCs/>
                <w:color w:val="auto"/>
                <w:kern w:val="2"/>
                <w:szCs w:val="24"/>
              </w:rPr>
              <w:t>经布袋除尘器处理后，经</w:t>
            </w:r>
            <w:r>
              <w:rPr>
                <w:rFonts w:hint="eastAsia"/>
                <w:bCs/>
                <w:color w:val="auto"/>
                <w:kern w:val="2"/>
                <w:szCs w:val="24"/>
                <w:lang w:eastAsia="zh-CN"/>
              </w:rPr>
              <w:t>20m</w:t>
            </w:r>
            <w:r>
              <w:rPr>
                <w:bCs/>
                <w:color w:val="auto"/>
                <w:kern w:val="2"/>
                <w:szCs w:val="24"/>
              </w:rPr>
              <w:t>高烟囱</w:t>
            </w:r>
            <w:r>
              <w:rPr>
                <w:rFonts w:hint="eastAsia"/>
                <w:bCs/>
                <w:color w:val="auto"/>
                <w:kern w:val="2"/>
                <w:szCs w:val="24"/>
              </w:rPr>
              <w:t>DA001</w:t>
            </w:r>
            <w:r>
              <w:rPr>
                <w:bCs/>
                <w:color w:val="auto"/>
                <w:kern w:val="2"/>
                <w:szCs w:val="24"/>
              </w:rPr>
              <w:t>排放，</w:t>
            </w:r>
            <w:r>
              <w:rPr>
                <w:rFonts w:hint="eastAsia"/>
                <w:color w:val="auto"/>
                <w:kern w:val="0"/>
                <w:sz w:val="24"/>
              </w:rPr>
              <w:t>颗粒物</w:t>
            </w:r>
            <w:r>
              <w:rPr>
                <w:color w:val="auto"/>
                <w:kern w:val="0"/>
                <w:sz w:val="24"/>
              </w:rPr>
              <w:t>、SO</w:t>
            </w:r>
            <w:r>
              <w:rPr>
                <w:color w:val="auto"/>
                <w:kern w:val="0"/>
                <w:sz w:val="24"/>
                <w:vertAlign w:val="subscript"/>
              </w:rPr>
              <w:t>2</w:t>
            </w:r>
            <w:r>
              <w:rPr>
                <w:color w:val="auto"/>
                <w:kern w:val="0"/>
                <w:sz w:val="24"/>
              </w:rPr>
              <w:t>、</w:t>
            </w:r>
            <w:r>
              <w:rPr>
                <w:rFonts w:hint="eastAsia"/>
                <w:color w:val="auto"/>
                <w:kern w:val="0"/>
                <w:sz w:val="24"/>
              </w:rPr>
              <w:t>烟气黑度</w:t>
            </w:r>
            <w:r>
              <w:rPr>
                <w:color w:val="auto"/>
                <w:kern w:val="0"/>
                <w:sz w:val="24"/>
              </w:rPr>
              <w:t>排放浓度满足《工业炉窑大气污染物排放标准》（GB9078-1996）</w:t>
            </w:r>
            <w:r>
              <w:rPr>
                <w:rFonts w:hint="eastAsia"/>
                <w:color w:val="auto"/>
                <w:kern w:val="0"/>
                <w:sz w:val="24"/>
                <w:lang w:eastAsia="zh-CN"/>
              </w:rPr>
              <w:t>，</w:t>
            </w:r>
            <w:r>
              <w:rPr>
                <w:bCs/>
                <w:kern w:val="2"/>
                <w:szCs w:val="24"/>
              </w:rPr>
              <w:t>对周围空气质量影响可接受。因此符合《黑龙江省空气质量持续改善行动计划实施方案》中相关要求。</w:t>
            </w:r>
          </w:p>
          <w:p w14:paraId="719E5905">
            <w:pPr>
              <w:pStyle w:val="59"/>
              <w:spacing w:line="360" w:lineRule="auto"/>
              <w:ind w:firstLine="480"/>
              <w:rPr>
                <w:rFonts w:hint="eastAsia"/>
                <w:color w:val="auto"/>
                <w:kern w:val="0"/>
                <w:sz w:val="24"/>
                <w:highlight w:val="none"/>
                <w:lang w:val="en-US" w:eastAsia="zh-CN"/>
              </w:rPr>
            </w:pPr>
            <w:r>
              <w:rPr>
                <w:rFonts w:hint="eastAsia"/>
                <w:b/>
                <w:bCs w:val="0"/>
                <w:color w:val="auto"/>
                <w:kern w:val="2"/>
                <w:szCs w:val="24"/>
                <w:highlight w:val="none"/>
                <w:lang w:val="en-US" w:eastAsia="zh-CN"/>
              </w:rPr>
              <w:t>7、与</w:t>
            </w:r>
            <w:r>
              <w:rPr>
                <w:rFonts w:hint="eastAsia"/>
                <w:b/>
                <w:bCs w:val="0"/>
                <w:color w:val="auto"/>
                <w:kern w:val="0"/>
                <w:sz w:val="24"/>
                <w:highlight w:val="none"/>
              </w:rPr>
              <w:t>《黑龙江省“十四五”生态环境保护规划》</w:t>
            </w:r>
            <w:r>
              <w:rPr>
                <w:rFonts w:hint="eastAsia"/>
                <w:b/>
                <w:bCs w:val="0"/>
                <w:color w:val="auto"/>
                <w:kern w:val="0"/>
                <w:sz w:val="24"/>
                <w:highlight w:val="none"/>
                <w:lang w:val="en-US" w:eastAsia="zh-CN"/>
              </w:rPr>
              <w:t>符合性分析</w:t>
            </w:r>
          </w:p>
          <w:p w14:paraId="6D14D26E">
            <w:pPr>
              <w:keepNext w:val="0"/>
              <w:keepLines w:val="0"/>
              <w:pageBreakBefore w:val="0"/>
              <w:widowControl w:val="0"/>
              <w:kinsoku/>
              <w:wordWrap/>
              <w:overflowPunct/>
              <w:topLinePunct w:val="0"/>
              <w:autoSpaceDE/>
              <w:autoSpaceDN/>
              <w:bidi w:val="0"/>
              <w:adjustRightInd/>
              <w:snapToGrid/>
              <w:spacing w:before="0" w:after="0" w:line="360" w:lineRule="auto"/>
              <w:ind w:right="0" w:firstLine="480" w:firstLineChars="200"/>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聚焦“三重一改”，集中力量开展散煤污染治理。根据《双鸭山市散煤污染治理行动方案》，通过实施集中供热工程、棚户区拆迁改造工程、清洁能源替代工程、推进农村地区生物质燃料可再生能源替代散煤、节能建筑和老旧管网小区改造工程、燃煤小锅炉淘汰工程、规范散煤经营行为、打击非法经营行为等8方面工作，实现全市环境空气质量不断改善。加强生物质锅炉燃料品质及排放管控，禁止掺烧煤炭、垃圾和工业固废，对不稳定达标排放的生物质锅炉进行整改。</w:t>
            </w:r>
          </w:p>
          <w:p w14:paraId="5C8216E6">
            <w:pPr>
              <w:pStyle w:val="59"/>
              <w:spacing w:line="360" w:lineRule="auto"/>
              <w:ind w:firstLine="480"/>
              <w:rPr>
                <w:rFonts w:hint="default" w:eastAsia="宋体"/>
                <w:color w:val="auto"/>
                <w:kern w:val="0"/>
                <w:sz w:val="24"/>
                <w:highlight w:val="none"/>
                <w:lang w:val="en-US" w:eastAsia="zh-CN"/>
              </w:rPr>
            </w:pPr>
            <w:r>
              <w:rPr>
                <w:rFonts w:hint="default" w:ascii="Times New Roman" w:hAnsi="Times New Roman" w:cs="Times New Roman"/>
                <w:b w:val="0"/>
                <w:bCs w:val="0"/>
                <w:color w:val="auto"/>
                <w:sz w:val="24"/>
                <w:szCs w:val="24"/>
                <w:highlight w:val="none"/>
              </w:rPr>
              <w:t>本项目生物质热风炉，使用符合产品质量标准的生物质压块颗粒燃料，不掺烧其他燃料及废物。项目的建设符合《</w:t>
            </w:r>
            <w:r>
              <w:rPr>
                <w:rFonts w:hint="eastAsia" w:cs="Times New Roman"/>
                <w:b w:val="0"/>
                <w:bCs w:val="0"/>
                <w:color w:val="auto"/>
                <w:sz w:val="24"/>
                <w:szCs w:val="24"/>
                <w:highlight w:val="none"/>
                <w:lang w:val="en-US" w:eastAsia="zh-CN"/>
              </w:rPr>
              <w:t>黑龙江省</w:t>
            </w:r>
            <w:r>
              <w:rPr>
                <w:rFonts w:hint="default" w:ascii="Times New Roman" w:hAnsi="Times New Roman" w:cs="Times New Roman"/>
                <w:b w:val="0"/>
                <w:bCs w:val="0"/>
                <w:color w:val="auto"/>
                <w:sz w:val="24"/>
                <w:szCs w:val="24"/>
                <w:highlight w:val="none"/>
              </w:rPr>
              <w:t>“十四五”生态环境保护规划》的规定</w:t>
            </w:r>
            <w:r>
              <w:rPr>
                <w:rFonts w:hint="eastAsia"/>
                <w:color w:val="auto"/>
                <w:kern w:val="0"/>
                <w:sz w:val="24"/>
                <w:highlight w:val="none"/>
                <w:lang w:val="en-US" w:eastAsia="zh-CN"/>
              </w:rPr>
              <w:t>。</w:t>
            </w:r>
          </w:p>
          <w:p w14:paraId="564B4460">
            <w:pPr>
              <w:pStyle w:val="59"/>
              <w:spacing w:line="360" w:lineRule="auto"/>
              <w:ind w:firstLine="480"/>
              <w:rPr>
                <w:rFonts w:hint="default" w:eastAsia="宋体"/>
                <w:b/>
                <w:bCs/>
                <w:color w:val="auto"/>
                <w:kern w:val="2"/>
                <w:szCs w:val="24"/>
                <w:highlight w:val="none"/>
                <w:lang w:val="en-US" w:eastAsia="zh-CN"/>
              </w:rPr>
            </w:pPr>
            <w:r>
              <w:rPr>
                <w:rFonts w:hint="eastAsia"/>
                <w:b/>
                <w:bCs/>
                <w:color w:val="auto"/>
                <w:kern w:val="0"/>
                <w:sz w:val="24"/>
                <w:highlight w:val="none"/>
                <w:lang w:val="en-US" w:eastAsia="zh-CN"/>
              </w:rPr>
              <w:t>8、与</w:t>
            </w:r>
            <w:r>
              <w:rPr>
                <w:rFonts w:hint="eastAsia"/>
                <w:b/>
                <w:bCs/>
                <w:color w:val="auto"/>
                <w:highlight w:val="none"/>
              </w:rPr>
              <w:t>《双鸭山市“十四五”生态环境保护规划》符合性</w:t>
            </w:r>
          </w:p>
          <w:p w14:paraId="3E364BB9">
            <w:pPr>
              <w:pStyle w:val="59"/>
              <w:spacing w:line="360" w:lineRule="auto"/>
              <w:ind w:firstLine="480"/>
              <w:rPr>
                <w:rFonts w:hint="eastAsia" w:ascii="Times New Roman" w:hAnsi="Times New Roman" w:eastAsia="宋体" w:cs="Times New Roman"/>
                <w:color w:val="auto"/>
                <w:kern w:val="0"/>
                <w:sz w:val="24"/>
                <w:highlight w:val="none"/>
                <w:lang w:eastAsia="zh-CN"/>
              </w:rPr>
            </w:pPr>
            <w:r>
              <w:rPr>
                <w:rFonts w:hint="eastAsia" w:ascii="Times New Roman" w:hAnsi="Times New Roman" w:eastAsia="宋体" w:cs="Times New Roman"/>
                <w:color w:val="auto"/>
                <w:kern w:val="0"/>
                <w:sz w:val="24"/>
                <w:highlight w:val="none"/>
              </w:rPr>
              <w:t>《双鸭山市“十四五”生态环境保护规划》</w:t>
            </w:r>
            <w:r>
              <w:rPr>
                <w:rFonts w:hint="eastAsia" w:ascii="Times New Roman" w:hAnsi="Times New Roman" w:eastAsia="宋体" w:cs="Times New Roman"/>
                <w:color w:val="auto"/>
                <w:kern w:val="0"/>
                <w:sz w:val="24"/>
                <w:highlight w:val="none"/>
                <w:lang w:val="en-US" w:eastAsia="zh-CN"/>
              </w:rPr>
              <w:t>中提出“</w:t>
            </w:r>
            <w:r>
              <w:rPr>
                <w:rFonts w:hint="eastAsia" w:ascii="Times New Roman" w:hAnsi="Times New Roman" w:eastAsia="宋体" w:cs="Times New Roman"/>
                <w:color w:val="auto"/>
                <w:kern w:val="0"/>
                <w:sz w:val="24"/>
                <w:highlight w:val="none"/>
              </w:rPr>
              <w:t>推动能源清洁化替代。加快工业、建筑、交通等用能领域的电气化、智能化发展，加强清洁能源供应保障，推行清洁能源替代。按照煤炭集中使用、清洁利用原则，重点削减小型燃煤锅炉、民用散煤消费量，降低煤炭在终端分散利用比例，完善煤炭清洁储运体系，对以煤为燃料的锅炉和工业窑炉，加快使用清洁低碳能源以及工厂余热、电力热力等进行替代。持续推进清洁取暖，推动煤炭高效清洁利用，宜气则气、宜电则电，因地制宜发展地热、生物质能等清洁能源供暖，稳妥有序推进全市散煤替代，稳步推进经济性好、节能减排效益佳的清洁供暖项目。到2025年，全市清洁取暖率提高到70%以上。</w:t>
            </w:r>
            <w:r>
              <w:rPr>
                <w:rFonts w:hint="eastAsia" w:ascii="Times New Roman" w:hAnsi="Times New Roman" w:eastAsia="宋体" w:cs="Times New Roman"/>
                <w:color w:val="auto"/>
                <w:kern w:val="0"/>
                <w:sz w:val="24"/>
                <w:highlight w:val="none"/>
                <w:lang w:eastAsia="zh-CN"/>
              </w:rPr>
              <w:t>”</w:t>
            </w:r>
          </w:p>
          <w:p w14:paraId="664024B5">
            <w:pPr>
              <w:pStyle w:val="59"/>
              <w:spacing w:line="360" w:lineRule="auto"/>
              <w:ind w:firstLine="480"/>
              <w:rPr>
                <w:rFonts w:hint="default"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本项目热风炉采用生物质燃料，燃烧后烟气经布袋除尘器处理后排放，符合</w:t>
            </w:r>
            <w:r>
              <w:rPr>
                <w:rFonts w:hint="eastAsia"/>
                <w:color w:val="auto"/>
                <w:highlight w:val="none"/>
              </w:rPr>
              <w:t>《双鸭山市“十四五”生态环境保护规划》</w:t>
            </w:r>
            <w:r>
              <w:rPr>
                <w:rFonts w:hint="eastAsia"/>
                <w:color w:val="auto"/>
                <w:highlight w:val="none"/>
                <w:lang w:val="en-US" w:eastAsia="zh-CN"/>
              </w:rPr>
              <w:t>要求。</w:t>
            </w:r>
          </w:p>
          <w:p w14:paraId="08E7B03D">
            <w:pPr>
              <w:pStyle w:val="59"/>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0" w:firstLine="482" w:firstLineChars="200"/>
              <w:textAlignment w:val="auto"/>
              <w:rPr>
                <w:rFonts w:hint="eastAsia" w:ascii="Times New Roman" w:hAnsi="Times New Roman" w:cs="Times New Roman" w:eastAsiaTheme="minorEastAsia"/>
                <w:color w:val="C00000"/>
                <w:kern w:val="0"/>
                <w:sz w:val="24"/>
                <w:szCs w:val="24"/>
                <w:lang w:val="en-US" w:eastAsia="zh-CN" w:bidi="ar"/>
              </w:rPr>
            </w:pPr>
            <w:r>
              <w:rPr>
                <w:rFonts w:hint="eastAsia"/>
                <w:b/>
                <w:color w:val="C00000"/>
                <w:szCs w:val="24"/>
                <w:lang w:val="en-US" w:eastAsia="zh-CN"/>
              </w:rPr>
              <w:t>9、与</w:t>
            </w:r>
            <w:r>
              <w:rPr>
                <w:rFonts w:hint="default" w:ascii="Times New Roman" w:hAnsi="Times New Roman" w:cs="Times New Roman" w:eastAsiaTheme="minorEastAsia"/>
                <w:b/>
                <w:bCs/>
                <w:color w:val="C00000"/>
                <w:kern w:val="0"/>
                <w:sz w:val="24"/>
                <w:szCs w:val="24"/>
                <w:lang w:val="en-US" w:eastAsia="zh-CN" w:bidi="ar"/>
              </w:rPr>
              <w:t>《双鸭山市空气质量持续改善行动计划贯彻落实方案》</w:t>
            </w:r>
            <w:r>
              <w:rPr>
                <w:rFonts w:hint="eastAsia" w:ascii="Times New Roman" w:hAnsi="Times New Roman" w:cs="Times New Roman" w:eastAsiaTheme="minorEastAsia"/>
                <w:b/>
                <w:bCs/>
                <w:color w:val="C00000"/>
                <w:kern w:val="0"/>
                <w:sz w:val="24"/>
                <w:szCs w:val="24"/>
                <w:lang w:val="en-US" w:eastAsia="zh-CN" w:bidi="ar"/>
              </w:rPr>
              <w:t>符合性分析</w:t>
            </w:r>
          </w:p>
          <w:p w14:paraId="2D79E4D2">
            <w:pPr>
              <w:keepNext w:val="0"/>
              <w:keepLines w:val="0"/>
              <w:widowControl/>
              <w:suppressLineNumbers w:val="0"/>
              <w:autoSpaceDE w:val="0"/>
              <w:autoSpaceDN/>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C00000"/>
                <w:kern w:val="2"/>
                <w:sz w:val="24"/>
                <w:szCs w:val="24"/>
                <w:highlight w:val="none"/>
              </w:rPr>
            </w:pPr>
            <w:r>
              <w:rPr>
                <w:rFonts w:hint="default" w:ascii="Times New Roman" w:hAnsi="Times New Roman" w:eastAsia="宋体" w:cs="Times New Roman"/>
                <w:color w:val="C00000"/>
                <w:kern w:val="2"/>
                <w:sz w:val="24"/>
                <w:szCs w:val="24"/>
                <w:highlight w:val="none"/>
                <w:lang w:val="en-US" w:eastAsia="zh-CN" w:bidi="ar"/>
              </w:rPr>
              <w:t>五、持续加强面源污染治理，（十八）深化扬尘污染综合治理。推进扬尘精细化管控，将防治扬尘污染费用纳入工程造价。积极推行绿色施工，督促责任单位严格落实标准化防控措施。推进低尘机械化湿式清扫作业，加大城市出入口、城乡结合部等重要路段冲洗保洁力度。根据《双鸭山市主城区运输车辆专项整治工作方案》（双政办规〔2023〕11号），进一步规范运输行业作业秩序，营造良好城市环境。各县（区）参照方案，强化属地运输车辆管控。对城市公共裸地进行排查建档并采取防尘措施。强化工业企业的露天料场、堆场防扬尘措施监管。到2025年，装配式建筑占新建建筑面积的比例力争达到15%；城市主次干路机械化清扫率达到100%，城乡结合部道路达到80%，县城机械化清扫比率提升。</w:t>
            </w:r>
          </w:p>
          <w:p w14:paraId="292CCDA4">
            <w:pPr>
              <w:pStyle w:val="59"/>
              <w:spacing w:line="360" w:lineRule="auto"/>
              <w:ind w:firstLine="482"/>
              <w:rPr>
                <w:rFonts w:hint="default"/>
                <w:b/>
                <w:color w:val="C00000"/>
                <w:szCs w:val="24"/>
                <w:lang w:val="en-US" w:eastAsia="zh-CN"/>
              </w:rPr>
            </w:pPr>
            <w:r>
              <w:rPr>
                <w:rFonts w:hint="default" w:ascii="Times New Roman" w:hAnsi="Times New Roman" w:eastAsia="宋体" w:cs="Times New Roman"/>
                <w:color w:val="C00000"/>
                <w:kern w:val="2"/>
                <w:sz w:val="24"/>
                <w:szCs w:val="24"/>
                <w:highlight w:val="none"/>
                <w:lang w:val="en-US" w:eastAsia="zh-CN" w:bidi="ar"/>
              </w:rPr>
              <w:t>本项目设置灰渣库，生物质燃料库，没有露天料场，扬尘精细化管控。</w:t>
            </w:r>
            <w:r>
              <w:rPr>
                <w:color w:val="C00000"/>
                <w:szCs w:val="21"/>
              </w:rPr>
              <w:t>原粮装卸过</w:t>
            </w:r>
            <w:r>
              <w:rPr>
                <w:rFonts w:hint="eastAsia"/>
                <w:color w:val="C00000"/>
                <w:szCs w:val="21"/>
              </w:rPr>
              <w:t>程中</w:t>
            </w:r>
            <w:r>
              <w:rPr>
                <w:color w:val="C00000"/>
                <w:szCs w:val="21"/>
              </w:rPr>
              <w:t>通过设置临时围挡，减小装卸高度</w:t>
            </w:r>
            <w:r>
              <w:rPr>
                <w:rFonts w:hint="eastAsia"/>
                <w:color w:val="C00000"/>
                <w:szCs w:val="21"/>
                <w:lang w:eastAsia="zh-CN"/>
              </w:rPr>
              <w:t>，</w:t>
            </w:r>
            <w:r>
              <w:rPr>
                <w:color w:val="C00000"/>
                <w:szCs w:val="21"/>
              </w:rPr>
              <w:t>原粮</w:t>
            </w:r>
            <w:r>
              <w:rPr>
                <w:rFonts w:hint="eastAsia"/>
                <w:color w:val="C00000"/>
                <w:szCs w:val="21"/>
              </w:rPr>
              <w:t>清选</w:t>
            </w:r>
            <w:r>
              <w:rPr>
                <w:color w:val="C00000"/>
                <w:szCs w:val="21"/>
              </w:rPr>
              <w:t>过程采用密闭</w:t>
            </w:r>
            <w:r>
              <w:rPr>
                <w:rFonts w:hint="eastAsia"/>
                <w:color w:val="C00000"/>
                <w:szCs w:val="21"/>
                <w:lang w:val="en-US" w:eastAsia="zh-CN"/>
              </w:rPr>
              <w:t>方式</w:t>
            </w:r>
            <w:r>
              <w:rPr>
                <w:rFonts w:hint="eastAsia"/>
                <w:color w:val="C00000"/>
                <w:szCs w:val="21"/>
                <w:highlight w:val="none"/>
                <w:lang w:val="en-US" w:eastAsia="zh-CN"/>
              </w:rPr>
              <w:t>，</w:t>
            </w:r>
            <w:r>
              <w:rPr>
                <w:color w:val="C00000"/>
                <w:szCs w:val="21"/>
                <w:highlight w:val="none"/>
              </w:rPr>
              <w:t>原粮烘干过程烘干塔</w:t>
            </w:r>
            <w:r>
              <w:rPr>
                <w:rFonts w:hint="eastAsia"/>
                <w:color w:val="C00000"/>
                <w:szCs w:val="21"/>
                <w:highlight w:val="none"/>
                <w:lang w:val="en-US" w:eastAsia="zh-CN"/>
              </w:rPr>
              <w:t>塔</w:t>
            </w:r>
            <w:r>
              <w:rPr>
                <w:rFonts w:hint="eastAsia"/>
                <w:color w:val="C00000"/>
                <w:szCs w:val="21"/>
                <w:lang w:val="en-US" w:eastAsia="zh-CN"/>
              </w:rPr>
              <w:t>体外设置铁皮塔衣，塔顶设置抑尘网</w:t>
            </w:r>
            <w:r>
              <w:rPr>
                <w:rFonts w:hint="eastAsia"/>
                <w:color w:val="C00000"/>
                <w:szCs w:val="21"/>
                <w:lang w:eastAsia="zh-CN"/>
              </w:rPr>
              <w:t>，</w:t>
            </w:r>
            <w:r>
              <w:rPr>
                <w:rFonts w:hint="eastAsia"/>
                <w:color w:val="C00000"/>
                <w:sz w:val="24"/>
                <w:lang w:val="en-US" w:eastAsia="zh-CN"/>
              </w:rPr>
              <w:t>采取上述措施能够有效控制无组织颗粒物排放，</w:t>
            </w:r>
            <w:r>
              <w:rPr>
                <w:rFonts w:hint="default" w:ascii="Times New Roman" w:hAnsi="Times New Roman" w:eastAsia="宋体" w:cs="Times New Roman"/>
                <w:color w:val="C00000"/>
                <w:kern w:val="2"/>
                <w:sz w:val="24"/>
                <w:szCs w:val="24"/>
                <w:highlight w:val="none"/>
                <w:lang w:val="en-US" w:eastAsia="zh-CN" w:bidi="ar"/>
              </w:rPr>
              <w:t>因此符合《双鸭山市空气质量持续改善行动计划贯彻落实方案》</w:t>
            </w:r>
            <w:r>
              <w:rPr>
                <w:rFonts w:hint="eastAsia" w:ascii="Times New Roman" w:hAnsi="Times New Roman" w:eastAsia="宋体" w:cs="Times New Roman"/>
                <w:color w:val="C00000"/>
                <w:kern w:val="2"/>
                <w:sz w:val="24"/>
                <w:szCs w:val="24"/>
                <w:highlight w:val="none"/>
                <w:lang w:val="en-US" w:eastAsia="zh-CN" w:bidi="ar"/>
              </w:rPr>
              <w:t>。</w:t>
            </w:r>
          </w:p>
          <w:p w14:paraId="472EADB5">
            <w:pPr>
              <w:pStyle w:val="59"/>
              <w:spacing w:line="360" w:lineRule="auto"/>
              <w:ind w:firstLine="482"/>
              <w:rPr>
                <w:b/>
                <w:color w:val="auto"/>
                <w:szCs w:val="24"/>
              </w:rPr>
            </w:pPr>
            <w:r>
              <w:rPr>
                <w:rFonts w:hint="eastAsia"/>
                <w:b/>
                <w:color w:val="auto"/>
                <w:szCs w:val="24"/>
                <w:lang w:val="en-US" w:eastAsia="zh-CN"/>
              </w:rPr>
              <w:t>10</w:t>
            </w:r>
            <w:r>
              <w:rPr>
                <w:b/>
                <w:color w:val="auto"/>
                <w:szCs w:val="24"/>
              </w:rPr>
              <w:t>、选址合理性分析</w:t>
            </w:r>
          </w:p>
          <w:p w14:paraId="2A568236">
            <w:pPr>
              <w:autoSpaceDE w:val="0"/>
              <w:autoSpaceDN w:val="0"/>
              <w:adjustRightInd w:val="0"/>
              <w:snapToGrid w:val="0"/>
              <w:spacing w:line="360" w:lineRule="auto"/>
              <w:ind w:firstLine="480" w:firstLineChars="200"/>
              <w:rPr>
                <w:bCs/>
                <w:sz w:val="24"/>
              </w:rPr>
            </w:pPr>
            <w:r>
              <w:rPr>
                <w:snapToGrid w:val="0"/>
                <w:color w:val="auto"/>
                <w:kern w:val="0"/>
                <w:sz w:val="24"/>
                <w:szCs w:val="21"/>
              </w:rPr>
              <w:t>项目位</w:t>
            </w:r>
            <w:r>
              <w:rPr>
                <w:bCs/>
                <w:color w:val="auto"/>
                <w:sz w:val="24"/>
              </w:rPr>
              <w:t>于</w:t>
            </w:r>
            <w:r>
              <w:rPr>
                <w:rFonts w:hint="eastAsia"/>
                <w:color w:val="auto"/>
                <w:sz w:val="24"/>
              </w:rPr>
              <w:t>黑龙江省双鸭山市宝山区新安煤矿原建设科院内</w:t>
            </w:r>
            <w:r>
              <w:rPr>
                <w:color w:val="auto"/>
                <w:sz w:val="24"/>
              </w:rPr>
              <w:t>，</w:t>
            </w:r>
            <w:r>
              <w:rPr>
                <w:color w:val="auto"/>
                <w:sz w:val="24"/>
                <w:szCs w:val="21"/>
                <w:lang w:bidi="ar"/>
              </w:rPr>
              <w:t>本项目占地为</w:t>
            </w:r>
            <w:r>
              <w:rPr>
                <w:rFonts w:hint="eastAsia"/>
                <w:color w:val="auto"/>
                <w:sz w:val="24"/>
                <w:szCs w:val="21"/>
                <w:lang w:bidi="ar"/>
              </w:rPr>
              <w:t>工业</w:t>
            </w:r>
            <w:r>
              <w:rPr>
                <w:color w:val="auto"/>
                <w:sz w:val="24"/>
                <w:szCs w:val="21"/>
                <w:lang w:bidi="ar"/>
              </w:rPr>
              <w:t>用地</w:t>
            </w:r>
            <w:r>
              <w:rPr>
                <w:color w:val="auto"/>
                <w:sz w:val="24"/>
                <w:lang w:bidi="ar"/>
              </w:rPr>
              <w:t>。</w:t>
            </w:r>
            <w:r>
              <w:rPr>
                <w:color w:val="0000FF"/>
                <w:sz w:val="24"/>
                <w:highlight w:val="none"/>
              </w:rPr>
              <w:t>企业</w:t>
            </w:r>
            <w:r>
              <w:rPr>
                <w:rFonts w:hint="eastAsia"/>
                <w:color w:val="0000FF"/>
                <w:sz w:val="24"/>
                <w:highlight w:val="none"/>
              </w:rPr>
              <w:t>厂区东侧为道路，</w:t>
            </w:r>
            <w:r>
              <w:rPr>
                <w:rFonts w:hint="eastAsia"/>
                <w:color w:val="0000FF"/>
                <w:sz w:val="24"/>
                <w:highlight w:val="none"/>
                <w:lang w:val="en-US" w:eastAsia="zh-CN"/>
              </w:rPr>
              <w:t>隔路为杨家围社区（38m），</w:t>
            </w:r>
            <w:r>
              <w:rPr>
                <w:rFonts w:hint="eastAsia"/>
                <w:color w:val="0000FF"/>
                <w:sz w:val="24"/>
                <w:highlight w:val="none"/>
              </w:rPr>
              <w:t>南侧为修造厂，西侧为</w:t>
            </w:r>
            <w:r>
              <w:rPr>
                <w:rFonts w:hint="eastAsia"/>
                <w:color w:val="0000FF"/>
                <w:sz w:val="24"/>
                <w:highlight w:val="none"/>
                <w:lang w:val="en-US" w:eastAsia="zh-CN"/>
              </w:rPr>
              <w:t>新安矿厂居住区（距离17m）</w:t>
            </w:r>
            <w:r>
              <w:rPr>
                <w:rFonts w:hint="eastAsia"/>
                <w:color w:val="0000FF"/>
                <w:sz w:val="24"/>
                <w:highlight w:val="none"/>
              </w:rPr>
              <w:t>，北侧为废弃厂房</w:t>
            </w:r>
            <w:r>
              <w:rPr>
                <w:bCs/>
                <w:color w:val="0000FF"/>
                <w:sz w:val="24"/>
                <w:highlight w:val="none"/>
              </w:rPr>
              <w:t>。</w:t>
            </w:r>
            <w:r>
              <w:rPr>
                <w:bCs/>
                <w:color w:val="auto"/>
                <w:kern w:val="0"/>
                <w:sz w:val="24"/>
                <w:highlight w:val="none"/>
              </w:rPr>
              <w:t>项</w:t>
            </w:r>
            <w:r>
              <w:rPr>
                <w:bCs/>
                <w:kern w:val="0"/>
                <w:sz w:val="24"/>
              </w:rPr>
              <w:t>目选址不属于风景名胜区、温泉疗养区、水产养殖区、基本农田保护区、自然保护区等需要特殊保护区域。</w:t>
            </w:r>
            <w:r>
              <w:rPr>
                <w:bCs/>
                <w:sz w:val="24"/>
              </w:rPr>
              <w:t>项目所在地具有方便的交通运输和水电条件，便于项目的生产和运营。</w:t>
            </w:r>
          </w:p>
          <w:p w14:paraId="1EB8B687">
            <w:pPr>
              <w:autoSpaceDE w:val="0"/>
              <w:autoSpaceDN w:val="0"/>
              <w:adjustRightInd w:val="0"/>
              <w:snapToGrid w:val="0"/>
              <w:spacing w:line="360" w:lineRule="auto"/>
              <w:ind w:firstLine="480" w:firstLineChars="200"/>
              <w:rPr>
                <w:bCs/>
                <w:sz w:val="24"/>
              </w:rPr>
            </w:pPr>
            <w:r>
              <w:rPr>
                <w:bCs/>
                <w:sz w:val="24"/>
              </w:rPr>
              <w:t>项目</w:t>
            </w:r>
            <w:r>
              <w:rPr>
                <w:rFonts w:hint="eastAsia"/>
                <w:bCs/>
                <w:sz w:val="24"/>
              </w:rPr>
              <w:t>无生产废水产生，生活污水排入防渗旱厕，定期清掏，外运堆肥</w:t>
            </w:r>
            <w:r>
              <w:rPr>
                <w:bCs/>
                <w:sz w:val="24"/>
              </w:rPr>
              <w:t>。项目运行期产生的污染物为废气、噪声和固体废物，各污染物经采取报告提出的污染防治设施处理后均可达标排放，不会对周围敏感目标及区域环境产生影响，项目的建设不会使得环境功能发生改变。</w:t>
            </w:r>
          </w:p>
          <w:p w14:paraId="16BB0F4F">
            <w:pPr>
              <w:autoSpaceDE w:val="0"/>
              <w:autoSpaceDN w:val="0"/>
              <w:adjustRightInd w:val="0"/>
              <w:snapToGrid w:val="0"/>
              <w:spacing w:line="360" w:lineRule="auto"/>
              <w:ind w:firstLine="480" w:firstLineChars="200"/>
              <w:rPr>
                <w:sz w:val="24"/>
              </w:rPr>
            </w:pPr>
            <w:r>
              <w:rPr>
                <w:sz w:val="24"/>
              </w:rPr>
              <w:t>综上所述，本项目选址较为合理。</w:t>
            </w:r>
          </w:p>
          <w:p w14:paraId="6FD22CB4">
            <w:pPr>
              <w:pStyle w:val="31"/>
              <w:ind w:firstLine="0" w:firstLineChars="0"/>
            </w:pPr>
          </w:p>
          <w:p w14:paraId="0EDB190E"/>
          <w:p w14:paraId="33ACEB7A"/>
          <w:p w14:paraId="5E0EE000"/>
          <w:p w14:paraId="6A4B7602"/>
          <w:p w14:paraId="36333360"/>
          <w:p w14:paraId="11B1DEEA"/>
          <w:p w14:paraId="5A487309"/>
          <w:p w14:paraId="49E34739"/>
          <w:p w14:paraId="77074826"/>
          <w:p w14:paraId="652F7225"/>
          <w:p w14:paraId="229E7601"/>
          <w:p w14:paraId="18EFC4C6"/>
          <w:p w14:paraId="03B34A01"/>
          <w:p w14:paraId="06BDE0E2"/>
          <w:p w14:paraId="3300CEE8"/>
          <w:p w14:paraId="4A2DC16C"/>
          <w:p w14:paraId="0B19F1E0"/>
          <w:p w14:paraId="34F891DB"/>
          <w:p w14:paraId="12D946FB"/>
        </w:tc>
      </w:tr>
    </w:tbl>
    <w:p w14:paraId="10241F90">
      <w:pPr>
        <w:spacing w:line="360" w:lineRule="auto"/>
        <w:rPr>
          <w:sz w:val="30"/>
        </w:rPr>
        <w:sectPr>
          <w:footerReference r:id="rId7" w:type="default"/>
          <w:pgSz w:w="11906" w:h="16838"/>
          <w:pgMar w:top="1701" w:right="1531" w:bottom="1701" w:left="1531" w:header="851" w:footer="1077" w:gutter="0"/>
          <w:pgNumType w:start="1"/>
          <w:cols w:space="720" w:num="1"/>
          <w:docGrid w:linePitch="312" w:charSpace="0"/>
        </w:sectPr>
      </w:pPr>
    </w:p>
    <w:p w14:paraId="4A61D3CF">
      <w:pPr>
        <w:pStyle w:val="27"/>
        <w:jc w:val="center"/>
        <w:outlineLvl w:val="0"/>
        <w:rPr>
          <w:rFonts w:ascii="Times New Roman" w:hAnsi="Times New Roman"/>
          <w:snapToGrid w:val="0"/>
          <w:sz w:val="30"/>
          <w:szCs w:val="30"/>
        </w:rPr>
      </w:pPr>
      <w:bookmarkStart w:id="5" w:name="_Toc23387"/>
      <w:bookmarkStart w:id="6" w:name="_Toc11698"/>
      <w:r>
        <w:rPr>
          <w:rFonts w:ascii="Times New Roman" w:hAnsi="Times New Roman"/>
          <w:snapToGrid w:val="0"/>
          <w:sz w:val="30"/>
          <w:szCs w:val="30"/>
        </w:rPr>
        <w:t>二、建设项目工程分析</w:t>
      </w:r>
      <w:bookmarkEnd w:id="5"/>
      <w:bookmarkEnd w:id="6"/>
    </w:p>
    <w:tbl>
      <w:tblPr>
        <w:tblStyle w:val="32"/>
        <w:tblW w:w="89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14:paraId="2655E7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vAlign w:val="center"/>
          </w:tcPr>
          <w:p w14:paraId="758D7FE5">
            <w:pPr>
              <w:pStyle w:val="27"/>
              <w:adjustRightInd w:val="0"/>
              <w:snapToGrid w:val="0"/>
              <w:spacing w:before="0" w:beforeAutospacing="0" w:after="0" w:afterAutospacing="0"/>
              <w:jc w:val="center"/>
              <w:rPr>
                <w:rFonts w:ascii="Times New Roman" w:hAnsi="Times New Roman"/>
                <w:sz w:val="21"/>
                <w:szCs w:val="21"/>
              </w:rPr>
            </w:pPr>
            <w:r>
              <w:rPr>
                <w:rFonts w:ascii="Times New Roman" w:hAnsi="Times New Roman"/>
                <w:szCs w:val="24"/>
              </w:rPr>
              <w:t>建设内容</w:t>
            </w:r>
          </w:p>
        </w:tc>
        <w:tc>
          <w:tcPr>
            <w:tcW w:w="8161" w:type="dxa"/>
          </w:tcPr>
          <w:p w14:paraId="0842434C">
            <w:pPr>
              <w:tabs>
                <w:tab w:val="left" w:pos="6480"/>
              </w:tabs>
              <w:spacing w:line="360" w:lineRule="auto"/>
              <w:ind w:firstLine="482" w:firstLineChars="200"/>
              <w:rPr>
                <w:rFonts w:hint="eastAsia" w:eastAsia="宋体"/>
                <w:b/>
                <w:bCs/>
                <w:color w:val="auto"/>
                <w:sz w:val="24"/>
                <w:lang w:eastAsia="zh-CN"/>
              </w:rPr>
            </w:pPr>
            <w:r>
              <w:rPr>
                <w:b/>
                <w:bCs/>
                <w:color w:val="auto"/>
                <w:sz w:val="24"/>
              </w:rPr>
              <w:t>1</w:t>
            </w:r>
            <w:r>
              <w:rPr>
                <w:rFonts w:hint="eastAsia"/>
                <w:b/>
                <w:bCs/>
                <w:color w:val="auto"/>
                <w:sz w:val="24"/>
              </w:rPr>
              <w:t>、项目</w:t>
            </w:r>
            <w:r>
              <w:rPr>
                <w:rFonts w:hint="eastAsia"/>
                <w:b/>
                <w:bCs/>
                <w:color w:val="auto"/>
                <w:sz w:val="24"/>
                <w:lang w:val="en-US" w:eastAsia="zh-CN"/>
              </w:rPr>
              <w:t>由来</w:t>
            </w:r>
          </w:p>
          <w:p w14:paraId="33BB4E1D">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color w:val="auto"/>
                <w:sz w:val="24"/>
                <w:highlight w:val="none"/>
                <w:lang w:val="en-US" w:eastAsia="zh-CN"/>
              </w:rPr>
            </w:pPr>
            <w:r>
              <w:rPr>
                <w:rFonts w:hint="eastAsia"/>
                <w:color w:val="auto"/>
                <w:sz w:val="24"/>
              </w:rPr>
              <w:t>双鸭山市润丰粮食有限公司</w:t>
            </w:r>
            <w:r>
              <w:rPr>
                <w:rFonts w:hint="eastAsia" w:cs="Times New Roman"/>
                <w:color w:val="auto"/>
                <w:sz w:val="24"/>
                <w:highlight w:val="none"/>
                <w:lang w:val="en-US" w:eastAsia="zh-CN"/>
              </w:rPr>
              <w:t>成立于2013年，</w:t>
            </w:r>
            <w:r>
              <w:rPr>
                <w:rFonts w:hint="default" w:ascii="Times New Roman" w:hAnsi="Times New Roman" w:eastAsia="宋体" w:cs="Times New Roman"/>
                <w:color w:val="auto"/>
                <w:sz w:val="24"/>
                <w:highlight w:val="none"/>
                <w:lang w:val="en-US" w:eastAsia="zh-CN"/>
              </w:rPr>
              <w:t>本项目位于</w:t>
            </w:r>
            <w:r>
              <w:rPr>
                <w:rFonts w:hint="eastAsia"/>
                <w:color w:val="auto"/>
                <w:sz w:val="24"/>
              </w:rPr>
              <w:t>黑龙江省双鸭山市宝山区新安煤矿原建设科院内</w:t>
            </w:r>
            <w:r>
              <w:rPr>
                <w:rFonts w:hint="eastAsia" w:ascii="Times New Roman" w:hAnsi="Times New Roman" w:eastAsia="宋体" w:cs="Times New Roman"/>
                <w:color w:val="auto"/>
                <w:sz w:val="24"/>
                <w:highlight w:val="none"/>
                <w:lang w:val="en-US" w:eastAsia="zh-CN"/>
              </w:rPr>
              <w:t>，现有1座烘干能力为300t/d烘干塔，配套1台</w:t>
            </w:r>
            <w:r>
              <w:rPr>
                <w:rFonts w:hint="eastAsia" w:cs="Times New Roman"/>
                <w:color w:val="auto"/>
                <w:sz w:val="24"/>
                <w:highlight w:val="none"/>
                <w:lang w:val="en-US" w:eastAsia="zh-CN"/>
              </w:rPr>
              <w:t>6t/h</w:t>
            </w:r>
            <w:r>
              <w:rPr>
                <w:rFonts w:hint="eastAsia" w:ascii="Times New Roman" w:hAnsi="Times New Roman" w:eastAsia="宋体" w:cs="Times New Roman"/>
                <w:color w:val="auto"/>
                <w:sz w:val="24"/>
                <w:highlight w:val="none"/>
                <w:lang w:val="en-US" w:eastAsia="zh-CN"/>
              </w:rPr>
              <w:t>燃煤热风炉，配</w:t>
            </w:r>
            <w:r>
              <w:rPr>
                <w:rFonts w:hint="eastAsia" w:cs="Times New Roman"/>
                <w:color w:val="auto"/>
                <w:sz w:val="24"/>
                <w:highlight w:val="none"/>
                <w:lang w:val="en-US" w:eastAsia="zh-CN"/>
              </w:rPr>
              <w:t>布袋除尘器</w:t>
            </w:r>
            <w:r>
              <w:rPr>
                <w:rFonts w:hint="eastAsia" w:ascii="Times New Roman" w:hAnsi="Times New Roman" w:eastAsia="宋体" w:cs="Times New Roman"/>
                <w:color w:val="auto"/>
                <w:sz w:val="24"/>
                <w:highlight w:val="none"/>
                <w:lang w:val="en-US" w:eastAsia="zh-CN"/>
              </w:rPr>
              <w:t>，烟囱高度</w:t>
            </w:r>
            <w:r>
              <w:rPr>
                <w:rFonts w:hint="eastAsia" w:cs="Times New Roman"/>
                <w:color w:val="auto"/>
                <w:sz w:val="24"/>
                <w:highlight w:val="none"/>
                <w:lang w:val="en-US" w:eastAsia="zh-CN"/>
              </w:rPr>
              <w:t>20</w:t>
            </w:r>
            <w:r>
              <w:rPr>
                <w:rFonts w:hint="eastAsia" w:ascii="Times New Roman" w:hAnsi="Times New Roman" w:eastAsia="宋体" w:cs="Times New Roman"/>
                <w:color w:val="auto"/>
                <w:sz w:val="24"/>
                <w:highlight w:val="none"/>
                <w:lang w:val="en-US" w:eastAsia="zh-CN"/>
              </w:rPr>
              <w:t>m，年烘干粮食15000吨</w:t>
            </w:r>
            <w:r>
              <w:rPr>
                <w:rFonts w:hint="default" w:ascii="Times New Roman" w:hAnsi="Times New Roman" w:eastAsia="宋体" w:cs="Times New Roman"/>
                <w:color w:val="auto"/>
                <w:sz w:val="24"/>
                <w:highlight w:val="none"/>
                <w:lang w:val="en-US" w:eastAsia="zh-CN"/>
              </w:rPr>
              <w:t>。</w:t>
            </w:r>
          </w:p>
          <w:p w14:paraId="33F623FA">
            <w:pPr>
              <w:adjustRightInd w:val="0"/>
              <w:spacing w:line="360" w:lineRule="auto"/>
              <w:ind w:firstLine="480" w:firstLineChars="200"/>
              <w:textAlignment w:val="baseline"/>
              <w:rPr>
                <w:bCs/>
                <w:color w:val="auto"/>
                <w:szCs w:val="21"/>
              </w:rPr>
            </w:pPr>
            <w:r>
              <w:rPr>
                <w:rFonts w:hint="eastAsia"/>
                <w:color w:val="auto"/>
                <w:sz w:val="24"/>
              </w:rPr>
              <w:t>根据《产业结构指导目录（2024年版本）》第三类“淘汰类”67.</w:t>
            </w:r>
            <w:r>
              <w:rPr>
                <w:rFonts w:ascii="宋体" w:hAnsi="宋体" w:cs="宋体"/>
                <w:color w:val="auto"/>
                <w:sz w:val="24"/>
              </w:rPr>
              <w:t>燃煤</w:t>
            </w:r>
            <w:r>
              <w:rPr>
                <w:rFonts w:hint="eastAsia" w:ascii="宋体" w:hAnsi="宋体" w:cs="宋体"/>
                <w:color w:val="auto"/>
                <w:sz w:val="24"/>
              </w:rPr>
              <w:t>热风</w:t>
            </w:r>
            <w:r>
              <w:rPr>
                <w:rFonts w:ascii="宋体" w:hAnsi="宋体" w:cs="宋体"/>
                <w:color w:val="auto"/>
                <w:sz w:val="24"/>
              </w:rPr>
              <w:t>炉</w:t>
            </w:r>
            <w:r>
              <w:rPr>
                <w:rFonts w:hint="eastAsia"/>
                <w:color w:val="auto"/>
                <w:sz w:val="24"/>
              </w:rPr>
              <w:t>。本次改建企业响应国家政策，企业将厂区内现有1台</w:t>
            </w:r>
            <w:r>
              <w:rPr>
                <w:rFonts w:hint="eastAsia"/>
                <w:color w:val="auto"/>
                <w:sz w:val="24"/>
                <w:lang w:eastAsia="zh-CN"/>
              </w:rPr>
              <w:t>6t/h</w:t>
            </w:r>
            <w:r>
              <w:rPr>
                <w:rFonts w:hint="eastAsia"/>
                <w:color w:val="auto"/>
                <w:sz w:val="24"/>
              </w:rPr>
              <w:t>燃煤热风炉改为1台</w:t>
            </w:r>
            <w:r>
              <w:rPr>
                <w:rFonts w:hint="eastAsia"/>
                <w:color w:val="auto"/>
                <w:sz w:val="24"/>
                <w:lang w:eastAsia="zh-CN"/>
              </w:rPr>
              <w:t>6t/h</w:t>
            </w:r>
            <w:r>
              <w:rPr>
                <w:rFonts w:hint="eastAsia"/>
                <w:color w:val="auto"/>
                <w:sz w:val="24"/>
              </w:rPr>
              <w:t>燃生物质热风炉，</w:t>
            </w:r>
            <w:r>
              <w:rPr>
                <w:color w:val="auto"/>
                <w:sz w:val="24"/>
              </w:rPr>
              <w:t>本</w:t>
            </w:r>
            <w:r>
              <w:rPr>
                <w:rFonts w:hint="eastAsia"/>
                <w:color w:val="auto"/>
                <w:sz w:val="24"/>
                <w:lang w:val="en-US" w:eastAsia="zh-CN"/>
              </w:rPr>
              <w:t>次改建</w:t>
            </w:r>
            <w:r>
              <w:rPr>
                <w:color w:val="auto"/>
                <w:sz w:val="24"/>
              </w:rPr>
              <w:t>位于</w:t>
            </w:r>
            <w:r>
              <w:rPr>
                <w:rFonts w:hint="eastAsia"/>
                <w:color w:val="auto"/>
                <w:sz w:val="24"/>
              </w:rPr>
              <w:t>双鸭山市润丰粮食有限公司现有厂区内建设，不新增占地。</w:t>
            </w:r>
          </w:p>
          <w:p w14:paraId="19553EFA">
            <w:pPr>
              <w:tabs>
                <w:tab w:val="left" w:pos="6480"/>
              </w:tabs>
              <w:spacing w:line="360" w:lineRule="auto"/>
              <w:ind w:firstLine="482" w:firstLineChars="200"/>
              <w:rPr>
                <w:color w:val="auto"/>
                <w:sz w:val="24"/>
                <w:highlight w:val="none"/>
              </w:rPr>
            </w:pPr>
            <w:r>
              <w:rPr>
                <w:rFonts w:hint="eastAsia"/>
                <w:b/>
                <w:bCs/>
                <w:color w:val="auto"/>
                <w:sz w:val="24"/>
                <w:highlight w:val="none"/>
              </w:rPr>
              <w:t>2</w:t>
            </w:r>
            <w:r>
              <w:rPr>
                <w:b/>
                <w:bCs/>
                <w:color w:val="auto"/>
                <w:sz w:val="24"/>
                <w:highlight w:val="none"/>
              </w:rPr>
              <w:t>、</w:t>
            </w:r>
            <w:r>
              <w:rPr>
                <w:rFonts w:hint="eastAsia"/>
                <w:b/>
                <w:bCs/>
                <w:color w:val="auto"/>
                <w:sz w:val="24"/>
                <w:highlight w:val="none"/>
              </w:rPr>
              <w:t>项目组成</w:t>
            </w:r>
          </w:p>
          <w:p w14:paraId="6E2A833D">
            <w:pPr>
              <w:tabs>
                <w:tab w:val="left" w:pos="6480"/>
              </w:tabs>
              <w:spacing w:line="360" w:lineRule="auto"/>
              <w:ind w:firstLine="480" w:firstLineChars="200"/>
              <w:rPr>
                <w:color w:val="auto"/>
                <w:sz w:val="24"/>
              </w:rPr>
            </w:pPr>
            <w:r>
              <w:rPr>
                <w:rFonts w:hint="eastAsia"/>
                <w:color w:val="C00000"/>
                <w:sz w:val="24"/>
              </w:rPr>
              <w:t>本</w:t>
            </w:r>
            <w:r>
              <w:rPr>
                <w:color w:val="C00000"/>
                <w:sz w:val="24"/>
              </w:rPr>
              <w:t>项目</w:t>
            </w:r>
            <w:r>
              <w:rPr>
                <w:rFonts w:hint="eastAsia"/>
                <w:color w:val="C00000"/>
                <w:sz w:val="24"/>
                <w:lang w:val="en-US" w:eastAsia="zh-CN"/>
              </w:rPr>
              <w:t>将厂区内</w:t>
            </w:r>
            <w:r>
              <w:rPr>
                <w:rFonts w:hint="eastAsia"/>
                <w:color w:val="C00000"/>
                <w:sz w:val="24"/>
              </w:rPr>
              <w:t>现有1台</w:t>
            </w:r>
            <w:r>
              <w:rPr>
                <w:rFonts w:hint="eastAsia"/>
                <w:color w:val="C00000"/>
                <w:sz w:val="24"/>
                <w:lang w:eastAsia="zh-CN"/>
              </w:rPr>
              <w:t>6t/h</w:t>
            </w:r>
            <w:r>
              <w:rPr>
                <w:rFonts w:hint="eastAsia"/>
                <w:color w:val="C00000"/>
                <w:sz w:val="24"/>
              </w:rPr>
              <w:t>燃煤热风炉</w:t>
            </w:r>
            <w:r>
              <w:rPr>
                <w:rFonts w:hint="eastAsia"/>
                <w:color w:val="C00000"/>
                <w:sz w:val="24"/>
                <w:lang w:val="en-US" w:eastAsia="zh-CN"/>
              </w:rPr>
              <w:t>改为</w:t>
            </w:r>
            <w:r>
              <w:rPr>
                <w:rFonts w:hint="eastAsia"/>
                <w:color w:val="C00000"/>
                <w:sz w:val="24"/>
              </w:rPr>
              <w:t>燃生物质热风炉</w:t>
            </w:r>
            <w:r>
              <w:rPr>
                <w:rFonts w:hint="eastAsia"/>
                <w:color w:val="C00000"/>
                <w:sz w:val="24"/>
                <w:lang w:eastAsia="zh-CN"/>
              </w:rPr>
              <w:t>（</w:t>
            </w:r>
            <w:r>
              <w:rPr>
                <w:rFonts w:hint="eastAsia"/>
                <w:color w:val="C00000"/>
                <w:sz w:val="24"/>
                <w:lang w:val="en-US" w:eastAsia="zh-CN"/>
              </w:rPr>
              <w:t>炉内改造）</w:t>
            </w:r>
            <w:r>
              <w:rPr>
                <w:rFonts w:hint="eastAsia"/>
                <w:color w:val="C00000"/>
                <w:sz w:val="24"/>
              </w:rPr>
              <w:t>，</w:t>
            </w:r>
            <w:r>
              <w:rPr>
                <w:rFonts w:hint="eastAsia"/>
                <w:color w:val="auto"/>
                <w:sz w:val="24"/>
              </w:rPr>
              <w:t>配套安装布袋除尘器，依托原有烘干塔，烘干能力为300t/d，</w:t>
            </w:r>
            <w:r>
              <w:rPr>
                <w:rFonts w:hint="eastAsia"/>
                <w:color w:val="auto"/>
                <w:sz w:val="24"/>
                <w:lang w:val="en-US" w:eastAsia="zh-CN"/>
              </w:rPr>
              <w:t>新建燃料仓和灰渣仓，扩建干粮仓库面积，</w:t>
            </w:r>
            <w:r>
              <w:rPr>
                <w:rFonts w:hint="eastAsia"/>
                <w:color w:val="auto"/>
                <w:sz w:val="24"/>
              </w:rPr>
              <w:t>其余配套设施依托原有工程，项目建成后年烘干玉米15000吨。</w:t>
            </w:r>
            <w:r>
              <w:rPr>
                <w:color w:val="auto"/>
                <w:sz w:val="24"/>
              </w:rPr>
              <w:t>本项目建设内容见下表。</w:t>
            </w:r>
          </w:p>
          <w:p w14:paraId="525B7F9F">
            <w:pPr>
              <w:pStyle w:val="59"/>
              <w:spacing w:line="240" w:lineRule="auto"/>
              <w:ind w:firstLine="0" w:firstLineChars="0"/>
              <w:jc w:val="center"/>
              <w:rPr>
                <w:b/>
                <w:bCs/>
                <w:sz w:val="21"/>
                <w:szCs w:val="21"/>
              </w:rPr>
            </w:pPr>
            <w:r>
              <w:rPr>
                <w:b/>
                <w:bCs/>
                <w:sz w:val="21"/>
                <w:szCs w:val="21"/>
              </w:rPr>
              <w:t>表2-1工程内容一览表</w:t>
            </w:r>
          </w:p>
          <w:tbl>
            <w:tblPr>
              <w:tblStyle w:val="32"/>
              <w:tblW w:w="7943"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646"/>
              <w:gridCol w:w="1204"/>
              <w:gridCol w:w="4904"/>
              <w:gridCol w:w="1189"/>
            </w:tblGrid>
            <w:tr w14:paraId="0E287CC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850" w:type="dxa"/>
                  <w:gridSpan w:val="2"/>
                  <w:vAlign w:val="center"/>
                </w:tcPr>
                <w:p w14:paraId="6C47D510">
                  <w:pPr>
                    <w:jc w:val="center"/>
                    <w:rPr>
                      <w:szCs w:val="21"/>
                    </w:rPr>
                  </w:pPr>
                  <w:r>
                    <w:rPr>
                      <w:szCs w:val="21"/>
                    </w:rPr>
                    <w:t>建设内容</w:t>
                  </w:r>
                </w:p>
              </w:tc>
              <w:tc>
                <w:tcPr>
                  <w:tcW w:w="4904" w:type="dxa"/>
                  <w:vAlign w:val="center"/>
                </w:tcPr>
                <w:p w14:paraId="3D01BAA8">
                  <w:pPr>
                    <w:jc w:val="center"/>
                    <w:rPr>
                      <w:szCs w:val="21"/>
                    </w:rPr>
                  </w:pPr>
                  <w:r>
                    <w:rPr>
                      <w:szCs w:val="21"/>
                    </w:rPr>
                    <w:t>建设规模及内容</w:t>
                  </w:r>
                </w:p>
              </w:tc>
              <w:tc>
                <w:tcPr>
                  <w:tcW w:w="1189" w:type="dxa"/>
                  <w:vAlign w:val="center"/>
                </w:tcPr>
                <w:p w14:paraId="6347955E">
                  <w:pPr>
                    <w:jc w:val="center"/>
                    <w:rPr>
                      <w:szCs w:val="21"/>
                    </w:rPr>
                  </w:pPr>
                  <w:r>
                    <w:rPr>
                      <w:rFonts w:hint="eastAsia"/>
                      <w:szCs w:val="21"/>
                    </w:rPr>
                    <w:t>备注</w:t>
                  </w:r>
                </w:p>
              </w:tc>
            </w:tr>
            <w:tr w14:paraId="427B52B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95" w:hRule="atLeast"/>
                <w:jc w:val="center"/>
              </w:trPr>
              <w:tc>
                <w:tcPr>
                  <w:tcW w:w="646" w:type="dxa"/>
                  <w:vMerge w:val="restart"/>
                  <w:shd w:val="clear" w:color="auto" w:fill="auto"/>
                  <w:vAlign w:val="center"/>
                </w:tcPr>
                <w:p w14:paraId="7AC1367D">
                  <w:pPr>
                    <w:jc w:val="center"/>
                    <w:rPr>
                      <w:bCs/>
                      <w:szCs w:val="21"/>
                    </w:rPr>
                  </w:pPr>
                  <w:r>
                    <w:rPr>
                      <w:bCs/>
                      <w:szCs w:val="21"/>
                    </w:rPr>
                    <w:t>主体</w:t>
                  </w:r>
                </w:p>
                <w:p w14:paraId="6A5EB881">
                  <w:pPr>
                    <w:jc w:val="center"/>
                    <w:rPr>
                      <w:bCs/>
                      <w:szCs w:val="21"/>
                    </w:rPr>
                  </w:pPr>
                  <w:r>
                    <w:rPr>
                      <w:bCs/>
                      <w:szCs w:val="21"/>
                    </w:rPr>
                    <w:t>工程</w:t>
                  </w:r>
                </w:p>
              </w:tc>
              <w:tc>
                <w:tcPr>
                  <w:tcW w:w="1204" w:type="dxa"/>
                  <w:shd w:val="clear" w:color="auto" w:fill="auto"/>
                  <w:vAlign w:val="center"/>
                </w:tcPr>
                <w:p w14:paraId="78732334">
                  <w:pPr>
                    <w:widowControl/>
                    <w:jc w:val="center"/>
                    <w:rPr>
                      <w:color w:val="C00000"/>
                      <w:szCs w:val="21"/>
                    </w:rPr>
                  </w:pPr>
                  <w:r>
                    <w:rPr>
                      <w:color w:val="C00000"/>
                      <w:szCs w:val="21"/>
                    </w:rPr>
                    <w:t>烘干塔</w:t>
                  </w:r>
                </w:p>
              </w:tc>
              <w:tc>
                <w:tcPr>
                  <w:tcW w:w="4904" w:type="dxa"/>
                  <w:shd w:val="clear" w:color="auto" w:fill="auto"/>
                  <w:vAlign w:val="center"/>
                </w:tcPr>
                <w:p w14:paraId="7F307078">
                  <w:pPr>
                    <w:jc w:val="center"/>
                    <w:rPr>
                      <w:bCs/>
                      <w:color w:val="C00000"/>
                      <w:szCs w:val="21"/>
                    </w:rPr>
                  </w:pPr>
                  <w:r>
                    <w:rPr>
                      <w:rFonts w:hint="eastAsia"/>
                      <w:bCs/>
                      <w:color w:val="C00000"/>
                      <w:szCs w:val="21"/>
                    </w:rPr>
                    <w:t>1座，占地面积12m</w:t>
                  </w:r>
                  <w:r>
                    <w:rPr>
                      <w:rFonts w:hint="eastAsia"/>
                      <w:bCs/>
                      <w:color w:val="C00000"/>
                      <w:szCs w:val="21"/>
                      <w:vertAlign w:val="superscript"/>
                    </w:rPr>
                    <w:t>2</w:t>
                  </w:r>
                  <w:r>
                    <w:rPr>
                      <w:rFonts w:hint="eastAsia"/>
                      <w:bCs/>
                      <w:color w:val="C00000"/>
                      <w:szCs w:val="21"/>
                    </w:rPr>
                    <w:t>，</w:t>
                  </w:r>
                  <w:r>
                    <w:rPr>
                      <w:bCs/>
                      <w:color w:val="C00000"/>
                      <w:szCs w:val="21"/>
                    </w:rPr>
                    <w:t>用于</w:t>
                  </w:r>
                  <w:r>
                    <w:rPr>
                      <w:rFonts w:hint="eastAsia"/>
                      <w:bCs/>
                      <w:color w:val="C00000"/>
                      <w:szCs w:val="21"/>
                    </w:rPr>
                    <w:t>粮食</w:t>
                  </w:r>
                  <w:r>
                    <w:rPr>
                      <w:bCs/>
                      <w:color w:val="C00000"/>
                      <w:szCs w:val="21"/>
                    </w:rPr>
                    <w:t>的烘干</w:t>
                  </w:r>
                  <w:r>
                    <w:rPr>
                      <w:rFonts w:hint="eastAsia"/>
                      <w:bCs/>
                      <w:color w:val="C00000"/>
                      <w:szCs w:val="21"/>
                    </w:rPr>
                    <w:t>，烘干塔年运行50d，</w:t>
                  </w:r>
                  <w:r>
                    <w:rPr>
                      <w:bCs/>
                      <w:color w:val="C00000"/>
                      <w:szCs w:val="21"/>
                    </w:rPr>
                    <w:t>烘干能力为</w:t>
                  </w:r>
                  <w:r>
                    <w:rPr>
                      <w:rFonts w:hint="eastAsia"/>
                      <w:bCs/>
                      <w:color w:val="C00000"/>
                      <w:szCs w:val="21"/>
                    </w:rPr>
                    <w:t>300</w:t>
                  </w:r>
                  <w:r>
                    <w:rPr>
                      <w:bCs/>
                      <w:color w:val="C00000"/>
                      <w:szCs w:val="21"/>
                    </w:rPr>
                    <w:t>t/d（以玉米计）</w:t>
                  </w:r>
                  <w:r>
                    <w:rPr>
                      <w:rFonts w:hint="eastAsia"/>
                      <w:color w:val="C00000"/>
                    </w:rPr>
                    <w:t>，</w:t>
                  </w:r>
                  <w:r>
                    <w:rPr>
                      <w:rFonts w:hint="eastAsia"/>
                      <w:color w:val="C00000"/>
                      <w:lang w:val="en-US" w:eastAsia="zh-CN"/>
                    </w:rPr>
                    <w:t>将</w:t>
                  </w:r>
                  <w:r>
                    <w:rPr>
                      <w:rFonts w:hint="eastAsia"/>
                      <w:color w:val="C00000"/>
                    </w:rPr>
                    <w:t>原有1台</w:t>
                  </w:r>
                  <w:r>
                    <w:rPr>
                      <w:rFonts w:hint="eastAsia"/>
                      <w:color w:val="C00000"/>
                      <w:lang w:eastAsia="zh-CN"/>
                    </w:rPr>
                    <w:t>6t/h</w:t>
                  </w:r>
                  <w:r>
                    <w:rPr>
                      <w:rFonts w:hint="eastAsia"/>
                      <w:color w:val="C00000"/>
                    </w:rPr>
                    <w:t>燃煤热风炉改为</w:t>
                  </w:r>
                  <w:r>
                    <w:rPr>
                      <w:rFonts w:hint="eastAsia"/>
                      <w:color w:val="C00000"/>
                      <w:lang w:eastAsia="zh-CN"/>
                    </w:rPr>
                    <w:t>6t/h</w:t>
                  </w:r>
                  <w:r>
                    <w:rPr>
                      <w:rFonts w:hint="eastAsia"/>
                      <w:color w:val="C00000"/>
                    </w:rPr>
                    <w:t>燃生物质热风炉</w:t>
                  </w:r>
                  <w:r>
                    <w:rPr>
                      <w:rFonts w:hint="eastAsia"/>
                      <w:color w:val="C00000"/>
                      <w:lang w:eastAsia="zh-CN"/>
                    </w:rPr>
                    <w:t>。</w:t>
                  </w:r>
                </w:p>
              </w:tc>
              <w:tc>
                <w:tcPr>
                  <w:tcW w:w="1189" w:type="dxa"/>
                  <w:shd w:val="clear" w:color="auto" w:fill="auto"/>
                  <w:vAlign w:val="center"/>
                </w:tcPr>
                <w:p w14:paraId="58740528">
                  <w:pPr>
                    <w:jc w:val="center"/>
                    <w:rPr>
                      <w:bCs/>
                      <w:szCs w:val="21"/>
                    </w:rPr>
                  </w:pPr>
                  <w:r>
                    <w:rPr>
                      <w:rFonts w:hint="eastAsia"/>
                      <w:bCs/>
                      <w:szCs w:val="21"/>
                    </w:rPr>
                    <w:t>依托原有烘干塔，改建热风炉</w:t>
                  </w:r>
                </w:p>
              </w:tc>
            </w:tr>
            <w:tr w14:paraId="1C0840D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79" w:hRule="atLeast"/>
                <w:jc w:val="center"/>
              </w:trPr>
              <w:tc>
                <w:tcPr>
                  <w:tcW w:w="646" w:type="dxa"/>
                  <w:vMerge w:val="continue"/>
                  <w:shd w:val="clear" w:color="auto" w:fill="auto"/>
                  <w:vAlign w:val="center"/>
                </w:tcPr>
                <w:p w14:paraId="00D3442E">
                  <w:pPr>
                    <w:jc w:val="center"/>
                    <w:rPr>
                      <w:bCs/>
                      <w:szCs w:val="21"/>
                    </w:rPr>
                  </w:pPr>
                </w:p>
              </w:tc>
              <w:tc>
                <w:tcPr>
                  <w:tcW w:w="1204" w:type="dxa"/>
                  <w:shd w:val="clear" w:color="auto" w:fill="auto"/>
                  <w:vAlign w:val="center"/>
                </w:tcPr>
                <w:p w14:paraId="40F01048">
                  <w:pPr>
                    <w:widowControl/>
                    <w:jc w:val="center"/>
                    <w:rPr>
                      <w:color w:val="C00000"/>
                      <w:szCs w:val="21"/>
                    </w:rPr>
                  </w:pPr>
                  <w:r>
                    <w:rPr>
                      <w:color w:val="C00000"/>
                      <w:szCs w:val="21"/>
                    </w:rPr>
                    <w:t>热风炉房</w:t>
                  </w:r>
                </w:p>
              </w:tc>
              <w:tc>
                <w:tcPr>
                  <w:tcW w:w="4904" w:type="dxa"/>
                  <w:shd w:val="clear" w:color="auto" w:fill="auto"/>
                  <w:vAlign w:val="center"/>
                </w:tcPr>
                <w:p w14:paraId="1B1572BD">
                  <w:pPr>
                    <w:pStyle w:val="8"/>
                    <w:rPr>
                      <w:rFonts w:hint="eastAsia" w:eastAsia="宋体"/>
                      <w:bCs/>
                      <w:color w:val="C00000"/>
                      <w:szCs w:val="21"/>
                      <w:lang w:eastAsia="zh-CN"/>
                    </w:rPr>
                  </w:pPr>
                  <w:r>
                    <w:rPr>
                      <w:rFonts w:hint="eastAsia"/>
                      <w:bCs/>
                      <w:color w:val="C00000"/>
                      <w:szCs w:val="21"/>
                    </w:rPr>
                    <w:t>占地</w:t>
                  </w:r>
                  <w:r>
                    <w:rPr>
                      <w:bCs/>
                      <w:color w:val="C00000"/>
                      <w:szCs w:val="21"/>
                    </w:rPr>
                    <w:t>面积</w:t>
                  </w:r>
                  <w:r>
                    <w:rPr>
                      <w:rFonts w:hint="eastAsia"/>
                      <w:bCs/>
                      <w:color w:val="C00000"/>
                      <w:szCs w:val="21"/>
                    </w:rPr>
                    <w:t>135</w:t>
                  </w:r>
                  <w:r>
                    <w:rPr>
                      <w:color w:val="C00000"/>
                      <w:szCs w:val="21"/>
                    </w:rPr>
                    <w:t>m</w:t>
                  </w:r>
                  <w:r>
                    <w:rPr>
                      <w:color w:val="C00000"/>
                      <w:szCs w:val="21"/>
                      <w:vertAlign w:val="superscript"/>
                    </w:rPr>
                    <w:t>2</w:t>
                  </w:r>
                  <w:r>
                    <w:rPr>
                      <w:bCs/>
                      <w:color w:val="C00000"/>
                      <w:szCs w:val="21"/>
                    </w:rPr>
                    <w:t>，</w:t>
                  </w:r>
                  <w:r>
                    <w:rPr>
                      <w:rFonts w:hint="eastAsia"/>
                      <w:bCs/>
                      <w:color w:val="C00000"/>
                      <w:szCs w:val="21"/>
                      <w:lang w:val="en-US" w:eastAsia="zh-CN"/>
                    </w:rPr>
                    <w:t>建筑高度约为8m，</w:t>
                  </w:r>
                  <w:r>
                    <w:rPr>
                      <w:rFonts w:hint="eastAsia"/>
                      <w:color w:val="C00000"/>
                    </w:rPr>
                    <w:t>将原有1台</w:t>
                  </w:r>
                  <w:r>
                    <w:rPr>
                      <w:rFonts w:hint="eastAsia"/>
                      <w:color w:val="C00000"/>
                      <w:lang w:eastAsia="zh-CN"/>
                    </w:rPr>
                    <w:t>6t/h</w:t>
                  </w:r>
                  <w:r>
                    <w:rPr>
                      <w:rFonts w:hint="eastAsia"/>
                      <w:color w:val="C00000"/>
                    </w:rPr>
                    <w:t>燃煤热风炉改为燃生物质热风炉</w:t>
                  </w:r>
                  <w:r>
                    <w:rPr>
                      <w:rFonts w:hint="eastAsia"/>
                      <w:color w:val="C00000"/>
                      <w:lang w:eastAsia="zh-CN"/>
                    </w:rPr>
                    <w:t>（</w:t>
                  </w:r>
                  <w:r>
                    <w:rPr>
                      <w:rFonts w:hint="eastAsia"/>
                      <w:color w:val="C00000"/>
                      <w:lang w:val="en-US" w:eastAsia="zh-CN"/>
                    </w:rPr>
                    <w:t>炉内改造）</w:t>
                  </w:r>
                  <w:r>
                    <w:rPr>
                      <w:bCs/>
                      <w:color w:val="C00000"/>
                      <w:szCs w:val="21"/>
                    </w:rPr>
                    <w:t>，燃用生物质</w:t>
                  </w:r>
                  <w:r>
                    <w:rPr>
                      <w:rFonts w:hint="eastAsia"/>
                      <w:bCs/>
                      <w:color w:val="C00000"/>
                      <w:szCs w:val="21"/>
                    </w:rPr>
                    <w:t>成型</w:t>
                  </w:r>
                  <w:r>
                    <w:rPr>
                      <w:bCs/>
                      <w:color w:val="C00000"/>
                      <w:szCs w:val="21"/>
                    </w:rPr>
                    <w:t>燃料</w:t>
                  </w:r>
                  <w:r>
                    <w:rPr>
                      <w:rFonts w:hint="eastAsia"/>
                      <w:bCs/>
                      <w:color w:val="C00000"/>
                      <w:szCs w:val="21"/>
                      <w:lang w:eastAsia="zh-CN"/>
                    </w:rPr>
                    <w:t>。</w:t>
                  </w:r>
                </w:p>
              </w:tc>
              <w:tc>
                <w:tcPr>
                  <w:tcW w:w="1189" w:type="dxa"/>
                  <w:shd w:val="clear" w:color="auto" w:fill="auto"/>
                  <w:vAlign w:val="center"/>
                </w:tcPr>
                <w:p w14:paraId="11650043">
                  <w:pPr>
                    <w:jc w:val="center"/>
                    <w:rPr>
                      <w:rFonts w:hint="default" w:eastAsia="宋体"/>
                      <w:bCs/>
                      <w:szCs w:val="21"/>
                      <w:lang w:val="en-US" w:eastAsia="zh-CN"/>
                    </w:rPr>
                  </w:pPr>
                  <w:r>
                    <w:rPr>
                      <w:rFonts w:hint="eastAsia"/>
                      <w:bCs/>
                      <w:szCs w:val="21"/>
                    </w:rPr>
                    <w:t>依托</w:t>
                  </w:r>
                  <w:r>
                    <w:rPr>
                      <w:rFonts w:hint="eastAsia"/>
                      <w:bCs/>
                      <w:szCs w:val="21"/>
                      <w:lang w:val="en-US" w:eastAsia="zh-CN"/>
                    </w:rPr>
                    <w:t>热风炉房，改建热风炉</w:t>
                  </w:r>
                </w:p>
              </w:tc>
            </w:tr>
            <w:tr w14:paraId="19F0A79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46" w:type="dxa"/>
                  <w:vMerge w:val="restart"/>
                  <w:shd w:val="clear" w:color="auto" w:fill="auto"/>
                  <w:vAlign w:val="center"/>
                </w:tcPr>
                <w:p w14:paraId="3E6A1DA3">
                  <w:pPr>
                    <w:widowControl/>
                    <w:jc w:val="center"/>
                    <w:rPr>
                      <w:color w:val="C00000"/>
                      <w:szCs w:val="21"/>
                    </w:rPr>
                  </w:pPr>
                  <w:r>
                    <w:rPr>
                      <w:color w:val="C00000"/>
                      <w:szCs w:val="21"/>
                    </w:rPr>
                    <w:t>储运</w:t>
                  </w:r>
                </w:p>
                <w:p w14:paraId="54E5D2E1">
                  <w:pPr>
                    <w:widowControl/>
                    <w:jc w:val="center"/>
                    <w:rPr>
                      <w:color w:val="C00000"/>
                      <w:szCs w:val="21"/>
                    </w:rPr>
                  </w:pPr>
                  <w:r>
                    <w:rPr>
                      <w:color w:val="C00000"/>
                      <w:szCs w:val="21"/>
                    </w:rPr>
                    <w:t>工程</w:t>
                  </w:r>
                </w:p>
              </w:tc>
              <w:tc>
                <w:tcPr>
                  <w:tcW w:w="1204" w:type="dxa"/>
                  <w:shd w:val="clear" w:color="auto" w:fill="auto"/>
                  <w:vAlign w:val="center"/>
                </w:tcPr>
                <w:p w14:paraId="6324E246">
                  <w:pPr>
                    <w:widowControl/>
                    <w:jc w:val="center"/>
                    <w:rPr>
                      <w:color w:val="C00000"/>
                      <w:szCs w:val="21"/>
                    </w:rPr>
                  </w:pPr>
                  <w:r>
                    <w:rPr>
                      <w:rFonts w:hint="eastAsia"/>
                      <w:color w:val="C00000"/>
                      <w:szCs w:val="21"/>
                    </w:rPr>
                    <w:t>燃料仓</w:t>
                  </w:r>
                </w:p>
              </w:tc>
              <w:tc>
                <w:tcPr>
                  <w:tcW w:w="4904" w:type="dxa"/>
                  <w:shd w:val="clear" w:color="auto" w:fill="auto"/>
                  <w:vAlign w:val="center"/>
                </w:tcPr>
                <w:p w14:paraId="01A970BA">
                  <w:pPr>
                    <w:jc w:val="center"/>
                    <w:rPr>
                      <w:rFonts w:hint="default" w:eastAsia="宋体"/>
                      <w:color w:val="C00000"/>
                      <w:szCs w:val="21"/>
                      <w:lang w:val="en-US" w:eastAsia="zh-CN"/>
                    </w:rPr>
                  </w:pPr>
                  <w:r>
                    <w:rPr>
                      <w:bCs/>
                      <w:color w:val="C00000"/>
                      <w:szCs w:val="21"/>
                    </w:rPr>
                    <w:t>建筑面积</w:t>
                  </w:r>
                  <w:r>
                    <w:rPr>
                      <w:rFonts w:hint="eastAsia"/>
                      <w:bCs/>
                      <w:color w:val="C00000"/>
                      <w:szCs w:val="21"/>
                      <w:lang w:val="en-US" w:eastAsia="zh-CN"/>
                    </w:rPr>
                    <w:t>50</w:t>
                  </w:r>
                  <w:r>
                    <w:rPr>
                      <w:color w:val="C00000"/>
                      <w:szCs w:val="21"/>
                    </w:rPr>
                    <w:t>m</w:t>
                  </w:r>
                  <w:r>
                    <w:rPr>
                      <w:color w:val="C00000"/>
                      <w:szCs w:val="21"/>
                      <w:vertAlign w:val="superscript"/>
                    </w:rPr>
                    <w:t>2</w:t>
                  </w:r>
                  <w:r>
                    <w:rPr>
                      <w:bCs/>
                      <w:color w:val="C00000"/>
                      <w:szCs w:val="21"/>
                    </w:rPr>
                    <w:t>，</w:t>
                  </w:r>
                  <w:r>
                    <w:rPr>
                      <w:rFonts w:hint="eastAsia"/>
                      <w:bCs/>
                      <w:color w:val="C00000"/>
                      <w:szCs w:val="21"/>
                      <w:lang w:val="en-US" w:eastAsia="zh-CN"/>
                    </w:rPr>
                    <w:t>高度约为5m，</w:t>
                  </w:r>
                  <w:r>
                    <w:rPr>
                      <w:rFonts w:hint="eastAsia"/>
                      <w:bCs/>
                      <w:color w:val="C00000"/>
                      <w:szCs w:val="21"/>
                    </w:rPr>
                    <w:t>用于存放生物质燃料</w:t>
                  </w:r>
                  <w:r>
                    <w:rPr>
                      <w:rStyle w:val="42"/>
                      <w:rFonts w:hint="eastAsia"/>
                      <w:color w:val="C00000"/>
                      <w:lang w:eastAsia="zh-CN"/>
                    </w:rPr>
                    <w:t>，</w:t>
                  </w:r>
                  <w:r>
                    <w:rPr>
                      <w:rStyle w:val="42"/>
                      <w:rFonts w:hint="eastAsia"/>
                      <w:color w:val="C00000"/>
                      <w:lang w:val="en-US" w:eastAsia="zh-CN"/>
                    </w:rPr>
                    <w:t>最大储存量为100t。</w:t>
                  </w:r>
                </w:p>
              </w:tc>
              <w:tc>
                <w:tcPr>
                  <w:tcW w:w="1189" w:type="dxa"/>
                  <w:shd w:val="clear" w:color="auto" w:fill="auto"/>
                  <w:vAlign w:val="center"/>
                </w:tcPr>
                <w:p w14:paraId="5ADF0077">
                  <w:pPr>
                    <w:jc w:val="center"/>
                    <w:rPr>
                      <w:szCs w:val="21"/>
                    </w:rPr>
                  </w:pPr>
                  <w:r>
                    <w:rPr>
                      <w:rFonts w:hint="eastAsia"/>
                      <w:bCs/>
                      <w:szCs w:val="21"/>
                    </w:rPr>
                    <w:t>新建</w:t>
                  </w:r>
                </w:p>
              </w:tc>
            </w:tr>
            <w:tr w14:paraId="37E7190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46" w:type="dxa"/>
                  <w:vMerge w:val="continue"/>
                  <w:shd w:val="clear" w:color="auto" w:fill="auto"/>
                  <w:vAlign w:val="center"/>
                </w:tcPr>
                <w:p w14:paraId="15E2DB15">
                  <w:pPr>
                    <w:widowControl/>
                    <w:jc w:val="center"/>
                    <w:rPr>
                      <w:szCs w:val="21"/>
                    </w:rPr>
                  </w:pPr>
                </w:p>
              </w:tc>
              <w:tc>
                <w:tcPr>
                  <w:tcW w:w="1204" w:type="dxa"/>
                  <w:shd w:val="clear" w:color="auto" w:fill="auto"/>
                  <w:vAlign w:val="center"/>
                </w:tcPr>
                <w:p w14:paraId="4CB6EF7B">
                  <w:pPr>
                    <w:widowControl/>
                    <w:jc w:val="center"/>
                    <w:rPr>
                      <w:color w:val="C00000"/>
                      <w:szCs w:val="21"/>
                    </w:rPr>
                  </w:pPr>
                  <w:r>
                    <w:rPr>
                      <w:rFonts w:hint="eastAsia"/>
                      <w:color w:val="C00000"/>
                      <w:szCs w:val="21"/>
                    </w:rPr>
                    <w:t>灰渣仓</w:t>
                  </w:r>
                </w:p>
              </w:tc>
              <w:tc>
                <w:tcPr>
                  <w:tcW w:w="4904" w:type="dxa"/>
                  <w:shd w:val="clear" w:color="auto" w:fill="auto"/>
                  <w:vAlign w:val="center"/>
                </w:tcPr>
                <w:p w14:paraId="5D14E660">
                  <w:pPr>
                    <w:jc w:val="center"/>
                    <w:rPr>
                      <w:rFonts w:hint="default" w:eastAsia="宋体"/>
                      <w:color w:val="C00000"/>
                      <w:szCs w:val="21"/>
                      <w:lang w:val="en-US" w:eastAsia="zh-CN"/>
                    </w:rPr>
                  </w:pPr>
                  <w:r>
                    <w:rPr>
                      <w:bCs/>
                      <w:color w:val="C00000"/>
                      <w:szCs w:val="21"/>
                    </w:rPr>
                    <w:t>建筑面积</w:t>
                  </w:r>
                  <w:r>
                    <w:rPr>
                      <w:rFonts w:hint="eastAsia"/>
                      <w:bCs/>
                      <w:color w:val="C00000"/>
                      <w:szCs w:val="21"/>
                    </w:rPr>
                    <w:t>20</w:t>
                  </w:r>
                  <w:r>
                    <w:rPr>
                      <w:color w:val="C00000"/>
                      <w:szCs w:val="21"/>
                    </w:rPr>
                    <w:t>m</w:t>
                  </w:r>
                  <w:r>
                    <w:rPr>
                      <w:color w:val="C00000"/>
                      <w:szCs w:val="21"/>
                      <w:vertAlign w:val="superscript"/>
                    </w:rPr>
                    <w:t>2</w:t>
                  </w:r>
                  <w:r>
                    <w:rPr>
                      <w:bCs/>
                      <w:color w:val="C00000"/>
                      <w:szCs w:val="21"/>
                    </w:rPr>
                    <w:t>，</w:t>
                  </w:r>
                  <w:r>
                    <w:rPr>
                      <w:rFonts w:hint="eastAsia"/>
                      <w:bCs/>
                      <w:color w:val="C00000"/>
                      <w:szCs w:val="21"/>
                      <w:lang w:val="en-US" w:eastAsia="zh-CN"/>
                    </w:rPr>
                    <w:t>高度约为2m，</w:t>
                  </w:r>
                  <w:r>
                    <w:rPr>
                      <w:rFonts w:hint="eastAsia"/>
                      <w:bCs/>
                      <w:color w:val="C00000"/>
                      <w:szCs w:val="21"/>
                    </w:rPr>
                    <w:t>用于存放灰渣</w:t>
                  </w:r>
                  <w:r>
                    <w:rPr>
                      <w:rStyle w:val="42"/>
                      <w:rFonts w:hint="eastAsia"/>
                      <w:color w:val="C00000"/>
                      <w:lang w:eastAsia="zh-CN"/>
                    </w:rPr>
                    <w:t>，</w:t>
                  </w:r>
                  <w:r>
                    <w:rPr>
                      <w:rStyle w:val="42"/>
                      <w:rFonts w:hint="eastAsia"/>
                      <w:color w:val="C00000"/>
                      <w:lang w:val="en-US" w:eastAsia="zh-CN"/>
                    </w:rPr>
                    <w:t>最大储存量为50t。</w:t>
                  </w:r>
                </w:p>
              </w:tc>
              <w:tc>
                <w:tcPr>
                  <w:tcW w:w="1189" w:type="dxa"/>
                  <w:shd w:val="clear" w:color="auto" w:fill="auto"/>
                  <w:vAlign w:val="center"/>
                </w:tcPr>
                <w:p w14:paraId="16010BB8">
                  <w:pPr>
                    <w:jc w:val="center"/>
                    <w:rPr>
                      <w:rFonts w:hint="default" w:eastAsia="宋体"/>
                      <w:szCs w:val="21"/>
                      <w:lang w:val="en-US" w:eastAsia="zh-CN"/>
                    </w:rPr>
                  </w:pPr>
                  <w:r>
                    <w:rPr>
                      <w:rFonts w:hint="eastAsia"/>
                      <w:bCs/>
                      <w:szCs w:val="21"/>
                    </w:rPr>
                    <w:t>新建</w:t>
                  </w:r>
                </w:p>
              </w:tc>
            </w:tr>
            <w:tr w14:paraId="1E5209F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46" w:type="dxa"/>
                  <w:vMerge w:val="continue"/>
                  <w:shd w:val="clear" w:color="auto" w:fill="auto"/>
                  <w:vAlign w:val="center"/>
                </w:tcPr>
                <w:p w14:paraId="66BB9C0C">
                  <w:pPr>
                    <w:widowControl/>
                    <w:jc w:val="center"/>
                    <w:rPr>
                      <w:szCs w:val="21"/>
                    </w:rPr>
                  </w:pPr>
                </w:p>
              </w:tc>
              <w:tc>
                <w:tcPr>
                  <w:tcW w:w="1204" w:type="dxa"/>
                  <w:tcBorders>
                    <w:top w:val="single" w:color="auto" w:sz="4" w:space="0"/>
                  </w:tcBorders>
                  <w:shd w:val="clear" w:color="auto" w:fill="auto"/>
                  <w:vAlign w:val="center"/>
                </w:tcPr>
                <w:p w14:paraId="11BCAA13">
                  <w:pPr>
                    <w:widowControl/>
                    <w:jc w:val="center"/>
                    <w:rPr>
                      <w:color w:val="C00000"/>
                      <w:szCs w:val="21"/>
                    </w:rPr>
                  </w:pPr>
                  <w:r>
                    <w:rPr>
                      <w:rFonts w:hint="eastAsia"/>
                      <w:color w:val="C00000"/>
                      <w:szCs w:val="21"/>
                    </w:rPr>
                    <w:t>粮仓</w:t>
                  </w:r>
                </w:p>
              </w:tc>
              <w:tc>
                <w:tcPr>
                  <w:tcW w:w="4904" w:type="dxa"/>
                  <w:tcBorders>
                    <w:top w:val="single" w:color="auto" w:sz="4" w:space="0"/>
                  </w:tcBorders>
                  <w:shd w:val="clear" w:color="auto" w:fill="auto"/>
                  <w:vAlign w:val="center"/>
                </w:tcPr>
                <w:p w14:paraId="41C3F319">
                  <w:pPr>
                    <w:jc w:val="center"/>
                    <w:rPr>
                      <w:bCs/>
                      <w:color w:val="C00000"/>
                      <w:szCs w:val="21"/>
                    </w:rPr>
                  </w:pPr>
                  <w:r>
                    <w:rPr>
                      <w:rFonts w:hint="eastAsia"/>
                      <w:bCs/>
                      <w:color w:val="C00000"/>
                      <w:szCs w:val="21"/>
                    </w:rPr>
                    <w:t>占地面积27m</w:t>
                  </w:r>
                  <w:r>
                    <w:rPr>
                      <w:rFonts w:hint="eastAsia"/>
                      <w:bCs/>
                      <w:color w:val="C00000"/>
                      <w:szCs w:val="21"/>
                      <w:vertAlign w:val="superscript"/>
                    </w:rPr>
                    <w:t>2</w:t>
                  </w:r>
                  <w:r>
                    <w:rPr>
                      <w:rFonts w:hint="eastAsia"/>
                      <w:bCs/>
                      <w:color w:val="C00000"/>
                      <w:szCs w:val="21"/>
                    </w:rPr>
                    <w:t>，</w:t>
                  </w:r>
                  <w:r>
                    <w:rPr>
                      <w:rFonts w:hint="eastAsia"/>
                      <w:bCs/>
                      <w:color w:val="C00000"/>
                      <w:szCs w:val="21"/>
                      <w:lang w:val="en-US" w:eastAsia="zh-CN"/>
                    </w:rPr>
                    <w:t>高度为12m，</w:t>
                  </w:r>
                  <w:r>
                    <w:rPr>
                      <w:rFonts w:hint="eastAsia"/>
                      <w:bCs/>
                      <w:color w:val="C00000"/>
                      <w:szCs w:val="21"/>
                    </w:rPr>
                    <w:t>用于储存原粮，存储能力为100吨</w:t>
                  </w:r>
                </w:p>
              </w:tc>
              <w:tc>
                <w:tcPr>
                  <w:tcW w:w="1189" w:type="dxa"/>
                  <w:tcBorders>
                    <w:top w:val="single" w:color="auto" w:sz="4" w:space="0"/>
                  </w:tcBorders>
                  <w:shd w:val="clear" w:color="auto" w:fill="auto"/>
                  <w:vAlign w:val="center"/>
                </w:tcPr>
                <w:p w14:paraId="4E43D4E7">
                  <w:pPr>
                    <w:jc w:val="center"/>
                    <w:rPr>
                      <w:bCs/>
                      <w:szCs w:val="21"/>
                    </w:rPr>
                  </w:pPr>
                  <w:r>
                    <w:rPr>
                      <w:rFonts w:hint="eastAsia"/>
                      <w:bCs/>
                      <w:szCs w:val="21"/>
                    </w:rPr>
                    <w:t>依托</w:t>
                  </w:r>
                </w:p>
              </w:tc>
            </w:tr>
            <w:tr w14:paraId="7A9AC15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46" w:type="dxa"/>
                  <w:vMerge w:val="continue"/>
                  <w:shd w:val="clear" w:color="auto" w:fill="auto"/>
                  <w:vAlign w:val="center"/>
                </w:tcPr>
                <w:p w14:paraId="608B772C">
                  <w:pPr>
                    <w:widowControl/>
                    <w:jc w:val="center"/>
                    <w:rPr>
                      <w:szCs w:val="21"/>
                    </w:rPr>
                  </w:pPr>
                </w:p>
              </w:tc>
              <w:tc>
                <w:tcPr>
                  <w:tcW w:w="1204" w:type="dxa"/>
                  <w:tcBorders>
                    <w:top w:val="single" w:color="auto" w:sz="4" w:space="0"/>
                  </w:tcBorders>
                  <w:shd w:val="clear" w:color="auto" w:fill="auto"/>
                  <w:vAlign w:val="center"/>
                </w:tcPr>
                <w:p w14:paraId="2D3238B7">
                  <w:pPr>
                    <w:widowControl/>
                    <w:jc w:val="center"/>
                    <w:rPr>
                      <w:color w:val="C00000"/>
                      <w:szCs w:val="21"/>
                    </w:rPr>
                  </w:pPr>
                  <w:r>
                    <w:rPr>
                      <w:rFonts w:hint="eastAsia"/>
                      <w:color w:val="C00000"/>
                      <w:szCs w:val="21"/>
                    </w:rPr>
                    <w:t>仓库</w:t>
                  </w:r>
                </w:p>
              </w:tc>
              <w:tc>
                <w:tcPr>
                  <w:tcW w:w="4904" w:type="dxa"/>
                  <w:tcBorders>
                    <w:top w:val="single" w:color="auto" w:sz="4" w:space="0"/>
                  </w:tcBorders>
                  <w:shd w:val="clear" w:color="auto" w:fill="auto"/>
                  <w:vAlign w:val="center"/>
                </w:tcPr>
                <w:p w14:paraId="72A3BC33">
                  <w:pPr>
                    <w:jc w:val="center"/>
                    <w:rPr>
                      <w:bCs/>
                      <w:color w:val="C00000"/>
                      <w:szCs w:val="21"/>
                    </w:rPr>
                  </w:pPr>
                  <w:r>
                    <w:rPr>
                      <w:rFonts w:hint="eastAsia"/>
                      <w:bCs/>
                      <w:color w:val="C00000"/>
                      <w:szCs w:val="21"/>
                    </w:rPr>
                    <w:t>占地面积1848m</w:t>
                  </w:r>
                  <w:r>
                    <w:rPr>
                      <w:rFonts w:hint="eastAsia"/>
                      <w:bCs/>
                      <w:color w:val="C00000"/>
                      <w:szCs w:val="21"/>
                      <w:vertAlign w:val="superscript"/>
                    </w:rPr>
                    <w:t>2</w:t>
                  </w:r>
                  <w:r>
                    <w:rPr>
                      <w:rFonts w:hint="eastAsia"/>
                      <w:bCs/>
                      <w:color w:val="C00000"/>
                      <w:szCs w:val="21"/>
                    </w:rPr>
                    <w:t>，</w:t>
                  </w:r>
                  <w:r>
                    <w:rPr>
                      <w:rFonts w:hint="eastAsia"/>
                      <w:bCs/>
                      <w:color w:val="C00000"/>
                      <w:szCs w:val="21"/>
                      <w:lang w:val="en-US" w:eastAsia="zh-CN"/>
                    </w:rPr>
                    <w:t>高度为11m，</w:t>
                  </w:r>
                  <w:r>
                    <w:rPr>
                      <w:rFonts w:hint="eastAsia"/>
                      <w:bCs/>
                      <w:color w:val="C00000"/>
                      <w:szCs w:val="21"/>
                    </w:rPr>
                    <w:t>用于储存烘干后的粮食，存储能力为5000吨</w:t>
                  </w:r>
                </w:p>
              </w:tc>
              <w:tc>
                <w:tcPr>
                  <w:tcW w:w="1189" w:type="dxa"/>
                  <w:tcBorders>
                    <w:top w:val="single" w:color="auto" w:sz="4" w:space="0"/>
                  </w:tcBorders>
                  <w:shd w:val="clear" w:color="auto" w:fill="auto"/>
                  <w:vAlign w:val="center"/>
                </w:tcPr>
                <w:p w14:paraId="7B33C39F">
                  <w:pPr>
                    <w:jc w:val="center"/>
                    <w:rPr>
                      <w:bCs/>
                      <w:szCs w:val="21"/>
                    </w:rPr>
                  </w:pPr>
                  <w:r>
                    <w:rPr>
                      <w:rFonts w:hint="eastAsia"/>
                      <w:bCs/>
                      <w:szCs w:val="21"/>
                    </w:rPr>
                    <w:t>改建</w:t>
                  </w:r>
                </w:p>
              </w:tc>
            </w:tr>
            <w:tr w14:paraId="2E1664F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46" w:type="dxa"/>
                  <w:vMerge w:val="continue"/>
                  <w:shd w:val="clear" w:color="auto" w:fill="auto"/>
                  <w:vAlign w:val="center"/>
                </w:tcPr>
                <w:p w14:paraId="02933E3A">
                  <w:pPr>
                    <w:widowControl/>
                    <w:jc w:val="center"/>
                    <w:rPr>
                      <w:szCs w:val="21"/>
                    </w:rPr>
                  </w:pPr>
                </w:p>
              </w:tc>
              <w:tc>
                <w:tcPr>
                  <w:tcW w:w="1204" w:type="dxa"/>
                  <w:tcBorders>
                    <w:top w:val="single" w:color="auto" w:sz="4" w:space="0"/>
                  </w:tcBorders>
                  <w:shd w:val="clear" w:color="auto" w:fill="auto"/>
                  <w:vAlign w:val="center"/>
                </w:tcPr>
                <w:p w14:paraId="038EB3CF">
                  <w:pPr>
                    <w:widowControl/>
                    <w:jc w:val="center"/>
                    <w:rPr>
                      <w:rFonts w:hint="default" w:eastAsia="宋体"/>
                      <w:color w:val="C00000"/>
                      <w:szCs w:val="21"/>
                      <w:lang w:val="en-US" w:eastAsia="zh-CN"/>
                    </w:rPr>
                  </w:pPr>
                  <w:r>
                    <w:rPr>
                      <w:rFonts w:hint="eastAsia"/>
                      <w:color w:val="C00000"/>
                      <w:szCs w:val="21"/>
                      <w:lang w:val="en-US" w:eastAsia="zh-CN"/>
                    </w:rPr>
                    <w:t>危险废物贮存点</w:t>
                  </w:r>
                </w:p>
              </w:tc>
              <w:tc>
                <w:tcPr>
                  <w:tcW w:w="4904" w:type="dxa"/>
                  <w:tcBorders>
                    <w:top w:val="single" w:color="auto" w:sz="4" w:space="0"/>
                  </w:tcBorders>
                  <w:shd w:val="clear" w:color="auto" w:fill="auto"/>
                  <w:vAlign w:val="center"/>
                </w:tcPr>
                <w:p w14:paraId="0E9E4928">
                  <w:pPr>
                    <w:jc w:val="center"/>
                    <w:rPr>
                      <w:rFonts w:hint="default" w:eastAsia="宋体"/>
                      <w:bCs/>
                      <w:color w:val="C00000"/>
                      <w:szCs w:val="21"/>
                      <w:lang w:val="en-US" w:eastAsia="zh-CN"/>
                    </w:rPr>
                  </w:pPr>
                  <w:r>
                    <w:rPr>
                      <w:rFonts w:hint="eastAsia"/>
                      <w:bCs/>
                      <w:color w:val="C00000"/>
                      <w:szCs w:val="21"/>
                      <w:lang w:val="en-US" w:eastAsia="zh-CN"/>
                    </w:rPr>
                    <w:t>占地面积20m</w:t>
                  </w:r>
                  <w:r>
                    <w:rPr>
                      <w:rFonts w:hint="eastAsia"/>
                      <w:bCs/>
                      <w:color w:val="C00000"/>
                      <w:szCs w:val="21"/>
                      <w:vertAlign w:val="superscript"/>
                      <w:lang w:val="en-US" w:eastAsia="zh-CN"/>
                    </w:rPr>
                    <w:t>2</w:t>
                  </w:r>
                  <w:r>
                    <w:rPr>
                      <w:rFonts w:hint="eastAsia"/>
                      <w:bCs/>
                      <w:color w:val="C00000"/>
                      <w:szCs w:val="21"/>
                      <w:lang w:val="en-US" w:eastAsia="zh-CN"/>
                    </w:rPr>
                    <w:t>，用于存放设备检修、保养产生的废润滑油，最大存量1t。</w:t>
                  </w:r>
                </w:p>
              </w:tc>
              <w:tc>
                <w:tcPr>
                  <w:tcW w:w="1189" w:type="dxa"/>
                  <w:tcBorders>
                    <w:top w:val="single" w:color="auto" w:sz="4" w:space="0"/>
                  </w:tcBorders>
                  <w:shd w:val="clear" w:color="auto" w:fill="auto"/>
                  <w:vAlign w:val="center"/>
                </w:tcPr>
                <w:p w14:paraId="7A780A91">
                  <w:pPr>
                    <w:jc w:val="center"/>
                    <w:rPr>
                      <w:rFonts w:hint="eastAsia" w:eastAsia="宋体"/>
                      <w:bCs/>
                      <w:color w:val="C00000"/>
                      <w:szCs w:val="21"/>
                      <w:lang w:val="en-US" w:eastAsia="zh-CN"/>
                    </w:rPr>
                  </w:pPr>
                  <w:r>
                    <w:rPr>
                      <w:rFonts w:hint="eastAsia"/>
                      <w:bCs/>
                      <w:color w:val="C00000"/>
                      <w:szCs w:val="21"/>
                      <w:lang w:val="en-US" w:eastAsia="zh-CN"/>
                    </w:rPr>
                    <w:t>新建</w:t>
                  </w:r>
                </w:p>
              </w:tc>
            </w:tr>
            <w:tr w14:paraId="305CD57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46" w:type="dxa"/>
                  <w:vMerge w:val="restart"/>
                  <w:shd w:val="clear" w:color="auto" w:fill="auto"/>
                  <w:vAlign w:val="center"/>
                </w:tcPr>
                <w:p w14:paraId="608ECD55">
                  <w:pPr>
                    <w:widowControl/>
                    <w:jc w:val="center"/>
                    <w:rPr>
                      <w:szCs w:val="21"/>
                    </w:rPr>
                  </w:pPr>
                  <w:r>
                    <w:rPr>
                      <w:szCs w:val="21"/>
                    </w:rPr>
                    <w:t>辅助</w:t>
                  </w:r>
                </w:p>
                <w:p w14:paraId="60E65D22">
                  <w:pPr>
                    <w:widowControl/>
                    <w:jc w:val="center"/>
                    <w:rPr>
                      <w:szCs w:val="21"/>
                    </w:rPr>
                  </w:pPr>
                  <w:r>
                    <w:rPr>
                      <w:szCs w:val="21"/>
                    </w:rPr>
                    <w:t>工程</w:t>
                  </w:r>
                </w:p>
              </w:tc>
              <w:tc>
                <w:tcPr>
                  <w:tcW w:w="1204" w:type="dxa"/>
                  <w:tcBorders>
                    <w:top w:val="single" w:color="auto" w:sz="4" w:space="0"/>
                  </w:tcBorders>
                  <w:shd w:val="clear" w:color="auto" w:fill="auto"/>
                  <w:vAlign w:val="center"/>
                </w:tcPr>
                <w:p w14:paraId="5C937C14">
                  <w:pPr>
                    <w:widowControl/>
                    <w:jc w:val="center"/>
                    <w:rPr>
                      <w:color w:val="C00000"/>
                      <w:szCs w:val="21"/>
                    </w:rPr>
                  </w:pPr>
                  <w:r>
                    <w:rPr>
                      <w:color w:val="C00000"/>
                      <w:szCs w:val="21"/>
                    </w:rPr>
                    <w:t>办公室</w:t>
                  </w:r>
                </w:p>
              </w:tc>
              <w:tc>
                <w:tcPr>
                  <w:tcW w:w="4904" w:type="dxa"/>
                  <w:tcBorders>
                    <w:top w:val="single" w:color="auto" w:sz="4" w:space="0"/>
                  </w:tcBorders>
                  <w:shd w:val="clear" w:color="auto" w:fill="auto"/>
                  <w:vAlign w:val="center"/>
                </w:tcPr>
                <w:p w14:paraId="40B2468E">
                  <w:pPr>
                    <w:jc w:val="center"/>
                    <w:rPr>
                      <w:bCs/>
                      <w:color w:val="C00000"/>
                      <w:szCs w:val="21"/>
                    </w:rPr>
                  </w:pPr>
                  <w:r>
                    <w:rPr>
                      <w:rFonts w:hint="eastAsia"/>
                      <w:bCs/>
                      <w:color w:val="C00000"/>
                      <w:szCs w:val="21"/>
                    </w:rPr>
                    <w:t>占地面积240m</w:t>
                  </w:r>
                  <w:r>
                    <w:rPr>
                      <w:rFonts w:hint="eastAsia"/>
                      <w:bCs/>
                      <w:color w:val="C00000"/>
                      <w:szCs w:val="21"/>
                      <w:vertAlign w:val="superscript"/>
                    </w:rPr>
                    <w:t>2</w:t>
                  </w:r>
                  <w:r>
                    <w:rPr>
                      <w:rFonts w:hint="eastAsia"/>
                      <w:bCs/>
                      <w:color w:val="C00000"/>
                      <w:szCs w:val="21"/>
                    </w:rPr>
                    <w:t>，</w:t>
                  </w:r>
                  <w:r>
                    <w:rPr>
                      <w:rFonts w:hint="eastAsia"/>
                      <w:bCs/>
                      <w:color w:val="C00000"/>
                      <w:szCs w:val="21"/>
                      <w:lang w:val="en-US" w:eastAsia="zh-CN"/>
                    </w:rPr>
                    <w:t>高度为7m，</w:t>
                  </w:r>
                  <w:r>
                    <w:rPr>
                      <w:rFonts w:hint="eastAsia"/>
                      <w:bCs/>
                      <w:color w:val="C00000"/>
                      <w:szCs w:val="21"/>
                    </w:rPr>
                    <w:t>用于厂内职工办公</w:t>
                  </w:r>
                </w:p>
              </w:tc>
              <w:tc>
                <w:tcPr>
                  <w:tcW w:w="1189" w:type="dxa"/>
                  <w:tcBorders>
                    <w:top w:val="single" w:color="auto" w:sz="4" w:space="0"/>
                  </w:tcBorders>
                  <w:shd w:val="clear" w:color="auto" w:fill="auto"/>
                  <w:vAlign w:val="center"/>
                </w:tcPr>
                <w:p w14:paraId="2D7D1D86">
                  <w:pPr>
                    <w:tabs>
                      <w:tab w:val="left" w:pos="338"/>
                    </w:tabs>
                    <w:jc w:val="center"/>
                    <w:rPr>
                      <w:bCs/>
                      <w:szCs w:val="21"/>
                    </w:rPr>
                  </w:pPr>
                  <w:r>
                    <w:rPr>
                      <w:rFonts w:hint="eastAsia"/>
                      <w:bCs/>
                      <w:szCs w:val="21"/>
                    </w:rPr>
                    <w:t>依托</w:t>
                  </w:r>
                </w:p>
              </w:tc>
            </w:tr>
            <w:tr w14:paraId="68D8310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46" w:type="dxa"/>
                  <w:vMerge w:val="continue"/>
                  <w:shd w:val="clear" w:color="auto" w:fill="auto"/>
                  <w:vAlign w:val="center"/>
                </w:tcPr>
                <w:p w14:paraId="125D087F">
                  <w:pPr>
                    <w:widowControl/>
                    <w:jc w:val="center"/>
                    <w:rPr>
                      <w:szCs w:val="21"/>
                    </w:rPr>
                  </w:pPr>
                </w:p>
              </w:tc>
              <w:tc>
                <w:tcPr>
                  <w:tcW w:w="1204" w:type="dxa"/>
                  <w:tcBorders>
                    <w:top w:val="single" w:color="auto" w:sz="4" w:space="0"/>
                  </w:tcBorders>
                  <w:shd w:val="clear" w:color="auto" w:fill="auto"/>
                  <w:vAlign w:val="center"/>
                </w:tcPr>
                <w:p w14:paraId="323C26FD">
                  <w:pPr>
                    <w:widowControl/>
                    <w:jc w:val="center"/>
                    <w:rPr>
                      <w:szCs w:val="21"/>
                    </w:rPr>
                  </w:pPr>
                  <w:r>
                    <w:rPr>
                      <w:rFonts w:hint="eastAsia"/>
                      <w:szCs w:val="21"/>
                    </w:rPr>
                    <w:t>库房</w:t>
                  </w:r>
                </w:p>
              </w:tc>
              <w:tc>
                <w:tcPr>
                  <w:tcW w:w="4904" w:type="dxa"/>
                  <w:tcBorders>
                    <w:top w:val="single" w:color="auto" w:sz="4" w:space="0"/>
                  </w:tcBorders>
                  <w:shd w:val="clear" w:color="auto" w:fill="auto"/>
                  <w:vAlign w:val="center"/>
                </w:tcPr>
                <w:p w14:paraId="3108C0EE">
                  <w:pPr>
                    <w:jc w:val="center"/>
                    <w:rPr>
                      <w:bCs/>
                      <w:szCs w:val="21"/>
                    </w:rPr>
                  </w:pPr>
                  <w:r>
                    <w:rPr>
                      <w:rFonts w:hint="eastAsia"/>
                      <w:bCs/>
                      <w:szCs w:val="21"/>
                    </w:rPr>
                    <w:t>占地面积20m</w:t>
                  </w:r>
                  <w:r>
                    <w:rPr>
                      <w:rFonts w:hint="eastAsia"/>
                      <w:bCs/>
                      <w:szCs w:val="21"/>
                      <w:vertAlign w:val="superscript"/>
                    </w:rPr>
                    <w:t>2</w:t>
                  </w:r>
                  <w:r>
                    <w:rPr>
                      <w:rFonts w:hint="eastAsia"/>
                      <w:bCs/>
                      <w:szCs w:val="21"/>
                    </w:rPr>
                    <w:t>，用于存放工具</w:t>
                  </w:r>
                </w:p>
              </w:tc>
              <w:tc>
                <w:tcPr>
                  <w:tcW w:w="1189" w:type="dxa"/>
                  <w:tcBorders>
                    <w:top w:val="single" w:color="auto" w:sz="4" w:space="0"/>
                  </w:tcBorders>
                  <w:shd w:val="clear" w:color="auto" w:fill="auto"/>
                  <w:vAlign w:val="center"/>
                </w:tcPr>
                <w:p w14:paraId="3D8A5C50">
                  <w:pPr>
                    <w:jc w:val="center"/>
                    <w:rPr>
                      <w:bCs/>
                      <w:szCs w:val="21"/>
                    </w:rPr>
                  </w:pPr>
                  <w:r>
                    <w:rPr>
                      <w:rFonts w:hint="eastAsia"/>
                      <w:bCs/>
                      <w:szCs w:val="21"/>
                    </w:rPr>
                    <w:t>依托</w:t>
                  </w:r>
                </w:p>
              </w:tc>
            </w:tr>
            <w:tr w14:paraId="51EABC1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46" w:type="dxa"/>
                  <w:vMerge w:val="continue"/>
                  <w:shd w:val="clear" w:color="auto" w:fill="auto"/>
                  <w:vAlign w:val="center"/>
                </w:tcPr>
                <w:p w14:paraId="6B3080EF">
                  <w:pPr>
                    <w:widowControl/>
                    <w:jc w:val="center"/>
                    <w:rPr>
                      <w:szCs w:val="21"/>
                    </w:rPr>
                  </w:pPr>
                </w:p>
              </w:tc>
              <w:tc>
                <w:tcPr>
                  <w:tcW w:w="1204" w:type="dxa"/>
                  <w:tcBorders>
                    <w:top w:val="single" w:color="auto" w:sz="4" w:space="0"/>
                  </w:tcBorders>
                  <w:shd w:val="clear" w:color="auto" w:fill="auto"/>
                  <w:vAlign w:val="center"/>
                </w:tcPr>
                <w:p w14:paraId="13085CC9">
                  <w:pPr>
                    <w:widowControl/>
                    <w:jc w:val="center"/>
                    <w:rPr>
                      <w:rFonts w:hint="default" w:eastAsia="宋体"/>
                      <w:szCs w:val="21"/>
                      <w:lang w:val="en-US" w:eastAsia="zh-CN"/>
                    </w:rPr>
                  </w:pPr>
                  <w:r>
                    <w:rPr>
                      <w:rFonts w:hint="eastAsia"/>
                      <w:szCs w:val="21"/>
                    </w:rPr>
                    <w:t>称房</w:t>
                  </w:r>
                  <w:r>
                    <w:rPr>
                      <w:rFonts w:hint="eastAsia"/>
                      <w:szCs w:val="21"/>
                      <w:lang w:eastAsia="zh-CN"/>
                    </w:rPr>
                    <w:t>、</w:t>
                  </w:r>
                  <w:r>
                    <w:rPr>
                      <w:rFonts w:hint="eastAsia"/>
                      <w:szCs w:val="21"/>
                      <w:lang w:val="en-US" w:eastAsia="zh-CN"/>
                    </w:rPr>
                    <w:t>门卫</w:t>
                  </w:r>
                </w:p>
              </w:tc>
              <w:tc>
                <w:tcPr>
                  <w:tcW w:w="4904" w:type="dxa"/>
                  <w:tcBorders>
                    <w:top w:val="single" w:color="auto" w:sz="4" w:space="0"/>
                  </w:tcBorders>
                  <w:shd w:val="clear" w:color="auto" w:fill="auto"/>
                  <w:vAlign w:val="center"/>
                </w:tcPr>
                <w:p w14:paraId="57B0EF9C">
                  <w:pPr>
                    <w:jc w:val="center"/>
                    <w:rPr>
                      <w:rFonts w:hint="eastAsia" w:eastAsia="宋体"/>
                      <w:bCs/>
                      <w:szCs w:val="21"/>
                      <w:lang w:eastAsia="zh-CN"/>
                    </w:rPr>
                  </w:pPr>
                  <w:r>
                    <w:rPr>
                      <w:rFonts w:hint="eastAsia"/>
                      <w:bCs/>
                      <w:szCs w:val="21"/>
                      <w:lang w:val="en-US" w:eastAsia="zh-CN"/>
                    </w:rPr>
                    <w:t>占地面积20</w:t>
                  </w:r>
                  <w:r>
                    <w:rPr>
                      <w:rFonts w:hint="eastAsia"/>
                      <w:bCs/>
                      <w:szCs w:val="21"/>
                    </w:rPr>
                    <w:t>m</w:t>
                  </w:r>
                  <w:r>
                    <w:rPr>
                      <w:rFonts w:hint="eastAsia"/>
                      <w:bCs/>
                      <w:szCs w:val="21"/>
                      <w:vertAlign w:val="superscript"/>
                    </w:rPr>
                    <w:t>2</w:t>
                  </w:r>
                  <w:r>
                    <w:rPr>
                      <w:rFonts w:hint="eastAsia"/>
                      <w:bCs/>
                      <w:szCs w:val="21"/>
                    </w:rPr>
                    <w:t>，用于进场粮食称重</w:t>
                  </w:r>
                  <w:r>
                    <w:rPr>
                      <w:rFonts w:hint="eastAsia"/>
                      <w:bCs/>
                      <w:szCs w:val="21"/>
                      <w:lang w:eastAsia="zh-CN"/>
                    </w:rPr>
                    <w:t>，</w:t>
                  </w:r>
                  <w:r>
                    <w:rPr>
                      <w:rFonts w:hint="eastAsia"/>
                      <w:bCs/>
                      <w:szCs w:val="21"/>
                    </w:rPr>
                    <w:t>用于管理进出厂区人员及车辆管理</w:t>
                  </w:r>
                </w:p>
              </w:tc>
              <w:tc>
                <w:tcPr>
                  <w:tcW w:w="1189" w:type="dxa"/>
                  <w:tcBorders>
                    <w:top w:val="single" w:color="auto" w:sz="4" w:space="0"/>
                  </w:tcBorders>
                  <w:shd w:val="clear" w:color="auto" w:fill="auto"/>
                  <w:vAlign w:val="center"/>
                </w:tcPr>
                <w:p w14:paraId="5BB49A66">
                  <w:pPr>
                    <w:jc w:val="center"/>
                    <w:rPr>
                      <w:bCs/>
                      <w:szCs w:val="21"/>
                    </w:rPr>
                  </w:pPr>
                  <w:r>
                    <w:rPr>
                      <w:rFonts w:hint="eastAsia"/>
                      <w:bCs/>
                      <w:szCs w:val="21"/>
                    </w:rPr>
                    <w:t>依托</w:t>
                  </w:r>
                </w:p>
              </w:tc>
            </w:tr>
            <w:tr w14:paraId="5FB7189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46" w:type="dxa"/>
                  <w:vMerge w:val="restart"/>
                  <w:vAlign w:val="center"/>
                </w:tcPr>
                <w:p w14:paraId="56CE0609">
                  <w:pPr>
                    <w:jc w:val="center"/>
                    <w:rPr>
                      <w:szCs w:val="21"/>
                    </w:rPr>
                  </w:pPr>
                  <w:r>
                    <w:rPr>
                      <w:szCs w:val="21"/>
                    </w:rPr>
                    <w:t>公用工程</w:t>
                  </w:r>
                </w:p>
              </w:tc>
              <w:tc>
                <w:tcPr>
                  <w:tcW w:w="1204" w:type="dxa"/>
                  <w:shd w:val="clear" w:color="auto" w:fill="auto"/>
                  <w:vAlign w:val="center"/>
                </w:tcPr>
                <w:p w14:paraId="6B00F2A1">
                  <w:pPr>
                    <w:widowControl/>
                    <w:jc w:val="center"/>
                    <w:rPr>
                      <w:szCs w:val="21"/>
                    </w:rPr>
                  </w:pPr>
                  <w:r>
                    <w:rPr>
                      <w:szCs w:val="21"/>
                    </w:rPr>
                    <w:t>供水</w:t>
                  </w:r>
                </w:p>
              </w:tc>
              <w:tc>
                <w:tcPr>
                  <w:tcW w:w="4904" w:type="dxa"/>
                  <w:shd w:val="clear" w:color="auto" w:fill="auto"/>
                  <w:vAlign w:val="center"/>
                </w:tcPr>
                <w:p w14:paraId="3E4F0A9F">
                  <w:pPr>
                    <w:tabs>
                      <w:tab w:val="left" w:pos="3439"/>
                    </w:tabs>
                    <w:jc w:val="center"/>
                    <w:rPr>
                      <w:szCs w:val="21"/>
                    </w:rPr>
                  </w:pPr>
                  <w:r>
                    <w:rPr>
                      <w:rFonts w:hint="eastAsia"/>
                      <w:szCs w:val="21"/>
                    </w:rPr>
                    <w:t>由市政管网提供</w:t>
                  </w:r>
                </w:p>
              </w:tc>
              <w:tc>
                <w:tcPr>
                  <w:tcW w:w="1189" w:type="dxa"/>
                  <w:shd w:val="clear" w:color="auto" w:fill="auto"/>
                  <w:vAlign w:val="center"/>
                </w:tcPr>
                <w:p w14:paraId="43164310">
                  <w:pPr>
                    <w:jc w:val="center"/>
                    <w:rPr>
                      <w:szCs w:val="21"/>
                    </w:rPr>
                  </w:pPr>
                  <w:r>
                    <w:rPr>
                      <w:rFonts w:hint="eastAsia"/>
                      <w:bCs/>
                      <w:szCs w:val="21"/>
                    </w:rPr>
                    <w:t>/</w:t>
                  </w:r>
                </w:p>
              </w:tc>
            </w:tr>
            <w:tr w14:paraId="277D4C9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46" w:type="dxa"/>
                  <w:vMerge w:val="continue"/>
                  <w:shd w:val="clear" w:color="auto" w:fill="auto"/>
                  <w:vAlign w:val="center"/>
                </w:tcPr>
                <w:p w14:paraId="16A00C43">
                  <w:pPr>
                    <w:jc w:val="center"/>
                    <w:rPr>
                      <w:szCs w:val="21"/>
                    </w:rPr>
                  </w:pPr>
                </w:p>
              </w:tc>
              <w:tc>
                <w:tcPr>
                  <w:tcW w:w="1204" w:type="dxa"/>
                  <w:shd w:val="clear" w:color="auto" w:fill="auto"/>
                  <w:vAlign w:val="center"/>
                </w:tcPr>
                <w:p w14:paraId="1B7BEC41">
                  <w:pPr>
                    <w:widowControl/>
                    <w:jc w:val="center"/>
                    <w:rPr>
                      <w:szCs w:val="21"/>
                    </w:rPr>
                  </w:pPr>
                  <w:r>
                    <w:rPr>
                      <w:szCs w:val="21"/>
                    </w:rPr>
                    <w:t>排水</w:t>
                  </w:r>
                </w:p>
              </w:tc>
              <w:tc>
                <w:tcPr>
                  <w:tcW w:w="4904" w:type="dxa"/>
                  <w:shd w:val="clear" w:color="auto" w:fill="auto"/>
                  <w:vAlign w:val="center"/>
                </w:tcPr>
                <w:p w14:paraId="3638BE5A">
                  <w:pPr>
                    <w:jc w:val="center"/>
                    <w:rPr>
                      <w:szCs w:val="21"/>
                    </w:rPr>
                  </w:pPr>
                  <w:r>
                    <w:rPr>
                      <w:rFonts w:hint="eastAsia"/>
                      <w:szCs w:val="21"/>
                    </w:rPr>
                    <w:t>项目生产不产生废水，不新增员工，不增加生活污水排放量</w:t>
                  </w:r>
                </w:p>
              </w:tc>
              <w:tc>
                <w:tcPr>
                  <w:tcW w:w="1189" w:type="dxa"/>
                  <w:shd w:val="clear" w:color="auto" w:fill="auto"/>
                  <w:vAlign w:val="center"/>
                </w:tcPr>
                <w:p w14:paraId="358B43F3">
                  <w:pPr>
                    <w:jc w:val="center"/>
                    <w:rPr>
                      <w:szCs w:val="21"/>
                    </w:rPr>
                  </w:pPr>
                  <w:r>
                    <w:rPr>
                      <w:rFonts w:hint="eastAsia"/>
                      <w:bCs/>
                      <w:szCs w:val="21"/>
                    </w:rPr>
                    <w:t>/</w:t>
                  </w:r>
                </w:p>
              </w:tc>
            </w:tr>
            <w:tr w14:paraId="6E10442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46" w:type="dxa"/>
                  <w:vMerge w:val="continue"/>
                  <w:shd w:val="clear" w:color="auto" w:fill="auto"/>
                  <w:vAlign w:val="center"/>
                </w:tcPr>
                <w:p w14:paraId="7E4213B5">
                  <w:pPr>
                    <w:jc w:val="center"/>
                    <w:rPr>
                      <w:szCs w:val="21"/>
                    </w:rPr>
                  </w:pPr>
                </w:p>
              </w:tc>
              <w:tc>
                <w:tcPr>
                  <w:tcW w:w="1204" w:type="dxa"/>
                  <w:shd w:val="clear" w:color="auto" w:fill="auto"/>
                  <w:vAlign w:val="center"/>
                </w:tcPr>
                <w:p w14:paraId="087676EB">
                  <w:pPr>
                    <w:widowControl/>
                    <w:jc w:val="center"/>
                    <w:rPr>
                      <w:szCs w:val="21"/>
                    </w:rPr>
                  </w:pPr>
                  <w:r>
                    <w:rPr>
                      <w:szCs w:val="21"/>
                    </w:rPr>
                    <w:t>供热</w:t>
                  </w:r>
                </w:p>
              </w:tc>
              <w:tc>
                <w:tcPr>
                  <w:tcW w:w="4904" w:type="dxa"/>
                  <w:shd w:val="clear" w:color="auto" w:fill="auto"/>
                  <w:vAlign w:val="center"/>
                </w:tcPr>
                <w:p w14:paraId="0C21A5E7">
                  <w:pPr>
                    <w:jc w:val="center"/>
                  </w:pPr>
                  <w:r>
                    <w:rPr>
                      <w:rFonts w:hint="eastAsia"/>
                    </w:rPr>
                    <w:t>项目冬季供热采用电取暖</w:t>
                  </w:r>
                </w:p>
              </w:tc>
              <w:tc>
                <w:tcPr>
                  <w:tcW w:w="1189" w:type="dxa"/>
                  <w:shd w:val="clear" w:color="auto" w:fill="auto"/>
                  <w:vAlign w:val="center"/>
                </w:tcPr>
                <w:p w14:paraId="5B94A983">
                  <w:pPr>
                    <w:jc w:val="center"/>
                    <w:rPr>
                      <w:szCs w:val="21"/>
                    </w:rPr>
                  </w:pPr>
                  <w:r>
                    <w:rPr>
                      <w:rFonts w:hint="eastAsia"/>
                      <w:bCs/>
                      <w:szCs w:val="21"/>
                    </w:rPr>
                    <w:t>/</w:t>
                  </w:r>
                </w:p>
              </w:tc>
            </w:tr>
            <w:tr w14:paraId="3E49BFE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46" w:type="dxa"/>
                  <w:vMerge w:val="continue"/>
                  <w:shd w:val="clear" w:color="auto" w:fill="auto"/>
                  <w:vAlign w:val="center"/>
                </w:tcPr>
                <w:p w14:paraId="08479C30">
                  <w:pPr>
                    <w:jc w:val="center"/>
                    <w:rPr>
                      <w:szCs w:val="21"/>
                    </w:rPr>
                  </w:pPr>
                </w:p>
              </w:tc>
              <w:tc>
                <w:tcPr>
                  <w:tcW w:w="1204" w:type="dxa"/>
                  <w:shd w:val="clear" w:color="auto" w:fill="auto"/>
                  <w:vAlign w:val="center"/>
                </w:tcPr>
                <w:p w14:paraId="1E46D778">
                  <w:pPr>
                    <w:widowControl/>
                    <w:jc w:val="center"/>
                    <w:rPr>
                      <w:szCs w:val="21"/>
                    </w:rPr>
                  </w:pPr>
                  <w:r>
                    <w:rPr>
                      <w:szCs w:val="21"/>
                    </w:rPr>
                    <w:t>供电</w:t>
                  </w:r>
                </w:p>
              </w:tc>
              <w:tc>
                <w:tcPr>
                  <w:tcW w:w="4904" w:type="dxa"/>
                  <w:shd w:val="clear" w:color="auto" w:fill="auto"/>
                  <w:vAlign w:val="center"/>
                </w:tcPr>
                <w:p w14:paraId="11B45EC6">
                  <w:pPr>
                    <w:jc w:val="center"/>
                    <w:rPr>
                      <w:szCs w:val="21"/>
                    </w:rPr>
                  </w:pPr>
                  <w:r>
                    <w:rPr>
                      <w:rFonts w:hint="eastAsia"/>
                      <w:szCs w:val="21"/>
                    </w:rPr>
                    <w:t>由市政电网提供</w:t>
                  </w:r>
                </w:p>
              </w:tc>
              <w:tc>
                <w:tcPr>
                  <w:tcW w:w="1189" w:type="dxa"/>
                  <w:shd w:val="clear" w:color="auto" w:fill="auto"/>
                  <w:vAlign w:val="center"/>
                </w:tcPr>
                <w:p w14:paraId="5A4AAF01">
                  <w:pPr>
                    <w:jc w:val="center"/>
                    <w:rPr>
                      <w:szCs w:val="21"/>
                    </w:rPr>
                  </w:pPr>
                  <w:r>
                    <w:rPr>
                      <w:rFonts w:hint="eastAsia"/>
                      <w:szCs w:val="21"/>
                    </w:rPr>
                    <w:t>/</w:t>
                  </w:r>
                </w:p>
              </w:tc>
            </w:tr>
            <w:tr w14:paraId="6E26530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49" w:hRule="atLeast"/>
                <w:jc w:val="center"/>
              </w:trPr>
              <w:tc>
                <w:tcPr>
                  <w:tcW w:w="646" w:type="dxa"/>
                  <w:vMerge w:val="restart"/>
                  <w:vAlign w:val="center"/>
                </w:tcPr>
                <w:p w14:paraId="5363DB20">
                  <w:pPr>
                    <w:jc w:val="center"/>
                    <w:rPr>
                      <w:szCs w:val="21"/>
                    </w:rPr>
                  </w:pPr>
                  <w:r>
                    <w:rPr>
                      <w:szCs w:val="21"/>
                    </w:rPr>
                    <w:t>环保工程</w:t>
                  </w:r>
                </w:p>
              </w:tc>
              <w:tc>
                <w:tcPr>
                  <w:tcW w:w="1204" w:type="dxa"/>
                  <w:vMerge w:val="restart"/>
                  <w:vAlign w:val="center"/>
                </w:tcPr>
                <w:p w14:paraId="32B7486A">
                  <w:pPr>
                    <w:jc w:val="center"/>
                    <w:rPr>
                      <w:color w:val="C00000"/>
                      <w:szCs w:val="21"/>
                    </w:rPr>
                  </w:pPr>
                  <w:r>
                    <w:rPr>
                      <w:color w:val="C00000"/>
                      <w:szCs w:val="21"/>
                    </w:rPr>
                    <w:t>废气防治措施</w:t>
                  </w:r>
                </w:p>
              </w:tc>
              <w:tc>
                <w:tcPr>
                  <w:tcW w:w="4904" w:type="dxa"/>
                  <w:vAlign w:val="center"/>
                </w:tcPr>
                <w:p w14:paraId="5B4F7794">
                  <w:pPr>
                    <w:widowControl/>
                    <w:jc w:val="left"/>
                    <w:rPr>
                      <w:color w:val="C00000"/>
                      <w:szCs w:val="21"/>
                    </w:rPr>
                  </w:pPr>
                  <w:r>
                    <w:rPr>
                      <w:color w:val="C00000"/>
                      <w:szCs w:val="21"/>
                    </w:rPr>
                    <w:t>装卸废气</w:t>
                  </w:r>
                  <w:r>
                    <w:rPr>
                      <w:rFonts w:hint="eastAsia"/>
                      <w:color w:val="C00000"/>
                      <w:szCs w:val="21"/>
                      <w:lang w:eastAsia="zh-CN"/>
                    </w:rPr>
                    <w:t>：</w:t>
                  </w:r>
                  <w:r>
                    <w:rPr>
                      <w:color w:val="C00000"/>
                      <w:szCs w:val="21"/>
                    </w:rPr>
                    <w:t>原粮装卸过程通过设置临时围挡，减小装卸高度等措施进行降尘，粉尘排放量约减少80%。输送过程采用封闭输送带进行输送，减少粉尘的产生。</w:t>
                  </w:r>
                </w:p>
              </w:tc>
              <w:tc>
                <w:tcPr>
                  <w:tcW w:w="1189" w:type="dxa"/>
                  <w:vAlign w:val="center"/>
                </w:tcPr>
                <w:p w14:paraId="64926513">
                  <w:pPr>
                    <w:widowControl/>
                    <w:jc w:val="center"/>
                    <w:rPr>
                      <w:rFonts w:hint="eastAsia" w:eastAsia="宋体"/>
                      <w:color w:val="C00000"/>
                      <w:szCs w:val="21"/>
                      <w:lang w:val="en-US" w:eastAsia="zh-CN"/>
                    </w:rPr>
                  </w:pPr>
                  <w:r>
                    <w:rPr>
                      <w:rFonts w:hint="eastAsia"/>
                      <w:color w:val="C00000"/>
                      <w:szCs w:val="21"/>
                      <w:lang w:val="en-US" w:eastAsia="zh-CN"/>
                    </w:rPr>
                    <w:t>新建</w:t>
                  </w:r>
                </w:p>
              </w:tc>
            </w:tr>
            <w:tr w14:paraId="1FB0FA0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49" w:hRule="atLeast"/>
                <w:jc w:val="center"/>
              </w:trPr>
              <w:tc>
                <w:tcPr>
                  <w:tcW w:w="646" w:type="dxa"/>
                  <w:vMerge w:val="continue"/>
                  <w:vAlign w:val="center"/>
                </w:tcPr>
                <w:p w14:paraId="4E32D5B8">
                  <w:pPr>
                    <w:widowControl/>
                    <w:jc w:val="center"/>
                  </w:pPr>
                </w:p>
              </w:tc>
              <w:tc>
                <w:tcPr>
                  <w:tcW w:w="1204" w:type="dxa"/>
                  <w:vMerge w:val="continue"/>
                  <w:vAlign w:val="center"/>
                </w:tcPr>
                <w:p w14:paraId="06DD295A">
                  <w:pPr>
                    <w:widowControl/>
                    <w:jc w:val="center"/>
                    <w:rPr>
                      <w:color w:val="C00000"/>
                    </w:rPr>
                  </w:pPr>
                </w:p>
              </w:tc>
              <w:tc>
                <w:tcPr>
                  <w:tcW w:w="4904" w:type="dxa"/>
                  <w:vAlign w:val="center"/>
                </w:tcPr>
                <w:p w14:paraId="098AA8C0">
                  <w:pPr>
                    <w:widowControl/>
                    <w:jc w:val="left"/>
                    <w:rPr>
                      <w:color w:val="C00000"/>
                      <w:szCs w:val="21"/>
                    </w:rPr>
                  </w:pPr>
                  <w:r>
                    <w:rPr>
                      <w:rFonts w:hint="eastAsia"/>
                      <w:color w:val="C00000"/>
                      <w:szCs w:val="21"/>
                    </w:rPr>
                    <w:t>筛分</w:t>
                  </w:r>
                  <w:r>
                    <w:rPr>
                      <w:color w:val="C00000"/>
                      <w:szCs w:val="21"/>
                    </w:rPr>
                    <w:t>工段废气</w:t>
                  </w:r>
                  <w:r>
                    <w:rPr>
                      <w:rFonts w:hint="eastAsia"/>
                      <w:color w:val="C00000"/>
                      <w:szCs w:val="21"/>
                      <w:lang w:eastAsia="zh-CN"/>
                    </w:rPr>
                    <w:t>：</w:t>
                  </w:r>
                  <w:r>
                    <w:rPr>
                      <w:color w:val="C00000"/>
                      <w:szCs w:val="21"/>
                    </w:rPr>
                    <w:t>原粮</w:t>
                  </w:r>
                  <w:r>
                    <w:rPr>
                      <w:rFonts w:hint="eastAsia"/>
                      <w:color w:val="C00000"/>
                      <w:szCs w:val="21"/>
                    </w:rPr>
                    <w:t>筛分</w:t>
                  </w:r>
                  <w:r>
                    <w:rPr>
                      <w:color w:val="C00000"/>
                      <w:szCs w:val="21"/>
                    </w:rPr>
                    <w:t>过程中会有粉尘产生，采用密闭</w:t>
                  </w:r>
                  <w:r>
                    <w:rPr>
                      <w:rFonts w:hint="eastAsia"/>
                      <w:color w:val="C00000"/>
                      <w:szCs w:val="21"/>
                    </w:rPr>
                    <w:t>设施</w:t>
                  </w:r>
                  <w:r>
                    <w:rPr>
                      <w:color w:val="C00000"/>
                      <w:szCs w:val="21"/>
                    </w:rPr>
                    <w:t>，原粮</w:t>
                  </w:r>
                  <w:r>
                    <w:rPr>
                      <w:rFonts w:hint="eastAsia"/>
                      <w:color w:val="C00000"/>
                      <w:szCs w:val="21"/>
                    </w:rPr>
                    <w:t>筛分</w:t>
                  </w:r>
                  <w:r>
                    <w:rPr>
                      <w:color w:val="C00000"/>
                      <w:szCs w:val="21"/>
                    </w:rPr>
                    <w:t>粉尘排放量约为产生量的</w:t>
                  </w:r>
                  <w:r>
                    <w:rPr>
                      <w:rFonts w:hint="eastAsia"/>
                      <w:color w:val="C00000"/>
                      <w:szCs w:val="21"/>
                    </w:rPr>
                    <w:t>20</w:t>
                  </w:r>
                  <w:r>
                    <w:rPr>
                      <w:color w:val="C00000"/>
                      <w:szCs w:val="21"/>
                    </w:rPr>
                    <w:t>%，粉尘以无组织方式排放。</w:t>
                  </w:r>
                </w:p>
              </w:tc>
              <w:tc>
                <w:tcPr>
                  <w:tcW w:w="1189" w:type="dxa"/>
                  <w:vAlign w:val="center"/>
                </w:tcPr>
                <w:p w14:paraId="7CBC9FFE">
                  <w:pPr>
                    <w:widowControl/>
                    <w:jc w:val="center"/>
                    <w:rPr>
                      <w:rFonts w:hint="default" w:eastAsia="宋体"/>
                      <w:color w:val="C00000"/>
                      <w:szCs w:val="21"/>
                      <w:lang w:val="en-US" w:eastAsia="zh-CN"/>
                    </w:rPr>
                  </w:pPr>
                  <w:r>
                    <w:rPr>
                      <w:rFonts w:hint="eastAsia"/>
                      <w:color w:val="C00000"/>
                      <w:szCs w:val="21"/>
                      <w:lang w:val="en-US" w:eastAsia="zh-CN"/>
                    </w:rPr>
                    <w:t>依托</w:t>
                  </w:r>
                </w:p>
              </w:tc>
            </w:tr>
            <w:tr w14:paraId="4BBE6C2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49" w:hRule="atLeast"/>
                <w:jc w:val="center"/>
              </w:trPr>
              <w:tc>
                <w:tcPr>
                  <w:tcW w:w="646" w:type="dxa"/>
                  <w:vMerge w:val="continue"/>
                  <w:vAlign w:val="center"/>
                </w:tcPr>
                <w:p w14:paraId="37EAA7B3">
                  <w:pPr>
                    <w:widowControl/>
                    <w:jc w:val="center"/>
                    <w:rPr>
                      <w:szCs w:val="21"/>
                    </w:rPr>
                  </w:pPr>
                </w:p>
              </w:tc>
              <w:tc>
                <w:tcPr>
                  <w:tcW w:w="1204" w:type="dxa"/>
                  <w:vMerge w:val="continue"/>
                  <w:vAlign w:val="center"/>
                </w:tcPr>
                <w:p w14:paraId="709C3B3A">
                  <w:pPr>
                    <w:widowControl/>
                    <w:jc w:val="center"/>
                    <w:rPr>
                      <w:color w:val="C00000"/>
                      <w:szCs w:val="21"/>
                    </w:rPr>
                  </w:pPr>
                </w:p>
              </w:tc>
              <w:tc>
                <w:tcPr>
                  <w:tcW w:w="4904" w:type="dxa"/>
                  <w:vAlign w:val="center"/>
                </w:tcPr>
                <w:p w14:paraId="347664F4">
                  <w:pPr>
                    <w:widowControl/>
                    <w:jc w:val="left"/>
                    <w:rPr>
                      <w:color w:val="C00000"/>
                      <w:szCs w:val="21"/>
                    </w:rPr>
                  </w:pPr>
                  <w:r>
                    <w:rPr>
                      <w:color w:val="C00000"/>
                      <w:szCs w:val="21"/>
                    </w:rPr>
                    <w:t>烘干工段废气</w:t>
                  </w:r>
                  <w:r>
                    <w:rPr>
                      <w:rFonts w:hint="eastAsia"/>
                      <w:color w:val="C00000"/>
                      <w:szCs w:val="21"/>
                      <w:lang w:eastAsia="zh-CN"/>
                    </w:rPr>
                    <w:t>：</w:t>
                  </w:r>
                  <w:r>
                    <w:rPr>
                      <w:rFonts w:hint="eastAsia"/>
                      <w:color w:val="C00000"/>
                      <w:szCs w:val="21"/>
                      <w:lang w:val="en-US" w:eastAsia="zh-CN"/>
                    </w:rPr>
                    <w:t>烘干塔塔体外设置铁皮塔衣，塔顶设置抑尘网，可有效抑制无组织粉尘排放</w:t>
                  </w:r>
                  <w:r>
                    <w:rPr>
                      <w:color w:val="C00000"/>
                      <w:szCs w:val="21"/>
                    </w:rPr>
                    <w:t>。</w:t>
                  </w:r>
                </w:p>
              </w:tc>
              <w:tc>
                <w:tcPr>
                  <w:tcW w:w="1189" w:type="dxa"/>
                  <w:vAlign w:val="center"/>
                </w:tcPr>
                <w:p w14:paraId="6C1B75BC">
                  <w:pPr>
                    <w:widowControl/>
                    <w:jc w:val="center"/>
                    <w:rPr>
                      <w:rFonts w:hint="eastAsia" w:eastAsia="宋体"/>
                      <w:color w:val="C00000"/>
                      <w:szCs w:val="21"/>
                      <w:lang w:val="en-US" w:eastAsia="zh-CN"/>
                    </w:rPr>
                  </w:pPr>
                  <w:r>
                    <w:rPr>
                      <w:rFonts w:hint="eastAsia"/>
                      <w:color w:val="C00000"/>
                      <w:szCs w:val="21"/>
                      <w:lang w:val="en-US" w:eastAsia="zh-CN"/>
                    </w:rPr>
                    <w:t>依托</w:t>
                  </w:r>
                </w:p>
              </w:tc>
            </w:tr>
            <w:tr w14:paraId="53A504F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646" w:type="dxa"/>
                  <w:vMerge w:val="continue"/>
                  <w:vAlign w:val="center"/>
                </w:tcPr>
                <w:p w14:paraId="10B1B2CA">
                  <w:pPr>
                    <w:jc w:val="center"/>
                    <w:rPr>
                      <w:szCs w:val="21"/>
                    </w:rPr>
                  </w:pPr>
                </w:p>
              </w:tc>
              <w:tc>
                <w:tcPr>
                  <w:tcW w:w="1204" w:type="dxa"/>
                  <w:vMerge w:val="continue"/>
                  <w:vAlign w:val="center"/>
                </w:tcPr>
                <w:p w14:paraId="475B77FE">
                  <w:pPr>
                    <w:jc w:val="center"/>
                    <w:rPr>
                      <w:color w:val="C00000"/>
                      <w:szCs w:val="21"/>
                    </w:rPr>
                  </w:pPr>
                </w:p>
              </w:tc>
              <w:tc>
                <w:tcPr>
                  <w:tcW w:w="4904" w:type="dxa"/>
                  <w:vAlign w:val="center"/>
                </w:tcPr>
                <w:p w14:paraId="12051CC0">
                  <w:pPr>
                    <w:widowControl/>
                    <w:jc w:val="left"/>
                    <w:rPr>
                      <w:color w:val="C00000"/>
                    </w:rPr>
                  </w:pPr>
                  <w:r>
                    <w:rPr>
                      <w:color w:val="C00000"/>
                      <w:szCs w:val="21"/>
                    </w:rPr>
                    <w:t>热风炉废气</w:t>
                  </w:r>
                  <w:r>
                    <w:rPr>
                      <w:rFonts w:hint="eastAsia"/>
                      <w:color w:val="C00000"/>
                      <w:szCs w:val="21"/>
                      <w:lang w:eastAsia="zh-CN"/>
                    </w:rPr>
                    <w:t>：</w:t>
                  </w:r>
                  <w:r>
                    <w:rPr>
                      <w:color w:val="C00000"/>
                      <w:szCs w:val="21"/>
                    </w:rPr>
                    <w:t>热风炉废气经</w:t>
                  </w:r>
                  <w:r>
                    <w:rPr>
                      <w:rFonts w:hint="eastAsia"/>
                      <w:color w:val="C00000"/>
                      <w:szCs w:val="21"/>
                      <w:lang w:val="en-US" w:eastAsia="zh-CN"/>
                    </w:rPr>
                    <w:t>高效</w:t>
                  </w:r>
                  <w:r>
                    <w:rPr>
                      <w:color w:val="C00000"/>
                      <w:szCs w:val="21"/>
                    </w:rPr>
                    <w:t>布袋除尘器（除尘效率</w:t>
                  </w:r>
                  <w:r>
                    <w:rPr>
                      <w:rFonts w:hint="eastAsia"/>
                      <w:color w:val="C00000"/>
                      <w:szCs w:val="21"/>
                      <w:lang w:eastAsia="zh-CN"/>
                    </w:rPr>
                    <w:t>99.6</w:t>
                  </w:r>
                  <w:r>
                    <w:rPr>
                      <w:rFonts w:hint="eastAsia"/>
                      <w:color w:val="C00000"/>
                      <w:szCs w:val="21"/>
                    </w:rPr>
                    <w:t>%</w:t>
                  </w:r>
                  <w:r>
                    <w:rPr>
                      <w:color w:val="C00000"/>
                      <w:szCs w:val="21"/>
                    </w:rPr>
                    <w:t>）除尘后，经</w:t>
                  </w:r>
                  <w:r>
                    <w:rPr>
                      <w:rFonts w:hint="eastAsia"/>
                      <w:color w:val="C00000"/>
                      <w:szCs w:val="21"/>
                    </w:rPr>
                    <w:t>原有</w:t>
                  </w:r>
                  <w:r>
                    <w:rPr>
                      <w:rFonts w:hint="eastAsia"/>
                      <w:color w:val="C00000"/>
                      <w:szCs w:val="21"/>
                      <w:lang w:val="en-US" w:eastAsia="zh-CN"/>
                    </w:rPr>
                    <w:t>20</w:t>
                  </w:r>
                  <w:r>
                    <w:rPr>
                      <w:color w:val="C00000"/>
                      <w:szCs w:val="21"/>
                    </w:rPr>
                    <w:t>m高烟囱高空排放。</w:t>
                  </w:r>
                </w:p>
              </w:tc>
              <w:tc>
                <w:tcPr>
                  <w:tcW w:w="1189" w:type="dxa"/>
                  <w:vAlign w:val="center"/>
                </w:tcPr>
                <w:p w14:paraId="26A70D72">
                  <w:pPr>
                    <w:widowControl/>
                    <w:jc w:val="center"/>
                    <w:rPr>
                      <w:rFonts w:hint="default" w:eastAsia="宋体"/>
                      <w:color w:val="C00000"/>
                      <w:szCs w:val="21"/>
                      <w:lang w:val="en-US" w:eastAsia="zh-CN"/>
                    </w:rPr>
                  </w:pPr>
                  <w:r>
                    <w:rPr>
                      <w:rFonts w:hint="eastAsia"/>
                      <w:color w:val="C00000"/>
                      <w:szCs w:val="21"/>
                      <w:lang w:val="en-US" w:eastAsia="zh-CN"/>
                    </w:rPr>
                    <w:t>新建高效布袋除尘器，依托原有烟囱</w:t>
                  </w:r>
                </w:p>
              </w:tc>
            </w:tr>
            <w:tr w14:paraId="5DBE9A2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98" w:hRule="atLeast"/>
                <w:jc w:val="center"/>
              </w:trPr>
              <w:tc>
                <w:tcPr>
                  <w:tcW w:w="646" w:type="dxa"/>
                  <w:vMerge w:val="continue"/>
                  <w:vAlign w:val="center"/>
                </w:tcPr>
                <w:p w14:paraId="586DE7E7">
                  <w:pPr>
                    <w:jc w:val="center"/>
                    <w:rPr>
                      <w:szCs w:val="21"/>
                    </w:rPr>
                  </w:pPr>
                </w:p>
              </w:tc>
              <w:tc>
                <w:tcPr>
                  <w:tcW w:w="1204" w:type="dxa"/>
                  <w:vAlign w:val="center"/>
                </w:tcPr>
                <w:p w14:paraId="184767C0">
                  <w:pPr>
                    <w:jc w:val="center"/>
                    <w:rPr>
                      <w:szCs w:val="21"/>
                    </w:rPr>
                  </w:pPr>
                  <w:r>
                    <w:rPr>
                      <w:szCs w:val="21"/>
                    </w:rPr>
                    <w:t>噪声防治措施</w:t>
                  </w:r>
                </w:p>
              </w:tc>
              <w:tc>
                <w:tcPr>
                  <w:tcW w:w="4904" w:type="dxa"/>
                  <w:vAlign w:val="center"/>
                </w:tcPr>
                <w:p w14:paraId="71FA1C50">
                  <w:pPr>
                    <w:rPr>
                      <w:szCs w:val="21"/>
                    </w:rPr>
                  </w:pPr>
                  <w:r>
                    <w:rPr>
                      <w:szCs w:val="21"/>
                    </w:rPr>
                    <w:t>选用低噪声设备，采取隔声、减振等措施，热风炉房密闭等措施，厂界满足《工业企业厂界环境噪声排放标准》（GB12348-2008）中2类标准限值要求</w:t>
                  </w:r>
                </w:p>
              </w:tc>
              <w:tc>
                <w:tcPr>
                  <w:tcW w:w="1189" w:type="dxa"/>
                  <w:vAlign w:val="center"/>
                </w:tcPr>
                <w:p w14:paraId="10472066">
                  <w:pPr>
                    <w:jc w:val="center"/>
                    <w:rPr>
                      <w:szCs w:val="21"/>
                    </w:rPr>
                  </w:pPr>
                  <w:r>
                    <w:rPr>
                      <w:rFonts w:hint="eastAsia"/>
                      <w:szCs w:val="21"/>
                    </w:rPr>
                    <w:t>新建</w:t>
                  </w:r>
                </w:p>
              </w:tc>
            </w:tr>
            <w:tr w14:paraId="05ADFED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07" w:hRule="atLeast"/>
                <w:jc w:val="center"/>
              </w:trPr>
              <w:tc>
                <w:tcPr>
                  <w:tcW w:w="646" w:type="dxa"/>
                  <w:vMerge w:val="continue"/>
                  <w:vAlign w:val="center"/>
                </w:tcPr>
                <w:p w14:paraId="1EAA3267">
                  <w:pPr>
                    <w:jc w:val="center"/>
                    <w:rPr>
                      <w:szCs w:val="21"/>
                    </w:rPr>
                  </w:pPr>
                </w:p>
              </w:tc>
              <w:tc>
                <w:tcPr>
                  <w:tcW w:w="1204" w:type="dxa"/>
                  <w:vAlign w:val="center"/>
                </w:tcPr>
                <w:p w14:paraId="62A5972D">
                  <w:pPr>
                    <w:jc w:val="center"/>
                    <w:rPr>
                      <w:szCs w:val="21"/>
                    </w:rPr>
                  </w:pPr>
                  <w:r>
                    <w:rPr>
                      <w:szCs w:val="21"/>
                    </w:rPr>
                    <w:t>废水防治措施</w:t>
                  </w:r>
                </w:p>
              </w:tc>
              <w:tc>
                <w:tcPr>
                  <w:tcW w:w="4904" w:type="dxa"/>
                  <w:vAlign w:val="center"/>
                </w:tcPr>
                <w:p w14:paraId="3FAA10A0">
                  <w:pPr>
                    <w:rPr>
                      <w:color w:val="auto"/>
                      <w:szCs w:val="21"/>
                    </w:rPr>
                  </w:pPr>
                  <w:r>
                    <w:rPr>
                      <w:rFonts w:hint="eastAsia"/>
                      <w:color w:val="auto"/>
                      <w:szCs w:val="21"/>
                    </w:rPr>
                    <w:t>项目无生产废水产生，</w:t>
                  </w:r>
                  <w:r>
                    <w:rPr>
                      <w:rFonts w:hint="eastAsia"/>
                      <w:color w:val="auto"/>
                      <w:szCs w:val="21"/>
                      <w:lang w:val="en-US" w:eastAsia="zh-CN"/>
                    </w:rPr>
                    <w:t>项目不新增员工，不新增生活用水排放量，原有</w:t>
                  </w:r>
                  <w:r>
                    <w:rPr>
                      <w:color w:val="auto"/>
                      <w:szCs w:val="21"/>
                    </w:rPr>
                    <w:t>生活污水</w:t>
                  </w:r>
                  <w:r>
                    <w:rPr>
                      <w:color w:val="auto"/>
                      <w:kern w:val="0"/>
                      <w:szCs w:val="21"/>
                    </w:rPr>
                    <w:t>排入防渗旱厕，定期清掏，外运堆肥</w:t>
                  </w:r>
                  <w:r>
                    <w:rPr>
                      <w:rFonts w:hint="eastAsia"/>
                      <w:color w:val="auto"/>
                      <w:kern w:val="0"/>
                      <w:szCs w:val="21"/>
                    </w:rPr>
                    <w:t>。</w:t>
                  </w:r>
                </w:p>
              </w:tc>
              <w:tc>
                <w:tcPr>
                  <w:tcW w:w="1189" w:type="dxa"/>
                  <w:vAlign w:val="center"/>
                </w:tcPr>
                <w:p w14:paraId="11AC8BDE">
                  <w:pPr>
                    <w:jc w:val="center"/>
                    <w:rPr>
                      <w:szCs w:val="21"/>
                    </w:rPr>
                  </w:pPr>
                  <w:r>
                    <w:rPr>
                      <w:rFonts w:hint="eastAsia"/>
                      <w:szCs w:val="21"/>
                    </w:rPr>
                    <w:t>/</w:t>
                  </w:r>
                </w:p>
              </w:tc>
            </w:tr>
            <w:tr w14:paraId="25F5F2B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073" w:hRule="atLeast"/>
                <w:jc w:val="center"/>
              </w:trPr>
              <w:tc>
                <w:tcPr>
                  <w:tcW w:w="646" w:type="dxa"/>
                  <w:vMerge w:val="continue"/>
                  <w:vAlign w:val="center"/>
                </w:tcPr>
                <w:p w14:paraId="307AC4DF">
                  <w:pPr>
                    <w:jc w:val="center"/>
                    <w:rPr>
                      <w:szCs w:val="21"/>
                    </w:rPr>
                  </w:pPr>
                </w:p>
              </w:tc>
              <w:tc>
                <w:tcPr>
                  <w:tcW w:w="1204" w:type="dxa"/>
                  <w:vAlign w:val="center"/>
                </w:tcPr>
                <w:p w14:paraId="41B3710C">
                  <w:pPr>
                    <w:jc w:val="center"/>
                    <w:rPr>
                      <w:szCs w:val="21"/>
                    </w:rPr>
                  </w:pPr>
                  <w:r>
                    <w:rPr>
                      <w:szCs w:val="21"/>
                    </w:rPr>
                    <w:t>固体废物防治措施</w:t>
                  </w:r>
                </w:p>
              </w:tc>
              <w:tc>
                <w:tcPr>
                  <w:tcW w:w="4904" w:type="dxa"/>
                  <w:vAlign w:val="center"/>
                </w:tcPr>
                <w:p w14:paraId="49D70067">
                  <w:pPr>
                    <w:rPr>
                      <w:rFonts w:hint="default" w:eastAsia="宋体"/>
                      <w:color w:val="auto"/>
                      <w:szCs w:val="21"/>
                      <w:lang w:val="en-US" w:eastAsia="zh-CN"/>
                    </w:rPr>
                  </w:pPr>
                  <w:r>
                    <w:rPr>
                      <w:rFonts w:ascii="Times New Roman" w:hAnsi="Times New Roman" w:eastAsia="宋体" w:cs="Times New Roman"/>
                      <w:color w:val="auto"/>
                      <w:szCs w:val="21"/>
                    </w:rPr>
                    <w:t>热风炉除尘系统收尘、热风炉</w:t>
                  </w:r>
                  <w:r>
                    <w:rPr>
                      <w:rFonts w:hint="eastAsia" w:cs="Times New Roman"/>
                      <w:color w:val="auto"/>
                      <w:szCs w:val="21"/>
                      <w:lang w:val="en-US" w:eastAsia="zh-CN"/>
                    </w:rPr>
                    <w:t>炉</w:t>
                  </w:r>
                  <w:r>
                    <w:rPr>
                      <w:rFonts w:ascii="Times New Roman" w:hAnsi="Times New Roman" w:eastAsia="宋体" w:cs="Times New Roman"/>
                      <w:color w:val="auto"/>
                      <w:szCs w:val="21"/>
                    </w:rPr>
                    <w:t>渣装袋后统一收集暂存于</w:t>
                  </w:r>
                  <w:r>
                    <w:rPr>
                      <w:rFonts w:hint="eastAsia" w:ascii="Times New Roman" w:hAnsi="Times New Roman" w:eastAsia="宋体" w:cs="Times New Roman"/>
                      <w:color w:val="auto"/>
                      <w:szCs w:val="21"/>
                      <w:lang w:val="en-US" w:eastAsia="zh-CN"/>
                    </w:rPr>
                    <w:t>灰渣仓</w:t>
                  </w:r>
                  <w:r>
                    <w:rPr>
                      <w:rFonts w:ascii="Times New Roman" w:hAnsi="Times New Roman" w:eastAsia="宋体" w:cs="Times New Roman"/>
                      <w:color w:val="auto"/>
                      <w:szCs w:val="21"/>
                    </w:rPr>
                    <w:t>中，定期外售综合利用</w:t>
                  </w:r>
                  <w:r>
                    <w:rPr>
                      <w:rFonts w:hint="eastAsia" w:ascii="Times New Roman" w:hAnsi="Times New Roman" w:eastAsia="宋体" w:cs="Times New Roman"/>
                      <w:color w:val="auto"/>
                      <w:szCs w:val="21"/>
                    </w:rPr>
                    <w:t>；</w:t>
                  </w:r>
                  <w:r>
                    <w:rPr>
                      <w:rFonts w:ascii="Times New Roman" w:hAnsi="Times New Roman" w:eastAsia="宋体" w:cs="Times New Roman"/>
                      <w:color w:val="auto"/>
                      <w:szCs w:val="21"/>
                    </w:rPr>
                    <w:t>废布袋更换时由厂家回收处置</w:t>
                  </w:r>
                  <w:r>
                    <w:rPr>
                      <w:rFonts w:hint="eastAsia" w:ascii="Times New Roman" w:hAnsi="Times New Roman" w:eastAsia="宋体" w:cs="Times New Roman"/>
                      <w:color w:val="auto"/>
                      <w:szCs w:val="21"/>
                    </w:rPr>
                    <w:t>；生活垃圾和生产过程中产生的杂质集中收集，由市政部门统一清运</w:t>
                  </w:r>
                  <w:r>
                    <w:rPr>
                      <w:rFonts w:hint="eastAsia" w:cs="Times New Roman"/>
                      <w:color w:val="auto"/>
                      <w:szCs w:val="21"/>
                      <w:lang w:eastAsia="zh-CN"/>
                    </w:rPr>
                    <w:t>；</w:t>
                  </w:r>
                  <w:r>
                    <w:rPr>
                      <w:rFonts w:hint="eastAsia" w:cs="Times New Roman"/>
                      <w:color w:val="C00000"/>
                      <w:szCs w:val="21"/>
                      <w:lang w:val="en-US" w:eastAsia="zh-CN"/>
                    </w:rPr>
                    <w:t>设备检修、保养产生的废润滑油、废弃含有抹布暂存于危险废物贮存点内，定期交由有资质单位处置。</w:t>
                  </w:r>
                </w:p>
              </w:tc>
              <w:tc>
                <w:tcPr>
                  <w:tcW w:w="1189" w:type="dxa"/>
                  <w:vAlign w:val="center"/>
                </w:tcPr>
                <w:p w14:paraId="3971C1D0">
                  <w:pPr>
                    <w:jc w:val="center"/>
                    <w:rPr>
                      <w:spacing w:val="-1"/>
                      <w:szCs w:val="21"/>
                    </w:rPr>
                  </w:pPr>
                  <w:r>
                    <w:rPr>
                      <w:rFonts w:hint="eastAsia"/>
                      <w:szCs w:val="21"/>
                    </w:rPr>
                    <w:t>新建</w:t>
                  </w:r>
                </w:p>
              </w:tc>
            </w:tr>
            <w:tr w14:paraId="22B45FB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93" w:hRule="atLeast"/>
                <w:jc w:val="center"/>
              </w:trPr>
              <w:tc>
                <w:tcPr>
                  <w:tcW w:w="646" w:type="dxa"/>
                  <w:vMerge w:val="continue"/>
                  <w:vAlign w:val="center"/>
                </w:tcPr>
                <w:p w14:paraId="19D60E36">
                  <w:pPr>
                    <w:jc w:val="center"/>
                    <w:rPr>
                      <w:szCs w:val="21"/>
                    </w:rPr>
                  </w:pPr>
                </w:p>
              </w:tc>
              <w:tc>
                <w:tcPr>
                  <w:tcW w:w="1204" w:type="dxa"/>
                  <w:vAlign w:val="center"/>
                </w:tcPr>
                <w:p w14:paraId="6CC8F694">
                  <w:pPr>
                    <w:keepNext w:val="0"/>
                    <w:keepLines w:val="0"/>
                    <w:widowControl/>
                    <w:suppressLineNumbers w:val="0"/>
                    <w:jc w:val="left"/>
                    <w:rPr>
                      <w:color w:val="C00000"/>
                      <w:szCs w:val="21"/>
                    </w:rPr>
                  </w:pPr>
                  <w:r>
                    <w:rPr>
                      <w:rFonts w:hint="eastAsia" w:ascii="宋体" w:hAnsi="宋体" w:eastAsia="宋体" w:cs="宋体"/>
                      <w:color w:val="C00000"/>
                      <w:kern w:val="2"/>
                      <w:sz w:val="21"/>
                      <w:szCs w:val="21"/>
                      <w:lang w:val="en-US" w:eastAsia="zh-CN" w:bidi="ar"/>
                    </w:rPr>
                    <w:t>地下水、土壤</w:t>
                  </w:r>
                  <w:r>
                    <w:rPr>
                      <w:color w:val="C00000"/>
                      <w:szCs w:val="21"/>
                    </w:rPr>
                    <w:t>防治措施</w:t>
                  </w:r>
                </w:p>
              </w:tc>
              <w:tc>
                <w:tcPr>
                  <w:tcW w:w="4904" w:type="dxa"/>
                  <w:vAlign w:val="center"/>
                </w:tcPr>
                <w:p w14:paraId="31CD14E9">
                  <w:pPr>
                    <w:rPr>
                      <w:rFonts w:hint="eastAsia" w:ascii="Times New Roman" w:hAnsi="Times New Roman" w:eastAsia="宋体" w:cs="Times New Roman"/>
                      <w:color w:val="C00000"/>
                      <w:szCs w:val="21"/>
                      <w:lang w:eastAsia="zh-CN"/>
                    </w:rPr>
                  </w:pPr>
                  <w:r>
                    <w:rPr>
                      <w:rFonts w:hint="eastAsia" w:ascii="Times New Roman" w:hAnsi="Times New Roman" w:eastAsia="宋体" w:cs="Times New Roman"/>
                      <w:color w:val="C00000"/>
                      <w:highlight w:val="none"/>
                      <w:lang w:val="en-US" w:eastAsia="zh-CN"/>
                    </w:rPr>
                    <w:t>危险废物贮存点</w:t>
                  </w:r>
                  <w:r>
                    <w:rPr>
                      <w:rFonts w:hint="default" w:ascii="Times New Roman" w:hAnsi="Times New Roman" w:eastAsia="宋体" w:cs="Times New Roman"/>
                      <w:color w:val="C00000"/>
                      <w:highlight w:val="none"/>
                    </w:rPr>
                    <w:t>防渗层为至少1米厚粘土层（渗透系数≤1×10</w:t>
                  </w:r>
                  <w:r>
                    <w:rPr>
                      <w:rFonts w:hint="default" w:ascii="Times New Roman" w:hAnsi="Times New Roman" w:eastAsia="宋体" w:cs="Times New Roman"/>
                      <w:color w:val="C00000"/>
                      <w:highlight w:val="none"/>
                      <w:vertAlign w:val="superscript"/>
                    </w:rPr>
                    <w:t>-7</w:t>
                  </w:r>
                  <w:r>
                    <w:rPr>
                      <w:rFonts w:hint="default" w:ascii="Times New Roman" w:hAnsi="Times New Roman" w:eastAsia="宋体" w:cs="Times New Roman"/>
                      <w:color w:val="C00000"/>
                      <w:highlight w:val="none"/>
                    </w:rPr>
                    <w:t>cm/s），或2mm厚高密度聚乙烯或至少2mm厚的其它人工材料，渗透系数≤1×10</w:t>
                  </w:r>
                  <w:r>
                    <w:rPr>
                      <w:rFonts w:hint="default" w:ascii="Times New Roman" w:hAnsi="Times New Roman" w:eastAsia="宋体" w:cs="Times New Roman"/>
                      <w:color w:val="C00000"/>
                      <w:highlight w:val="none"/>
                      <w:vertAlign w:val="superscript"/>
                    </w:rPr>
                    <w:t>-10</w:t>
                  </w:r>
                  <w:r>
                    <w:rPr>
                      <w:rFonts w:hint="default" w:ascii="Times New Roman" w:hAnsi="Times New Roman" w:eastAsia="宋体" w:cs="Times New Roman"/>
                      <w:color w:val="C00000"/>
                      <w:highlight w:val="none"/>
                    </w:rPr>
                    <w:t>cm/s</w:t>
                  </w:r>
                  <w:r>
                    <w:rPr>
                      <w:rFonts w:hint="eastAsia" w:ascii="Times New Roman" w:hAnsi="Times New Roman" w:eastAsia="宋体" w:cs="Times New Roman"/>
                      <w:color w:val="C00000"/>
                      <w:highlight w:val="none"/>
                      <w:lang w:eastAsia="zh-CN"/>
                    </w:rPr>
                    <w:t>。</w:t>
                  </w:r>
                </w:p>
              </w:tc>
              <w:tc>
                <w:tcPr>
                  <w:tcW w:w="1189" w:type="dxa"/>
                  <w:vAlign w:val="center"/>
                </w:tcPr>
                <w:p w14:paraId="542FA03E">
                  <w:pPr>
                    <w:jc w:val="center"/>
                    <w:rPr>
                      <w:rFonts w:hint="eastAsia"/>
                      <w:color w:val="C00000"/>
                      <w:szCs w:val="21"/>
                    </w:rPr>
                  </w:pPr>
                  <w:r>
                    <w:rPr>
                      <w:rFonts w:hint="eastAsia"/>
                      <w:color w:val="C00000"/>
                      <w:szCs w:val="21"/>
                    </w:rPr>
                    <w:t>新建</w:t>
                  </w:r>
                </w:p>
              </w:tc>
            </w:tr>
            <w:tr w14:paraId="385C1F8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073" w:hRule="atLeast"/>
                <w:jc w:val="center"/>
              </w:trPr>
              <w:tc>
                <w:tcPr>
                  <w:tcW w:w="646" w:type="dxa"/>
                  <w:vAlign w:val="center"/>
                </w:tcPr>
                <w:p w14:paraId="6BD873E2">
                  <w:pPr>
                    <w:jc w:val="center"/>
                    <w:rPr>
                      <w:rFonts w:hint="default" w:eastAsia="宋体"/>
                      <w:color w:val="C00000"/>
                      <w:szCs w:val="21"/>
                      <w:lang w:val="en-US" w:eastAsia="zh-CN"/>
                    </w:rPr>
                  </w:pPr>
                  <w:r>
                    <w:rPr>
                      <w:rFonts w:hint="eastAsia"/>
                      <w:color w:val="C00000"/>
                      <w:szCs w:val="21"/>
                      <w:lang w:val="en-US" w:eastAsia="zh-CN"/>
                    </w:rPr>
                    <w:t>风险防范措施</w:t>
                  </w:r>
                </w:p>
              </w:tc>
              <w:tc>
                <w:tcPr>
                  <w:tcW w:w="1204" w:type="dxa"/>
                  <w:shd w:val="clear" w:color="auto" w:fill="auto"/>
                  <w:vAlign w:val="center"/>
                </w:tcPr>
                <w:p w14:paraId="6CB2F096">
                  <w:pPr>
                    <w:jc w:val="center"/>
                    <w:rPr>
                      <w:rFonts w:hint="default" w:ascii="Times New Roman" w:hAnsi="Times New Roman" w:eastAsia="宋体" w:cs="Times New Roman"/>
                      <w:color w:val="C00000"/>
                      <w:kern w:val="2"/>
                      <w:sz w:val="21"/>
                      <w:szCs w:val="21"/>
                      <w:lang w:val="en-US" w:eastAsia="zh-CN" w:bidi="ar-SA"/>
                    </w:rPr>
                  </w:pPr>
                  <w:r>
                    <w:rPr>
                      <w:rFonts w:hint="eastAsia"/>
                      <w:color w:val="C00000"/>
                      <w:szCs w:val="21"/>
                      <w:lang w:val="en-US" w:eastAsia="zh-CN"/>
                    </w:rPr>
                    <w:t>风险防范措施</w:t>
                  </w:r>
                </w:p>
              </w:tc>
              <w:tc>
                <w:tcPr>
                  <w:tcW w:w="4904" w:type="dxa"/>
                  <w:vAlign w:val="center"/>
                </w:tcPr>
                <w:p w14:paraId="08D730E1">
                  <w:pPr>
                    <w:rPr>
                      <w:rFonts w:hint="eastAsia" w:ascii="Times New Roman" w:hAnsi="Times New Roman" w:eastAsia="宋体" w:cs="Times New Roman"/>
                      <w:color w:val="C00000"/>
                      <w:szCs w:val="21"/>
                      <w:lang w:val="en-US" w:eastAsia="zh-CN"/>
                    </w:rPr>
                  </w:pPr>
                  <w:r>
                    <w:rPr>
                      <w:rFonts w:hint="eastAsia" w:ascii="Times New Roman" w:hAnsi="Times New Roman" w:eastAsia="宋体" w:cs="Times New Roman"/>
                      <w:color w:val="C00000"/>
                      <w:szCs w:val="21"/>
                      <w:lang w:val="en-US" w:eastAsia="zh-CN"/>
                    </w:rPr>
                    <w:t>①制定设备维护计划，对设备定期维护、保养；</w:t>
                  </w:r>
                </w:p>
                <w:p w14:paraId="2603B136">
                  <w:pPr>
                    <w:rPr>
                      <w:rFonts w:hint="eastAsia" w:ascii="Times New Roman" w:hAnsi="Times New Roman" w:eastAsia="宋体" w:cs="Times New Roman"/>
                      <w:color w:val="C00000"/>
                      <w:szCs w:val="21"/>
                      <w:lang w:val="en-US" w:eastAsia="zh-CN"/>
                    </w:rPr>
                  </w:pPr>
                  <w:r>
                    <w:rPr>
                      <w:rFonts w:hint="eastAsia" w:ascii="Times New Roman" w:hAnsi="Times New Roman" w:eastAsia="宋体" w:cs="Times New Roman"/>
                      <w:color w:val="C00000"/>
                      <w:szCs w:val="21"/>
                      <w:lang w:val="en-US" w:eastAsia="zh-CN"/>
                    </w:rPr>
                    <w:t>②明确安全生产的责任和职责，制定安全生产管理制度；</w:t>
                  </w:r>
                </w:p>
                <w:p w14:paraId="5D642ED4">
                  <w:pPr>
                    <w:rPr>
                      <w:rFonts w:hint="eastAsia" w:ascii="Times New Roman" w:hAnsi="Times New Roman" w:eastAsia="宋体" w:cs="Times New Roman"/>
                      <w:color w:val="C00000"/>
                      <w:szCs w:val="21"/>
                      <w:lang w:val="en-US" w:eastAsia="zh-CN"/>
                    </w:rPr>
                  </w:pPr>
                  <w:r>
                    <w:rPr>
                      <w:rFonts w:hint="eastAsia" w:ascii="Times New Roman" w:hAnsi="Times New Roman" w:eastAsia="宋体" w:cs="Times New Roman"/>
                      <w:color w:val="C00000"/>
                      <w:szCs w:val="21"/>
                      <w:lang w:val="en-US" w:eastAsia="zh-CN"/>
                    </w:rPr>
                    <w:t>③操作人员必须具备操作技能、熟悉本机型的结构、性能及操作要求方可上岗进行操作</w:t>
                  </w:r>
                  <w:r>
                    <w:rPr>
                      <w:rFonts w:hint="eastAsia" w:cs="Times New Roman"/>
                      <w:color w:val="C00000"/>
                      <w:szCs w:val="21"/>
                      <w:lang w:val="en-US" w:eastAsia="zh-CN"/>
                    </w:rPr>
                    <w:t>；</w:t>
                  </w:r>
                </w:p>
                <w:p w14:paraId="5B53390B">
                  <w:pPr>
                    <w:pStyle w:val="46"/>
                    <w:jc w:val="both"/>
                    <w:rPr>
                      <w:rFonts w:hint="default"/>
                      <w:lang w:val="en-US" w:eastAsia="zh-CN"/>
                    </w:rPr>
                  </w:pPr>
                  <w:r>
                    <w:rPr>
                      <w:rFonts w:hint="eastAsia" w:ascii="Times New Roman" w:hAnsi="Times New Roman" w:cs="Times New Roman"/>
                      <w:color w:val="C00000"/>
                      <w:szCs w:val="21"/>
                      <w:lang w:val="en-US" w:eastAsia="zh-CN"/>
                    </w:rPr>
                    <w:t>④</w:t>
                  </w:r>
                  <w:r>
                    <w:rPr>
                      <w:rFonts w:hint="eastAsia" w:cs="Times New Roman"/>
                      <w:color w:val="C00000"/>
                      <w:sz w:val="21"/>
                      <w:szCs w:val="21"/>
                      <w:highlight w:val="none"/>
                      <w:lang w:val="en-US" w:eastAsia="zh-CN"/>
                    </w:rPr>
                    <w:t>危险废物贮存点</w:t>
                  </w:r>
                  <w:r>
                    <w:rPr>
                      <w:rFonts w:hint="default" w:ascii="Times New Roman" w:hAnsi="Times New Roman" w:eastAsia="宋体" w:cs="Times New Roman"/>
                      <w:color w:val="C00000"/>
                      <w:sz w:val="21"/>
                      <w:szCs w:val="21"/>
                      <w:highlight w:val="none"/>
                    </w:rPr>
                    <w:t>建设严格按照《危险废物贮存污染控制标准》（GB18597-20</w:t>
                  </w:r>
                  <w:r>
                    <w:rPr>
                      <w:rFonts w:hint="eastAsia" w:ascii="Times New Roman" w:hAnsi="Times New Roman" w:eastAsia="宋体" w:cs="Times New Roman"/>
                      <w:color w:val="C00000"/>
                      <w:sz w:val="21"/>
                      <w:szCs w:val="21"/>
                      <w:highlight w:val="none"/>
                      <w:lang w:val="en-US" w:eastAsia="zh-CN"/>
                    </w:rPr>
                    <w:t>23</w:t>
                  </w:r>
                  <w:r>
                    <w:rPr>
                      <w:rFonts w:hint="default" w:ascii="Times New Roman" w:hAnsi="Times New Roman" w:eastAsia="宋体" w:cs="Times New Roman"/>
                      <w:color w:val="C00000"/>
                      <w:sz w:val="21"/>
                      <w:szCs w:val="21"/>
                      <w:highlight w:val="none"/>
                    </w:rPr>
                    <w:t>）中相关规定进行设置，</w:t>
                  </w:r>
                  <w:r>
                    <w:rPr>
                      <w:rFonts w:hint="eastAsia" w:cs="Times New Roman"/>
                      <w:color w:val="C00000"/>
                      <w:sz w:val="21"/>
                      <w:szCs w:val="21"/>
                      <w:highlight w:val="none"/>
                      <w:lang w:val="en-US" w:eastAsia="zh-CN"/>
                    </w:rPr>
                    <w:t>危险废物贮存点</w:t>
                  </w:r>
                  <w:r>
                    <w:rPr>
                      <w:rFonts w:hint="eastAsia" w:ascii="Times New Roman" w:hAnsi="Times New Roman" w:cs="Times New Roman"/>
                      <w:color w:val="C00000"/>
                      <w:sz w:val="21"/>
                      <w:szCs w:val="21"/>
                      <w:highlight w:val="none"/>
                      <w:lang w:val="en-US" w:eastAsia="zh-CN"/>
                    </w:rPr>
                    <w:t>要做到防风、防晒、防雨、防漏、防渗、防腐，危险废物不得露天堆放。</w:t>
                  </w:r>
                </w:p>
              </w:tc>
              <w:tc>
                <w:tcPr>
                  <w:tcW w:w="1189" w:type="dxa"/>
                  <w:vAlign w:val="center"/>
                </w:tcPr>
                <w:p w14:paraId="66C2A6F8">
                  <w:pPr>
                    <w:jc w:val="center"/>
                    <w:rPr>
                      <w:rFonts w:hint="eastAsia" w:eastAsia="宋体"/>
                      <w:color w:val="C00000"/>
                      <w:szCs w:val="21"/>
                      <w:lang w:val="en-US" w:eastAsia="zh-CN"/>
                    </w:rPr>
                  </w:pPr>
                  <w:r>
                    <w:rPr>
                      <w:rFonts w:hint="eastAsia"/>
                      <w:color w:val="C00000"/>
                      <w:szCs w:val="21"/>
                      <w:lang w:val="en-US" w:eastAsia="zh-CN"/>
                    </w:rPr>
                    <w:t>新建</w:t>
                  </w:r>
                </w:p>
              </w:tc>
            </w:tr>
          </w:tbl>
          <w:p w14:paraId="15C7E712">
            <w:pPr>
              <w:tabs>
                <w:tab w:val="left" w:pos="6480"/>
              </w:tabs>
              <w:spacing w:line="360" w:lineRule="auto"/>
              <w:ind w:firstLine="482" w:firstLineChars="200"/>
              <w:rPr>
                <w:rFonts w:hint="eastAsia"/>
                <w:b/>
                <w:bCs/>
                <w:sz w:val="24"/>
                <w:lang w:val="en-US" w:eastAsia="zh-CN"/>
              </w:rPr>
            </w:pPr>
          </w:p>
          <w:p w14:paraId="12B6130B">
            <w:pPr>
              <w:tabs>
                <w:tab w:val="left" w:pos="6480"/>
              </w:tabs>
              <w:spacing w:line="360" w:lineRule="auto"/>
              <w:ind w:firstLine="482" w:firstLineChars="200"/>
              <w:rPr>
                <w:b/>
                <w:bCs/>
                <w:sz w:val="24"/>
              </w:rPr>
            </w:pPr>
            <w:r>
              <w:rPr>
                <w:rFonts w:hint="eastAsia"/>
                <w:b/>
                <w:bCs/>
                <w:sz w:val="24"/>
                <w:lang w:val="en-US" w:eastAsia="zh-CN"/>
              </w:rPr>
              <w:t>3</w:t>
            </w:r>
            <w:r>
              <w:rPr>
                <w:b/>
                <w:bCs/>
                <w:sz w:val="24"/>
              </w:rPr>
              <w:t>、主要设备</w:t>
            </w:r>
          </w:p>
          <w:p w14:paraId="24DC5845">
            <w:pPr>
              <w:autoSpaceDE w:val="0"/>
              <w:autoSpaceDN w:val="0"/>
              <w:adjustRightInd w:val="0"/>
              <w:spacing w:line="360" w:lineRule="auto"/>
              <w:ind w:firstLine="480" w:firstLineChars="200"/>
              <w:rPr>
                <w:sz w:val="24"/>
              </w:rPr>
            </w:pPr>
            <w:r>
              <w:rPr>
                <w:sz w:val="24"/>
              </w:rPr>
              <w:t>本项目主要设备见下表2-2。</w:t>
            </w:r>
          </w:p>
          <w:p w14:paraId="62CD10D4">
            <w:pPr>
              <w:ind w:left="2823"/>
              <w:rPr>
                <w:b/>
                <w:bCs/>
                <w:szCs w:val="21"/>
              </w:rPr>
            </w:pPr>
            <w:r>
              <w:rPr>
                <w:b/>
                <w:bCs/>
                <w:szCs w:val="21"/>
              </w:rPr>
              <w:t>表2-2主要设备表</w:t>
            </w:r>
          </w:p>
          <w:tbl>
            <w:tblPr>
              <w:tblStyle w:val="33"/>
              <w:tblW w:w="499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2"/>
              <w:gridCol w:w="2020"/>
              <w:gridCol w:w="1119"/>
              <w:gridCol w:w="1227"/>
              <w:gridCol w:w="1335"/>
              <w:gridCol w:w="1492"/>
            </w:tblGrid>
            <w:tr w14:paraId="7440CE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tcBorders>
                    <w:tl2br w:val="nil"/>
                    <w:tr2bl w:val="nil"/>
                  </w:tcBorders>
                  <w:vAlign w:val="center"/>
                </w:tcPr>
                <w:p w14:paraId="06E594DA">
                  <w:pPr>
                    <w:jc w:val="center"/>
                    <w:rPr>
                      <w:szCs w:val="21"/>
                    </w:rPr>
                  </w:pPr>
                  <w:r>
                    <w:rPr>
                      <w:rFonts w:hint="eastAsia"/>
                      <w:szCs w:val="21"/>
                    </w:rPr>
                    <w:t>序号</w:t>
                  </w:r>
                </w:p>
              </w:tc>
              <w:tc>
                <w:tcPr>
                  <w:tcW w:w="1272" w:type="pct"/>
                  <w:tcBorders>
                    <w:tl2br w:val="nil"/>
                    <w:tr2bl w:val="nil"/>
                  </w:tcBorders>
                  <w:vAlign w:val="center"/>
                </w:tcPr>
                <w:p w14:paraId="081A6CFE">
                  <w:pPr>
                    <w:jc w:val="center"/>
                    <w:rPr>
                      <w:szCs w:val="21"/>
                    </w:rPr>
                  </w:pPr>
                  <w:r>
                    <w:rPr>
                      <w:rFonts w:hint="eastAsia"/>
                      <w:szCs w:val="21"/>
                    </w:rPr>
                    <w:t>名称</w:t>
                  </w:r>
                </w:p>
              </w:tc>
              <w:tc>
                <w:tcPr>
                  <w:tcW w:w="705" w:type="pct"/>
                  <w:tcBorders>
                    <w:tl2br w:val="nil"/>
                    <w:tr2bl w:val="nil"/>
                  </w:tcBorders>
                  <w:vAlign w:val="center"/>
                </w:tcPr>
                <w:p w14:paraId="63FA9580">
                  <w:pPr>
                    <w:jc w:val="center"/>
                    <w:rPr>
                      <w:szCs w:val="21"/>
                    </w:rPr>
                  </w:pPr>
                  <w:r>
                    <w:rPr>
                      <w:rFonts w:hint="eastAsia"/>
                      <w:szCs w:val="21"/>
                    </w:rPr>
                    <w:t>现有数量（台）</w:t>
                  </w:r>
                </w:p>
              </w:tc>
              <w:tc>
                <w:tcPr>
                  <w:tcW w:w="773" w:type="pct"/>
                  <w:tcBorders>
                    <w:tl2br w:val="nil"/>
                    <w:tr2bl w:val="nil"/>
                  </w:tcBorders>
                  <w:vAlign w:val="center"/>
                </w:tcPr>
                <w:p w14:paraId="2C6F87E4">
                  <w:pPr>
                    <w:jc w:val="center"/>
                    <w:rPr>
                      <w:szCs w:val="21"/>
                    </w:rPr>
                  </w:pPr>
                  <w:r>
                    <w:rPr>
                      <w:rFonts w:hint="eastAsia"/>
                      <w:szCs w:val="21"/>
                    </w:rPr>
                    <w:t>本次新增数量（台）</w:t>
                  </w:r>
                </w:p>
              </w:tc>
              <w:tc>
                <w:tcPr>
                  <w:tcW w:w="841" w:type="pct"/>
                  <w:tcBorders>
                    <w:tl2br w:val="nil"/>
                    <w:tr2bl w:val="nil"/>
                  </w:tcBorders>
                  <w:shd w:val="clear" w:color="auto" w:fill="auto"/>
                  <w:vAlign w:val="center"/>
                </w:tcPr>
                <w:p w14:paraId="6914896E">
                  <w:pPr>
                    <w:jc w:val="center"/>
                    <w:rPr>
                      <w:szCs w:val="21"/>
                    </w:rPr>
                  </w:pPr>
                  <w:r>
                    <w:rPr>
                      <w:rFonts w:hint="eastAsia"/>
                      <w:szCs w:val="21"/>
                    </w:rPr>
                    <w:t>改建后全厂数量（台）</w:t>
                  </w:r>
                </w:p>
              </w:tc>
              <w:tc>
                <w:tcPr>
                  <w:tcW w:w="940" w:type="pct"/>
                  <w:tcBorders>
                    <w:tl2br w:val="nil"/>
                    <w:tr2bl w:val="nil"/>
                  </w:tcBorders>
                  <w:vAlign w:val="center"/>
                </w:tcPr>
                <w:p w14:paraId="08F17C27">
                  <w:pPr>
                    <w:jc w:val="center"/>
                    <w:rPr>
                      <w:szCs w:val="21"/>
                    </w:rPr>
                  </w:pPr>
                  <w:r>
                    <w:rPr>
                      <w:rFonts w:hint="eastAsia"/>
                      <w:szCs w:val="21"/>
                    </w:rPr>
                    <w:t>备注</w:t>
                  </w:r>
                </w:p>
              </w:tc>
            </w:tr>
            <w:tr w14:paraId="22381E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tcBorders>
                    <w:tl2br w:val="nil"/>
                    <w:tr2bl w:val="nil"/>
                  </w:tcBorders>
                  <w:vAlign w:val="center"/>
                </w:tcPr>
                <w:p w14:paraId="7479EEF4">
                  <w:pPr>
                    <w:jc w:val="center"/>
                    <w:rPr>
                      <w:szCs w:val="21"/>
                    </w:rPr>
                  </w:pPr>
                  <w:r>
                    <w:rPr>
                      <w:rFonts w:hint="eastAsia"/>
                      <w:szCs w:val="21"/>
                    </w:rPr>
                    <w:t>1</w:t>
                  </w:r>
                </w:p>
              </w:tc>
              <w:tc>
                <w:tcPr>
                  <w:tcW w:w="1272" w:type="pct"/>
                  <w:tcBorders>
                    <w:tl2br w:val="nil"/>
                    <w:tr2bl w:val="nil"/>
                  </w:tcBorders>
                  <w:shd w:val="clear" w:color="auto" w:fill="auto"/>
                  <w:vAlign w:val="center"/>
                </w:tcPr>
                <w:p w14:paraId="0C0DB3F0">
                  <w:pPr>
                    <w:jc w:val="center"/>
                    <w:rPr>
                      <w:szCs w:val="21"/>
                    </w:rPr>
                  </w:pPr>
                  <w:r>
                    <w:rPr>
                      <w:rFonts w:hint="eastAsia"/>
                      <w:szCs w:val="21"/>
                    </w:rPr>
                    <w:t>烘干塔</w:t>
                  </w:r>
                </w:p>
              </w:tc>
              <w:tc>
                <w:tcPr>
                  <w:tcW w:w="705" w:type="pct"/>
                  <w:tcBorders>
                    <w:tl2br w:val="nil"/>
                    <w:tr2bl w:val="nil"/>
                  </w:tcBorders>
                  <w:shd w:val="clear" w:color="auto" w:fill="auto"/>
                  <w:vAlign w:val="center"/>
                </w:tcPr>
                <w:p w14:paraId="1A687BBE">
                  <w:pPr>
                    <w:jc w:val="center"/>
                    <w:rPr>
                      <w:szCs w:val="21"/>
                    </w:rPr>
                  </w:pPr>
                  <w:r>
                    <w:rPr>
                      <w:rFonts w:hint="eastAsia"/>
                      <w:szCs w:val="21"/>
                    </w:rPr>
                    <w:t>1</w:t>
                  </w:r>
                </w:p>
              </w:tc>
              <w:tc>
                <w:tcPr>
                  <w:tcW w:w="773" w:type="pct"/>
                  <w:tcBorders>
                    <w:tl2br w:val="nil"/>
                    <w:tr2bl w:val="nil"/>
                  </w:tcBorders>
                  <w:shd w:val="clear" w:color="auto" w:fill="auto"/>
                  <w:vAlign w:val="center"/>
                </w:tcPr>
                <w:p w14:paraId="48478DFC">
                  <w:pPr>
                    <w:jc w:val="center"/>
                    <w:rPr>
                      <w:szCs w:val="21"/>
                    </w:rPr>
                  </w:pPr>
                  <w:r>
                    <w:rPr>
                      <w:rFonts w:hint="eastAsia"/>
                      <w:szCs w:val="21"/>
                    </w:rPr>
                    <w:t>0</w:t>
                  </w:r>
                </w:p>
              </w:tc>
              <w:tc>
                <w:tcPr>
                  <w:tcW w:w="841" w:type="pct"/>
                  <w:tcBorders>
                    <w:tl2br w:val="nil"/>
                    <w:tr2bl w:val="nil"/>
                  </w:tcBorders>
                  <w:shd w:val="clear" w:color="auto" w:fill="auto"/>
                  <w:vAlign w:val="center"/>
                </w:tcPr>
                <w:p w14:paraId="3F7273D9">
                  <w:pPr>
                    <w:jc w:val="center"/>
                    <w:rPr>
                      <w:szCs w:val="21"/>
                    </w:rPr>
                  </w:pPr>
                  <w:r>
                    <w:rPr>
                      <w:rFonts w:hint="eastAsia"/>
                      <w:szCs w:val="21"/>
                    </w:rPr>
                    <w:t>1</w:t>
                  </w:r>
                </w:p>
              </w:tc>
              <w:tc>
                <w:tcPr>
                  <w:tcW w:w="940" w:type="pct"/>
                  <w:tcBorders>
                    <w:tl2br w:val="nil"/>
                    <w:tr2bl w:val="nil"/>
                  </w:tcBorders>
                  <w:shd w:val="clear" w:color="auto" w:fill="auto"/>
                  <w:vAlign w:val="center"/>
                </w:tcPr>
                <w:p w14:paraId="577E0FC2">
                  <w:pPr>
                    <w:jc w:val="center"/>
                    <w:rPr>
                      <w:szCs w:val="21"/>
                    </w:rPr>
                  </w:pPr>
                  <w:r>
                    <w:rPr>
                      <w:rFonts w:hint="eastAsia"/>
                      <w:szCs w:val="21"/>
                    </w:rPr>
                    <w:t>300t/d</w:t>
                  </w:r>
                </w:p>
              </w:tc>
            </w:tr>
            <w:tr w14:paraId="32B81D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tcBorders>
                    <w:tl2br w:val="nil"/>
                    <w:tr2bl w:val="nil"/>
                  </w:tcBorders>
                  <w:vAlign w:val="center"/>
                </w:tcPr>
                <w:p w14:paraId="3C800D3F">
                  <w:pPr>
                    <w:jc w:val="center"/>
                    <w:rPr>
                      <w:szCs w:val="21"/>
                    </w:rPr>
                  </w:pPr>
                  <w:r>
                    <w:rPr>
                      <w:rFonts w:hint="eastAsia"/>
                      <w:szCs w:val="21"/>
                    </w:rPr>
                    <w:t>2</w:t>
                  </w:r>
                </w:p>
              </w:tc>
              <w:tc>
                <w:tcPr>
                  <w:tcW w:w="1272" w:type="pct"/>
                  <w:tcBorders>
                    <w:tl2br w:val="nil"/>
                    <w:tr2bl w:val="nil"/>
                  </w:tcBorders>
                  <w:shd w:val="clear" w:color="auto" w:fill="auto"/>
                  <w:vAlign w:val="center"/>
                </w:tcPr>
                <w:p w14:paraId="385BF39C">
                  <w:pPr>
                    <w:jc w:val="center"/>
                    <w:rPr>
                      <w:szCs w:val="21"/>
                    </w:rPr>
                  </w:pPr>
                  <w:r>
                    <w:rPr>
                      <w:rFonts w:hint="eastAsia"/>
                      <w:szCs w:val="21"/>
                    </w:rPr>
                    <w:t>生物质热风炉</w:t>
                  </w:r>
                </w:p>
              </w:tc>
              <w:tc>
                <w:tcPr>
                  <w:tcW w:w="705" w:type="pct"/>
                  <w:tcBorders>
                    <w:tl2br w:val="nil"/>
                    <w:tr2bl w:val="nil"/>
                  </w:tcBorders>
                  <w:shd w:val="clear" w:color="auto" w:fill="auto"/>
                  <w:vAlign w:val="center"/>
                </w:tcPr>
                <w:p w14:paraId="37A91412">
                  <w:pPr>
                    <w:jc w:val="center"/>
                    <w:rPr>
                      <w:rFonts w:hint="eastAsia" w:eastAsia="宋体"/>
                      <w:szCs w:val="21"/>
                      <w:lang w:eastAsia="zh-CN"/>
                    </w:rPr>
                  </w:pPr>
                  <w:r>
                    <w:rPr>
                      <w:rFonts w:hint="eastAsia"/>
                      <w:szCs w:val="21"/>
                      <w:lang w:val="en-US" w:eastAsia="zh-CN"/>
                    </w:rPr>
                    <w:t>0</w:t>
                  </w:r>
                </w:p>
              </w:tc>
              <w:tc>
                <w:tcPr>
                  <w:tcW w:w="773" w:type="pct"/>
                  <w:tcBorders>
                    <w:tl2br w:val="nil"/>
                    <w:tr2bl w:val="nil"/>
                  </w:tcBorders>
                  <w:shd w:val="clear" w:color="auto" w:fill="auto"/>
                  <w:vAlign w:val="center"/>
                </w:tcPr>
                <w:p w14:paraId="4448C560">
                  <w:pPr>
                    <w:jc w:val="center"/>
                    <w:rPr>
                      <w:rFonts w:hint="eastAsia" w:eastAsia="宋体"/>
                      <w:szCs w:val="21"/>
                      <w:lang w:eastAsia="zh-CN"/>
                    </w:rPr>
                  </w:pPr>
                  <w:r>
                    <w:rPr>
                      <w:rFonts w:hint="eastAsia"/>
                      <w:color w:val="auto"/>
                      <w:szCs w:val="21"/>
                      <w:lang w:val="en-US" w:eastAsia="zh-CN"/>
                    </w:rPr>
                    <w:t>1</w:t>
                  </w:r>
                </w:p>
              </w:tc>
              <w:tc>
                <w:tcPr>
                  <w:tcW w:w="841" w:type="pct"/>
                  <w:tcBorders>
                    <w:tl2br w:val="nil"/>
                    <w:tr2bl w:val="nil"/>
                  </w:tcBorders>
                  <w:shd w:val="clear" w:color="auto" w:fill="auto"/>
                  <w:vAlign w:val="center"/>
                </w:tcPr>
                <w:p w14:paraId="713067F7">
                  <w:pPr>
                    <w:jc w:val="center"/>
                    <w:rPr>
                      <w:szCs w:val="21"/>
                    </w:rPr>
                  </w:pPr>
                  <w:r>
                    <w:rPr>
                      <w:rFonts w:hint="eastAsia"/>
                      <w:szCs w:val="21"/>
                    </w:rPr>
                    <w:t>1</w:t>
                  </w:r>
                </w:p>
              </w:tc>
              <w:tc>
                <w:tcPr>
                  <w:tcW w:w="940" w:type="pct"/>
                  <w:tcBorders>
                    <w:tl2br w:val="nil"/>
                    <w:tr2bl w:val="nil"/>
                  </w:tcBorders>
                  <w:shd w:val="clear" w:color="auto" w:fill="auto"/>
                  <w:vAlign w:val="center"/>
                </w:tcPr>
                <w:p w14:paraId="53F312C2">
                  <w:pPr>
                    <w:jc w:val="center"/>
                    <w:rPr>
                      <w:szCs w:val="21"/>
                    </w:rPr>
                  </w:pPr>
                  <w:r>
                    <w:rPr>
                      <w:rFonts w:hint="eastAsia"/>
                      <w:szCs w:val="21"/>
                    </w:rPr>
                    <w:t>燃煤热风炉改为燃生物质</w:t>
                  </w:r>
                </w:p>
              </w:tc>
            </w:tr>
            <w:tr w14:paraId="4102FD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tcBorders>
                    <w:tl2br w:val="nil"/>
                    <w:tr2bl w:val="nil"/>
                  </w:tcBorders>
                  <w:vAlign w:val="center"/>
                </w:tcPr>
                <w:p w14:paraId="37E4D866">
                  <w:pPr>
                    <w:jc w:val="center"/>
                    <w:rPr>
                      <w:szCs w:val="21"/>
                    </w:rPr>
                  </w:pPr>
                  <w:r>
                    <w:rPr>
                      <w:rFonts w:hint="eastAsia"/>
                      <w:szCs w:val="21"/>
                    </w:rPr>
                    <w:t>3</w:t>
                  </w:r>
                </w:p>
              </w:tc>
              <w:tc>
                <w:tcPr>
                  <w:tcW w:w="1272" w:type="pct"/>
                  <w:tcBorders>
                    <w:tl2br w:val="nil"/>
                    <w:tr2bl w:val="nil"/>
                  </w:tcBorders>
                  <w:shd w:val="clear" w:color="auto" w:fill="auto"/>
                  <w:vAlign w:val="center"/>
                </w:tcPr>
                <w:p w14:paraId="720AF8A8">
                  <w:pPr>
                    <w:jc w:val="center"/>
                    <w:rPr>
                      <w:szCs w:val="21"/>
                    </w:rPr>
                  </w:pPr>
                  <w:r>
                    <w:rPr>
                      <w:rFonts w:hint="eastAsia"/>
                      <w:szCs w:val="21"/>
                    </w:rPr>
                    <w:t>圆筒初清筛</w:t>
                  </w:r>
                </w:p>
              </w:tc>
              <w:tc>
                <w:tcPr>
                  <w:tcW w:w="705" w:type="pct"/>
                  <w:tcBorders>
                    <w:tl2br w:val="nil"/>
                    <w:tr2bl w:val="nil"/>
                  </w:tcBorders>
                  <w:shd w:val="clear" w:color="auto" w:fill="auto"/>
                  <w:vAlign w:val="center"/>
                </w:tcPr>
                <w:p w14:paraId="6900D229">
                  <w:pPr>
                    <w:jc w:val="center"/>
                    <w:rPr>
                      <w:szCs w:val="21"/>
                    </w:rPr>
                  </w:pPr>
                  <w:r>
                    <w:rPr>
                      <w:rFonts w:hint="eastAsia"/>
                      <w:szCs w:val="21"/>
                    </w:rPr>
                    <w:t>1</w:t>
                  </w:r>
                </w:p>
              </w:tc>
              <w:tc>
                <w:tcPr>
                  <w:tcW w:w="773" w:type="pct"/>
                  <w:tcBorders>
                    <w:tl2br w:val="nil"/>
                    <w:tr2bl w:val="nil"/>
                  </w:tcBorders>
                  <w:shd w:val="clear" w:color="auto" w:fill="auto"/>
                  <w:vAlign w:val="center"/>
                </w:tcPr>
                <w:p w14:paraId="298BE4E2">
                  <w:pPr>
                    <w:jc w:val="center"/>
                    <w:rPr>
                      <w:szCs w:val="21"/>
                    </w:rPr>
                  </w:pPr>
                  <w:r>
                    <w:rPr>
                      <w:rFonts w:hint="eastAsia"/>
                      <w:szCs w:val="21"/>
                    </w:rPr>
                    <w:t>0</w:t>
                  </w:r>
                </w:p>
              </w:tc>
              <w:tc>
                <w:tcPr>
                  <w:tcW w:w="841" w:type="pct"/>
                  <w:tcBorders>
                    <w:tl2br w:val="nil"/>
                    <w:tr2bl w:val="nil"/>
                  </w:tcBorders>
                  <w:shd w:val="clear" w:color="auto" w:fill="auto"/>
                  <w:vAlign w:val="center"/>
                </w:tcPr>
                <w:p w14:paraId="759E1FA3">
                  <w:pPr>
                    <w:jc w:val="center"/>
                    <w:rPr>
                      <w:szCs w:val="21"/>
                    </w:rPr>
                  </w:pPr>
                  <w:r>
                    <w:rPr>
                      <w:rFonts w:hint="eastAsia"/>
                      <w:szCs w:val="21"/>
                    </w:rPr>
                    <w:t>1</w:t>
                  </w:r>
                </w:p>
              </w:tc>
              <w:tc>
                <w:tcPr>
                  <w:tcW w:w="940" w:type="pct"/>
                  <w:tcBorders>
                    <w:tl2br w:val="nil"/>
                    <w:tr2bl w:val="nil"/>
                  </w:tcBorders>
                  <w:shd w:val="clear" w:color="auto" w:fill="auto"/>
                  <w:vAlign w:val="center"/>
                </w:tcPr>
                <w:p w14:paraId="556BEC6D">
                  <w:pPr>
                    <w:jc w:val="center"/>
                    <w:rPr>
                      <w:szCs w:val="21"/>
                    </w:rPr>
                  </w:pPr>
                </w:p>
              </w:tc>
            </w:tr>
            <w:tr w14:paraId="40187C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tcBorders>
                    <w:tl2br w:val="nil"/>
                    <w:tr2bl w:val="nil"/>
                  </w:tcBorders>
                  <w:vAlign w:val="center"/>
                </w:tcPr>
                <w:p w14:paraId="0134068D">
                  <w:pPr>
                    <w:jc w:val="center"/>
                    <w:rPr>
                      <w:szCs w:val="21"/>
                    </w:rPr>
                  </w:pPr>
                  <w:r>
                    <w:rPr>
                      <w:rFonts w:hint="eastAsia"/>
                      <w:szCs w:val="21"/>
                    </w:rPr>
                    <w:t>4</w:t>
                  </w:r>
                </w:p>
              </w:tc>
              <w:tc>
                <w:tcPr>
                  <w:tcW w:w="1272" w:type="pct"/>
                  <w:tcBorders>
                    <w:tl2br w:val="nil"/>
                    <w:tr2bl w:val="nil"/>
                  </w:tcBorders>
                  <w:shd w:val="clear" w:color="auto" w:fill="auto"/>
                  <w:vAlign w:val="center"/>
                </w:tcPr>
                <w:p w14:paraId="36CE6A7B">
                  <w:pPr>
                    <w:jc w:val="center"/>
                    <w:rPr>
                      <w:szCs w:val="21"/>
                    </w:rPr>
                  </w:pPr>
                  <w:r>
                    <w:rPr>
                      <w:rFonts w:hint="eastAsia"/>
                      <w:szCs w:val="21"/>
                    </w:rPr>
                    <w:t>平面回转清理筛</w:t>
                  </w:r>
                </w:p>
              </w:tc>
              <w:tc>
                <w:tcPr>
                  <w:tcW w:w="705" w:type="pct"/>
                  <w:tcBorders>
                    <w:tl2br w:val="nil"/>
                    <w:tr2bl w:val="nil"/>
                  </w:tcBorders>
                  <w:shd w:val="clear" w:color="auto" w:fill="auto"/>
                  <w:vAlign w:val="center"/>
                </w:tcPr>
                <w:p w14:paraId="3701B6FA">
                  <w:pPr>
                    <w:jc w:val="center"/>
                    <w:rPr>
                      <w:szCs w:val="21"/>
                    </w:rPr>
                  </w:pPr>
                  <w:r>
                    <w:rPr>
                      <w:rFonts w:hint="eastAsia"/>
                      <w:szCs w:val="21"/>
                    </w:rPr>
                    <w:t>1</w:t>
                  </w:r>
                </w:p>
              </w:tc>
              <w:tc>
                <w:tcPr>
                  <w:tcW w:w="773" w:type="pct"/>
                  <w:tcBorders>
                    <w:tl2br w:val="nil"/>
                    <w:tr2bl w:val="nil"/>
                  </w:tcBorders>
                  <w:shd w:val="clear" w:color="auto" w:fill="auto"/>
                  <w:vAlign w:val="center"/>
                </w:tcPr>
                <w:p w14:paraId="0D83F816">
                  <w:pPr>
                    <w:jc w:val="center"/>
                    <w:rPr>
                      <w:szCs w:val="21"/>
                    </w:rPr>
                  </w:pPr>
                  <w:r>
                    <w:rPr>
                      <w:rFonts w:hint="eastAsia"/>
                      <w:szCs w:val="21"/>
                    </w:rPr>
                    <w:t>0</w:t>
                  </w:r>
                </w:p>
              </w:tc>
              <w:tc>
                <w:tcPr>
                  <w:tcW w:w="841" w:type="pct"/>
                  <w:tcBorders>
                    <w:tl2br w:val="nil"/>
                    <w:tr2bl w:val="nil"/>
                  </w:tcBorders>
                  <w:shd w:val="clear" w:color="auto" w:fill="auto"/>
                  <w:vAlign w:val="center"/>
                </w:tcPr>
                <w:p w14:paraId="5F7611FC">
                  <w:pPr>
                    <w:jc w:val="center"/>
                    <w:rPr>
                      <w:szCs w:val="21"/>
                    </w:rPr>
                  </w:pPr>
                  <w:r>
                    <w:rPr>
                      <w:rFonts w:hint="eastAsia"/>
                      <w:szCs w:val="21"/>
                    </w:rPr>
                    <w:t>1</w:t>
                  </w:r>
                </w:p>
              </w:tc>
              <w:tc>
                <w:tcPr>
                  <w:tcW w:w="940" w:type="pct"/>
                  <w:tcBorders>
                    <w:tl2br w:val="nil"/>
                    <w:tr2bl w:val="nil"/>
                  </w:tcBorders>
                  <w:shd w:val="clear" w:color="auto" w:fill="auto"/>
                  <w:vAlign w:val="center"/>
                </w:tcPr>
                <w:p w14:paraId="168ED449">
                  <w:pPr>
                    <w:jc w:val="center"/>
                    <w:rPr>
                      <w:szCs w:val="21"/>
                    </w:rPr>
                  </w:pPr>
                </w:p>
              </w:tc>
            </w:tr>
            <w:tr w14:paraId="7C17AA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tcBorders>
                    <w:tl2br w:val="nil"/>
                    <w:tr2bl w:val="nil"/>
                  </w:tcBorders>
                  <w:vAlign w:val="center"/>
                </w:tcPr>
                <w:p w14:paraId="0A0C1A7D">
                  <w:pPr>
                    <w:jc w:val="center"/>
                    <w:rPr>
                      <w:szCs w:val="21"/>
                    </w:rPr>
                  </w:pPr>
                  <w:r>
                    <w:rPr>
                      <w:rFonts w:hint="eastAsia"/>
                      <w:szCs w:val="21"/>
                    </w:rPr>
                    <w:t>5</w:t>
                  </w:r>
                </w:p>
              </w:tc>
              <w:tc>
                <w:tcPr>
                  <w:tcW w:w="1272" w:type="pct"/>
                  <w:tcBorders>
                    <w:tl2br w:val="nil"/>
                    <w:tr2bl w:val="nil"/>
                  </w:tcBorders>
                  <w:shd w:val="clear" w:color="auto" w:fill="auto"/>
                  <w:vAlign w:val="center"/>
                </w:tcPr>
                <w:p w14:paraId="5232C2EF">
                  <w:pPr>
                    <w:jc w:val="center"/>
                    <w:rPr>
                      <w:szCs w:val="21"/>
                    </w:rPr>
                  </w:pPr>
                  <w:r>
                    <w:rPr>
                      <w:rFonts w:hint="eastAsia"/>
                      <w:szCs w:val="21"/>
                    </w:rPr>
                    <w:t>提升机</w:t>
                  </w:r>
                </w:p>
              </w:tc>
              <w:tc>
                <w:tcPr>
                  <w:tcW w:w="705" w:type="pct"/>
                  <w:tcBorders>
                    <w:tl2br w:val="nil"/>
                    <w:tr2bl w:val="nil"/>
                  </w:tcBorders>
                  <w:shd w:val="clear" w:color="auto" w:fill="auto"/>
                  <w:vAlign w:val="center"/>
                </w:tcPr>
                <w:p w14:paraId="696718F1">
                  <w:pPr>
                    <w:jc w:val="center"/>
                    <w:rPr>
                      <w:szCs w:val="21"/>
                    </w:rPr>
                  </w:pPr>
                  <w:r>
                    <w:rPr>
                      <w:rFonts w:hint="eastAsia"/>
                      <w:szCs w:val="21"/>
                    </w:rPr>
                    <w:t>4</w:t>
                  </w:r>
                </w:p>
              </w:tc>
              <w:tc>
                <w:tcPr>
                  <w:tcW w:w="773" w:type="pct"/>
                  <w:tcBorders>
                    <w:tl2br w:val="nil"/>
                    <w:tr2bl w:val="nil"/>
                  </w:tcBorders>
                  <w:shd w:val="clear" w:color="auto" w:fill="auto"/>
                  <w:vAlign w:val="center"/>
                </w:tcPr>
                <w:p w14:paraId="3A10C448">
                  <w:pPr>
                    <w:jc w:val="center"/>
                    <w:rPr>
                      <w:szCs w:val="21"/>
                    </w:rPr>
                  </w:pPr>
                  <w:r>
                    <w:rPr>
                      <w:rFonts w:hint="eastAsia"/>
                      <w:szCs w:val="21"/>
                    </w:rPr>
                    <w:t>0</w:t>
                  </w:r>
                </w:p>
              </w:tc>
              <w:tc>
                <w:tcPr>
                  <w:tcW w:w="841" w:type="pct"/>
                  <w:tcBorders>
                    <w:tl2br w:val="nil"/>
                    <w:tr2bl w:val="nil"/>
                  </w:tcBorders>
                  <w:shd w:val="clear" w:color="auto" w:fill="auto"/>
                  <w:vAlign w:val="center"/>
                </w:tcPr>
                <w:p w14:paraId="42EFE5A3">
                  <w:pPr>
                    <w:jc w:val="center"/>
                    <w:rPr>
                      <w:szCs w:val="21"/>
                    </w:rPr>
                  </w:pPr>
                  <w:r>
                    <w:rPr>
                      <w:rFonts w:hint="eastAsia"/>
                      <w:color w:val="auto"/>
                      <w:szCs w:val="21"/>
                      <w:lang w:val="en-US" w:eastAsia="zh-CN"/>
                    </w:rPr>
                    <w:t>4</w:t>
                  </w:r>
                </w:p>
              </w:tc>
              <w:tc>
                <w:tcPr>
                  <w:tcW w:w="940" w:type="pct"/>
                  <w:tcBorders>
                    <w:tl2br w:val="nil"/>
                    <w:tr2bl w:val="nil"/>
                  </w:tcBorders>
                  <w:shd w:val="clear" w:color="auto" w:fill="auto"/>
                  <w:vAlign w:val="center"/>
                </w:tcPr>
                <w:p w14:paraId="7BAFE8D8">
                  <w:pPr>
                    <w:jc w:val="center"/>
                    <w:rPr>
                      <w:szCs w:val="21"/>
                    </w:rPr>
                  </w:pPr>
                </w:p>
              </w:tc>
            </w:tr>
            <w:tr w14:paraId="2363AA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tcBorders>
                    <w:tl2br w:val="nil"/>
                    <w:tr2bl w:val="nil"/>
                  </w:tcBorders>
                  <w:vAlign w:val="center"/>
                </w:tcPr>
                <w:p w14:paraId="3E885EBE">
                  <w:pPr>
                    <w:jc w:val="center"/>
                    <w:rPr>
                      <w:rFonts w:hint="eastAsia" w:eastAsia="宋体"/>
                      <w:szCs w:val="21"/>
                      <w:lang w:val="en-US" w:eastAsia="zh-CN"/>
                    </w:rPr>
                  </w:pPr>
                  <w:r>
                    <w:rPr>
                      <w:rFonts w:hint="eastAsia"/>
                      <w:szCs w:val="21"/>
                      <w:lang w:val="en-US" w:eastAsia="zh-CN"/>
                    </w:rPr>
                    <w:t>6</w:t>
                  </w:r>
                </w:p>
              </w:tc>
              <w:tc>
                <w:tcPr>
                  <w:tcW w:w="1272" w:type="pct"/>
                  <w:tcBorders>
                    <w:tl2br w:val="nil"/>
                    <w:tr2bl w:val="nil"/>
                  </w:tcBorders>
                  <w:shd w:val="clear" w:color="auto" w:fill="auto"/>
                  <w:vAlign w:val="center"/>
                </w:tcPr>
                <w:p w14:paraId="16C118F7">
                  <w:pPr>
                    <w:jc w:val="center"/>
                    <w:rPr>
                      <w:rFonts w:hint="eastAsia" w:eastAsia="宋体"/>
                      <w:szCs w:val="21"/>
                      <w:lang w:val="en-US" w:eastAsia="zh-CN"/>
                    </w:rPr>
                  </w:pPr>
                  <w:r>
                    <w:rPr>
                      <w:rFonts w:hint="eastAsia"/>
                      <w:szCs w:val="21"/>
                      <w:lang w:val="en-US" w:eastAsia="zh-CN"/>
                    </w:rPr>
                    <w:t>地秤</w:t>
                  </w:r>
                </w:p>
              </w:tc>
              <w:tc>
                <w:tcPr>
                  <w:tcW w:w="705" w:type="pct"/>
                  <w:tcBorders>
                    <w:tl2br w:val="nil"/>
                    <w:tr2bl w:val="nil"/>
                  </w:tcBorders>
                  <w:shd w:val="clear" w:color="auto" w:fill="auto"/>
                  <w:vAlign w:val="center"/>
                </w:tcPr>
                <w:p w14:paraId="53F1383C">
                  <w:pPr>
                    <w:jc w:val="center"/>
                    <w:rPr>
                      <w:rFonts w:hint="eastAsia" w:eastAsia="宋体"/>
                      <w:szCs w:val="21"/>
                      <w:lang w:val="en-US" w:eastAsia="zh-CN"/>
                    </w:rPr>
                  </w:pPr>
                  <w:r>
                    <w:rPr>
                      <w:rFonts w:hint="eastAsia"/>
                      <w:szCs w:val="21"/>
                      <w:lang w:val="en-US" w:eastAsia="zh-CN"/>
                    </w:rPr>
                    <w:t>1</w:t>
                  </w:r>
                </w:p>
              </w:tc>
              <w:tc>
                <w:tcPr>
                  <w:tcW w:w="773" w:type="pct"/>
                  <w:tcBorders>
                    <w:tl2br w:val="nil"/>
                    <w:tr2bl w:val="nil"/>
                  </w:tcBorders>
                  <w:shd w:val="clear" w:color="auto" w:fill="auto"/>
                  <w:vAlign w:val="center"/>
                </w:tcPr>
                <w:p w14:paraId="381EADEA">
                  <w:pPr>
                    <w:jc w:val="center"/>
                    <w:rPr>
                      <w:rFonts w:hint="eastAsia" w:eastAsia="宋体"/>
                      <w:szCs w:val="21"/>
                      <w:lang w:val="en-US" w:eastAsia="zh-CN"/>
                    </w:rPr>
                  </w:pPr>
                  <w:r>
                    <w:rPr>
                      <w:rFonts w:hint="eastAsia"/>
                      <w:szCs w:val="21"/>
                      <w:lang w:val="en-US" w:eastAsia="zh-CN"/>
                    </w:rPr>
                    <w:t>0</w:t>
                  </w:r>
                </w:p>
              </w:tc>
              <w:tc>
                <w:tcPr>
                  <w:tcW w:w="841" w:type="pct"/>
                  <w:tcBorders>
                    <w:tl2br w:val="nil"/>
                    <w:tr2bl w:val="nil"/>
                  </w:tcBorders>
                  <w:shd w:val="clear" w:color="auto" w:fill="auto"/>
                  <w:vAlign w:val="center"/>
                </w:tcPr>
                <w:p w14:paraId="3F4B738C">
                  <w:pPr>
                    <w:jc w:val="center"/>
                    <w:rPr>
                      <w:rFonts w:hint="default"/>
                      <w:color w:val="auto"/>
                      <w:szCs w:val="21"/>
                      <w:lang w:val="en-US" w:eastAsia="zh-CN"/>
                    </w:rPr>
                  </w:pPr>
                  <w:r>
                    <w:rPr>
                      <w:rFonts w:hint="eastAsia"/>
                      <w:color w:val="auto"/>
                      <w:szCs w:val="21"/>
                      <w:lang w:val="en-US" w:eastAsia="zh-CN"/>
                    </w:rPr>
                    <w:t>1</w:t>
                  </w:r>
                </w:p>
              </w:tc>
              <w:tc>
                <w:tcPr>
                  <w:tcW w:w="940" w:type="pct"/>
                  <w:tcBorders>
                    <w:tl2br w:val="nil"/>
                    <w:tr2bl w:val="nil"/>
                  </w:tcBorders>
                  <w:shd w:val="clear" w:color="auto" w:fill="auto"/>
                  <w:vAlign w:val="center"/>
                </w:tcPr>
                <w:p w14:paraId="4ADB8922">
                  <w:pPr>
                    <w:jc w:val="center"/>
                    <w:rPr>
                      <w:szCs w:val="21"/>
                    </w:rPr>
                  </w:pPr>
                </w:p>
              </w:tc>
            </w:tr>
            <w:tr w14:paraId="3C00B5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tcBorders>
                    <w:tl2br w:val="nil"/>
                    <w:tr2bl w:val="nil"/>
                  </w:tcBorders>
                  <w:vAlign w:val="center"/>
                </w:tcPr>
                <w:p w14:paraId="30D4FE9B">
                  <w:pPr>
                    <w:jc w:val="center"/>
                    <w:rPr>
                      <w:rFonts w:hint="default" w:eastAsia="宋体"/>
                      <w:color w:val="C00000"/>
                      <w:szCs w:val="21"/>
                      <w:lang w:val="en-US" w:eastAsia="zh-CN"/>
                    </w:rPr>
                  </w:pPr>
                  <w:r>
                    <w:rPr>
                      <w:rFonts w:hint="eastAsia"/>
                      <w:color w:val="C00000"/>
                      <w:szCs w:val="21"/>
                      <w:lang w:val="en-US" w:eastAsia="zh-CN"/>
                    </w:rPr>
                    <w:t>7</w:t>
                  </w:r>
                </w:p>
              </w:tc>
              <w:tc>
                <w:tcPr>
                  <w:tcW w:w="1272" w:type="pct"/>
                  <w:tcBorders>
                    <w:tl2br w:val="nil"/>
                    <w:tr2bl w:val="nil"/>
                  </w:tcBorders>
                  <w:shd w:val="clear" w:color="auto" w:fill="auto"/>
                  <w:vAlign w:val="center"/>
                </w:tcPr>
                <w:p w14:paraId="4AA43309">
                  <w:pPr>
                    <w:jc w:val="center"/>
                    <w:rPr>
                      <w:rFonts w:hint="default" w:eastAsia="宋体"/>
                      <w:color w:val="C00000"/>
                      <w:szCs w:val="21"/>
                      <w:lang w:val="en-US" w:eastAsia="zh-CN"/>
                    </w:rPr>
                  </w:pPr>
                  <w:r>
                    <w:rPr>
                      <w:rFonts w:hint="eastAsia"/>
                      <w:color w:val="C00000"/>
                      <w:szCs w:val="21"/>
                      <w:lang w:val="en-US" w:eastAsia="zh-CN"/>
                    </w:rPr>
                    <w:t>风机</w:t>
                  </w:r>
                </w:p>
              </w:tc>
              <w:tc>
                <w:tcPr>
                  <w:tcW w:w="705" w:type="pct"/>
                  <w:tcBorders>
                    <w:tl2br w:val="nil"/>
                    <w:tr2bl w:val="nil"/>
                  </w:tcBorders>
                  <w:shd w:val="clear" w:color="auto" w:fill="auto"/>
                  <w:vAlign w:val="center"/>
                </w:tcPr>
                <w:p w14:paraId="5E78B207">
                  <w:pPr>
                    <w:jc w:val="center"/>
                    <w:rPr>
                      <w:rFonts w:hint="default" w:eastAsia="宋体"/>
                      <w:color w:val="C00000"/>
                      <w:szCs w:val="21"/>
                      <w:lang w:val="en-US" w:eastAsia="zh-CN"/>
                    </w:rPr>
                  </w:pPr>
                  <w:r>
                    <w:rPr>
                      <w:rFonts w:hint="eastAsia"/>
                      <w:color w:val="C00000"/>
                      <w:szCs w:val="21"/>
                      <w:lang w:val="en-US" w:eastAsia="zh-CN"/>
                    </w:rPr>
                    <w:t>2</w:t>
                  </w:r>
                </w:p>
              </w:tc>
              <w:tc>
                <w:tcPr>
                  <w:tcW w:w="773" w:type="pct"/>
                  <w:tcBorders>
                    <w:tl2br w:val="nil"/>
                    <w:tr2bl w:val="nil"/>
                  </w:tcBorders>
                  <w:shd w:val="clear" w:color="auto" w:fill="auto"/>
                  <w:vAlign w:val="center"/>
                </w:tcPr>
                <w:p w14:paraId="2E6C2181">
                  <w:pPr>
                    <w:jc w:val="center"/>
                    <w:rPr>
                      <w:rFonts w:hint="eastAsia" w:eastAsia="宋体"/>
                      <w:color w:val="C00000"/>
                      <w:szCs w:val="21"/>
                      <w:lang w:val="en-US" w:eastAsia="zh-CN"/>
                    </w:rPr>
                  </w:pPr>
                  <w:r>
                    <w:rPr>
                      <w:rFonts w:hint="eastAsia"/>
                      <w:color w:val="C00000"/>
                      <w:szCs w:val="21"/>
                      <w:lang w:val="en-US" w:eastAsia="zh-CN"/>
                    </w:rPr>
                    <w:t>0</w:t>
                  </w:r>
                </w:p>
              </w:tc>
              <w:tc>
                <w:tcPr>
                  <w:tcW w:w="841" w:type="pct"/>
                  <w:tcBorders>
                    <w:tl2br w:val="nil"/>
                    <w:tr2bl w:val="nil"/>
                  </w:tcBorders>
                  <w:shd w:val="clear" w:color="auto" w:fill="auto"/>
                  <w:vAlign w:val="center"/>
                </w:tcPr>
                <w:p w14:paraId="5EF9A158">
                  <w:pPr>
                    <w:jc w:val="center"/>
                    <w:rPr>
                      <w:rFonts w:hint="default"/>
                      <w:color w:val="C00000"/>
                      <w:szCs w:val="21"/>
                      <w:lang w:val="en-US" w:eastAsia="zh-CN"/>
                    </w:rPr>
                  </w:pPr>
                  <w:r>
                    <w:rPr>
                      <w:rFonts w:hint="eastAsia"/>
                      <w:color w:val="C00000"/>
                      <w:szCs w:val="21"/>
                      <w:lang w:val="en-US" w:eastAsia="zh-CN"/>
                    </w:rPr>
                    <w:t>2</w:t>
                  </w:r>
                </w:p>
              </w:tc>
              <w:tc>
                <w:tcPr>
                  <w:tcW w:w="940" w:type="pct"/>
                  <w:tcBorders>
                    <w:tl2br w:val="nil"/>
                    <w:tr2bl w:val="nil"/>
                  </w:tcBorders>
                  <w:shd w:val="clear" w:color="auto" w:fill="auto"/>
                  <w:vAlign w:val="center"/>
                </w:tcPr>
                <w:p w14:paraId="3701ABBC">
                  <w:pPr>
                    <w:jc w:val="center"/>
                    <w:rPr>
                      <w:color w:val="C00000"/>
                      <w:szCs w:val="21"/>
                    </w:rPr>
                  </w:pPr>
                </w:p>
              </w:tc>
            </w:tr>
            <w:tr w14:paraId="5727AC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tcBorders>
                    <w:tl2br w:val="nil"/>
                    <w:tr2bl w:val="nil"/>
                  </w:tcBorders>
                  <w:vAlign w:val="center"/>
                </w:tcPr>
                <w:p w14:paraId="6B4D05FC">
                  <w:pPr>
                    <w:jc w:val="center"/>
                    <w:rPr>
                      <w:rFonts w:hint="default"/>
                      <w:color w:val="C00000"/>
                      <w:szCs w:val="21"/>
                      <w:lang w:val="en-US" w:eastAsia="zh-CN"/>
                    </w:rPr>
                  </w:pPr>
                  <w:r>
                    <w:rPr>
                      <w:rFonts w:hint="eastAsia"/>
                      <w:color w:val="C00000"/>
                      <w:szCs w:val="21"/>
                      <w:lang w:val="en-US" w:eastAsia="zh-CN"/>
                    </w:rPr>
                    <w:t>8</w:t>
                  </w:r>
                </w:p>
              </w:tc>
              <w:tc>
                <w:tcPr>
                  <w:tcW w:w="1272" w:type="pct"/>
                  <w:tcBorders>
                    <w:tl2br w:val="nil"/>
                    <w:tr2bl w:val="nil"/>
                  </w:tcBorders>
                  <w:shd w:val="clear" w:color="auto" w:fill="auto"/>
                  <w:vAlign w:val="center"/>
                </w:tcPr>
                <w:p w14:paraId="35DDC37F">
                  <w:pPr>
                    <w:jc w:val="center"/>
                    <w:rPr>
                      <w:rFonts w:hint="default"/>
                      <w:color w:val="C00000"/>
                      <w:szCs w:val="21"/>
                      <w:lang w:val="en-US" w:eastAsia="zh-CN"/>
                    </w:rPr>
                  </w:pPr>
                  <w:r>
                    <w:rPr>
                      <w:rFonts w:hint="eastAsia"/>
                      <w:color w:val="C00000"/>
                      <w:szCs w:val="21"/>
                      <w:lang w:val="en-US" w:eastAsia="zh-CN"/>
                    </w:rPr>
                    <w:t>输送机</w:t>
                  </w:r>
                </w:p>
              </w:tc>
              <w:tc>
                <w:tcPr>
                  <w:tcW w:w="705" w:type="pct"/>
                  <w:tcBorders>
                    <w:tl2br w:val="nil"/>
                    <w:tr2bl w:val="nil"/>
                  </w:tcBorders>
                  <w:shd w:val="clear" w:color="auto" w:fill="auto"/>
                  <w:vAlign w:val="center"/>
                </w:tcPr>
                <w:p w14:paraId="7825404E">
                  <w:pPr>
                    <w:jc w:val="center"/>
                    <w:rPr>
                      <w:rFonts w:hint="default"/>
                      <w:color w:val="C00000"/>
                      <w:szCs w:val="21"/>
                      <w:lang w:val="en-US" w:eastAsia="zh-CN"/>
                    </w:rPr>
                  </w:pPr>
                  <w:r>
                    <w:rPr>
                      <w:rFonts w:hint="eastAsia"/>
                      <w:color w:val="C00000"/>
                      <w:szCs w:val="21"/>
                      <w:lang w:val="en-US" w:eastAsia="zh-CN"/>
                    </w:rPr>
                    <w:t>3</w:t>
                  </w:r>
                </w:p>
              </w:tc>
              <w:tc>
                <w:tcPr>
                  <w:tcW w:w="773" w:type="pct"/>
                  <w:tcBorders>
                    <w:tl2br w:val="nil"/>
                    <w:tr2bl w:val="nil"/>
                  </w:tcBorders>
                  <w:shd w:val="clear" w:color="auto" w:fill="auto"/>
                  <w:vAlign w:val="center"/>
                </w:tcPr>
                <w:p w14:paraId="2B586E6A">
                  <w:pPr>
                    <w:jc w:val="center"/>
                    <w:rPr>
                      <w:rFonts w:hint="default"/>
                      <w:color w:val="C00000"/>
                      <w:szCs w:val="21"/>
                      <w:lang w:val="en-US" w:eastAsia="zh-CN"/>
                    </w:rPr>
                  </w:pPr>
                  <w:r>
                    <w:rPr>
                      <w:rFonts w:hint="eastAsia"/>
                      <w:color w:val="C00000"/>
                      <w:szCs w:val="21"/>
                      <w:lang w:val="en-US" w:eastAsia="zh-CN"/>
                    </w:rPr>
                    <w:t>0</w:t>
                  </w:r>
                </w:p>
              </w:tc>
              <w:tc>
                <w:tcPr>
                  <w:tcW w:w="841" w:type="pct"/>
                  <w:tcBorders>
                    <w:tl2br w:val="nil"/>
                    <w:tr2bl w:val="nil"/>
                  </w:tcBorders>
                  <w:shd w:val="clear" w:color="auto" w:fill="auto"/>
                  <w:vAlign w:val="center"/>
                </w:tcPr>
                <w:p w14:paraId="704C3BDF">
                  <w:pPr>
                    <w:jc w:val="center"/>
                    <w:rPr>
                      <w:rFonts w:hint="default"/>
                      <w:color w:val="C00000"/>
                      <w:szCs w:val="21"/>
                      <w:lang w:val="en-US" w:eastAsia="zh-CN"/>
                    </w:rPr>
                  </w:pPr>
                  <w:r>
                    <w:rPr>
                      <w:rFonts w:hint="eastAsia"/>
                      <w:color w:val="C00000"/>
                      <w:szCs w:val="21"/>
                      <w:lang w:val="en-US" w:eastAsia="zh-CN"/>
                    </w:rPr>
                    <w:t>3</w:t>
                  </w:r>
                </w:p>
              </w:tc>
              <w:tc>
                <w:tcPr>
                  <w:tcW w:w="940" w:type="pct"/>
                  <w:tcBorders>
                    <w:tl2br w:val="nil"/>
                    <w:tr2bl w:val="nil"/>
                  </w:tcBorders>
                  <w:shd w:val="clear" w:color="auto" w:fill="auto"/>
                  <w:vAlign w:val="center"/>
                </w:tcPr>
                <w:p w14:paraId="1F91ACE0">
                  <w:pPr>
                    <w:jc w:val="center"/>
                    <w:rPr>
                      <w:color w:val="C00000"/>
                      <w:szCs w:val="21"/>
                    </w:rPr>
                  </w:pPr>
                </w:p>
              </w:tc>
            </w:tr>
            <w:tr w14:paraId="0612FA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tcBorders>
                    <w:tl2br w:val="nil"/>
                    <w:tr2bl w:val="nil"/>
                  </w:tcBorders>
                  <w:vAlign w:val="center"/>
                </w:tcPr>
                <w:p w14:paraId="0BEFC3CB">
                  <w:pPr>
                    <w:jc w:val="center"/>
                    <w:rPr>
                      <w:rFonts w:hint="default"/>
                      <w:color w:val="C00000"/>
                      <w:szCs w:val="21"/>
                      <w:lang w:val="en-US" w:eastAsia="zh-CN"/>
                    </w:rPr>
                  </w:pPr>
                  <w:r>
                    <w:rPr>
                      <w:rFonts w:hint="eastAsia"/>
                      <w:color w:val="C00000"/>
                      <w:szCs w:val="21"/>
                      <w:lang w:val="en-US" w:eastAsia="zh-CN"/>
                    </w:rPr>
                    <w:t>9</w:t>
                  </w:r>
                </w:p>
              </w:tc>
              <w:tc>
                <w:tcPr>
                  <w:tcW w:w="1272" w:type="pct"/>
                  <w:tcBorders>
                    <w:tl2br w:val="nil"/>
                    <w:tr2bl w:val="nil"/>
                  </w:tcBorders>
                  <w:shd w:val="clear" w:color="auto" w:fill="auto"/>
                  <w:vAlign w:val="center"/>
                </w:tcPr>
                <w:p w14:paraId="7B88D26B">
                  <w:pPr>
                    <w:jc w:val="center"/>
                    <w:rPr>
                      <w:rFonts w:hint="default"/>
                      <w:color w:val="C00000"/>
                      <w:szCs w:val="21"/>
                      <w:lang w:val="en-US" w:eastAsia="zh-CN"/>
                    </w:rPr>
                  </w:pPr>
                  <w:r>
                    <w:rPr>
                      <w:rFonts w:hint="eastAsia"/>
                      <w:color w:val="C00000"/>
                      <w:szCs w:val="21"/>
                      <w:lang w:val="en-US" w:eastAsia="zh-CN"/>
                    </w:rPr>
                    <w:t>高效布袋除尘器</w:t>
                  </w:r>
                </w:p>
              </w:tc>
              <w:tc>
                <w:tcPr>
                  <w:tcW w:w="705" w:type="pct"/>
                  <w:tcBorders>
                    <w:tl2br w:val="nil"/>
                    <w:tr2bl w:val="nil"/>
                  </w:tcBorders>
                  <w:shd w:val="clear" w:color="auto" w:fill="auto"/>
                  <w:vAlign w:val="center"/>
                </w:tcPr>
                <w:p w14:paraId="794F76CE">
                  <w:pPr>
                    <w:jc w:val="center"/>
                    <w:rPr>
                      <w:rFonts w:hint="default"/>
                      <w:color w:val="C00000"/>
                      <w:szCs w:val="21"/>
                      <w:lang w:val="en-US" w:eastAsia="zh-CN"/>
                    </w:rPr>
                  </w:pPr>
                  <w:r>
                    <w:rPr>
                      <w:rFonts w:hint="eastAsia"/>
                      <w:color w:val="C00000"/>
                      <w:szCs w:val="21"/>
                      <w:lang w:val="en-US" w:eastAsia="zh-CN"/>
                    </w:rPr>
                    <w:t>0</w:t>
                  </w:r>
                </w:p>
              </w:tc>
              <w:tc>
                <w:tcPr>
                  <w:tcW w:w="773" w:type="pct"/>
                  <w:tcBorders>
                    <w:tl2br w:val="nil"/>
                    <w:tr2bl w:val="nil"/>
                  </w:tcBorders>
                  <w:shd w:val="clear" w:color="auto" w:fill="auto"/>
                  <w:vAlign w:val="center"/>
                </w:tcPr>
                <w:p w14:paraId="56BECB41">
                  <w:pPr>
                    <w:jc w:val="center"/>
                    <w:rPr>
                      <w:rFonts w:hint="default"/>
                      <w:color w:val="C00000"/>
                      <w:szCs w:val="21"/>
                      <w:lang w:val="en-US" w:eastAsia="zh-CN"/>
                    </w:rPr>
                  </w:pPr>
                  <w:r>
                    <w:rPr>
                      <w:rFonts w:hint="eastAsia"/>
                      <w:color w:val="C00000"/>
                      <w:szCs w:val="21"/>
                      <w:lang w:val="en-US" w:eastAsia="zh-CN"/>
                    </w:rPr>
                    <w:t>1</w:t>
                  </w:r>
                </w:p>
              </w:tc>
              <w:tc>
                <w:tcPr>
                  <w:tcW w:w="841" w:type="pct"/>
                  <w:tcBorders>
                    <w:tl2br w:val="nil"/>
                    <w:tr2bl w:val="nil"/>
                  </w:tcBorders>
                  <w:shd w:val="clear" w:color="auto" w:fill="auto"/>
                  <w:vAlign w:val="center"/>
                </w:tcPr>
                <w:p w14:paraId="3016C689">
                  <w:pPr>
                    <w:jc w:val="center"/>
                    <w:rPr>
                      <w:rFonts w:hint="default"/>
                      <w:color w:val="C00000"/>
                      <w:szCs w:val="21"/>
                      <w:lang w:val="en-US" w:eastAsia="zh-CN"/>
                    </w:rPr>
                  </w:pPr>
                  <w:r>
                    <w:rPr>
                      <w:rFonts w:hint="eastAsia"/>
                      <w:color w:val="C00000"/>
                      <w:szCs w:val="21"/>
                      <w:lang w:val="en-US" w:eastAsia="zh-CN"/>
                    </w:rPr>
                    <w:t>1</w:t>
                  </w:r>
                </w:p>
              </w:tc>
              <w:tc>
                <w:tcPr>
                  <w:tcW w:w="940" w:type="pct"/>
                  <w:tcBorders>
                    <w:tl2br w:val="nil"/>
                    <w:tr2bl w:val="nil"/>
                  </w:tcBorders>
                  <w:shd w:val="clear" w:color="auto" w:fill="auto"/>
                  <w:vAlign w:val="center"/>
                </w:tcPr>
                <w:p w14:paraId="1B365004">
                  <w:pPr>
                    <w:jc w:val="center"/>
                    <w:rPr>
                      <w:color w:val="C00000"/>
                      <w:szCs w:val="21"/>
                    </w:rPr>
                  </w:pPr>
                </w:p>
              </w:tc>
            </w:tr>
          </w:tbl>
          <w:p w14:paraId="3E1A047B">
            <w:pPr>
              <w:spacing w:line="82" w:lineRule="auto"/>
              <w:rPr>
                <w:sz w:val="2"/>
              </w:rPr>
            </w:pPr>
          </w:p>
          <w:p w14:paraId="3F37FE00">
            <w:pPr>
              <w:tabs>
                <w:tab w:val="left" w:pos="6480"/>
              </w:tabs>
              <w:spacing w:line="360" w:lineRule="auto"/>
              <w:ind w:firstLine="482" w:firstLineChars="200"/>
              <w:rPr>
                <w:b/>
                <w:bCs/>
                <w:sz w:val="24"/>
              </w:rPr>
            </w:pPr>
            <w:r>
              <w:rPr>
                <w:rFonts w:hint="eastAsia"/>
                <w:b/>
                <w:bCs/>
                <w:sz w:val="24"/>
                <w:lang w:val="en-US" w:eastAsia="zh-CN"/>
              </w:rPr>
              <w:t>4</w:t>
            </w:r>
            <w:r>
              <w:rPr>
                <w:b/>
                <w:bCs/>
                <w:sz w:val="24"/>
              </w:rPr>
              <w:t>、主要原辅材料及能耗情况</w:t>
            </w:r>
          </w:p>
          <w:p w14:paraId="6FC0AB5A">
            <w:pPr>
              <w:ind w:left="2823"/>
              <w:rPr>
                <w:b/>
                <w:bCs/>
                <w:szCs w:val="21"/>
              </w:rPr>
            </w:pPr>
            <w:r>
              <w:rPr>
                <w:b/>
                <w:bCs/>
                <w:szCs w:val="21"/>
              </w:rPr>
              <w:t>表2-3</w:t>
            </w:r>
            <w:r>
              <w:rPr>
                <w:rFonts w:hint="eastAsia"/>
                <w:b/>
                <w:bCs/>
                <w:szCs w:val="21"/>
              </w:rPr>
              <w:t>本项目</w:t>
            </w:r>
            <w:r>
              <w:rPr>
                <w:b/>
                <w:bCs/>
                <w:szCs w:val="21"/>
              </w:rPr>
              <w:t>原辅材料一览表</w:t>
            </w:r>
          </w:p>
          <w:tbl>
            <w:tblPr>
              <w:tblStyle w:val="32"/>
              <w:tblW w:w="8039"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95"/>
              <w:gridCol w:w="1978"/>
              <w:gridCol w:w="2004"/>
              <w:gridCol w:w="2018"/>
              <w:gridCol w:w="1244"/>
            </w:tblGrid>
            <w:tr w14:paraId="6D5730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795" w:type="dxa"/>
                  <w:vAlign w:val="center"/>
                </w:tcPr>
                <w:p w14:paraId="5C4F1DAD">
                  <w:pPr>
                    <w:pStyle w:val="59"/>
                    <w:spacing w:line="240" w:lineRule="auto"/>
                    <w:ind w:firstLine="0" w:firstLineChars="0"/>
                    <w:jc w:val="center"/>
                    <w:rPr>
                      <w:sz w:val="21"/>
                      <w:szCs w:val="21"/>
                    </w:rPr>
                  </w:pPr>
                  <w:r>
                    <w:rPr>
                      <w:sz w:val="21"/>
                      <w:szCs w:val="21"/>
                    </w:rPr>
                    <w:t>序号</w:t>
                  </w:r>
                </w:p>
              </w:tc>
              <w:tc>
                <w:tcPr>
                  <w:tcW w:w="1978" w:type="dxa"/>
                  <w:vAlign w:val="center"/>
                </w:tcPr>
                <w:p w14:paraId="3279427C">
                  <w:pPr>
                    <w:pStyle w:val="59"/>
                    <w:spacing w:line="240" w:lineRule="auto"/>
                    <w:ind w:firstLine="0" w:firstLineChars="0"/>
                    <w:jc w:val="center"/>
                    <w:rPr>
                      <w:sz w:val="21"/>
                      <w:szCs w:val="21"/>
                    </w:rPr>
                  </w:pPr>
                  <w:r>
                    <w:rPr>
                      <w:sz w:val="21"/>
                      <w:szCs w:val="21"/>
                    </w:rPr>
                    <w:t>名称</w:t>
                  </w:r>
                </w:p>
              </w:tc>
              <w:tc>
                <w:tcPr>
                  <w:tcW w:w="2004" w:type="dxa"/>
                  <w:vAlign w:val="center"/>
                </w:tcPr>
                <w:p w14:paraId="34DF0718">
                  <w:pPr>
                    <w:pStyle w:val="59"/>
                    <w:spacing w:line="240" w:lineRule="auto"/>
                    <w:ind w:firstLine="0" w:firstLineChars="0"/>
                    <w:jc w:val="center"/>
                    <w:rPr>
                      <w:sz w:val="21"/>
                      <w:szCs w:val="21"/>
                    </w:rPr>
                  </w:pPr>
                  <w:r>
                    <w:rPr>
                      <w:rFonts w:hint="eastAsia"/>
                      <w:sz w:val="21"/>
                      <w:szCs w:val="21"/>
                    </w:rPr>
                    <w:t>现有工程</w:t>
                  </w:r>
                  <w:r>
                    <w:rPr>
                      <w:sz w:val="21"/>
                      <w:szCs w:val="21"/>
                    </w:rPr>
                    <w:t>用量</w:t>
                  </w:r>
                  <w:r>
                    <w:rPr>
                      <w:rFonts w:hint="eastAsia"/>
                      <w:sz w:val="21"/>
                      <w:szCs w:val="21"/>
                    </w:rPr>
                    <w:t>t/a</w:t>
                  </w:r>
                </w:p>
              </w:tc>
              <w:tc>
                <w:tcPr>
                  <w:tcW w:w="2018" w:type="dxa"/>
                  <w:vAlign w:val="center"/>
                </w:tcPr>
                <w:p w14:paraId="72F82A8F">
                  <w:pPr>
                    <w:pStyle w:val="59"/>
                    <w:spacing w:line="240" w:lineRule="auto"/>
                    <w:ind w:firstLine="0" w:firstLineChars="0"/>
                    <w:jc w:val="center"/>
                    <w:rPr>
                      <w:sz w:val="21"/>
                      <w:szCs w:val="21"/>
                    </w:rPr>
                  </w:pPr>
                  <w:r>
                    <w:rPr>
                      <w:rFonts w:hint="eastAsia"/>
                      <w:sz w:val="21"/>
                      <w:szCs w:val="21"/>
                    </w:rPr>
                    <w:t>改建后工程用量t/a</w:t>
                  </w:r>
                </w:p>
              </w:tc>
              <w:tc>
                <w:tcPr>
                  <w:tcW w:w="1244" w:type="dxa"/>
                  <w:vAlign w:val="center"/>
                </w:tcPr>
                <w:p w14:paraId="7F66DABB">
                  <w:pPr>
                    <w:pStyle w:val="59"/>
                    <w:spacing w:line="240" w:lineRule="auto"/>
                    <w:ind w:firstLine="0" w:firstLineChars="0"/>
                    <w:jc w:val="center"/>
                    <w:rPr>
                      <w:sz w:val="21"/>
                      <w:szCs w:val="21"/>
                    </w:rPr>
                  </w:pPr>
                  <w:r>
                    <w:rPr>
                      <w:rFonts w:hint="eastAsia"/>
                      <w:sz w:val="21"/>
                      <w:szCs w:val="21"/>
                    </w:rPr>
                    <w:t>备注</w:t>
                  </w:r>
                </w:p>
              </w:tc>
            </w:tr>
            <w:tr w14:paraId="7467EC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795" w:type="dxa"/>
                  <w:vAlign w:val="center"/>
                </w:tcPr>
                <w:p w14:paraId="23C8CDBA">
                  <w:pPr>
                    <w:pStyle w:val="59"/>
                    <w:spacing w:line="240" w:lineRule="auto"/>
                    <w:ind w:firstLine="0" w:firstLineChars="0"/>
                    <w:jc w:val="center"/>
                    <w:rPr>
                      <w:sz w:val="21"/>
                      <w:szCs w:val="21"/>
                    </w:rPr>
                  </w:pPr>
                  <w:r>
                    <w:rPr>
                      <w:sz w:val="21"/>
                      <w:szCs w:val="21"/>
                    </w:rPr>
                    <w:t>1</w:t>
                  </w:r>
                </w:p>
              </w:tc>
              <w:tc>
                <w:tcPr>
                  <w:tcW w:w="1978" w:type="dxa"/>
                  <w:vAlign w:val="center"/>
                </w:tcPr>
                <w:p w14:paraId="3F5B1CA4">
                  <w:pPr>
                    <w:jc w:val="center"/>
                    <w:rPr>
                      <w:szCs w:val="21"/>
                    </w:rPr>
                  </w:pPr>
                  <w:r>
                    <w:rPr>
                      <w:rFonts w:hint="eastAsia"/>
                      <w:szCs w:val="21"/>
                    </w:rPr>
                    <w:t>原粮玉米</w:t>
                  </w:r>
                </w:p>
              </w:tc>
              <w:tc>
                <w:tcPr>
                  <w:tcW w:w="2004" w:type="dxa"/>
                  <w:vAlign w:val="center"/>
                </w:tcPr>
                <w:p w14:paraId="1F4566CA">
                  <w:pPr>
                    <w:jc w:val="center"/>
                    <w:rPr>
                      <w:rFonts w:eastAsiaTheme="minorEastAsia"/>
                      <w:szCs w:val="21"/>
                    </w:rPr>
                  </w:pPr>
                  <w:r>
                    <w:rPr>
                      <w:rFonts w:hint="eastAsia" w:eastAsiaTheme="minorEastAsia"/>
                      <w:szCs w:val="21"/>
                    </w:rPr>
                    <w:t>15000</w:t>
                  </w:r>
                </w:p>
              </w:tc>
              <w:tc>
                <w:tcPr>
                  <w:tcW w:w="2018" w:type="dxa"/>
                  <w:vAlign w:val="center"/>
                </w:tcPr>
                <w:p w14:paraId="341A53C4">
                  <w:pPr>
                    <w:jc w:val="center"/>
                    <w:rPr>
                      <w:szCs w:val="21"/>
                    </w:rPr>
                  </w:pPr>
                  <w:r>
                    <w:rPr>
                      <w:rFonts w:hint="eastAsia" w:eastAsiaTheme="minorEastAsia"/>
                      <w:szCs w:val="21"/>
                    </w:rPr>
                    <w:t>15000</w:t>
                  </w:r>
                </w:p>
              </w:tc>
              <w:tc>
                <w:tcPr>
                  <w:tcW w:w="1244" w:type="dxa"/>
                  <w:shd w:val="clear" w:color="auto" w:fill="auto"/>
                  <w:vAlign w:val="center"/>
                </w:tcPr>
                <w:p w14:paraId="1DFE5CBA">
                  <w:pPr>
                    <w:jc w:val="center"/>
                    <w:rPr>
                      <w:szCs w:val="21"/>
                    </w:rPr>
                  </w:pPr>
                  <w:r>
                    <w:rPr>
                      <w:rFonts w:hint="eastAsia"/>
                      <w:szCs w:val="21"/>
                    </w:rPr>
                    <w:t>外购</w:t>
                  </w:r>
                </w:p>
              </w:tc>
            </w:tr>
            <w:tr w14:paraId="353C76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795" w:type="dxa"/>
                  <w:vAlign w:val="center"/>
                </w:tcPr>
                <w:p w14:paraId="732FA205">
                  <w:pPr>
                    <w:pStyle w:val="59"/>
                    <w:spacing w:line="240" w:lineRule="auto"/>
                    <w:ind w:firstLine="0" w:firstLineChars="0"/>
                    <w:jc w:val="center"/>
                    <w:rPr>
                      <w:sz w:val="21"/>
                      <w:szCs w:val="21"/>
                    </w:rPr>
                  </w:pPr>
                  <w:r>
                    <w:rPr>
                      <w:rFonts w:hint="eastAsia"/>
                      <w:sz w:val="21"/>
                      <w:szCs w:val="21"/>
                    </w:rPr>
                    <w:t>2</w:t>
                  </w:r>
                </w:p>
              </w:tc>
              <w:tc>
                <w:tcPr>
                  <w:tcW w:w="1978" w:type="dxa"/>
                  <w:shd w:val="clear" w:color="auto" w:fill="auto"/>
                  <w:vAlign w:val="center"/>
                </w:tcPr>
                <w:p w14:paraId="03CD3920">
                  <w:pPr>
                    <w:jc w:val="center"/>
                    <w:rPr>
                      <w:szCs w:val="21"/>
                    </w:rPr>
                  </w:pPr>
                  <w:r>
                    <w:rPr>
                      <w:szCs w:val="21"/>
                    </w:rPr>
                    <w:t>生物质</w:t>
                  </w:r>
                  <w:r>
                    <w:rPr>
                      <w:rFonts w:hint="eastAsia"/>
                      <w:szCs w:val="21"/>
                    </w:rPr>
                    <w:t>压块</w:t>
                  </w:r>
                  <w:r>
                    <w:rPr>
                      <w:szCs w:val="21"/>
                    </w:rPr>
                    <w:t>燃料</w:t>
                  </w:r>
                </w:p>
              </w:tc>
              <w:tc>
                <w:tcPr>
                  <w:tcW w:w="2004" w:type="dxa"/>
                  <w:shd w:val="clear" w:color="auto" w:fill="auto"/>
                  <w:vAlign w:val="center"/>
                </w:tcPr>
                <w:p w14:paraId="0CD7612B">
                  <w:pPr>
                    <w:jc w:val="center"/>
                    <w:rPr>
                      <w:rFonts w:eastAsiaTheme="minorEastAsia"/>
                      <w:szCs w:val="21"/>
                    </w:rPr>
                  </w:pPr>
                  <w:r>
                    <w:rPr>
                      <w:rFonts w:hint="eastAsia" w:eastAsiaTheme="minorEastAsia"/>
                      <w:szCs w:val="21"/>
                    </w:rPr>
                    <w:t>/</w:t>
                  </w:r>
                </w:p>
              </w:tc>
              <w:tc>
                <w:tcPr>
                  <w:tcW w:w="2018" w:type="dxa"/>
                  <w:shd w:val="clear" w:color="auto" w:fill="auto"/>
                  <w:vAlign w:val="center"/>
                </w:tcPr>
                <w:p w14:paraId="539E8F31">
                  <w:pPr>
                    <w:jc w:val="center"/>
                    <w:rPr>
                      <w:rFonts w:hint="eastAsia" w:eastAsia="宋体"/>
                      <w:szCs w:val="21"/>
                      <w:lang w:eastAsia="zh-CN"/>
                    </w:rPr>
                  </w:pPr>
                  <w:r>
                    <w:rPr>
                      <w:rFonts w:hint="eastAsia" w:eastAsiaTheme="minorEastAsia"/>
                      <w:kern w:val="0"/>
                      <w:szCs w:val="21"/>
                      <w:lang w:eastAsia="zh-CN" w:bidi="ar"/>
                    </w:rPr>
                    <w:t>1303</w:t>
                  </w:r>
                </w:p>
              </w:tc>
              <w:tc>
                <w:tcPr>
                  <w:tcW w:w="1244" w:type="dxa"/>
                  <w:shd w:val="clear" w:color="auto" w:fill="auto"/>
                  <w:vAlign w:val="center"/>
                </w:tcPr>
                <w:p w14:paraId="2C5BCD00">
                  <w:pPr>
                    <w:jc w:val="center"/>
                    <w:rPr>
                      <w:szCs w:val="21"/>
                    </w:rPr>
                  </w:pPr>
                  <w:r>
                    <w:rPr>
                      <w:rFonts w:hint="eastAsia"/>
                      <w:szCs w:val="21"/>
                    </w:rPr>
                    <w:t>外购</w:t>
                  </w:r>
                </w:p>
              </w:tc>
            </w:tr>
          </w:tbl>
          <w:p w14:paraId="56130EC5">
            <w:pPr>
              <w:jc w:val="center"/>
              <w:rPr>
                <w:b/>
                <w:bCs/>
                <w:kern w:val="0"/>
                <w:szCs w:val="21"/>
              </w:rPr>
            </w:pPr>
          </w:p>
          <w:p w14:paraId="14727AB9">
            <w:pPr>
              <w:adjustRightInd w:val="0"/>
              <w:snapToGrid w:val="0"/>
              <w:ind w:firstLine="422" w:firstLineChars="200"/>
              <w:jc w:val="center"/>
              <w:rPr>
                <w:b/>
                <w:bCs/>
                <w:szCs w:val="21"/>
              </w:rPr>
            </w:pPr>
            <w:r>
              <w:rPr>
                <w:b/>
                <w:bCs/>
                <w:szCs w:val="21"/>
              </w:rPr>
              <w:t>表</w:t>
            </w:r>
            <w:r>
              <w:rPr>
                <w:rFonts w:hint="eastAsia"/>
                <w:b/>
                <w:bCs/>
                <w:szCs w:val="21"/>
              </w:rPr>
              <w:t>2-4 生物质压块</w:t>
            </w:r>
            <w:r>
              <w:rPr>
                <w:b/>
                <w:bCs/>
                <w:szCs w:val="21"/>
              </w:rPr>
              <w:t>燃料</w:t>
            </w:r>
            <w:r>
              <w:rPr>
                <w:rFonts w:hint="eastAsia"/>
                <w:b/>
                <w:bCs/>
                <w:szCs w:val="21"/>
              </w:rPr>
              <w:t>成分</w:t>
            </w:r>
            <w:r>
              <w:rPr>
                <w:b/>
                <w:bCs/>
                <w:szCs w:val="21"/>
              </w:rPr>
              <w:t>检验结果表</w:t>
            </w:r>
          </w:p>
          <w:tbl>
            <w:tblPr>
              <w:tblStyle w:val="32"/>
              <w:tblW w:w="800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10"/>
              <w:gridCol w:w="2686"/>
              <w:gridCol w:w="1872"/>
              <w:gridCol w:w="1185"/>
              <w:gridCol w:w="1349"/>
            </w:tblGrid>
            <w:tr w14:paraId="65064E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0" w:type="dxa"/>
                  <w:vAlign w:val="center"/>
                </w:tcPr>
                <w:p w14:paraId="289224EC">
                  <w:pPr>
                    <w:pStyle w:val="61"/>
                  </w:pPr>
                  <w:bookmarkStart w:id="7" w:name="_Hlk113542587"/>
                  <w:r>
                    <w:rPr>
                      <w:rFonts w:hint="eastAsia"/>
                    </w:rPr>
                    <w:t>序号</w:t>
                  </w:r>
                </w:p>
              </w:tc>
              <w:tc>
                <w:tcPr>
                  <w:tcW w:w="2686" w:type="dxa"/>
                  <w:vAlign w:val="center"/>
                </w:tcPr>
                <w:p w14:paraId="2D80169D">
                  <w:pPr>
                    <w:pStyle w:val="61"/>
                  </w:pPr>
                  <w:r>
                    <w:rPr>
                      <w:rFonts w:hint="eastAsia"/>
                    </w:rPr>
                    <w:t>检验项目</w:t>
                  </w:r>
                </w:p>
              </w:tc>
              <w:tc>
                <w:tcPr>
                  <w:tcW w:w="1872" w:type="dxa"/>
                  <w:vAlign w:val="center"/>
                </w:tcPr>
                <w:p w14:paraId="2FD3DC46">
                  <w:pPr>
                    <w:pStyle w:val="61"/>
                  </w:pPr>
                  <w:r>
                    <w:rPr>
                      <w:rFonts w:hint="eastAsia"/>
                    </w:rPr>
                    <w:t>单位</w:t>
                  </w:r>
                </w:p>
              </w:tc>
              <w:tc>
                <w:tcPr>
                  <w:tcW w:w="1185" w:type="dxa"/>
                  <w:vAlign w:val="center"/>
                </w:tcPr>
                <w:p w14:paraId="0523DFFA">
                  <w:pPr>
                    <w:pStyle w:val="61"/>
                  </w:pPr>
                  <w:r>
                    <w:rPr>
                      <w:rFonts w:hint="eastAsia"/>
                    </w:rPr>
                    <w:t>检验值</w:t>
                  </w:r>
                </w:p>
              </w:tc>
              <w:tc>
                <w:tcPr>
                  <w:tcW w:w="1349" w:type="dxa"/>
                  <w:vAlign w:val="center"/>
                </w:tcPr>
                <w:p w14:paraId="1975C6D0">
                  <w:pPr>
                    <w:pStyle w:val="61"/>
                  </w:pPr>
                  <w:r>
                    <w:rPr>
                      <w:rFonts w:hint="eastAsia"/>
                    </w:rPr>
                    <w:t>备注</w:t>
                  </w:r>
                </w:p>
                <w:p w14:paraId="58473F89">
                  <w:pPr>
                    <w:pStyle w:val="61"/>
                  </w:pPr>
                  <w:r>
                    <w:rPr>
                      <w:rFonts w:hint="eastAsia"/>
                    </w:rPr>
                    <w:t>（卡/千克）</w:t>
                  </w:r>
                </w:p>
              </w:tc>
            </w:tr>
            <w:tr w14:paraId="35BCD3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0" w:type="dxa"/>
                  <w:vAlign w:val="center"/>
                </w:tcPr>
                <w:p w14:paraId="4818FC14">
                  <w:pPr>
                    <w:pStyle w:val="61"/>
                  </w:pPr>
                  <w:r>
                    <w:t>1</w:t>
                  </w:r>
                </w:p>
              </w:tc>
              <w:tc>
                <w:tcPr>
                  <w:tcW w:w="2686" w:type="dxa"/>
                  <w:shd w:val="clear" w:color="auto" w:fill="auto"/>
                  <w:vAlign w:val="center"/>
                </w:tcPr>
                <w:p w14:paraId="6D2E1C50">
                  <w:pPr>
                    <w:pStyle w:val="61"/>
                  </w:pPr>
                  <w:r>
                    <w:rPr>
                      <w:rFonts w:hint="eastAsia"/>
                    </w:rPr>
                    <w:t>全水分</w:t>
                  </w:r>
                </w:p>
              </w:tc>
              <w:tc>
                <w:tcPr>
                  <w:tcW w:w="1872" w:type="dxa"/>
                  <w:shd w:val="clear" w:color="auto" w:fill="auto"/>
                  <w:vAlign w:val="center"/>
                </w:tcPr>
                <w:p w14:paraId="46A14B14">
                  <w:pPr>
                    <w:pStyle w:val="61"/>
                  </w:pPr>
                  <w:r>
                    <w:rPr>
                      <w:rFonts w:hint="eastAsia"/>
                    </w:rPr>
                    <w:t>Mt(%)</w:t>
                  </w:r>
                </w:p>
              </w:tc>
              <w:tc>
                <w:tcPr>
                  <w:tcW w:w="1185" w:type="dxa"/>
                  <w:shd w:val="clear" w:color="auto" w:fill="auto"/>
                  <w:vAlign w:val="center"/>
                </w:tcPr>
                <w:p w14:paraId="35754D48">
                  <w:pPr>
                    <w:pStyle w:val="61"/>
                  </w:pPr>
                  <w:r>
                    <w:rPr>
                      <w:rFonts w:hint="eastAsia"/>
                    </w:rPr>
                    <w:t>11.0</w:t>
                  </w:r>
                </w:p>
              </w:tc>
              <w:tc>
                <w:tcPr>
                  <w:tcW w:w="1349" w:type="dxa"/>
                  <w:shd w:val="clear" w:color="auto" w:fill="auto"/>
                  <w:vAlign w:val="center"/>
                </w:tcPr>
                <w:p w14:paraId="6B9B5D49">
                  <w:pPr>
                    <w:pStyle w:val="61"/>
                  </w:pPr>
                </w:p>
              </w:tc>
            </w:tr>
            <w:tr w14:paraId="697D9E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0" w:type="dxa"/>
                  <w:vAlign w:val="center"/>
                </w:tcPr>
                <w:p w14:paraId="4E155A92">
                  <w:pPr>
                    <w:pStyle w:val="61"/>
                  </w:pPr>
                  <w:r>
                    <w:t>2</w:t>
                  </w:r>
                </w:p>
              </w:tc>
              <w:tc>
                <w:tcPr>
                  <w:tcW w:w="2686" w:type="dxa"/>
                  <w:shd w:val="clear" w:color="auto" w:fill="auto"/>
                  <w:vAlign w:val="center"/>
                </w:tcPr>
                <w:p w14:paraId="6E2D8D21">
                  <w:pPr>
                    <w:pStyle w:val="61"/>
                  </w:pPr>
                  <w:r>
                    <w:rPr>
                      <w:rFonts w:hint="eastAsia"/>
                    </w:rPr>
                    <w:t>干燥无灰基挥发分</w:t>
                  </w:r>
                </w:p>
              </w:tc>
              <w:tc>
                <w:tcPr>
                  <w:tcW w:w="1872" w:type="dxa"/>
                  <w:shd w:val="clear" w:color="auto" w:fill="auto"/>
                  <w:vAlign w:val="center"/>
                </w:tcPr>
                <w:p w14:paraId="4311431B">
                  <w:pPr>
                    <w:pStyle w:val="61"/>
                  </w:pPr>
                  <w:r>
                    <w:rPr>
                      <w:rFonts w:hint="eastAsia"/>
                    </w:rPr>
                    <w:t>Vdaf</w:t>
                  </w:r>
                  <w:r>
                    <w:rPr>
                      <w:rFonts w:hint="eastAsia"/>
                      <w:lang w:eastAsia="zh-CN"/>
                    </w:rPr>
                    <w:t>(</w:t>
                  </w:r>
                  <w:r>
                    <w:rPr>
                      <w:rFonts w:hint="eastAsia"/>
                    </w:rPr>
                    <w:t>%</w:t>
                  </w:r>
                  <w:r>
                    <w:rPr>
                      <w:rFonts w:hint="eastAsia"/>
                      <w:lang w:eastAsia="zh-CN"/>
                    </w:rPr>
                    <w:t>)</w:t>
                  </w:r>
                </w:p>
              </w:tc>
              <w:tc>
                <w:tcPr>
                  <w:tcW w:w="1185" w:type="dxa"/>
                  <w:shd w:val="clear" w:color="auto" w:fill="auto"/>
                  <w:vAlign w:val="center"/>
                </w:tcPr>
                <w:p w14:paraId="28CD5015">
                  <w:pPr>
                    <w:pStyle w:val="61"/>
                  </w:pPr>
                  <w:r>
                    <w:rPr>
                      <w:rFonts w:hint="eastAsia"/>
                    </w:rPr>
                    <w:t>82.71</w:t>
                  </w:r>
                </w:p>
              </w:tc>
              <w:tc>
                <w:tcPr>
                  <w:tcW w:w="1349" w:type="dxa"/>
                  <w:shd w:val="clear" w:color="auto" w:fill="auto"/>
                  <w:vAlign w:val="center"/>
                </w:tcPr>
                <w:p w14:paraId="13022656">
                  <w:pPr>
                    <w:pStyle w:val="61"/>
                  </w:pPr>
                </w:p>
              </w:tc>
            </w:tr>
            <w:tr w14:paraId="1A7708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0" w:type="dxa"/>
                  <w:vAlign w:val="center"/>
                </w:tcPr>
                <w:p w14:paraId="3DAFD2F7">
                  <w:pPr>
                    <w:pStyle w:val="61"/>
                  </w:pPr>
                  <w:r>
                    <w:t>3</w:t>
                  </w:r>
                </w:p>
              </w:tc>
              <w:tc>
                <w:tcPr>
                  <w:tcW w:w="2686" w:type="dxa"/>
                  <w:vAlign w:val="center"/>
                </w:tcPr>
                <w:p w14:paraId="334A9AEE">
                  <w:pPr>
                    <w:pStyle w:val="61"/>
                  </w:pPr>
                  <w:r>
                    <w:rPr>
                      <w:rFonts w:hint="eastAsia"/>
                    </w:rPr>
                    <w:t>收到基灰分</w:t>
                  </w:r>
                </w:p>
              </w:tc>
              <w:tc>
                <w:tcPr>
                  <w:tcW w:w="1872" w:type="dxa"/>
                  <w:vAlign w:val="center"/>
                </w:tcPr>
                <w:p w14:paraId="71DE422A">
                  <w:pPr>
                    <w:pStyle w:val="61"/>
                  </w:pPr>
                  <w:r>
                    <w:rPr>
                      <w:rFonts w:hint="eastAsia"/>
                    </w:rPr>
                    <w:t>Aar</w:t>
                  </w:r>
                  <w:r>
                    <w:rPr>
                      <w:rFonts w:hint="eastAsia"/>
                      <w:lang w:eastAsia="zh-CN"/>
                    </w:rPr>
                    <w:t>(</w:t>
                  </w:r>
                  <w:r>
                    <w:rPr>
                      <w:rFonts w:hint="eastAsia"/>
                    </w:rPr>
                    <w:t>%</w:t>
                  </w:r>
                  <w:r>
                    <w:rPr>
                      <w:rFonts w:hint="eastAsia"/>
                      <w:lang w:eastAsia="zh-CN"/>
                    </w:rPr>
                    <w:t>)</w:t>
                  </w:r>
                </w:p>
              </w:tc>
              <w:tc>
                <w:tcPr>
                  <w:tcW w:w="1185" w:type="dxa"/>
                  <w:vAlign w:val="center"/>
                </w:tcPr>
                <w:p w14:paraId="5C18958A">
                  <w:pPr>
                    <w:pStyle w:val="61"/>
                  </w:pPr>
                  <w:r>
                    <w:rPr>
                      <w:rFonts w:hint="eastAsia"/>
                    </w:rPr>
                    <w:t>8.83</w:t>
                  </w:r>
                </w:p>
              </w:tc>
              <w:tc>
                <w:tcPr>
                  <w:tcW w:w="1349" w:type="dxa"/>
                  <w:vAlign w:val="center"/>
                </w:tcPr>
                <w:p w14:paraId="7D9EAB99">
                  <w:pPr>
                    <w:pStyle w:val="61"/>
                  </w:pPr>
                </w:p>
              </w:tc>
            </w:tr>
            <w:tr w14:paraId="183C2E2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0" w:type="dxa"/>
                  <w:vAlign w:val="center"/>
                </w:tcPr>
                <w:p w14:paraId="6EBF9A74">
                  <w:pPr>
                    <w:pStyle w:val="61"/>
                  </w:pPr>
                  <w:r>
                    <w:rPr>
                      <w:rFonts w:hint="eastAsia"/>
                    </w:rPr>
                    <w:t>4</w:t>
                  </w:r>
                </w:p>
              </w:tc>
              <w:tc>
                <w:tcPr>
                  <w:tcW w:w="2686" w:type="dxa"/>
                  <w:shd w:val="clear" w:color="auto" w:fill="auto"/>
                  <w:vAlign w:val="center"/>
                </w:tcPr>
                <w:p w14:paraId="3AF32D76">
                  <w:pPr>
                    <w:pStyle w:val="61"/>
                  </w:pPr>
                  <w:r>
                    <w:rPr>
                      <w:rFonts w:hint="eastAsia"/>
                    </w:rPr>
                    <w:t>收到基固定碳</w:t>
                  </w:r>
                </w:p>
              </w:tc>
              <w:tc>
                <w:tcPr>
                  <w:tcW w:w="1872" w:type="dxa"/>
                  <w:shd w:val="clear" w:color="auto" w:fill="auto"/>
                  <w:vAlign w:val="center"/>
                </w:tcPr>
                <w:p w14:paraId="6CAFBA8A">
                  <w:pPr>
                    <w:pStyle w:val="61"/>
                  </w:pPr>
                  <w:r>
                    <w:rPr>
                      <w:rFonts w:hint="eastAsia"/>
                    </w:rPr>
                    <w:t>Fcad</w:t>
                  </w:r>
                  <w:r>
                    <w:rPr>
                      <w:rFonts w:hint="eastAsia"/>
                      <w:lang w:eastAsia="zh-CN"/>
                    </w:rPr>
                    <w:t>(</w:t>
                  </w:r>
                  <w:r>
                    <w:rPr>
                      <w:rFonts w:hint="eastAsia"/>
                    </w:rPr>
                    <w:t>%</w:t>
                  </w:r>
                  <w:r>
                    <w:rPr>
                      <w:rFonts w:hint="eastAsia"/>
                      <w:lang w:eastAsia="zh-CN"/>
                    </w:rPr>
                    <w:t>)</w:t>
                  </w:r>
                </w:p>
              </w:tc>
              <w:tc>
                <w:tcPr>
                  <w:tcW w:w="1185" w:type="dxa"/>
                  <w:shd w:val="clear" w:color="auto" w:fill="auto"/>
                  <w:vAlign w:val="center"/>
                </w:tcPr>
                <w:p w14:paraId="28F17986">
                  <w:pPr>
                    <w:pStyle w:val="61"/>
                  </w:pPr>
                  <w:r>
                    <w:rPr>
                      <w:rFonts w:hint="eastAsia"/>
                    </w:rPr>
                    <w:t>13.86</w:t>
                  </w:r>
                </w:p>
              </w:tc>
              <w:tc>
                <w:tcPr>
                  <w:tcW w:w="1349" w:type="dxa"/>
                  <w:shd w:val="clear" w:color="auto" w:fill="auto"/>
                  <w:vAlign w:val="center"/>
                </w:tcPr>
                <w:p w14:paraId="7BA6D8A0">
                  <w:pPr>
                    <w:pStyle w:val="61"/>
                  </w:pPr>
                </w:p>
              </w:tc>
            </w:tr>
            <w:tr w14:paraId="05A7120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54" w:hRule="atLeast"/>
                <w:jc w:val="center"/>
              </w:trPr>
              <w:tc>
                <w:tcPr>
                  <w:tcW w:w="910" w:type="dxa"/>
                  <w:vAlign w:val="center"/>
                </w:tcPr>
                <w:p w14:paraId="0A98E91D">
                  <w:pPr>
                    <w:pStyle w:val="61"/>
                  </w:pPr>
                  <w:r>
                    <w:rPr>
                      <w:rFonts w:hint="eastAsia"/>
                    </w:rPr>
                    <w:t>5</w:t>
                  </w:r>
                </w:p>
              </w:tc>
              <w:tc>
                <w:tcPr>
                  <w:tcW w:w="2686" w:type="dxa"/>
                  <w:shd w:val="clear" w:color="auto" w:fill="auto"/>
                  <w:vAlign w:val="center"/>
                </w:tcPr>
                <w:p w14:paraId="5BB4587C">
                  <w:pPr>
                    <w:pStyle w:val="61"/>
                  </w:pPr>
                  <w:r>
                    <w:rPr>
                      <w:rFonts w:hint="eastAsia"/>
                    </w:rPr>
                    <w:t>收到基碳</w:t>
                  </w:r>
                </w:p>
              </w:tc>
              <w:tc>
                <w:tcPr>
                  <w:tcW w:w="1872" w:type="dxa"/>
                  <w:shd w:val="clear" w:color="auto" w:fill="auto"/>
                  <w:vAlign w:val="center"/>
                </w:tcPr>
                <w:p w14:paraId="64568759">
                  <w:pPr>
                    <w:pStyle w:val="61"/>
                  </w:pPr>
                  <w:r>
                    <w:rPr>
                      <w:rFonts w:hint="eastAsia"/>
                    </w:rPr>
                    <w:t>Car</w:t>
                  </w:r>
                  <w:r>
                    <w:rPr>
                      <w:rFonts w:hint="eastAsia"/>
                      <w:lang w:eastAsia="zh-CN"/>
                    </w:rPr>
                    <w:t>(</w:t>
                  </w:r>
                  <w:r>
                    <w:rPr>
                      <w:rFonts w:hint="eastAsia"/>
                    </w:rPr>
                    <w:t>%</w:t>
                  </w:r>
                  <w:r>
                    <w:rPr>
                      <w:rFonts w:hint="eastAsia"/>
                      <w:lang w:eastAsia="zh-CN"/>
                    </w:rPr>
                    <w:t>)</w:t>
                  </w:r>
                </w:p>
              </w:tc>
              <w:tc>
                <w:tcPr>
                  <w:tcW w:w="1185" w:type="dxa"/>
                  <w:shd w:val="clear" w:color="auto" w:fill="auto"/>
                  <w:vAlign w:val="center"/>
                </w:tcPr>
                <w:p w14:paraId="1C37F9F7">
                  <w:pPr>
                    <w:pStyle w:val="61"/>
                  </w:pPr>
                  <w:r>
                    <w:rPr>
                      <w:rFonts w:hint="eastAsia"/>
                    </w:rPr>
                    <w:t>39.79</w:t>
                  </w:r>
                </w:p>
              </w:tc>
              <w:tc>
                <w:tcPr>
                  <w:tcW w:w="1349" w:type="dxa"/>
                  <w:shd w:val="clear" w:color="auto" w:fill="auto"/>
                  <w:vAlign w:val="center"/>
                </w:tcPr>
                <w:p w14:paraId="18B6FF2E">
                  <w:pPr>
                    <w:pStyle w:val="61"/>
                  </w:pPr>
                </w:p>
              </w:tc>
            </w:tr>
            <w:tr w14:paraId="583BFD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0" w:type="dxa"/>
                  <w:vAlign w:val="center"/>
                </w:tcPr>
                <w:p w14:paraId="732FB958">
                  <w:pPr>
                    <w:pStyle w:val="61"/>
                  </w:pPr>
                  <w:r>
                    <w:rPr>
                      <w:rFonts w:hint="eastAsia"/>
                    </w:rPr>
                    <w:t>6</w:t>
                  </w:r>
                </w:p>
              </w:tc>
              <w:tc>
                <w:tcPr>
                  <w:tcW w:w="2686" w:type="dxa"/>
                  <w:shd w:val="clear" w:color="auto" w:fill="auto"/>
                  <w:vAlign w:val="center"/>
                </w:tcPr>
                <w:p w14:paraId="1317925B">
                  <w:pPr>
                    <w:pStyle w:val="61"/>
                  </w:pPr>
                  <w:r>
                    <w:rPr>
                      <w:rFonts w:hint="eastAsia"/>
                    </w:rPr>
                    <w:t>收到基氢</w:t>
                  </w:r>
                </w:p>
              </w:tc>
              <w:tc>
                <w:tcPr>
                  <w:tcW w:w="1872" w:type="dxa"/>
                  <w:shd w:val="clear" w:color="auto" w:fill="auto"/>
                  <w:vAlign w:val="center"/>
                </w:tcPr>
                <w:p w14:paraId="49F4EAAA">
                  <w:pPr>
                    <w:pStyle w:val="61"/>
                  </w:pPr>
                  <w:r>
                    <w:rPr>
                      <w:rFonts w:hint="eastAsia"/>
                    </w:rPr>
                    <w:t>Har</w:t>
                  </w:r>
                  <w:r>
                    <w:rPr>
                      <w:rFonts w:hint="eastAsia"/>
                      <w:lang w:eastAsia="zh-CN"/>
                    </w:rPr>
                    <w:t>(</w:t>
                  </w:r>
                  <w:r>
                    <w:rPr>
                      <w:rFonts w:hint="eastAsia"/>
                    </w:rPr>
                    <w:t>%</w:t>
                  </w:r>
                  <w:r>
                    <w:rPr>
                      <w:rFonts w:hint="eastAsia"/>
                      <w:lang w:eastAsia="zh-CN"/>
                    </w:rPr>
                    <w:t>)</w:t>
                  </w:r>
                </w:p>
              </w:tc>
              <w:tc>
                <w:tcPr>
                  <w:tcW w:w="1185" w:type="dxa"/>
                  <w:shd w:val="clear" w:color="auto" w:fill="auto"/>
                  <w:vAlign w:val="center"/>
                </w:tcPr>
                <w:p w14:paraId="6112EFBA">
                  <w:pPr>
                    <w:pStyle w:val="61"/>
                  </w:pPr>
                  <w:r>
                    <w:rPr>
                      <w:rFonts w:hint="eastAsia"/>
                    </w:rPr>
                    <w:t>4.42</w:t>
                  </w:r>
                </w:p>
              </w:tc>
              <w:tc>
                <w:tcPr>
                  <w:tcW w:w="1349" w:type="dxa"/>
                  <w:shd w:val="clear" w:color="auto" w:fill="auto"/>
                  <w:vAlign w:val="center"/>
                </w:tcPr>
                <w:p w14:paraId="66E656A7">
                  <w:pPr>
                    <w:pStyle w:val="61"/>
                  </w:pPr>
                </w:p>
              </w:tc>
            </w:tr>
            <w:tr w14:paraId="4CB494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0" w:type="dxa"/>
                  <w:vAlign w:val="center"/>
                </w:tcPr>
                <w:p w14:paraId="14B8EB37">
                  <w:pPr>
                    <w:pStyle w:val="61"/>
                  </w:pPr>
                  <w:r>
                    <w:rPr>
                      <w:rFonts w:hint="eastAsia"/>
                    </w:rPr>
                    <w:t>7</w:t>
                  </w:r>
                </w:p>
              </w:tc>
              <w:tc>
                <w:tcPr>
                  <w:tcW w:w="2686" w:type="dxa"/>
                  <w:shd w:val="clear" w:color="auto" w:fill="auto"/>
                  <w:vAlign w:val="center"/>
                </w:tcPr>
                <w:p w14:paraId="66CBE977">
                  <w:pPr>
                    <w:pStyle w:val="61"/>
                  </w:pPr>
                  <w:r>
                    <w:rPr>
                      <w:rFonts w:hint="eastAsia"/>
                    </w:rPr>
                    <w:t>收到基氮</w:t>
                  </w:r>
                </w:p>
              </w:tc>
              <w:tc>
                <w:tcPr>
                  <w:tcW w:w="1872" w:type="dxa"/>
                  <w:shd w:val="clear" w:color="auto" w:fill="auto"/>
                  <w:vAlign w:val="center"/>
                </w:tcPr>
                <w:p w14:paraId="329BEA7C">
                  <w:pPr>
                    <w:pStyle w:val="61"/>
                  </w:pPr>
                  <w:r>
                    <w:rPr>
                      <w:rFonts w:hint="eastAsia"/>
                    </w:rPr>
                    <w:t>Nar</w:t>
                  </w:r>
                  <w:r>
                    <w:rPr>
                      <w:rFonts w:hint="eastAsia"/>
                      <w:lang w:eastAsia="zh-CN"/>
                    </w:rPr>
                    <w:t>(</w:t>
                  </w:r>
                  <w:r>
                    <w:rPr>
                      <w:rFonts w:hint="eastAsia"/>
                    </w:rPr>
                    <w:t>%</w:t>
                  </w:r>
                  <w:r>
                    <w:rPr>
                      <w:rFonts w:hint="eastAsia"/>
                      <w:lang w:eastAsia="zh-CN"/>
                    </w:rPr>
                    <w:t>)</w:t>
                  </w:r>
                </w:p>
              </w:tc>
              <w:tc>
                <w:tcPr>
                  <w:tcW w:w="1185" w:type="dxa"/>
                  <w:shd w:val="clear" w:color="auto" w:fill="auto"/>
                  <w:vAlign w:val="center"/>
                </w:tcPr>
                <w:p w14:paraId="73123A33">
                  <w:pPr>
                    <w:pStyle w:val="61"/>
                  </w:pPr>
                  <w:r>
                    <w:rPr>
                      <w:rFonts w:hint="eastAsia"/>
                    </w:rPr>
                    <w:t>0.35</w:t>
                  </w:r>
                </w:p>
              </w:tc>
              <w:tc>
                <w:tcPr>
                  <w:tcW w:w="1349" w:type="dxa"/>
                  <w:shd w:val="clear" w:color="auto" w:fill="auto"/>
                  <w:vAlign w:val="center"/>
                </w:tcPr>
                <w:p w14:paraId="66F8615A">
                  <w:pPr>
                    <w:pStyle w:val="61"/>
                  </w:pPr>
                </w:p>
              </w:tc>
            </w:tr>
            <w:tr w14:paraId="2DE6644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0" w:type="dxa"/>
                  <w:vAlign w:val="center"/>
                </w:tcPr>
                <w:p w14:paraId="0A9F1FC5">
                  <w:pPr>
                    <w:pStyle w:val="61"/>
                  </w:pPr>
                  <w:r>
                    <w:rPr>
                      <w:rFonts w:hint="eastAsia"/>
                    </w:rPr>
                    <w:t>8</w:t>
                  </w:r>
                </w:p>
              </w:tc>
              <w:tc>
                <w:tcPr>
                  <w:tcW w:w="2686" w:type="dxa"/>
                  <w:shd w:val="clear" w:color="auto" w:fill="auto"/>
                  <w:vAlign w:val="center"/>
                </w:tcPr>
                <w:p w14:paraId="6BE1B22B">
                  <w:pPr>
                    <w:pStyle w:val="61"/>
                  </w:pPr>
                  <w:r>
                    <w:rPr>
                      <w:rFonts w:hint="eastAsia"/>
                    </w:rPr>
                    <w:t>收到基全硫</w:t>
                  </w:r>
                </w:p>
              </w:tc>
              <w:tc>
                <w:tcPr>
                  <w:tcW w:w="1872" w:type="dxa"/>
                  <w:shd w:val="clear" w:color="auto" w:fill="auto"/>
                  <w:vAlign w:val="center"/>
                </w:tcPr>
                <w:p w14:paraId="285F9971">
                  <w:pPr>
                    <w:pStyle w:val="61"/>
                  </w:pPr>
                  <w:r>
                    <w:rPr>
                      <w:rFonts w:hint="eastAsia"/>
                    </w:rPr>
                    <w:t>St,ar</w:t>
                  </w:r>
                  <w:r>
                    <w:rPr>
                      <w:rFonts w:hint="eastAsia"/>
                      <w:lang w:eastAsia="zh-CN"/>
                    </w:rPr>
                    <w:t>(</w:t>
                  </w:r>
                  <w:r>
                    <w:rPr>
                      <w:rFonts w:hint="eastAsia"/>
                    </w:rPr>
                    <w:t>%</w:t>
                  </w:r>
                  <w:r>
                    <w:rPr>
                      <w:rFonts w:hint="eastAsia"/>
                      <w:lang w:eastAsia="zh-CN"/>
                    </w:rPr>
                    <w:t>)</w:t>
                  </w:r>
                </w:p>
              </w:tc>
              <w:tc>
                <w:tcPr>
                  <w:tcW w:w="1185" w:type="dxa"/>
                  <w:shd w:val="clear" w:color="auto" w:fill="auto"/>
                  <w:vAlign w:val="center"/>
                </w:tcPr>
                <w:p w14:paraId="7E88F008">
                  <w:pPr>
                    <w:pStyle w:val="61"/>
                  </w:pPr>
                  <w:r>
                    <w:rPr>
                      <w:rFonts w:hint="eastAsia"/>
                    </w:rPr>
                    <w:t>0.07</w:t>
                  </w:r>
                </w:p>
              </w:tc>
              <w:tc>
                <w:tcPr>
                  <w:tcW w:w="1349" w:type="dxa"/>
                  <w:shd w:val="clear" w:color="auto" w:fill="auto"/>
                  <w:vAlign w:val="center"/>
                </w:tcPr>
                <w:p w14:paraId="4C1CB373">
                  <w:pPr>
                    <w:pStyle w:val="61"/>
                  </w:pPr>
                </w:p>
              </w:tc>
            </w:tr>
            <w:tr w14:paraId="20964C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0" w:type="dxa"/>
                  <w:vAlign w:val="center"/>
                </w:tcPr>
                <w:p w14:paraId="4A587DED">
                  <w:pPr>
                    <w:pStyle w:val="61"/>
                  </w:pPr>
                  <w:r>
                    <w:rPr>
                      <w:rFonts w:hint="eastAsia"/>
                    </w:rPr>
                    <w:t>9</w:t>
                  </w:r>
                </w:p>
              </w:tc>
              <w:tc>
                <w:tcPr>
                  <w:tcW w:w="2686" w:type="dxa"/>
                  <w:shd w:val="clear" w:color="auto" w:fill="auto"/>
                  <w:vAlign w:val="center"/>
                </w:tcPr>
                <w:p w14:paraId="4202F8A3">
                  <w:pPr>
                    <w:pStyle w:val="61"/>
                  </w:pPr>
                  <w:r>
                    <w:rPr>
                      <w:rFonts w:hint="eastAsia"/>
                    </w:rPr>
                    <w:t>收到基氧</w:t>
                  </w:r>
                </w:p>
              </w:tc>
              <w:tc>
                <w:tcPr>
                  <w:tcW w:w="1872" w:type="dxa"/>
                  <w:shd w:val="clear" w:color="auto" w:fill="auto"/>
                  <w:vAlign w:val="center"/>
                </w:tcPr>
                <w:p w14:paraId="426B719A">
                  <w:pPr>
                    <w:pStyle w:val="61"/>
                  </w:pPr>
                  <w:r>
                    <w:rPr>
                      <w:rFonts w:hint="eastAsia"/>
                    </w:rPr>
                    <w:t>Oar</w:t>
                  </w:r>
                  <w:r>
                    <w:rPr>
                      <w:rFonts w:hint="eastAsia"/>
                      <w:lang w:eastAsia="zh-CN"/>
                    </w:rPr>
                    <w:t>(</w:t>
                  </w:r>
                  <w:r>
                    <w:rPr>
                      <w:rFonts w:hint="eastAsia"/>
                    </w:rPr>
                    <w:t>%</w:t>
                  </w:r>
                  <w:r>
                    <w:rPr>
                      <w:rFonts w:hint="eastAsia"/>
                      <w:lang w:eastAsia="zh-CN"/>
                    </w:rPr>
                    <w:t>)</w:t>
                  </w:r>
                </w:p>
              </w:tc>
              <w:tc>
                <w:tcPr>
                  <w:tcW w:w="1185" w:type="dxa"/>
                  <w:shd w:val="clear" w:color="auto" w:fill="auto"/>
                  <w:vAlign w:val="center"/>
                </w:tcPr>
                <w:p w14:paraId="38042111">
                  <w:pPr>
                    <w:pStyle w:val="61"/>
                  </w:pPr>
                  <w:r>
                    <w:rPr>
                      <w:rFonts w:hint="eastAsia"/>
                    </w:rPr>
                    <w:t>35.54</w:t>
                  </w:r>
                </w:p>
              </w:tc>
              <w:tc>
                <w:tcPr>
                  <w:tcW w:w="1349" w:type="dxa"/>
                  <w:shd w:val="clear" w:color="auto" w:fill="auto"/>
                  <w:vAlign w:val="center"/>
                </w:tcPr>
                <w:p w14:paraId="5ECCE7F0">
                  <w:pPr>
                    <w:pStyle w:val="61"/>
                  </w:pPr>
                </w:p>
              </w:tc>
            </w:tr>
            <w:tr w14:paraId="69533A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10" w:type="dxa"/>
                  <w:vAlign w:val="center"/>
                </w:tcPr>
                <w:p w14:paraId="5328F934">
                  <w:pPr>
                    <w:pStyle w:val="61"/>
                  </w:pPr>
                  <w:r>
                    <w:rPr>
                      <w:rFonts w:hint="eastAsia"/>
                    </w:rPr>
                    <w:t>10</w:t>
                  </w:r>
                </w:p>
              </w:tc>
              <w:tc>
                <w:tcPr>
                  <w:tcW w:w="2686" w:type="dxa"/>
                  <w:shd w:val="clear" w:color="auto" w:fill="auto"/>
                  <w:vAlign w:val="center"/>
                </w:tcPr>
                <w:p w14:paraId="0388B279">
                  <w:pPr>
                    <w:pStyle w:val="61"/>
                  </w:pPr>
                  <w:r>
                    <w:rPr>
                      <w:rFonts w:hint="eastAsia"/>
                    </w:rPr>
                    <w:t>收到基低位发热量</w:t>
                  </w:r>
                </w:p>
              </w:tc>
              <w:tc>
                <w:tcPr>
                  <w:tcW w:w="1872" w:type="dxa"/>
                  <w:shd w:val="clear" w:color="auto" w:fill="auto"/>
                  <w:vAlign w:val="center"/>
                </w:tcPr>
                <w:p w14:paraId="49288FCC">
                  <w:pPr>
                    <w:pStyle w:val="61"/>
                  </w:pPr>
                  <w:r>
                    <w:rPr>
                      <w:rFonts w:hint="eastAsia"/>
                    </w:rPr>
                    <w:t>Qnet.ar</w:t>
                  </w:r>
                  <w:r>
                    <w:rPr>
                      <w:rFonts w:hint="eastAsia"/>
                      <w:lang w:eastAsia="zh-CN"/>
                    </w:rPr>
                    <w:t>(</w:t>
                  </w:r>
                  <w:r>
                    <w:rPr>
                      <w:rFonts w:hint="eastAsia"/>
                    </w:rPr>
                    <w:t>MJ/kg</w:t>
                  </w:r>
                  <w:r>
                    <w:rPr>
                      <w:rFonts w:hint="eastAsia"/>
                      <w:lang w:eastAsia="zh-CN"/>
                    </w:rPr>
                    <w:t>)</w:t>
                  </w:r>
                </w:p>
              </w:tc>
              <w:tc>
                <w:tcPr>
                  <w:tcW w:w="1185" w:type="dxa"/>
                  <w:shd w:val="clear" w:color="auto" w:fill="auto"/>
                  <w:vAlign w:val="center"/>
                </w:tcPr>
                <w:p w14:paraId="5CF074AA">
                  <w:pPr>
                    <w:pStyle w:val="61"/>
                  </w:pPr>
                  <w:r>
                    <w:rPr>
                      <w:rFonts w:hint="eastAsia"/>
                    </w:rPr>
                    <w:t>14.083</w:t>
                  </w:r>
                </w:p>
              </w:tc>
              <w:tc>
                <w:tcPr>
                  <w:tcW w:w="1349" w:type="dxa"/>
                  <w:shd w:val="clear" w:color="auto" w:fill="auto"/>
                  <w:vAlign w:val="center"/>
                </w:tcPr>
                <w:p w14:paraId="0A41D926">
                  <w:pPr>
                    <w:pStyle w:val="61"/>
                  </w:pPr>
                  <w:r>
                    <w:rPr>
                      <w:rFonts w:hint="eastAsia"/>
                    </w:rPr>
                    <w:t>3368</w:t>
                  </w:r>
                </w:p>
              </w:tc>
            </w:tr>
            <w:bookmarkEnd w:id="7"/>
          </w:tbl>
          <w:p w14:paraId="6AF0580C">
            <w:pPr>
              <w:spacing w:line="360" w:lineRule="auto"/>
              <w:rPr>
                <w:b/>
                <w:bCs/>
                <w:szCs w:val="21"/>
              </w:rPr>
            </w:pPr>
          </w:p>
          <w:p w14:paraId="657DF215">
            <w:pPr>
              <w:widowControl/>
              <w:spacing w:line="360" w:lineRule="auto"/>
              <w:ind w:firstLine="480" w:firstLineChars="200"/>
              <w:jc w:val="left"/>
              <w:rPr>
                <w:color w:val="C00000"/>
                <w:sz w:val="24"/>
              </w:rPr>
            </w:pPr>
            <w:r>
              <w:rPr>
                <w:color w:val="C00000"/>
                <w:kern w:val="0"/>
                <w:sz w:val="24"/>
                <w:lang w:bidi="ar"/>
              </w:rPr>
              <w:t>本项目水分蒸发量依据W=G（ω1-ω2）÷（100-ω2）进行计算。</w:t>
            </w:r>
          </w:p>
          <w:p w14:paraId="1876E8D9">
            <w:pPr>
              <w:widowControl/>
              <w:spacing w:line="360" w:lineRule="auto"/>
              <w:ind w:firstLine="480" w:firstLineChars="200"/>
              <w:jc w:val="left"/>
              <w:rPr>
                <w:color w:val="C00000"/>
                <w:sz w:val="24"/>
              </w:rPr>
            </w:pPr>
            <w:r>
              <w:rPr>
                <w:color w:val="C00000"/>
                <w:kern w:val="0"/>
                <w:sz w:val="24"/>
                <w:lang w:bidi="ar"/>
              </w:rPr>
              <w:t>W：水分蒸发量</w:t>
            </w:r>
          </w:p>
          <w:p w14:paraId="1BA81438">
            <w:pPr>
              <w:widowControl/>
              <w:spacing w:line="360" w:lineRule="auto"/>
              <w:ind w:firstLine="480" w:firstLineChars="200"/>
              <w:jc w:val="left"/>
              <w:rPr>
                <w:color w:val="C00000"/>
                <w:sz w:val="24"/>
              </w:rPr>
            </w:pPr>
            <w:r>
              <w:rPr>
                <w:color w:val="C00000"/>
                <w:kern w:val="0"/>
                <w:sz w:val="24"/>
                <w:lang w:bidi="ar"/>
              </w:rPr>
              <w:t>G：处理量（玉米为</w:t>
            </w:r>
            <w:r>
              <w:rPr>
                <w:rFonts w:hint="eastAsia"/>
                <w:color w:val="C00000"/>
                <w:kern w:val="0"/>
                <w:sz w:val="24"/>
                <w:lang w:val="en-US" w:eastAsia="zh-CN" w:bidi="ar"/>
              </w:rPr>
              <w:t>15000</w:t>
            </w:r>
            <w:r>
              <w:rPr>
                <w:color w:val="C00000"/>
                <w:kern w:val="0"/>
                <w:sz w:val="24"/>
                <w:lang w:bidi="ar"/>
              </w:rPr>
              <w:t>吨）</w:t>
            </w:r>
          </w:p>
          <w:p w14:paraId="341D75C3">
            <w:pPr>
              <w:widowControl/>
              <w:spacing w:line="360" w:lineRule="auto"/>
              <w:ind w:firstLine="480" w:firstLineChars="200"/>
              <w:jc w:val="left"/>
              <w:rPr>
                <w:color w:val="C00000"/>
                <w:sz w:val="24"/>
              </w:rPr>
            </w:pPr>
            <w:r>
              <w:rPr>
                <w:color w:val="C00000"/>
                <w:kern w:val="0"/>
                <w:sz w:val="24"/>
                <w:lang w:bidi="ar"/>
              </w:rPr>
              <w:t>ω1：进料含水量百分数（玉米为30%）</w:t>
            </w:r>
          </w:p>
          <w:p w14:paraId="4F5C4726">
            <w:pPr>
              <w:widowControl/>
              <w:spacing w:line="360" w:lineRule="auto"/>
              <w:ind w:firstLine="480" w:firstLineChars="200"/>
              <w:jc w:val="left"/>
              <w:rPr>
                <w:color w:val="C00000"/>
                <w:sz w:val="24"/>
              </w:rPr>
            </w:pPr>
            <w:r>
              <w:rPr>
                <w:color w:val="C00000"/>
                <w:kern w:val="0"/>
                <w:sz w:val="24"/>
                <w:lang w:bidi="ar"/>
              </w:rPr>
              <w:t>ω2：出料含水量百分数（玉米为14.5%）</w:t>
            </w:r>
          </w:p>
          <w:p w14:paraId="290C038F">
            <w:pPr>
              <w:widowControl/>
              <w:spacing w:line="360" w:lineRule="auto"/>
              <w:ind w:firstLine="480" w:firstLineChars="200"/>
              <w:jc w:val="left"/>
              <w:rPr>
                <w:color w:val="C00000"/>
                <w:sz w:val="24"/>
              </w:rPr>
            </w:pPr>
            <w:r>
              <w:rPr>
                <w:color w:val="C00000"/>
                <w:kern w:val="0"/>
                <w:sz w:val="24"/>
                <w:lang w:bidi="ar"/>
              </w:rPr>
              <w:t>1千卡（kcal）=4186焦耳（J）</w:t>
            </w:r>
          </w:p>
          <w:p w14:paraId="17C58ED1">
            <w:pPr>
              <w:widowControl/>
              <w:spacing w:line="360" w:lineRule="auto"/>
              <w:ind w:firstLine="480" w:firstLineChars="200"/>
              <w:jc w:val="left"/>
              <w:rPr>
                <w:color w:val="C00000"/>
                <w:sz w:val="24"/>
              </w:rPr>
            </w:pPr>
            <w:r>
              <w:rPr>
                <w:color w:val="C00000"/>
                <w:kern w:val="0"/>
                <w:sz w:val="24"/>
                <w:lang w:bidi="ar"/>
              </w:rPr>
              <w:t>本项目水分蒸发量为：</w:t>
            </w:r>
          </w:p>
          <w:p w14:paraId="77AF1F74">
            <w:pPr>
              <w:widowControl/>
              <w:spacing w:line="360" w:lineRule="auto"/>
              <w:ind w:firstLine="480" w:firstLineChars="200"/>
              <w:jc w:val="left"/>
              <w:rPr>
                <w:color w:val="C00000"/>
                <w:sz w:val="24"/>
              </w:rPr>
            </w:pPr>
            <w:r>
              <w:rPr>
                <w:color w:val="C00000"/>
                <w:kern w:val="0"/>
                <w:sz w:val="24"/>
                <w:lang w:bidi="ar"/>
              </w:rPr>
              <w:t>W</w:t>
            </w:r>
            <w:r>
              <w:rPr>
                <w:color w:val="C00000"/>
                <w:kern w:val="0"/>
                <w:sz w:val="24"/>
                <w:vertAlign w:val="subscript"/>
                <w:lang w:bidi="ar"/>
              </w:rPr>
              <w:t>玉米</w:t>
            </w:r>
            <w:r>
              <w:rPr>
                <w:color w:val="C00000"/>
                <w:kern w:val="0"/>
                <w:sz w:val="24"/>
                <w:lang w:bidi="ar"/>
              </w:rPr>
              <w:t>=G（ω1-ω2）÷（100-ω2）</w:t>
            </w:r>
          </w:p>
          <w:p w14:paraId="6BF846E1">
            <w:pPr>
              <w:widowControl/>
              <w:spacing w:line="360" w:lineRule="auto"/>
              <w:ind w:firstLine="480" w:firstLineChars="200"/>
              <w:jc w:val="left"/>
              <w:rPr>
                <w:color w:val="C00000"/>
                <w:kern w:val="0"/>
                <w:sz w:val="24"/>
                <w:lang w:bidi="ar"/>
              </w:rPr>
            </w:pPr>
            <w:r>
              <w:rPr>
                <w:color w:val="C00000"/>
                <w:kern w:val="0"/>
                <w:sz w:val="24"/>
                <w:lang w:bidi="ar"/>
              </w:rPr>
              <w:t>=</w:t>
            </w:r>
            <w:r>
              <w:rPr>
                <w:rFonts w:hint="eastAsia"/>
                <w:color w:val="C00000"/>
                <w:kern w:val="0"/>
                <w:sz w:val="24"/>
                <w:lang w:eastAsia="zh-CN" w:bidi="ar"/>
              </w:rPr>
              <w:t>1</w:t>
            </w:r>
            <w:r>
              <w:rPr>
                <w:rFonts w:hint="eastAsia"/>
                <w:color w:val="C00000"/>
                <w:kern w:val="0"/>
                <w:sz w:val="24"/>
                <w:lang w:val="en-US" w:eastAsia="zh-CN" w:bidi="ar"/>
              </w:rPr>
              <w:t>5000</w:t>
            </w:r>
            <w:r>
              <w:rPr>
                <w:color w:val="C00000"/>
                <w:kern w:val="0"/>
                <w:sz w:val="24"/>
                <w:lang w:bidi="ar"/>
              </w:rPr>
              <w:t>×（30-14.5）÷（100-14.5）=</w:t>
            </w:r>
            <w:r>
              <w:rPr>
                <w:rFonts w:hint="eastAsia"/>
                <w:color w:val="C00000"/>
                <w:kern w:val="0"/>
                <w:sz w:val="24"/>
                <w:lang w:val="en-US" w:eastAsia="zh-CN" w:bidi="ar"/>
              </w:rPr>
              <w:t>2719.30</w:t>
            </w:r>
            <w:r>
              <w:rPr>
                <w:color w:val="C00000"/>
                <w:kern w:val="0"/>
                <w:sz w:val="24"/>
                <w:lang w:bidi="ar"/>
              </w:rPr>
              <w:t>t</w:t>
            </w:r>
          </w:p>
          <w:p w14:paraId="4C71E2C0">
            <w:pPr>
              <w:widowControl/>
              <w:spacing w:line="360" w:lineRule="auto"/>
              <w:ind w:firstLine="480" w:firstLineChars="200"/>
              <w:jc w:val="left"/>
              <w:rPr>
                <w:color w:val="C00000"/>
                <w:kern w:val="0"/>
                <w:sz w:val="24"/>
                <w:lang w:bidi="ar"/>
              </w:rPr>
            </w:pPr>
            <w:r>
              <w:rPr>
                <w:color w:val="C00000"/>
                <w:kern w:val="0"/>
                <w:sz w:val="24"/>
                <w:lang w:bidi="ar"/>
              </w:rPr>
              <w:t>热风炉热效率为80%</w:t>
            </w:r>
          </w:p>
          <w:p w14:paraId="3769769A">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C00000"/>
                <w:kern w:val="0"/>
                <w:sz w:val="24"/>
                <w:szCs w:val="24"/>
                <w:highlight w:val="none"/>
                <w:lang w:bidi="ar"/>
              </w:rPr>
            </w:pPr>
            <w:r>
              <w:rPr>
                <w:rFonts w:hint="default" w:ascii="Times New Roman" w:hAnsi="Times New Roman" w:eastAsia="宋体" w:cs="Times New Roman"/>
                <w:color w:val="C00000"/>
                <w:kern w:val="0"/>
                <w:sz w:val="24"/>
                <w:szCs w:val="24"/>
                <w:highlight w:val="none"/>
                <w:lang w:val="en-US" w:eastAsia="zh-CN" w:bidi="ar"/>
              </w:rPr>
              <w:t>生物质燃料量</w:t>
            </w:r>
            <w:r>
              <w:rPr>
                <w:rFonts w:hint="default" w:ascii="Times New Roman" w:hAnsi="Times New Roman" w:eastAsia="宋体" w:cs="Times New Roman"/>
                <w:color w:val="C00000"/>
                <w:kern w:val="0"/>
                <w:sz w:val="24"/>
                <w:szCs w:val="24"/>
                <w:highlight w:val="none"/>
                <w:lang w:bidi="ar"/>
              </w:rPr>
              <w:t>为E=</w:t>
            </w:r>
            <w:r>
              <w:rPr>
                <w:rFonts w:hint="eastAsia" w:cs="Times New Roman"/>
                <w:color w:val="C00000"/>
                <w:kern w:val="0"/>
                <w:sz w:val="24"/>
                <w:szCs w:val="24"/>
                <w:highlight w:val="none"/>
                <w:lang w:val="en-US" w:eastAsia="zh-CN" w:bidi="ar"/>
              </w:rPr>
              <w:t>2719.30</w:t>
            </w:r>
            <w:r>
              <w:rPr>
                <w:rFonts w:hint="default" w:ascii="Times New Roman" w:hAnsi="Times New Roman" w:eastAsia="宋体" w:cs="Times New Roman"/>
                <w:color w:val="C00000"/>
                <w:kern w:val="0"/>
                <w:sz w:val="24"/>
                <w:szCs w:val="24"/>
                <w:highlight w:val="none"/>
                <w:lang w:bidi="ar"/>
              </w:rPr>
              <w:t>×10</w:t>
            </w:r>
            <w:r>
              <w:rPr>
                <w:rFonts w:hint="default" w:ascii="Times New Roman" w:hAnsi="Times New Roman" w:eastAsia="宋体" w:cs="Times New Roman"/>
                <w:color w:val="C00000"/>
                <w:kern w:val="0"/>
                <w:sz w:val="24"/>
                <w:szCs w:val="24"/>
                <w:highlight w:val="none"/>
                <w:vertAlign w:val="superscript"/>
                <w:lang w:bidi="ar"/>
              </w:rPr>
              <w:t>3</w:t>
            </w:r>
            <w:r>
              <w:rPr>
                <w:rFonts w:hint="default" w:ascii="Times New Roman" w:hAnsi="Times New Roman" w:eastAsia="宋体" w:cs="Times New Roman"/>
                <w:color w:val="C00000"/>
                <w:kern w:val="0"/>
                <w:sz w:val="24"/>
                <w:szCs w:val="24"/>
                <w:highlight w:val="none"/>
                <w:lang w:bidi="ar"/>
              </w:rPr>
              <w:t>×5400=</w:t>
            </w:r>
            <w:r>
              <w:rPr>
                <w:rFonts w:hint="eastAsia" w:cs="Times New Roman"/>
                <w:color w:val="C00000"/>
                <w:kern w:val="0"/>
                <w:sz w:val="24"/>
                <w:szCs w:val="24"/>
                <w:highlight w:val="none"/>
                <w:lang w:val="en-US" w:eastAsia="zh-CN" w:bidi="ar"/>
              </w:rPr>
              <w:t>1.468</w:t>
            </w:r>
            <w:r>
              <w:rPr>
                <w:rFonts w:hint="default" w:ascii="Times New Roman" w:hAnsi="Times New Roman" w:eastAsia="宋体" w:cs="Times New Roman"/>
                <w:color w:val="C00000"/>
                <w:kern w:val="0"/>
                <w:sz w:val="24"/>
                <w:szCs w:val="24"/>
                <w:highlight w:val="none"/>
                <w:lang w:bidi="ar"/>
              </w:rPr>
              <w:t>×10</w:t>
            </w:r>
            <w:r>
              <w:rPr>
                <w:rFonts w:hint="eastAsia" w:cs="Times New Roman"/>
                <w:color w:val="C00000"/>
                <w:kern w:val="0"/>
                <w:sz w:val="24"/>
                <w:szCs w:val="24"/>
                <w:highlight w:val="none"/>
                <w:vertAlign w:val="superscript"/>
                <w:lang w:val="en-US" w:eastAsia="zh-CN" w:bidi="ar"/>
              </w:rPr>
              <w:t>10</w:t>
            </w:r>
            <w:r>
              <w:rPr>
                <w:rFonts w:hint="default" w:ascii="Times New Roman" w:hAnsi="Times New Roman" w:eastAsia="宋体" w:cs="Times New Roman"/>
                <w:color w:val="C00000"/>
                <w:kern w:val="0"/>
                <w:sz w:val="24"/>
                <w:szCs w:val="24"/>
                <w:highlight w:val="none"/>
                <w:lang w:bidi="ar"/>
              </w:rPr>
              <w:t>kJ</w:t>
            </w:r>
          </w:p>
          <w:p w14:paraId="0FB41DB8">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C00000"/>
                <w:kern w:val="0"/>
                <w:sz w:val="24"/>
                <w:szCs w:val="24"/>
                <w:highlight w:val="none"/>
                <w:lang w:bidi="ar"/>
              </w:rPr>
            </w:pPr>
            <w:r>
              <w:rPr>
                <w:rFonts w:hint="eastAsia" w:cs="Times New Roman"/>
                <w:color w:val="C00000"/>
                <w:kern w:val="0"/>
                <w:sz w:val="24"/>
                <w:szCs w:val="24"/>
                <w:highlight w:val="none"/>
                <w:lang w:val="en-US" w:eastAsia="zh-CN" w:bidi="ar"/>
              </w:rPr>
              <w:t>1.468</w:t>
            </w:r>
            <w:r>
              <w:rPr>
                <w:rFonts w:hint="default" w:ascii="Times New Roman" w:hAnsi="Times New Roman" w:eastAsia="宋体" w:cs="Times New Roman"/>
                <w:color w:val="C00000"/>
                <w:kern w:val="0"/>
                <w:sz w:val="24"/>
                <w:szCs w:val="24"/>
                <w:highlight w:val="none"/>
                <w:lang w:bidi="ar"/>
              </w:rPr>
              <w:t>×10</w:t>
            </w:r>
            <w:r>
              <w:rPr>
                <w:rFonts w:hint="eastAsia" w:cs="Times New Roman"/>
                <w:color w:val="C00000"/>
                <w:kern w:val="0"/>
                <w:sz w:val="24"/>
                <w:szCs w:val="24"/>
                <w:highlight w:val="none"/>
                <w:vertAlign w:val="superscript"/>
                <w:lang w:val="en-US" w:eastAsia="zh-CN" w:bidi="ar"/>
              </w:rPr>
              <w:t>10</w:t>
            </w:r>
            <w:r>
              <w:rPr>
                <w:rFonts w:hint="default" w:ascii="Times New Roman" w:hAnsi="Times New Roman" w:eastAsia="宋体" w:cs="Times New Roman"/>
                <w:color w:val="C00000"/>
                <w:kern w:val="0"/>
                <w:sz w:val="24"/>
                <w:szCs w:val="24"/>
                <w:highlight w:val="none"/>
                <w:lang w:bidi="ar"/>
              </w:rPr>
              <w:t>×10</w:t>
            </w:r>
            <w:r>
              <w:rPr>
                <w:rFonts w:hint="default" w:ascii="Times New Roman" w:hAnsi="Times New Roman" w:eastAsia="宋体" w:cs="Times New Roman"/>
                <w:color w:val="C00000"/>
                <w:kern w:val="0"/>
                <w:sz w:val="24"/>
                <w:szCs w:val="24"/>
                <w:highlight w:val="none"/>
                <w:vertAlign w:val="superscript"/>
                <w:lang w:bidi="ar"/>
              </w:rPr>
              <w:t>-3</w:t>
            </w:r>
            <w:r>
              <w:rPr>
                <w:rFonts w:hint="default" w:ascii="Times New Roman" w:hAnsi="Times New Roman" w:eastAsia="宋体" w:cs="Times New Roman"/>
                <w:color w:val="C00000"/>
                <w:kern w:val="0"/>
                <w:sz w:val="24"/>
                <w:szCs w:val="24"/>
                <w:highlight w:val="none"/>
                <w:lang w:bidi="ar"/>
              </w:rPr>
              <w:t>÷</w:t>
            </w:r>
            <w:r>
              <w:rPr>
                <w:rFonts w:hint="eastAsia" w:cs="Times New Roman"/>
                <w:color w:val="C00000"/>
                <w:kern w:val="0"/>
                <w:sz w:val="24"/>
                <w:szCs w:val="24"/>
                <w:highlight w:val="none"/>
                <w:lang w:val="en-US" w:eastAsia="zh-CN" w:bidi="ar"/>
              </w:rPr>
              <w:t>14.083</w:t>
            </w:r>
            <w:r>
              <w:rPr>
                <w:rFonts w:hint="default" w:ascii="Times New Roman" w:hAnsi="Times New Roman" w:eastAsia="宋体" w:cs="Times New Roman"/>
                <w:color w:val="C00000"/>
                <w:kern w:val="0"/>
                <w:sz w:val="24"/>
                <w:szCs w:val="24"/>
                <w:highlight w:val="none"/>
                <w:lang w:bidi="ar"/>
              </w:rPr>
              <w:t>MJ/kg÷</w:t>
            </w:r>
            <w:r>
              <w:rPr>
                <w:rFonts w:hint="eastAsia" w:cs="Times New Roman"/>
                <w:color w:val="C00000"/>
                <w:kern w:val="0"/>
                <w:sz w:val="24"/>
                <w:szCs w:val="24"/>
                <w:highlight w:val="none"/>
                <w:lang w:val="en-US" w:eastAsia="zh-CN" w:bidi="ar"/>
              </w:rPr>
              <w:t>80</w:t>
            </w:r>
            <w:r>
              <w:rPr>
                <w:rFonts w:hint="default" w:ascii="Times New Roman" w:hAnsi="Times New Roman" w:eastAsia="宋体" w:cs="Times New Roman"/>
                <w:color w:val="C00000"/>
                <w:kern w:val="0"/>
                <w:sz w:val="24"/>
                <w:szCs w:val="24"/>
                <w:highlight w:val="none"/>
                <w:lang w:bidi="ar"/>
              </w:rPr>
              <w:t>%×10</w:t>
            </w:r>
            <w:r>
              <w:rPr>
                <w:rFonts w:hint="default" w:ascii="Times New Roman" w:hAnsi="Times New Roman" w:eastAsia="宋体" w:cs="Times New Roman"/>
                <w:color w:val="C00000"/>
                <w:kern w:val="0"/>
                <w:sz w:val="24"/>
                <w:szCs w:val="24"/>
                <w:highlight w:val="none"/>
                <w:vertAlign w:val="superscript"/>
                <w:lang w:bidi="ar"/>
              </w:rPr>
              <w:t>-3</w:t>
            </w:r>
            <w:r>
              <w:rPr>
                <w:rFonts w:hint="default" w:ascii="Times New Roman" w:hAnsi="Times New Roman" w:eastAsia="宋体" w:cs="Times New Roman"/>
                <w:color w:val="C00000"/>
                <w:kern w:val="0"/>
                <w:sz w:val="24"/>
                <w:szCs w:val="24"/>
                <w:highlight w:val="none"/>
                <w:lang w:bidi="ar"/>
              </w:rPr>
              <w:t>=</w:t>
            </w:r>
            <w:r>
              <w:rPr>
                <w:rFonts w:hint="eastAsia" w:cs="Times New Roman"/>
                <w:color w:val="C00000"/>
                <w:kern w:val="0"/>
                <w:sz w:val="24"/>
                <w:szCs w:val="24"/>
                <w:highlight w:val="none"/>
                <w:lang w:val="en-US" w:eastAsia="zh-CN" w:bidi="ar"/>
              </w:rPr>
              <w:t>1303</w:t>
            </w:r>
            <w:r>
              <w:rPr>
                <w:rFonts w:hint="default" w:ascii="Times New Roman" w:hAnsi="Times New Roman" w:eastAsia="宋体" w:cs="Times New Roman"/>
                <w:color w:val="C00000"/>
                <w:kern w:val="0"/>
                <w:sz w:val="24"/>
                <w:szCs w:val="24"/>
                <w:highlight w:val="none"/>
                <w:lang w:bidi="ar"/>
              </w:rPr>
              <w:t>t/a</w:t>
            </w:r>
          </w:p>
          <w:p w14:paraId="4823B8B5">
            <w:pPr>
              <w:tabs>
                <w:tab w:val="left" w:pos="6480"/>
              </w:tabs>
              <w:spacing w:line="360" w:lineRule="auto"/>
              <w:ind w:firstLine="482" w:firstLineChars="200"/>
              <w:rPr>
                <w:rFonts w:hint="default" w:eastAsia="宋体"/>
                <w:b/>
                <w:bCs/>
                <w:sz w:val="24"/>
                <w:lang w:val="en-US" w:eastAsia="zh-CN"/>
              </w:rPr>
            </w:pPr>
            <w:r>
              <w:rPr>
                <w:rFonts w:hint="eastAsia"/>
                <w:b/>
                <w:bCs/>
                <w:sz w:val="24"/>
                <w:lang w:val="en-US" w:eastAsia="zh-CN"/>
              </w:rPr>
              <w:t>5</w:t>
            </w:r>
            <w:r>
              <w:rPr>
                <w:b/>
                <w:bCs/>
                <w:sz w:val="24"/>
              </w:rPr>
              <w:t>、产品方案</w:t>
            </w:r>
            <w:r>
              <w:rPr>
                <w:rFonts w:hint="eastAsia"/>
                <w:b/>
                <w:bCs/>
                <w:sz w:val="24"/>
                <w:lang w:val="en-US" w:eastAsia="zh-CN"/>
              </w:rPr>
              <w:t>及物料平衡</w:t>
            </w:r>
          </w:p>
          <w:p w14:paraId="4BA7D9A7">
            <w:pPr>
              <w:autoSpaceDE w:val="0"/>
              <w:autoSpaceDN w:val="0"/>
              <w:adjustRightInd w:val="0"/>
              <w:spacing w:line="360" w:lineRule="auto"/>
              <w:ind w:left="239" w:leftChars="114" w:firstLine="480" w:firstLineChars="200"/>
              <w:rPr>
                <w:sz w:val="24"/>
              </w:rPr>
            </w:pPr>
            <w:r>
              <w:rPr>
                <w:rFonts w:hint="eastAsia"/>
                <w:sz w:val="24"/>
              </w:rPr>
              <w:t>本项目</w:t>
            </w:r>
            <w:r>
              <w:rPr>
                <w:sz w:val="24"/>
              </w:rPr>
              <w:t>产品方案见表2-5</w:t>
            </w:r>
            <w:r>
              <w:rPr>
                <w:rFonts w:hint="eastAsia"/>
                <w:sz w:val="24"/>
              </w:rPr>
              <w:t>。</w:t>
            </w:r>
          </w:p>
          <w:p w14:paraId="03E5D02F">
            <w:pPr>
              <w:pStyle w:val="59"/>
              <w:spacing w:line="240" w:lineRule="auto"/>
              <w:ind w:firstLine="422"/>
              <w:jc w:val="center"/>
              <w:rPr>
                <w:color w:val="auto"/>
              </w:rPr>
            </w:pPr>
            <w:r>
              <w:rPr>
                <w:b/>
                <w:bCs/>
                <w:color w:val="auto"/>
                <w:sz w:val="21"/>
                <w:szCs w:val="21"/>
              </w:rPr>
              <w:t>表2-</w:t>
            </w:r>
            <w:r>
              <w:rPr>
                <w:rFonts w:hint="eastAsia"/>
                <w:b/>
                <w:bCs/>
                <w:color w:val="auto"/>
                <w:sz w:val="21"/>
                <w:szCs w:val="21"/>
              </w:rPr>
              <w:t>5</w:t>
            </w:r>
            <w:r>
              <w:rPr>
                <w:b/>
                <w:bCs/>
                <w:color w:val="auto"/>
                <w:sz w:val="21"/>
                <w:szCs w:val="21"/>
              </w:rPr>
              <w:t xml:space="preserve">  </w:t>
            </w:r>
            <w:r>
              <w:rPr>
                <w:rFonts w:hint="eastAsia"/>
                <w:b/>
                <w:bCs/>
                <w:color w:val="auto"/>
                <w:sz w:val="21"/>
                <w:szCs w:val="21"/>
              </w:rPr>
              <w:t>本项目</w:t>
            </w:r>
            <w:r>
              <w:rPr>
                <w:b/>
                <w:bCs/>
                <w:color w:val="auto"/>
                <w:sz w:val="21"/>
                <w:szCs w:val="21"/>
              </w:rPr>
              <w:t>产品方案一览表</w:t>
            </w:r>
          </w:p>
          <w:tbl>
            <w:tblPr>
              <w:tblStyle w:val="32"/>
              <w:tblW w:w="498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5"/>
              <w:gridCol w:w="1533"/>
              <w:gridCol w:w="1532"/>
              <w:gridCol w:w="1699"/>
              <w:gridCol w:w="2246"/>
            </w:tblGrid>
            <w:tr w14:paraId="4E142B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71" w:type="pct"/>
                  <w:vAlign w:val="center"/>
                </w:tcPr>
                <w:p w14:paraId="0300A047">
                  <w:pPr>
                    <w:widowControl/>
                    <w:adjustRightInd w:val="0"/>
                    <w:snapToGrid w:val="0"/>
                    <w:jc w:val="center"/>
                    <w:rPr>
                      <w:color w:val="auto"/>
                      <w:kern w:val="0"/>
                      <w:szCs w:val="21"/>
                    </w:rPr>
                  </w:pPr>
                  <w:r>
                    <w:rPr>
                      <w:color w:val="auto"/>
                      <w:kern w:val="0"/>
                      <w:szCs w:val="21"/>
                    </w:rPr>
                    <w:t>序号</w:t>
                  </w:r>
                </w:p>
              </w:tc>
              <w:tc>
                <w:tcPr>
                  <w:tcW w:w="968" w:type="pct"/>
                  <w:vAlign w:val="center"/>
                </w:tcPr>
                <w:p w14:paraId="2F2D650D">
                  <w:pPr>
                    <w:widowControl/>
                    <w:adjustRightInd w:val="0"/>
                    <w:snapToGrid w:val="0"/>
                    <w:jc w:val="center"/>
                    <w:rPr>
                      <w:color w:val="auto"/>
                      <w:kern w:val="0"/>
                      <w:szCs w:val="21"/>
                    </w:rPr>
                  </w:pPr>
                  <w:r>
                    <w:rPr>
                      <w:color w:val="auto"/>
                      <w:kern w:val="0"/>
                      <w:szCs w:val="21"/>
                    </w:rPr>
                    <w:t>名称</w:t>
                  </w:r>
                </w:p>
              </w:tc>
              <w:tc>
                <w:tcPr>
                  <w:tcW w:w="968" w:type="pct"/>
                  <w:vAlign w:val="center"/>
                </w:tcPr>
                <w:p w14:paraId="2BF5FC17">
                  <w:pPr>
                    <w:widowControl/>
                    <w:adjustRightInd w:val="0"/>
                    <w:snapToGrid w:val="0"/>
                    <w:jc w:val="center"/>
                    <w:rPr>
                      <w:color w:val="auto"/>
                      <w:kern w:val="0"/>
                      <w:szCs w:val="21"/>
                    </w:rPr>
                  </w:pPr>
                  <w:r>
                    <w:rPr>
                      <w:rFonts w:hint="eastAsia"/>
                      <w:color w:val="auto"/>
                      <w:kern w:val="0"/>
                      <w:szCs w:val="21"/>
                    </w:rPr>
                    <w:t>现有工程产量</w:t>
                  </w:r>
                </w:p>
              </w:tc>
              <w:tc>
                <w:tcPr>
                  <w:tcW w:w="1073" w:type="pct"/>
                  <w:vAlign w:val="center"/>
                </w:tcPr>
                <w:p w14:paraId="130E71D0">
                  <w:pPr>
                    <w:widowControl/>
                    <w:adjustRightInd w:val="0"/>
                    <w:snapToGrid w:val="0"/>
                    <w:jc w:val="center"/>
                    <w:rPr>
                      <w:color w:val="auto"/>
                      <w:kern w:val="0"/>
                      <w:szCs w:val="21"/>
                    </w:rPr>
                  </w:pPr>
                  <w:r>
                    <w:rPr>
                      <w:rFonts w:hint="eastAsia"/>
                      <w:color w:val="auto"/>
                      <w:kern w:val="0"/>
                      <w:szCs w:val="21"/>
                    </w:rPr>
                    <w:t>改建后工程产量</w:t>
                  </w:r>
                </w:p>
              </w:tc>
              <w:tc>
                <w:tcPr>
                  <w:tcW w:w="1418" w:type="pct"/>
                  <w:vAlign w:val="center"/>
                </w:tcPr>
                <w:p w14:paraId="07396C4A">
                  <w:pPr>
                    <w:widowControl/>
                    <w:adjustRightInd w:val="0"/>
                    <w:snapToGrid w:val="0"/>
                    <w:jc w:val="center"/>
                    <w:rPr>
                      <w:color w:val="auto"/>
                      <w:kern w:val="0"/>
                      <w:szCs w:val="21"/>
                    </w:rPr>
                  </w:pPr>
                  <w:r>
                    <w:rPr>
                      <w:color w:val="auto"/>
                      <w:kern w:val="0"/>
                      <w:szCs w:val="21"/>
                    </w:rPr>
                    <w:t>备注</w:t>
                  </w:r>
                </w:p>
              </w:tc>
            </w:tr>
            <w:tr w14:paraId="02EC18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71" w:type="pct"/>
                  <w:vAlign w:val="center"/>
                </w:tcPr>
                <w:p w14:paraId="213A9F7F">
                  <w:pPr>
                    <w:widowControl/>
                    <w:adjustRightInd w:val="0"/>
                    <w:snapToGrid w:val="0"/>
                    <w:jc w:val="center"/>
                    <w:rPr>
                      <w:color w:val="auto"/>
                      <w:kern w:val="0"/>
                      <w:szCs w:val="21"/>
                    </w:rPr>
                  </w:pPr>
                  <w:r>
                    <w:rPr>
                      <w:color w:val="auto"/>
                      <w:kern w:val="0"/>
                      <w:szCs w:val="21"/>
                    </w:rPr>
                    <w:t>1</w:t>
                  </w:r>
                </w:p>
              </w:tc>
              <w:tc>
                <w:tcPr>
                  <w:tcW w:w="968" w:type="pct"/>
                  <w:vAlign w:val="center"/>
                </w:tcPr>
                <w:p w14:paraId="5497890E">
                  <w:pPr>
                    <w:jc w:val="center"/>
                    <w:rPr>
                      <w:color w:val="auto"/>
                      <w:kern w:val="0"/>
                      <w:szCs w:val="21"/>
                    </w:rPr>
                  </w:pPr>
                  <w:r>
                    <w:rPr>
                      <w:color w:val="auto"/>
                      <w:szCs w:val="21"/>
                    </w:rPr>
                    <w:t>玉米</w:t>
                  </w:r>
                </w:p>
              </w:tc>
              <w:tc>
                <w:tcPr>
                  <w:tcW w:w="968" w:type="pct"/>
                  <w:vAlign w:val="center"/>
                </w:tcPr>
                <w:p w14:paraId="3B0285B6">
                  <w:pPr>
                    <w:widowControl/>
                    <w:adjustRightInd w:val="0"/>
                    <w:snapToGrid w:val="0"/>
                    <w:jc w:val="center"/>
                    <w:rPr>
                      <w:color w:val="auto"/>
                      <w:kern w:val="0"/>
                      <w:szCs w:val="21"/>
                    </w:rPr>
                  </w:pPr>
                  <w:r>
                    <w:rPr>
                      <w:rFonts w:hint="eastAsia"/>
                      <w:color w:val="auto"/>
                      <w:kern w:val="0"/>
                      <w:szCs w:val="21"/>
                      <w:lang w:val="en-US" w:eastAsia="zh-CN"/>
                    </w:rPr>
                    <w:t>12258.05</w:t>
                  </w:r>
                  <w:r>
                    <w:rPr>
                      <w:color w:val="auto"/>
                      <w:kern w:val="0"/>
                      <w:szCs w:val="21"/>
                    </w:rPr>
                    <w:t>t/a</w:t>
                  </w:r>
                </w:p>
              </w:tc>
              <w:tc>
                <w:tcPr>
                  <w:tcW w:w="1073" w:type="pct"/>
                  <w:vAlign w:val="center"/>
                </w:tcPr>
                <w:p w14:paraId="321BB1B5">
                  <w:pPr>
                    <w:jc w:val="center"/>
                    <w:rPr>
                      <w:color w:val="auto"/>
                      <w:kern w:val="0"/>
                      <w:szCs w:val="21"/>
                    </w:rPr>
                  </w:pPr>
                  <w:r>
                    <w:rPr>
                      <w:rFonts w:hint="eastAsia"/>
                      <w:color w:val="auto"/>
                      <w:kern w:val="0"/>
                      <w:szCs w:val="21"/>
                      <w:lang w:val="en-US" w:eastAsia="zh-CN"/>
                    </w:rPr>
                    <w:t>12258.05</w:t>
                  </w:r>
                  <w:r>
                    <w:rPr>
                      <w:color w:val="auto"/>
                      <w:kern w:val="0"/>
                      <w:szCs w:val="21"/>
                    </w:rPr>
                    <w:t>t/a</w:t>
                  </w:r>
                </w:p>
              </w:tc>
              <w:tc>
                <w:tcPr>
                  <w:tcW w:w="1418" w:type="pct"/>
                  <w:vAlign w:val="center"/>
                </w:tcPr>
                <w:p w14:paraId="05770909">
                  <w:pPr>
                    <w:widowControl/>
                    <w:adjustRightInd w:val="0"/>
                    <w:snapToGrid w:val="0"/>
                    <w:jc w:val="center"/>
                    <w:rPr>
                      <w:color w:val="auto"/>
                      <w:kern w:val="0"/>
                      <w:szCs w:val="21"/>
                    </w:rPr>
                  </w:pPr>
                  <w:r>
                    <w:rPr>
                      <w:rFonts w:hint="eastAsia"/>
                      <w:color w:val="auto"/>
                      <w:kern w:val="0"/>
                      <w:szCs w:val="21"/>
                      <w:lang w:val="en-US" w:eastAsia="zh-CN"/>
                    </w:rPr>
                    <w:t>外售</w:t>
                  </w:r>
                  <w:r>
                    <w:rPr>
                      <w:rFonts w:hint="eastAsia"/>
                      <w:color w:val="auto"/>
                      <w:kern w:val="0"/>
                      <w:szCs w:val="21"/>
                    </w:rPr>
                    <w:t>（</w:t>
                  </w:r>
                  <w:r>
                    <w:rPr>
                      <w:color w:val="auto"/>
                      <w:szCs w:val="21"/>
                    </w:rPr>
                    <w:t>含水率</w:t>
                  </w:r>
                  <w:r>
                    <w:rPr>
                      <w:rFonts w:hint="eastAsia"/>
                      <w:color w:val="auto"/>
                      <w:szCs w:val="21"/>
                      <w:lang w:val="en-US" w:eastAsia="zh-CN"/>
                    </w:rPr>
                    <w:t>14.5</w:t>
                  </w:r>
                  <w:r>
                    <w:rPr>
                      <w:rFonts w:hint="eastAsia"/>
                      <w:color w:val="auto"/>
                      <w:szCs w:val="21"/>
                    </w:rPr>
                    <w:t>%）</w:t>
                  </w:r>
                </w:p>
              </w:tc>
            </w:tr>
          </w:tbl>
          <w:p w14:paraId="49644A4F">
            <w:pPr>
              <w:adjustRightInd w:val="0"/>
              <w:snapToGrid w:val="0"/>
              <w:rPr>
                <w:b/>
                <w:bCs/>
                <w:kern w:val="0"/>
                <w:szCs w:val="21"/>
              </w:rPr>
            </w:pPr>
          </w:p>
          <w:p w14:paraId="639436E2">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bCs/>
                <w:color w:val="C00000"/>
                <w:sz w:val="21"/>
                <w:szCs w:val="21"/>
                <w:highlight w:val="none"/>
              </w:rPr>
            </w:pPr>
            <w:r>
              <w:rPr>
                <w:rFonts w:hint="default" w:ascii="Times New Roman" w:hAnsi="Times New Roman" w:cs="Times New Roman"/>
                <w:b/>
                <w:bCs/>
                <w:color w:val="C00000"/>
                <w:sz w:val="21"/>
                <w:szCs w:val="21"/>
                <w:highlight w:val="none"/>
              </w:rPr>
              <w:t>表2-</w:t>
            </w:r>
            <w:r>
              <w:rPr>
                <w:rFonts w:hint="default" w:ascii="Times New Roman" w:hAnsi="Times New Roman" w:cs="Times New Roman"/>
                <w:b/>
                <w:bCs/>
                <w:color w:val="C00000"/>
                <w:sz w:val="21"/>
                <w:szCs w:val="21"/>
                <w:highlight w:val="none"/>
                <w:lang w:val="en-US" w:eastAsia="zh-CN"/>
              </w:rPr>
              <w:t>6物料平衡</w:t>
            </w:r>
            <w:r>
              <w:rPr>
                <w:rFonts w:hint="default" w:ascii="Times New Roman" w:hAnsi="Times New Roman" w:cs="Times New Roman"/>
                <w:b/>
                <w:bCs/>
                <w:color w:val="C00000"/>
                <w:sz w:val="21"/>
                <w:szCs w:val="21"/>
                <w:highlight w:val="none"/>
              </w:rPr>
              <w:t>一览表</w:t>
            </w:r>
          </w:p>
          <w:tbl>
            <w:tblPr>
              <w:tblStyle w:val="32"/>
              <w:tblW w:w="80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11"/>
              <w:gridCol w:w="2012"/>
              <w:gridCol w:w="2013"/>
              <w:gridCol w:w="2014"/>
            </w:tblGrid>
            <w:tr w14:paraId="783240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79" w:hRule="atLeast"/>
                <w:jc w:val="center"/>
              </w:trPr>
              <w:tc>
                <w:tcPr>
                  <w:tcW w:w="4023" w:type="dxa"/>
                  <w:gridSpan w:val="2"/>
                  <w:noWrap w:val="0"/>
                  <w:vAlign w:val="center"/>
                </w:tcPr>
                <w:p w14:paraId="12A06D5F">
                  <w:pPr>
                    <w:pStyle w:val="122"/>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投入（t/a）</w:t>
                  </w:r>
                </w:p>
              </w:tc>
              <w:tc>
                <w:tcPr>
                  <w:tcW w:w="4027" w:type="dxa"/>
                  <w:gridSpan w:val="2"/>
                  <w:noWrap w:val="0"/>
                  <w:vAlign w:val="center"/>
                </w:tcPr>
                <w:p w14:paraId="66FD5774">
                  <w:pPr>
                    <w:pStyle w:val="122"/>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产出（t/a）</w:t>
                  </w:r>
                </w:p>
              </w:tc>
            </w:tr>
            <w:tr w14:paraId="2DE183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2011" w:type="dxa"/>
                  <w:noWrap w:val="0"/>
                  <w:vAlign w:val="center"/>
                </w:tcPr>
                <w:p w14:paraId="2EEB5B02">
                  <w:pPr>
                    <w:pStyle w:val="122"/>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原料名称</w:t>
                  </w:r>
                </w:p>
              </w:tc>
              <w:tc>
                <w:tcPr>
                  <w:tcW w:w="2012" w:type="dxa"/>
                  <w:noWrap w:val="0"/>
                  <w:vAlign w:val="center"/>
                </w:tcPr>
                <w:p w14:paraId="2294CE68">
                  <w:pPr>
                    <w:pStyle w:val="122"/>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原料量</w:t>
                  </w:r>
                </w:p>
              </w:tc>
              <w:tc>
                <w:tcPr>
                  <w:tcW w:w="2013" w:type="dxa"/>
                  <w:noWrap w:val="0"/>
                  <w:vAlign w:val="center"/>
                </w:tcPr>
                <w:p w14:paraId="1A0396C9">
                  <w:pPr>
                    <w:pStyle w:val="122"/>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名称</w:t>
                  </w:r>
                </w:p>
              </w:tc>
              <w:tc>
                <w:tcPr>
                  <w:tcW w:w="2014" w:type="dxa"/>
                  <w:noWrap w:val="0"/>
                  <w:vAlign w:val="center"/>
                </w:tcPr>
                <w:p w14:paraId="0988E230">
                  <w:pPr>
                    <w:pStyle w:val="122"/>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产量</w:t>
                  </w:r>
                </w:p>
              </w:tc>
            </w:tr>
            <w:tr w14:paraId="0BAF3F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2011" w:type="dxa"/>
                  <w:noWrap w:val="0"/>
                  <w:vAlign w:val="center"/>
                </w:tcPr>
                <w:p w14:paraId="5B89EE7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C00000"/>
                      <w:sz w:val="21"/>
                      <w:szCs w:val="21"/>
                      <w:highlight w:val="none"/>
                      <w:lang w:eastAsia="zh-CN"/>
                    </w:rPr>
                  </w:pPr>
                  <w:r>
                    <w:rPr>
                      <w:rFonts w:hint="default" w:ascii="Times New Roman" w:hAnsi="Times New Roman" w:cs="Times New Roman"/>
                      <w:color w:val="C00000"/>
                      <w:sz w:val="21"/>
                      <w:szCs w:val="21"/>
                      <w:highlight w:val="none"/>
                      <w:lang w:val="en-US" w:eastAsia="zh-CN"/>
                    </w:rPr>
                    <w:t>玉米</w:t>
                  </w:r>
                </w:p>
              </w:tc>
              <w:tc>
                <w:tcPr>
                  <w:tcW w:w="2012" w:type="dxa"/>
                  <w:noWrap w:val="0"/>
                  <w:vAlign w:val="center"/>
                </w:tcPr>
                <w:p w14:paraId="5C85A27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C00000"/>
                      <w:sz w:val="21"/>
                      <w:szCs w:val="21"/>
                      <w:highlight w:val="none"/>
                      <w:lang w:val="en-US" w:eastAsia="zh-CN"/>
                    </w:rPr>
                  </w:pPr>
                  <w:r>
                    <w:rPr>
                      <w:rFonts w:hint="eastAsia" w:cs="Times New Roman"/>
                      <w:color w:val="C00000"/>
                      <w:sz w:val="21"/>
                      <w:szCs w:val="21"/>
                      <w:highlight w:val="none"/>
                      <w:lang w:val="en-US" w:eastAsia="zh-CN"/>
                    </w:rPr>
                    <w:t>15000</w:t>
                  </w:r>
                </w:p>
              </w:tc>
              <w:tc>
                <w:tcPr>
                  <w:tcW w:w="2013" w:type="dxa"/>
                  <w:noWrap w:val="0"/>
                  <w:vAlign w:val="center"/>
                </w:tcPr>
                <w:p w14:paraId="3C7A85E8">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kern w:val="0"/>
                      <w:sz w:val="21"/>
                      <w:szCs w:val="21"/>
                      <w:highlight w:val="none"/>
                      <w:lang w:val="en-US" w:eastAsia="zh-CN"/>
                    </w:rPr>
                    <w:t>干玉米</w:t>
                  </w:r>
                </w:p>
              </w:tc>
              <w:tc>
                <w:tcPr>
                  <w:tcW w:w="2014" w:type="dxa"/>
                  <w:noWrap w:val="0"/>
                  <w:vAlign w:val="center"/>
                </w:tcPr>
                <w:p w14:paraId="1FFE867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C00000"/>
                      <w:sz w:val="21"/>
                      <w:szCs w:val="21"/>
                      <w:highlight w:val="none"/>
                      <w:lang w:val="en-US" w:eastAsia="zh-CN"/>
                    </w:rPr>
                  </w:pPr>
                  <w:r>
                    <w:rPr>
                      <w:rFonts w:hint="eastAsia" w:cs="Times New Roman"/>
                      <w:color w:val="C00000"/>
                      <w:sz w:val="21"/>
                      <w:szCs w:val="21"/>
                      <w:highlight w:val="none"/>
                      <w:lang w:val="en-US" w:eastAsia="zh-CN"/>
                    </w:rPr>
                    <w:t>12258.05</w:t>
                  </w:r>
                </w:p>
              </w:tc>
            </w:tr>
            <w:tr w14:paraId="2608E1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2011" w:type="dxa"/>
                  <w:noWrap w:val="0"/>
                  <w:vAlign w:val="center"/>
                </w:tcPr>
                <w:p w14:paraId="3563A9D0">
                  <w:pPr>
                    <w:keepNext w:val="0"/>
                    <w:keepLines w:val="0"/>
                    <w:suppressLineNumbers w:val="0"/>
                    <w:spacing w:before="0" w:beforeAutospacing="0" w:after="0" w:afterAutospacing="0"/>
                    <w:ind w:left="0" w:right="0"/>
                    <w:jc w:val="center"/>
                    <w:rPr>
                      <w:rFonts w:hint="default" w:ascii="Times New Roman" w:hAnsi="Times New Roman" w:cs="Times New Roman"/>
                      <w:color w:val="C00000"/>
                      <w:kern w:val="2"/>
                      <w:sz w:val="21"/>
                      <w:szCs w:val="21"/>
                      <w:highlight w:val="none"/>
                      <w:lang w:val="en-US" w:eastAsia="zh-CN" w:bidi="ar-SA"/>
                    </w:rPr>
                  </w:pPr>
                  <w:r>
                    <w:rPr>
                      <w:rFonts w:hint="default" w:ascii="Times New Roman" w:hAnsi="Times New Roman" w:cs="Times New Roman"/>
                      <w:color w:val="C00000"/>
                      <w:kern w:val="2"/>
                      <w:sz w:val="21"/>
                      <w:szCs w:val="21"/>
                      <w:highlight w:val="none"/>
                      <w:lang w:val="en-US" w:eastAsia="zh-CN" w:bidi="ar-SA"/>
                    </w:rPr>
                    <w:t>/</w:t>
                  </w:r>
                </w:p>
              </w:tc>
              <w:tc>
                <w:tcPr>
                  <w:tcW w:w="2012" w:type="dxa"/>
                  <w:noWrap w:val="0"/>
                  <w:vAlign w:val="center"/>
                </w:tcPr>
                <w:p w14:paraId="23FEF8B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C00000"/>
                      <w:kern w:val="2"/>
                      <w:sz w:val="21"/>
                      <w:szCs w:val="21"/>
                      <w:highlight w:val="none"/>
                      <w:lang w:val="en-US" w:eastAsia="zh-CN" w:bidi="ar-SA"/>
                    </w:rPr>
                  </w:pPr>
                  <w:r>
                    <w:rPr>
                      <w:rFonts w:hint="default" w:ascii="Times New Roman" w:hAnsi="Times New Roman" w:eastAsia="宋体" w:cs="Times New Roman"/>
                      <w:color w:val="C00000"/>
                      <w:kern w:val="2"/>
                      <w:sz w:val="21"/>
                      <w:szCs w:val="21"/>
                      <w:highlight w:val="none"/>
                      <w:lang w:val="en-US" w:eastAsia="zh-CN" w:bidi="ar-SA"/>
                    </w:rPr>
                    <w:t>/</w:t>
                  </w:r>
                </w:p>
              </w:tc>
              <w:tc>
                <w:tcPr>
                  <w:tcW w:w="2013" w:type="dxa"/>
                  <w:shd w:val="clear" w:color="auto" w:fill="auto"/>
                  <w:noWrap w:val="0"/>
                  <w:vAlign w:val="center"/>
                </w:tcPr>
                <w:p w14:paraId="015BB01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C00000"/>
                      <w:kern w:val="2"/>
                      <w:sz w:val="21"/>
                      <w:szCs w:val="21"/>
                      <w:highlight w:val="none"/>
                      <w:lang w:val="en-US" w:eastAsia="zh-CN" w:bidi="ar-SA"/>
                    </w:rPr>
                  </w:pPr>
                  <w:r>
                    <w:rPr>
                      <w:rFonts w:hint="eastAsia" w:ascii="Times New Roman" w:hAnsi="Times New Roman" w:eastAsia="宋体" w:cs="Times New Roman"/>
                      <w:color w:val="C00000"/>
                      <w:kern w:val="2"/>
                      <w:sz w:val="21"/>
                      <w:szCs w:val="21"/>
                      <w:highlight w:val="none"/>
                      <w:lang w:val="en-US" w:eastAsia="zh-CN" w:bidi="ar-SA"/>
                    </w:rPr>
                    <w:t>蒸发水分</w:t>
                  </w:r>
                </w:p>
              </w:tc>
              <w:tc>
                <w:tcPr>
                  <w:tcW w:w="2014" w:type="dxa"/>
                  <w:noWrap w:val="0"/>
                  <w:vAlign w:val="center"/>
                </w:tcPr>
                <w:p w14:paraId="34FEA7A6">
                  <w:pPr>
                    <w:pStyle w:val="122"/>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C00000"/>
                      <w:sz w:val="21"/>
                      <w:szCs w:val="21"/>
                      <w:highlight w:val="none"/>
                      <w:lang w:val="en-US" w:eastAsia="zh-CN"/>
                    </w:rPr>
                  </w:pPr>
                  <w:r>
                    <w:rPr>
                      <w:rFonts w:hint="eastAsia" w:cs="Times New Roman"/>
                      <w:color w:val="C00000"/>
                      <w:sz w:val="21"/>
                      <w:szCs w:val="21"/>
                      <w:highlight w:val="none"/>
                      <w:lang w:val="en-US" w:eastAsia="zh-CN"/>
                    </w:rPr>
                    <w:t>2719.3</w:t>
                  </w:r>
                </w:p>
              </w:tc>
            </w:tr>
            <w:tr w14:paraId="567785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2011" w:type="dxa"/>
                  <w:noWrap w:val="0"/>
                  <w:vAlign w:val="center"/>
                </w:tcPr>
                <w:p w14:paraId="2E39AB3F">
                  <w:pPr>
                    <w:keepNext w:val="0"/>
                    <w:keepLines w:val="0"/>
                    <w:suppressLineNumbers w:val="0"/>
                    <w:spacing w:before="0" w:beforeAutospacing="0" w:after="0" w:afterAutospacing="0"/>
                    <w:ind w:left="0" w:right="0"/>
                    <w:jc w:val="center"/>
                    <w:rPr>
                      <w:rFonts w:hint="default" w:ascii="Times New Roman" w:hAnsi="Times New Roman" w:cs="Times New Roman"/>
                      <w:color w:val="C00000"/>
                      <w:kern w:val="2"/>
                      <w:sz w:val="21"/>
                      <w:szCs w:val="21"/>
                      <w:highlight w:val="none"/>
                      <w:lang w:val="en-US" w:eastAsia="zh-CN" w:bidi="ar-SA"/>
                    </w:rPr>
                  </w:pPr>
                  <w:r>
                    <w:rPr>
                      <w:rFonts w:hint="default" w:ascii="Times New Roman" w:hAnsi="Times New Roman" w:cs="Times New Roman"/>
                      <w:color w:val="C00000"/>
                      <w:kern w:val="2"/>
                      <w:sz w:val="21"/>
                      <w:szCs w:val="21"/>
                      <w:highlight w:val="none"/>
                      <w:lang w:val="en-US" w:eastAsia="zh-CN" w:bidi="ar-SA"/>
                    </w:rPr>
                    <w:t>/</w:t>
                  </w:r>
                </w:p>
              </w:tc>
              <w:tc>
                <w:tcPr>
                  <w:tcW w:w="2012" w:type="dxa"/>
                  <w:noWrap w:val="0"/>
                  <w:vAlign w:val="center"/>
                </w:tcPr>
                <w:p w14:paraId="0FA7D58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C00000"/>
                      <w:kern w:val="2"/>
                      <w:sz w:val="21"/>
                      <w:szCs w:val="21"/>
                      <w:highlight w:val="none"/>
                      <w:lang w:val="en-US" w:eastAsia="zh-CN" w:bidi="ar-SA"/>
                    </w:rPr>
                  </w:pPr>
                  <w:r>
                    <w:rPr>
                      <w:rFonts w:hint="default" w:ascii="Times New Roman" w:hAnsi="Times New Roman" w:cs="Times New Roman"/>
                      <w:color w:val="C00000"/>
                      <w:kern w:val="2"/>
                      <w:sz w:val="21"/>
                      <w:szCs w:val="21"/>
                      <w:highlight w:val="none"/>
                      <w:lang w:val="en-US" w:eastAsia="zh-CN" w:bidi="ar-SA"/>
                    </w:rPr>
                    <w:t>/</w:t>
                  </w:r>
                </w:p>
              </w:tc>
              <w:tc>
                <w:tcPr>
                  <w:tcW w:w="2013" w:type="dxa"/>
                  <w:shd w:val="clear" w:color="auto" w:fill="auto"/>
                  <w:noWrap w:val="0"/>
                  <w:vAlign w:val="center"/>
                </w:tcPr>
                <w:p w14:paraId="3B3AA275">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C00000"/>
                      <w:kern w:val="2"/>
                      <w:sz w:val="21"/>
                      <w:szCs w:val="21"/>
                      <w:highlight w:val="none"/>
                      <w:lang w:val="en-US" w:eastAsia="zh-CN" w:bidi="ar-SA"/>
                    </w:rPr>
                  </w:pPr>
                  <w:r>
                    <w:rPr>
                      <w:rFonts w:hint="default" w:ascii="Times New Roman" w:hAnsi="Times New Roman" w:eastAsia="宋体" w:cs="Times New Roman"/>
                      <w:color w:val="C00000"/>
                      <w:szCs w:val="21"/>
                      <w:highlight w:val="none"/>
                    </w:rPr>
                    <w:t>粮食杂质</w:t>
                  </w:r>
                </w:p>
              </w:tc>
              <w:tc>
                <w:tcPr>
                  <w:tcW w:w="2014" w:type="dxa"/>
                  <w:noWrap w:val="0"/>
                  <w:vAlign w:val="center"/>
                </w:tcPr>
                <w:p w14:paraId="394C7F2D">
                  <w:pPr>
                    <w:pStyle w:val="122"/>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C00000"/>
                      <w:sz w:val="21"/>
                      <w:szCs w:val="21"/>
                      <w:highlight w:val="none"/>
                      <w:lang w:val="en-US" w:eastAsia="zh-CN"/>
                    </w:rPr>
                  </w:pPr>
                  <w:r>
                    <w:rPr>
                      <w:rFonts w:hint="eastAsia" w:cs="Times New Roman"/>
                      <w:color w:val="C00000"/>
                      <w:sz w:val="21"/>
                      <w:szCs w:val="21"/>
                      <w:highlight w:val="none"/>
                      <w:lang w:val="en-US" w:eastAsia="zh-CN"/>
                    </w:rPr>
                    <w:t>15</w:t>
                  </w:r>
                </w:p>
              </w:tc>
            </w:tr>
            <w:tr w14:paraId="7D5CA4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2011" w:type="dxa"/>
                  <w:noWrap w:val="0"/>
                  <w:vAlign w:val="center"/>
                </w:tcPr>
                <w:p w14:paraId="7D5420C1">
                  <w:pPr>
                    <w:keepNext w:val="0"/>
                    <w:keepLines w:val="0"/>
                    <w:suppressLineNumbers w:val="0"/>
                    <w:spacing w:before="0" w:beforeAutospacing="0" w:after="0" w:afterAutospacing="0"/>
                    <w:ind w:left="0" w:right="0"/>
                    <w:jc w:val="center"/>
                    <w:rPr>
                      <w:rFonts w:hint="default" w:ascii="Times New Roman" w:hAnsi="Times New Roman" w:cs="Times New Roman"/>
                      <w:color w:val="C00000"/>
                      <w:kern w:val="2"/>
                      <w:sz w:val="21"/>
                      <w:szCs w:val="21"/>
                      <w:highlight w:val="none"/>
                      <w:lang w:val="en-US" w:eastAsia="zh-CN" w:bidi="ar-SA"/>
                    </w:rPr>
                  </w:pPr>
                  <w:r>
                    <w:rPr>
                      <w:rFonts w:hint="default" w:ascii="Times New Roman" w:hAnsi="Times New Roman" w:cs="Times New Roman"/>
                      <w:color w:val="C00000"/>
                      <w:kern w:val="2"/>
                      <w:sz w:val="21"/>
                      <w:szCs w:val="21"/>
                      <w:highlight w:val="none"/>
                      <w:lang w:val="en-US" w:eastAsia="zh-CN" w:bidi="ar-SA"/>
                    </w:rPr>
                    <w:t>/</w:t>
                  </w:r>
                </w:p>
              </w:tc>
              <w:tc>
                <w:tcPr>
                  <w:tcW w:w="2012" w:type="dxa"/>
                  <w:noWrap w:val="0"/>
                  <w:vAlign w:val="center"/>
                </w:tcPr>
                <w:p w14:paraId="6A1D2EB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C00000"/>
                      <w:kern w:val="2"/>
                      <w:sz w:val="21"/>
                      <w:szCs w:val="21"/>
                      <w:highlight w:val="none"/>
                      <w:lang w:val="en-US" w:eastAsia="zh-CN" w:bidi="ar-SA"/>
                    </w:rPr>
                  </w:pPr>
                  <w:r>
                    <w:rPr>
                      <w:rFonts w:hint="default" w:ascii="Times New Roman" w:hAnsi="Times New Roman" w:cs="Times New Roman"/>
                      <w:color w:val="C00000"/>
                      <w:kern w:val="2"/>
                      <w:sz w:val="21"/>
                      <w:szCs w:val="21"/>
                      <w:highlight w:val="none"/>
                      <w:lang w:val="en-US" w:eastAsia="zh-CN" w:bidi="ar-SA"/>
                    </w:rPr>
                    <w:t>/</w:t>
                  </w:r>
                </w:p>
              </w:tc>
              <w:tc>
                <w:tcPr>
                  <w:tcW w:w="2013" w:type="dxa"/>
                  <w:shd w:val="clear" w:color="auto" w:fill="auto"/>
                  <w:noWrap w:val="0"/>
                  <w:vAlign w:val="center"/>
                </w:tcPr>
                <w:p w14:paraId="5E1C2B19">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C00000"/>
                      <w:kern w:val="2"/>
                      <w:sz w:val="21"/>
                      <w:szCs w:val="21"/>
                      <w:highlight w:val="none"/>
                      <w:lang w:val="en-US" w:eastAsia="zh-CN" w:bidi="ar-SA"/>
                    </w:rPr>
                  </w:pPr>
                  <w:r>
                    <w:rPr>
                      <w:rFonts w:hint="eastAsia" w:cs="Times New Roman"/>
                      <w:color w:val="C00000"/>
                      <w:szCs w:val="21"/>
                      <w:highlight w:val="none"/>
                      <w:lang w:val="en-US" w:eastAsia="zh-CN"/>
                    </w:rPr>
                    <w:t>卸粮粉尘</w:t>
                  </w:r>
                </w:p>
              </w:tc>
              <w:tc>
                <w:tcPr>
                  <w:tcW w:w="2014" w:type="dxa"/>
                  <w:noWrap w:val="0"/>
                  <w:vAlign w:val="center"/>
                </w:tcPr>
                <w:p w14:paraId="7024FCD8">
                  <w:pPr>
                    <w:pStyle w:val="122"/>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C00000"/>
                      <w:sz w:val="21"/>
                      <w:szCs w:val="21"/>
                      <w:highlight w:val="none"/>
                      <w:lang w:val="en-US" w:eastAsia="zh-CN"/>
                    </w:rPr>
                  </w:pPr>
                  <w:r>
                    <w:rPr>
                      <w:rFonts w:hint="eastAsia" w:ascii="Times New Roman" w:hAnsi="Times New Roman" w:eastAsia="宋体" w:cs="Times New Roman"/>
                      <w:color w:val="C00000"/>
                      <w:sz w:val="21"/>
                      <w:szCs w:val="21"/>
                      <w:highlight w:val="none"/>
                      <w:lang w:val="en-US" w:eastAsia="zh-CN"/>
                    </w:rPr>
                    <w:t>2.4</w:t>
                  </w:r>
                </w:p>
              </w:tc>
            </w:tr>
            <w:tr w14:paraId="10A433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2011" w:type="dxa"/>
                  <w:noWrap w:val="0"/>
                  <w:vAlign w:val="center"/>
                </w:tcPr>
                <w:p w14:paraId="69A40270">
                  <w:pPr>
                    <w:keepNext w:val="0"/>
                    <w:keepLines w:val="0"/>
                    <w:suppressLineNumbers w:val="0"/>
                    <w:spacing w:before="0" w:beforeAutospacing="0" w:after="0" w:afterAutospacing="0"/>
                    <w:ind w:left="0" w:right="0"/>
                    <w:jc w:val="center"/>
                    <w:rPr>
                      <w:rFonts w:hint="default" w:ascii="Times New Roman" w:hAnsi="Times New Roman" w:cs="Times New Roman"/>
                      <w:color w:val="C00000"/>
                      <w:kern w:val="2"/>
                      <w:sz w:val="21"/>
                      <w:szCs w:val="21"/>
                      <w:highlight w:val="none"/>
                      <w:lang w:val="en-US" w:eastAsia="zh-CN" w:bidi="ar-SA"/>
                    </w:rPr>
                  </w:pPr>
                  <w:r>
                    <w:rPr>
                      <w:rFonts w:hint="default" w:ascii="Times New Roman" w:hAnsi="Times New Roman" w:cs="Times New Roman"/>
                      <w:color w:val="C00000"/>
                      <w:kern w:val="2"/>
                      <w:sz w:val="21"/>
                      <w:szCs w:val="21"/>
                      <w:highlight w:val="none"/>
                      <w:lang w:val="en-US" w:eastAsia="zh-CN" w:bidi="ar-SA"/>
                    </w:rPr>
                    <w:t>/</w:t>
                  </w:r>
                </w:p>
              </w:tc>
              <w:tc>
                <w:tcPr>
                  <w:tcW w:w="2012" w:type="dxa"/>
                  <w:noWrap w:val="0"/>
                  <w:vAlign w:val="center"/>
                </w:tcPr>
                <w:p w14:paraId="0A08A93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C00000"/>
                      <w:kern w:val="2"/>
                      <w:sz w:val="21"/>
                      <w:szCs w:val="21"/>
                      <w:highlight w:val="none"/>
                      <w:lang w:val="en-US" w:eastAsia="zh-CN" w:bidi="ar-SA"/>
                    </w:rPr>
                  </w:pPr>
                  <w:r>
                    <w:rPr>
                      <w:rFonts w:hint="default" w:ascii="Times New Roman" w:hAnsi="Times New Roman" w:cs="Times New Roman"/>
                      <w:color w:val="C00000"/>
                      <w:kern w:val="2"/>
                      <w:sz w:val="21"/>
                      <w:szCs w:val="21"/>
                      <w:highlight w:val="none"/>
                      <w:lang w:val="en-US" w:eastAsia="zh-CN" w:bidi="ar-SA"/>
                    </w:rPr>
                    <w:t>/</w:t>
                  </w:r>
                </w:p>
              </w:tc>
              <w:tc>
                <w:tcPr>
                  <w:tcW w:w="2013" w:type="dxa"/>
                  <w:shd w:val="clear" w:color="auto" w:fill="auto"/>
                  <w:noWrap w:val="0"/>
                  <w:vAlign w:val="center"/>
                </w:tcPr>
                <w:p w14:paraId="3C413631">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C00000"/>
                      <w:kern w:val="2"/>
                      <w:sz w:val="21"/>
                      <w:szCs w:val="21"/>
                      <w:highlight w:val="none"/>
                      <w:lang w:val="en-US" w:eastAsia="zh-CN" w:bidi="ar-SA"/>
                    </w:rPr>
                  </w:pPr>
                  <w:r>
                    <w:rPr>
                      <w:rFonts w:hint="default" w:ascii="Times New Roman" w:hAnsi="Times New Roman" w:eastAsia="宋体" w:cs="Times New Roman"/>
                      <w:color w:val="C00000"/>
                      <w:szCs w:val="21"/>
                      <w:highlight w:val="none"/>
                    </w:rPr>
                    <w:t>筛分粉尘</w:t>
                  </w:r>
                </w:p>
              </w:tc>
              <w:tc>
                <w:tcPr>
                  <w:tcW w:w="2014" w:type="dxa"/>
                  <w:noWrap w:val="0"/>
                  <w:vAlign w:val="center"/>
                </w:tcPr>
                <w:p w14:paraId="167BCB1F">
                  <w:pPr>
                    <w:pStyle w:val="122"/>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C00000"/>
                      <w:sz w:val="21"/>
                      <w:szCs w:val="21"/>
                      <w:highlight w:val="none"/>
                      <w:lang w:val="en-US" w:eastAsia="zh-CN"/>
                    </w:rPr>
                  </w:pPr>
                  <w:r>
                    <w:rPr>
                      <w:rFonts w:hint="eastAsia" w:ascii="Times New Roman" w:hAnsi="Times New Roman" w:eastAsia="宋体" w:cs="Times New Roman"/>
                      <w:color w:val="C00000"/>
                      <w:sz w:val="21"/>
                      <w:szCs w:val="21"/>
                      <w:highlight w:val="none"/>
                      <w:lang w:val="en-US" w:eastAsia="zh-CN"/>
                    </w:rPr>
                    <w:t>3.75</w:t>
                  </w:r>
                </w:p>
              </w:tc>
            </w:tr>
            <w:tr w14:paraId="0AECFD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2011" w:type="dxa"/>
                  <w:noWrap w:val="0"/>
                  <w:vAlign w:val="center"/>
                </w:tcPr>
                <w:p w14:paraId="456E8F4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C00000"/>
                      <w:sz w:val="21"/>
                      <w:szCs w:val="21"/>
                      <w:highlight w:val="none"/>
                      <w:lang w:val="en-US" w:eastAsia="zh-CN"/>
                    </w:rPr>
                  </w:pPr>
                  <w:r>
                    <w:rPr>
                      <w:rFonts w:hint="default" w:ascii="Times New Roman" w:hAnsi="Times New Roman" w:cs="Times New Roman"/>
                      <w:color w:val="C00000"/>
                      <w:sz w:val="21"/>
                      <w:szCs w:val="21"/>
                      <w:highlight w:val="none"/>
                      <w:lang w:val="en-US" w:eastAsia="zh-CN"/>
                    </w:rPr>
                    <w:t>/</w:t>
                  </w:r>
                </w:p>
              </w:tc>
              <w:tc>
                <w:tcPr>
                  <w:tcW w:w="2012" w:type="dxa"/>
                  <w:noWrap w:val="0"/>
                  <w:vAlign w:val="center"/>
                </w:tcPr>
                <w:p w14:paraId="1847642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C00000"/>
                      <w:kern w:val="2"/>
                      <w:sz w:val="21"/>
                      <w:szCs w:val="21"/>
                      <w:highlight w:val="none"/>
                      <w:lang w:val="en-US" w:eastAsia="zh-CN" w:bidi="ar-SA"/>
                    </w:rPr>
                  </w:pPr>
                  <w:r>
                    <w:rPr>
                      <w:rFonts w:hint="default" w:ascii="Times New Roman" w:hAnsi="Times New Roman" w:eastAsia="宋体" w:cs="Times New Roman"/>
                      <w:color w:val="C00000"/>
                      <w:kern w:val="2"/>
                      <w:sz w:val="21"/>
                      <w:szCs w:val="21"/>
                      <w:highlight w:val="none"/>
                      <w:lang w:val="en-US" w:eastAsia="zh-CN" w:bidi="ar-SA"/>
                    </w:rPr>
                    <w:t>/</w:t>
                  </w:r>
                </w:p>
              </w:tc>
              <w:tc>
                <w:tcPr>
                  <w:tcW w:w="2013" w:type="dxa"/>
                  <w:shd w:val="clear" w:color="auto" w:fill="auto"/>
                  <w:noWrap w:val="0"/>
                  <w:vAlign w:val="center"/>
                </w:tcPr>
                <w:p w14:paraId="0209190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C00000"/>
                      <w:kern w:val="2"/>
                      <w:sz w:val="21"/>
                      <w:szCs w:val="21"/>
                      <w:highlight w:val="none"/>
                      <w:lang w:val="en-US" w:eastAsia="zh-CN" w:bidi="ar-SA"/>
                    </w:rPr>
                  </w:pPr>
                  <w:r>
                    <w:rPr>
                      <w:rFonts w:hint="default" w:ascii="Times New Roman" w:hAnsi="Times New Roman" w:eastAsia="宋体" w:cs="Times New Roman"/>
                      <w:color w:val="C00000"/>
                      <w:szCs w:val="21"/>
                      <w:highlight w:val="none"/>
                    </w:rPr>
                    <w:t>烘干粉尘</w:t>
                  </w:r>
                </w:p>
              </w:tc>
              <w:tc>
                <w:tcPr>
                  <w:tcW w:w="2014" w:type="dxa"/>
                  <w:noWrap w:val="0"/>
                  <w:vAlign w:val="center"/>
                </w:tcPr>
                <w:p w14:paraId="70FD39D0">
                  <w:pPr>
                    <w:pStyle w:val="122"/>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C00000"/>
                      <w:sz w:val="21"/>
                      <w:szCs w:val="21"/>
                      <w:highlight w:val="none"/>
                      <w:lang w:val="en-US" w:eastAsia="zh-CN"/>
                    </w:rPr>
                  </w:pPr>
                  <w:r>
                    <w:rPr>
                      <w:rFonts w:hint="eastAsia" w:ascii="Times New Roman" w:hAnsi="Times New Roman" w:eastAsia="宋体" w:cs="Times New Roman"/>
                      <w:color w:val="C00000"/>
                      <w:sz w:val="21"/>
                      <w:szCs w:val="21"/>
                      <w:highlight w:val="none"/>
                      <w:lang w:val="en-US" w:eastAsia="zh-CN"/>
                    </w:rPr>
                    <w:t>1.5</w:t>
                  </w:r>
                </w:p>
              </w:tc>
            </w:tr>
            <w:tr w14:paraId="5BC183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11" w:type="dxa"/>
                  <w:noWrap w:val="0"/>
                  <w:vAlign w:val="center"/>
                </w:tcPr>
                <w:p w14:paraId="18F550EB">
                  <w:pPr>
                    <w:keepNext w:val="0"/>
                    <w:keepLines w:val="0"/>
                    <w:suppressLineNumbers w:val="0"/>
                    <w:spacing w:before="0" w:beforeAutospacing="0" w:after="0" w:afterAutospacing="0"/>
                    <w:ind w:left="0" w:right="0"/>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合计</w:t>
                  </w:r>
                </w:p>
              </w:tc>
              <w:tc>
                <w:tcPr>
                  <w:tcW w:w="2012" w:type="dxa"/>
                  <w:noWrap w:val="0"/>
                  <w:vAlign w:val="center"/>
                </w:tcPr>
                <w:p w14:paraId="4F26F5E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C00000"/>
                      <w:sz w:val="21"/>
                      <w:szCs w:val="21"/>
                      <w:highlight w:val="none"/>
                      <w:lang w:val="en-US" w:eastAsia="zh-CN"/>
                    </w:rPr>
                  </w:pPr>
                  <w:r>
                    <w:rPr>
                      <w:rFonts w:hint="eastAsia" w:cs="Times New Roman"/>
                      <w:color w:val="C00000"/>
                      <w:sz w:val="21"/>
                      <w:szCs w:val="21"/>
                      <w:highlight w:val="none"/>
                      <w:lang w:val="en-US" w:eastAsia="zh-CN"/>
                    </w:rPr>
                    <w:t>15000</w:t>
                  </w:r>
                </w:p>
              </w:tc>
              <w:tc>
                <w:tcPr>
                  <w:tcW w:w="2013" w:type="dxa"/>
                  <w:noWrap w:val="0"/>
                  <w:vAlign w:val="center"/>
                </w:tcPr>
                <w:p w14:paraId="1F3E8B45">
                  <w:pPr>
                    <w:pStyle w:val="122"/>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bCs w:val="0"/>
                      <w:color w:val="C00000"/>
                      <w:sz w:val="21"/>
                      <w:szCs w:val="21"/>
                      <w:highlight w:val="none"/>
                    </w:rPr>
                  </w:pPr>
                  <w:r>
                    <w:rPr>
                      <w:rFonts w:hint="default" w:ascii="Times New Roman" w:hAnsi="Times New Roman" w:cs="Times New Roman"/>
                      <w:color w:val="C00000"/>
                      <w:sz w:val="21"/>
                      <w:szCs w:val="21"/>
                      <w:highlight w:val="none"/>
                    </w:rPr>
                    <w:t>合计</w:t>
                  </w:r>
                </w:p>
              </w:tc>
              <w:tc>
                <w:tcPr>
                  <w:tcW w:w="2014" w:type="dxa"/>
                  <w:noWrap w:val="0"/>
                  <w:vAlign w:val="center"/>
                </w:tcPr>
                <w:p w14:paraId="6A2BDC2F">
                  <w:pPr>
                    <w:pStyle w:val="122"/>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val="0"/>
                      <w:color w:val="C00000"/>
                      <w:sz w:val="21"/>
                      <w:szCs w:val="21"/>
                      <w:highlight w:val="none"/>
                      <w:lang w:val="en-US" w:eastAsia="zh-CN"/>
                    </w:rPr>
                  </w:pPr>
                  <w:r>
                    <w:rPr>
                      <w:rFonts w:hint="eastAsia" w:cs="Times New Roman"/>
                      <w:color w:val="C00000"/>
                      <w:sz w:val="21"/>
                      <w:szCs w:val="21"/>
                      <w:highlight w:val="none"/>
                      <w:lang w:val="en-US" w:eastAsia="zh-CN"/>
                    </w:rPr>
                    <w:t>15000</w:t>
                  </w:r>
                </w:p>
              </w:tc>
            </w:tr>
          </w:tbl>
          <w:p w14:paraId="617CEC72">
            <w:pPr>
              <w:pStyle w:val="59"/>
              <w:spacing w:line="360" w:lineRule="auto"/>
              <w:ind w:firstLine="482"/>
              <w:rPr>
                <w:b/>
                <w:bCs/>
                <w:kern w:val="2"/>
                <w:szCs w:val="24"/>
              </w:rPr>
            </w:pPr>
          </w:p>
          <w:p w14:paraId="1951384D">
            <w:pPr>
              <w:pStyle w:val="59"/>
              <w:spacing w:line="360" w:lineRule="auto"/>
              <w:ind w:firstLine="482"/>
              <w:rPr>
                <w:b/>
                <w:bCs/>
                <w:kern w:val="2"/>
                <w:szCs w:val="24"/>
              </w:rPr>
            </w:pPr>
            <w:r>
              <w:rPr>
                <w:rFonts w:hint="eastAsia"/>
                <w:b/>
                <w:bCs/>
                <w:kern w:val="2"/>
                <w:szCs w:val="24"/>
                <w:lang w:val="en-US" w:eastAsia="zh-CN"/>
              </w:rPr>
              <w:t>6</w:t>
            </w:r>
            <w:r>
              <w:rPr>
                <w:b/>
                <w:bCs/>
                <w:kern w:val="2"/>
                <w:szCs w:val="24"/>
              </w:rPr>
              <w:t>、建设周期及实施进度</w:t>
            </w:r>
          </w:p>
          <w:p w14:paraId="06955739">
            <w:pPr>
              <w:pStyle w:val="59"/>
              <w:spacing w:line="360" w:lineRule="auto"/>
              <w:ind w:firstLine="480"/>
            </w:pPr>
            <w:r>
              <w:t>本项目计划于2025年</w:t>
            </w:r>
            <w:r>
              <w:rPr>
                <w:rFonts w:hint="eastAsia"/>
              </w:rPr>
              <w:t>12</w:t>
            </w:r>
            <w:r>
              <w:t>月开工建设，于202</w:t>
            </w:r>
            <w:r>
              <w:rPr>
                <w:rFonts w:hint="eastAsia"/>
              </w:rPr>
              <w:t>6</w:t>
            </w:r>
            <w:r>
              <w:t>年</w:t>
            </w:r>
            <w:r>
              <w:rPr>
                <w:rFonts w:hint="eastAsia"/>
              </w:rPr>
              <w:t>1</w:t>
            </w:r>
            <w:r>
              <w:t>月建成。</w:t>
            </w:r>
          </w:p>
          <w:p w14:paraId="77090475">
            <w:pPr>
              <w:pStyle w:val="59"/>
              <w:spacing w:line="360" w:lineRule="auto"/>
              <w:ind w:firstLine="482"/>
              <w:rPr>
                <w:b/>
                <w:bCs/>
                <w:kern w:val="2"/>
                <w:szCs w:val="24"/>
              </w:rPr>
            </w:pPr>
            <w:r>
              <w:rPr>
                <w:rFonts w:hint="eastAsia"/>
                <w:b/>
                <w:bCs/>
                <w:kern w:val="2"/>
                <w:szCs w:val="24"/>
                <w:lang w:val="en-US" w:eastAsia="zh-CN"/>
              </w:rPr>
              <w:t>7</w:t>
            </w:r>
            <w:r>
              <w:rPr>
                <w:b/>
                <w:bCs/>
                <w:kern w:val="2"/>
                <w:szCs w:val="24"/>
              </w:rPr>
              <w:t>、员工及工作制度</w:t>
            </w:r>
          </w:p>
          <w:p w14:paraId="785CC8BD">
            <w:pPr>
              <w:pStyle w:val="59"/>
              <w:spacing w:line="360" w:lineRule="auto"/>
              <w:ind w:firstLine="480"/>
              <w:rPr>
                <w:color w:val="C00000"/>
              </w:rPr>
            </w:pPr>
            <w:r>
              <w:rPr>
                <w:rFonts w:hint="eastAsia"/>
                <w:color w:val="C00000"/>
              </w:rPr>
              <w:t>本项目不新增员工，厂内原有职工10人</w:t>
            </w:r>
            <w:r>
              <w:rPr>
                <w:color w:val="C00000"/>
              </w:rPr>
              <w:t>，生产期间实行</w:t>
            </w:r>
            <w:r>
              <w:rPr>
                <w:rFonts w:hint="eastAsia"/>
                <w:color w:val="C00000"/>
              </w:rPr>
              <w:t>3</w:t>
            </w:r>
            <w:r>
              <w:rPr>
                <w:color w:val="C00000"/>
              </w:rPr>
              <w:t>班制，每班</w:t>
            </w:r>
            <w:r>
              <w:rPr>
                <w:rFonts w:hint="eastAsia"/>
                <w:color w:val="C00000"/>
              </w:rPr>
              <w:t>8</w:t>
            </w:r>
            <w:r>
              <w:rPr>
                <w:color w:val="C00000"/>
              </w:rPr>
              <w:t>小时，年工作</w:t>
            </w:r>
            <w:r>
              <w:rPr>
                <w:rFonts w:hint="eastAsia"/>
                <w:color w:val="C00000"/>
              </w:rPr>
              <w:t>50</w:t>
            </w:r>
            <w:r>
              <w:rPr>
                <w:color w:val="C00000"/>
              </w:rPr>
              <w:t>天</w:t>
            </w:r>
            <w:r>
              <w:rPr>
                <w:rFonts w:hint="eastAsia"/>
                <w:color w:val="C00000"/>
                <w:highlight w:val="none"/>
                <w:lang w:eastAsia="zh-CN"/>
              </w:rPr>
              <w:t>（</w:t>
            </w:r>
            <w:r>
              <w:rPr>
                <w:rFonts w:hint="eastAsia"/>
                <w:color w:val="C00000"/>
                <w:highlight w:val="none"/>
                <w:lang w:val="en-US" w:eastAsia="zh-CN"/>
              </w:rPr>
              <w:t>每年11月-1月）</w:t>
            </w:r>
            <w:r>
              <w:rPr>
                <w:color w:val="C00000"/>
                <w:highlight w:val="none"/>
              </w:rPr>
              <w:t>。</w:t>
            </w:r>
          </w:p>
          <w:p w14:paraId="06A16850">
            <w:pPr>
              <w:autoSpaceDE w:val="0"/>
              <w:autoSpaceDN w:val="0"/>
              <w:adjustRightInd w:val="0"/>
              <w:spacing w:line="360" w:lineRule="auto"/>
              <w:ind w:firstLine="482" w:firstLineChars="200"/>
              <w:rPr>
                <w:b/>
                <w:sz w:val="24"/>
              </w:rPr>
            </w:pPr>
            <w:r>
              <w:rPr>
                <w:rFonts w:hint="eastAsia"/>
                <w:b/>
                <w:sz w:val="24"/>
                <w:lang w:val="en-US" w:eastAsia="zh-CN"/>
              </w:rPr>
              <w:t>8</w:t>
            </w:r>
            <w:r>
              <w:rPr>
                <w:b/>
                <w:sz w:val="24"/>
              </w:rPr>
              <w:t>、公用工程</w:t>
            </w:r>
          </w:p>
          <w:p w14:paraId="4B664103">
            <w:pPr>
              <w:pStyle w:val="59"/>
              <w:spacing w:line="360" w:lineRule="auto"/>
              <w:ind w:firstLine="480"/>
            </w:pPr>
            <w:r>
              <w:t>（1）给排水</w:t>
            </w:r>
          </w:p>
          <w:p w14:paraId="1C4644DF">
            <w:pPr>
              <w:pStyle w:val="59"/>
              <w:spacing w:line="360" w:lineRule="auto"/>
              <w:ind w:firstLine="480"/>
              <w:jc w:val="left"/>
              <w:rPr>
                <w:b/>
                <w:bCs/>
                <w:sz w:val="21"/>
                <w:szCs w:val="21"/>
              </w:rPr>
            </w:pPr>
            <w:r>
              <w:rPr>
                <w:szCs w:val="24"/>
              </w:rPr>
              <w:t>本项目无需生产用水，</w:t>
            </w:r>
            <w:r>
              <w:rPr>
                <w:rFonts w:hint="eastAsia"/>
                <w:szCs w:val="24"/>
              </w:rPr>
              <w:t>员工生活用水</w:t>
            </w:r>
            <w:r>
              <w:rPr>
                <w:rFonts w:hint="eastAsia"/>
                <w:szCs w:val="21"/>
              </w:rPr>
              <w:t>由双鸭山市自来水公司提供</w:t>
            </w:r>
            <w:r>
              <w:rPr>
                <w:rFonts w:hint="eastAsia"/>
                <w:szCs w:val="24"/>
              </w:rPr>
              <w:t>，</w:t>
            </w:r>
            <w:r>
              <w:t>生活污水排入防渗旱厕，定期清掏，外运堆肥。</w:t>
            </w:r>
          </w:p>
          <w:p w14:paraId="4552A168">
            <w:pPr>
              <w:pStyle w:val="59"/>
              <w:spacing w:line="360" w:lineRule="auto"/>
              <w:ind w:firstLine="480"/>
            </w:pPr>
            <w:r>
              <w:t>（2）供热</w:t>
            </w:r>
          </w:p>
          <w:p w14:paraId="23E8ACF8">
            <w:pPr>
              <w:pStyle w:val="59"/>
              <w:spacing w:line="360" w:lineRule="auto"/>
              <w:ind w:firstLine="480"/>
            </w:pPr>
            <w:r>
              <w:rPr>
                <w:szCs w:val="24"/>
              </w:rPr>
              <w:t>本项目生产用热由一台</w:t>
            </w:r>
            <w:r>
              <w:rPr>
                <w:rFonts w:hint="eastAsia"/>
                <w:szCs w:val="24"/>
                <w:lang w:eastAsia="zh-CN"/>
              </w:rPr>
              <w:t>6t/h</w:t>
            </w:r>
            <w:r>
              <w:rPr>
                <w:szCs w:val="24"/>
              </w:rPr>
              <w:t>燃生物质热风炉提供，燃料消耗量为</w:t>
            </w:r>
            <w:r>
              <w:rPr>
                <w:rFonts w:hint="eastAsia"/>
                <w:szCs w:val="24"/>
                <w:lang w:eastAsia="zh-CN"/>
              </w:rPr>
              <w:t>1303</w:t>
            </w:r>
            <w:r>
              <w:rPr>
                <w:szCs w:val="24"/>
              </w:rPr>
              <w:t>t/a</w:t>
            </w:r>
            <w:r>
              <w:t>。</w:t>
            </w:r>
          </w:p>
          <w:p w14:paraId="7EDD74F3">
            <w:pPr>
              <w:pStyle w:val="59"/>
              <w:spacing w:line="360" w:lineRule="auto"/>
              <w:ind w:firstLine="480"/>
              <w:rPr>
                <w:szCs w:val="24"/>
              </w:rPr>
            </w:pPr>
            <w:r>
              <w:t>厂区办公室冬季供暖为电取暖</w:t>
            </w:r>
            <w:r>
              <w:rPr>
                <w:szCs w:val="24"/>
              </w:rPr>
              <w:t>。</w:t>
            </w:r>
          </w:p>
          <w:p w14:paraId="2C1E7601">
            <w:pPr>
              <w:pStyle w:val="59"/>
              <w:spacing w:line="360" w:lineRule="auto"/>
              <w:ind w:firstLine="480"/>
            </w:pPr>
            <w:r>
              <w:t>（3）供电</w:t>
            </w:r>
          </w:p>
          <w:p w14:paraId="7F9798A3">
            <w:pPr>
              <w:pStyle w:val="30"/>
              <w:spacing w:after="0" w:line="360" w:lineRule="auto"/>
              <w:ind w:firstLine="480" w:firstLineChars="200"/>
              <w:jc w:val="left"/>
              <w:rPr>
                <w:kern w:val="0"/>
                <w:sz w:val="24"/>
                <w:szCs w:val="20"/>
              </w:rPr>
            </w:pPr>
            <w:r>
              <w:rPr>
                <w:kern w:val="0"/>
                <w:sz w:val="24"/>
                <w:szCs w:val="20"/>
              </w:rPr>
              <w:t>用电由所在地供电电网提供。</w:t>
            </w:r>
          </w:p>
          <w:p w14:paraId="6C76B27B">
            <w:pPr>
              <w:adjustRightInd w:val="0"/>
              <w:snapToGrid w:val="0"/>
              <w:spacing w:line="360" w:lineRule="auto"/>
              <w:ind w:firstLine="482" w:firstLineChars="200"/>
              <w:rPr>
                <w:b/>
                <w:bCs/>
                <w:sz w:val="24"/>
              </w:rPr>
            </w:pPr>
            <w:r>
              <w:rPr>
                <w:rFonts w:hint="eastAsia"/>
                <w:b/>
                <w:bCs/>
                <w:sz w:val="24"/>
                <w:lang w:val="en-US" w:eastAsia="zh-CN"/>
              </w:rPr>
              <w:t>9</w:t>
            </w:r>
            <w:r>
              <w:rPr>
                <w:b/>
                <w:bCs/>
                <w:sz w:val="24"/>
              </w:rPr>
              <w:t>、总平面布置</w:t>
            </w:r>
          </w:p>
          <w:p w14:paraId="03A4ECF4">
            <w:pPr>
              <w:pStyle w:val="98"/>
              <w:spacing w:line="360" w:lineRule="auto"/>
              <w:ind w:firstLine="480"/>
            </w:pPr>
            <w:r>
              <w:t>本项目位于</w:t>
            </w:r>
            <w:r>
              <w:rPr>
                <w:rFonts w:hint="eastAsia"/>
              </w:rPr>
              <w:t>黑龙江省双鸭山市宝山区新安煤矿原建设科院内</w:t>
            </w:r>
            <w:r>
              <w:rPr>
                <w:rFonts w:hint="eastAsia"/>
                <w:kern w:val="2"/>
                <w:szCs w:val="24"/>
              </w:rPr>
              <w:t>，</w:t>
            </w:r>
            <w:r>
              <w:rPr>
                <w:rFonts w:hint="eastAsia"/>
                <w:kern w:val="2"/>
                <w:szCs w:val="24"/>
                <w:lang w:val="en-US" w:eastAsia="zh-CN"/>
              </w:rPr>
              <w:t>将现有</w:t>
            </w:r>
            <w:r>
              <w:rPr>
                <w:rFonts w:hint="eastAsia"/>
                <w:kern w:val="2"/>
                <w:szCs w:val="24"/>
              </w:rPr>
              <w:t>1台</w:t>
            </w:r>
            <w:r>
              <w:rPr>
                <w:rFonts w:hint="eastAsia"/>
                <w:lang w:eastAsia="zh-CN"/>
              </w:rPr>
              <w:t>6t/h</w:t>
            </w:r>
            <w:r>
              <w:rPr>
                <w:rFonts w:hint="eastAsia"/>
              </w:rPr>
              <w:t>燃煤热风炉</w:t>
            </w:r>
            <w:r>
              <w:rPr>
                <w:rFonts w:hint="eastAsia"/>
                <w:lang w:val="en-US" w:eastAsia="zh-CN"/>
              </w:rPr>
              <w:t>改为</w:t>
            </w:r>
            <w:r>
              <w:rPr>
                <w:rFonts w:hint="eastAsia"/>
              </w:rPr>
              <w:t>1台</w:t>
            </w:r>
            <w:r>
              <w:rPr>
                <w:rFonts w:hint="eastAsia"/>
                <w:lang w:eastAsia="zh-CN"/>
              </w:rPr>
              <w:t>6t/h</w:t>
            </w:r>
            <w:r>
              <w:rPr>
                <w:rFonts w:hint="eastAsia"/>
              </w:rPr>
              <w:t>燃生物质热风炉，配套安装布袋除尘器，依托原有烘干塔</w:t>
            </w:r>
            <w:r>
              <w:t>。</w:t>
            </w:r>
            <w:r>
              <w:rPr>
                <w:kern w:val="2"/>
                <w:szCs w:val="24"/>
              </w:rPr>
              <w:t>项目平面布置图见附图2，项目平面布置功能分区合理、布局紧凑，各个建筑物的布置均满足工艺需要。项目所在地道路系统完善，有利于原料及产品的运输。因此，项目平面布置合理。</w:t>
            </w:r>
          </w:p>
          <w:p w14:paraId="1574CEDA">
            <w:pPr>
              <w:pStyle w:val="98"/>
              <w:spacing w:line="360" w:lineRule="auto"/>
              <w:ind w:firstLine="482"/>
              <w:rPr>
                <w:b/>
                <w:bCs/>
              </w:rPr>
            </w:pPr>
            <w:r>
              <w:rPr>
                <w:rFonts w:hint="eastAsia"/>
                <w:b/>
                <w:bCs/>
                <w:lang w:val="en-US" w:eastAsia="zh-CN"/>
              </w:rPr>
              <w:t>10</w:t>
            </w:r>
            <w:r>
              <w:rPr>
                <w:b/>
                <w:bCs/>
              </w:rPr>
              <w:t>、投资情况</w:t>
            </w:r>
          </w:p>
          <w:p w14:paraId="3ED15C2A">
            <w:pPr>
              <w:pStyle w:val="98"/>
              <w:spacing w:line="360" w:lineRule="auto"/>
              <w:ind w:firstLine="480"/>
              <w:rPr>
                <w:rFonts w:eastAsia="宋体" w:cs="Times New Roman"/>
                <w:b/>
                <w:bCs/>
                <w:sz w:val="21"/>
                <w:szCs w:val="21"/>
              </w:rPr>
            </w:pPr>
            <w:r>
              <w:t>本项目总投资</w:t>
            </w:r>
            <w:r>
              <w:rPr>
                <w:rFonts w:hint="eastAsia"/>
              </w:rPr>
              <w:t>36</w:t>
            </w:r>
            <w:r>
              <w:t>万元，环保投资</w:t>
            </w:r>
            <w:r>
              <w:rPr>
                <w:rFonts w:hint="eastAsia"/>
              </w:rPr>
              <w:t>14</w:t>
            </w:r>
            <w:r>
              <w:t>万元。环保投资估算见下表。</w:t>
            </w:r>
          </w:p>
          <w:p w14:paraId="7E562718">
            <w:pPr>
              <w:pStyle w:val="99"/>
              <w:rPr>
                <w:rFonts w:hint="eastAsia" w:eastAsia="宋体" w:cs="Times New Roman"/>
                <w:b/>
                <w:bCs/>
                <w:sz w:val="21"/>
                <w:szCs w:val="21"/>
                <w:lang w:eastAsia="zh-CN"/>
              </w:rPr>
            </w:pPr>
            <w:r>
              <w:rPr>
                <w:rFonts w:eastAsia="宋体" w:cs="Times New Roman"/>
                <w:b/>
                <w:bCs/>
                <w:sz w:val="21"/>
                <w:szCs w:val="21"/>
              </w:rPr>
              <w:t>表2-</w:t>
            </w:r>
            <w:r>
              <w:rPr>
                <w:rFonts w:hint="eastAsia" w:eastAsia="宋体" w:cs="Times New Roman"/>
                <w:b/>
                <w:bCs/>
                <w:sz w:val="21"/>
                <w:szCs w:val="21"/>
                <w:lang w:val="en-US" w:eastAsia="zh-CN"/>
              </w:rPr>
              <w:t>7</w:t>
            </w:r>
            <w:r>
              <w:rPr>
                <w:rFonts w:eastAsia="宋体" w:cs="Times New Roman"/>
                <w:b/>
                <w:bCs/>
                <w:sz w:val="21"/>
                <w:szCs w:val="21"/>
              </w:rPr>
              <w:t>环保投资一览表</w:t>
            </w:r>
          </w:p>
          <w:tbl>
            <w:tblPr>
              <w:tblStyle w:val="32"/>
              <w:tblW w:w="793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6"/>
              <w:gridCol w:w="1106"/>
              <w:gridCol w:w="1343"/>
              <w:gridCol w:w="3690"/>
              <w:gridCol w:w="1359"/>
            </w:tblGrid>
            <w:tr w14:paraId="3C9980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42" w:type="dxa"/>
                  <w:gridSpan w:val="2"/>
                  <w:vAlign w:val="center"/>
                </w:tcPr>
                <w:p w14:paraId="0473C852">
                  <w:pPr>
                    <w:pStyle w:val="100"/>
                    <w:rPr>
                      <w:szCs w:val="21"/>
                    </w:rPr>
                  </w:pPr>
                  <w:r>
                    <w:rPr>
                      <w:szCs w:val="21"/>
                    </w:rPr>
                    <w:t>投资项目</w:t>
                  </w:r>
                </w:p>
              </w:tc>
              <w:tc>
                <w:tcPr>
                  <w:tcW w:w="1343" w:type="dxa"/>
                  <w:vAlign w:val="center"/>
                </w:tcPr>
                <w:p w14:paraId="3D77C5F4">
                  <w:pPr>
                    <w:pStyle w:val="100"/>
                    <w:rPr>
                      <w:szCs w:val="21"/>
                    </w:rPr>
                  </w:pPr>
                  <w:r>
                    <w:rPr>
                      <w:szCs w:val="21"/>
                    </w:rPr>
                    <w:t>污染源</w:t>
                  </w:r>
                </w:p>
              </w:tc>
              <w:tc>
                <w:tcPr>
                  <w:tcW w:w="3690" w:type="dxa"/>
                  <w:vAlign w:val="center"/>
                </w:tcPr>
                <w:p w14:paraId="5011FA59">
                  <w:pPr>
                    <w:pStyle w:val="100"/>
                    <w:rPr>
                      <w:szCs w:val="21"/>
                    </w:rPr>
                  </w:pPr>
                  <w:r>
                    <w:rPr>
                      <w:szCs w:val="21"/>
                    </w:rPr>
                    <w:t>具体措施</w:t>
                  </w:r>
                </w:p>
              </w:tc>
              <w:tc>
                <w:tcPr>
                  <w:tcW w:w="1359" w:type="dxa"/>
                  <w:vAlign w:val="center"/>
                </w:tcPr>
                <w:p w14:paraId="525126A8">
                  <w:pPr>
                    <w:pStyle w:val="100"/>
                    <w:rPr>
                      <w:szCs w:val="21"/>
                    </w:rPr>
                  </w:pPr>
                  <w:r>
                    <w:rPr>
                      <w:szCs w:val="21"/>
                    </w:rPr>
                    <w:t>投资（万元）</w:t>
                  </w:r>
                </w:p>
              </w:tc>
            </w:tr>
            <w:tr w14:paraId="7D2EAF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6" w:type="dxa"/>
                  <w:vMerge w:val="restart"/>
                  <w:vAlign w:val="center"/>
                </w:tcPr>
                <w:p w14:paraId="3EAC6C1B">
                  <w:pPr>
                    <w:pStyle w:val="100"/>
                    <w:rPr>
                      <w:szCs w:val="21"/>
                    </w:rPr>
                  </w:pPr>
                  <w:r>
                    <w:rPr>
                      <w:szCs w:val="21"/>
                    </w:rPr>
                    <w:t>运行期</w:t>
                  </w:r>
                </w:p>
              </w:tc>
              <w:tc>
                <w:tcPr>
                  <w:tcW w:w="1106" w:type="dxa"/>
                  <w:vMerge w:val="restart"/>
                  <w:vAlign w:val="center"/>
                </w:tcPr>
                <w:p w14:paraId="65239590">
                  <w:pPr>
                    <w:pStyle w:val="100"/>
                    <w:rPr>
                      <w:szCs w:val="21"/>
                    </w:rPr>
                  </w:pPr>
                  <w:r>
                    <w:rPr>
                      <w:szCs w:val="21"/>
                    </w:rPr>
                    <w:t>废气处理</w:t>
                  </w:r>
                </w:p>
              </w:tc>
              <w:tc>
                <w:tcPr>
                  <w:tcW w:w="1343" w:type="dxa"/>
                  <w:vAlign w:val="center"/>
                </w:tcPr>
                <w:p w14:paraId="4DFC27DF">
                  <w:pPr>
                    <w:pStyle w:val="100"/>
                    <w:rPr>
                      <w:color w:val="C00000"/>
                      <w:szCs w:val="21"/>
                    </w:rPr>
                  </w:pPr>
                  <w:r>
                    <w:rPr>
                      <w:rStyle w:val="101"/>
                      <w:color w:val="C00000"/>
                      <w:sz w:val="21"/>
                      <w:szCs w:val="21"/>
                    </w:rPr>
                    <w:t>热风炉烟气</w:t>
                  </w:r>
                </w:p>
              </w:tc>
              <w:tc>
                <w:tcPr>
                  <w:tcW w:w="3690" w:type="dxa"/>
                  <w:vAlign w:val="center"/>
                </w:tcPr>
                <w:p w14:paraId="6729BD8B">
                  <w:pPr>
                    <w:jc w:val="center"/>
                    <w:rPr>
                      <w:rFonts w:hint="default" w:eastAsia="宋体"/>
                      <w:color w:val="C00000"/>
                      <w:szCs w:val="21"/>
                      <w:lang w:val="en-US" w:eastAsia="zh-CN"/>
                    </w:rPr>
                  </w:pPr>
                  <w:r>
                    <w:rPr>
                      <w:rFonts w:hint="eastAsia"/>
                      <w:color w:val="C00000"/>
                      <w:szCs w:val="21"/>
                      <w:lang w:val="en-US" w:eastAsia="zh-CN"/>
                    </w:rPr>
                    <w:t>高效布袋除尘器</w:t>
                  </w:r>
                </w:p>
              </w:tc>
              <w:tc>
                <w:tcPr>
                  <w:tcW w:w="1359" w:type="dxa"/>
                  <w:vAlign w:val="center"/>
                </w:tcPr>
                <w:p w14:paraId="05FF2D18">
                  <w:pPr>
                    <w:widowControl/>
                    <w:jc w:val="center"/>
                    <w:textAlignment w:val="center"/>
                    <w:rPr>
                      <w:rFonts w:hint="eastAsia" w:eastAsia="宋体"/>
                      <w:szCs w:val="21"/>
                      <w:lang w:eastAsia="zh-CN"/>
                    </w:rPr>
                  </w:pPr>
                  <w:r>
                    <w:rPr>
                      <w:rFonts w:hint="eastAsia"/>
                      <w:szCs w:val="21"/>
                      <w:lang w:val="en-US" w:eastAsia="zh-CN"/>
                    </w:rPr>
                    <w:t>6</w:t>
                  </w:r>
                </w:p>
              </w:tc>
            </w:tr>
            <w:tr w14:paraId="75E2D5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6" w:type="dxa"/>
                  <w:vMerge w:val="continue"/>
                  <w:vAlign w:val="center"/>
                </w:tcPr>
                <w:p w14:paraId="672936EF">
                  <w:pPr>
                    <w:pStyle w:val="100"/>
                    <w:rPr>
                      <w:szCs w:val="21"/>
                    </w:rPr>
                  </w:pPr>
                </w:p>
              </w:tc>
              <w:tc>
                <w:tcPr>
                  <w:tcW w:w="1106" w:type="dxa"/>
                  <w:vMerge w:val="continue"/>
                  <w:vAlign w:val="center"/>
                </w:tcPr>
                <w:p w14:paraId="58C35FEE">
                  <w:pPr>
                    <w:pStyle w:val="100"/>
                    <w:rPr>
                      <w:szCs w:val="21"/>
                    </w:rPr>
                  </w:pPr>
                </w:p>
              </w:tc>
              <w:tc>
                <w:tcPr>
                  <w:tcW w:w="1343" w:type="dxa"/>
                  <w:vAlign w:val="center"/>
                </w:tcPr>
                <w:p w14:paraId="45754E21">
                  <w:pPr>
                    <w:jc w:val="center"/>
                    <w:rPr>
                      <w:color w:val="C00000"/>
                      <w:szCs w:val="21"/>
                    </w:rPr>
                  </w:pPr>
                  <w:r>
                    <w:rPr>
                      <w:rFonts w:hint="eastAsia"/>
                      <w:color w:val="C00000"/>
                      <w:szCs w:val="21"/>
                    </w:rPr>
                    <w:t>装卸、筛分</w:t>
                  </w:r>
                </w:p>
              </w:tc>
              <w:tc>
                <w:tcPr>
                  <w:tcW w:w="3690" w:type="dxa"/>
                  <w:vAlign w:val="center"/>
                </w:tcPr>
                <w:p w14:paraId="40F08C31">
                  <w:pPr>
                    <w:jc w:val="center"/>
                    <w:rPr>
                      <w:color w:val="C00000"/>
                      <w:szCs w:val="21"/>
                    </w:rPr>
                  </w:pPr>
                  <w:r>
                    <w:rPr>
                      <w:rFonts w:hint="eastAsia"/>
                      <w:color w:val="C00000"/>
                      <w:szCs w:val="21"/>
                    </w:rPr>
                    <w:t>密闭设施、临时围挡</w:t>
                  </w:r>
                </w:p>
              </w:tc>
              <w:tc>
                <w:tcPr>
                  <w:tcW w:w="1359" w:type="dxa"/>
                  <w:vAlign w:val="center"/>
                </w:tcPr>
                <w:p w14:paraId="235B812A">
                  <w:pPr>
                    <w:widowControl/>
                    <w:jc w:val="center"/>
                    <w:textAlignment w:val="center"/>
                    <w:rPr>
                      <w:rFonts w:hint="eastAsia" w:eastAsia="宋体"/>
                      <w:szCs w:val="21"/>
                      <w:lang w:eastAsia="zh-CN"/>
                    </w:rPr>
                  </w:pPr>
                  <w:r>
                    <w:rPr>
                      <w:rFonts w:hint="eastAsia"/>
                      <w:szCs w:val="21"/>
                      <w:lang w:val="en-US" w:eastAsia="zh-CN"/>
                    </w:rPr>
                    <w:t>1</w:t>
                  </w:r>
                </w:p>
              </w:tc>
            </w:tr>
            <w:tr w14:paraId="370683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6" w:type="dxa"/>
                  <w:vMerge w:val="continue"/>
                  <w:vAlign w:val="center"/>
                </w:tcPr>
                <w:p w14:paraId="1B211725">
                  <w:pPr>
                    <w:pStyle w:val="100"/>
                    <w:rPr>
                      <w:szCs w:val="21"/>
                    </w:rPr>
                  </w:pPr>
                </w:p>
              </w:tc>
              <w:tc>
                <w:tcPr>
                  <w:tcW w:w="1106" w:type="dxa"/>
                  <w:vMerge w:val="restart"/>
                  <w:vAlign w:val="center"/>
                </w:tcPr>
                <w:p w14:paraId="106178B0">
                  <w:pPr>
                    <w:pStyle w:val="100"/>
                    <w:rPr>
                      <w:szCs w:val="21"/>
                    </w:rPr>
                  </w:pPr>
                  <w:r>
                    <w:rPr>
                      <w:szCs w:val="21"/>
                    </w:rPr>
                    <w:t>固废处理</w:t>
                  </w:r>
                </w:p>
              </w:tc>
              <w:tc>
                <w:tcPr>
                  <w:tcW w:w="1343" w:type="dxa"/>
                  <w:vAlign w:val="center"/>
                </w:tcPr>
                <w:p w14:paraId="09D69902">
                  <w:pPr>
                    <w:pStyle w:val="100"/>
                    <w:rPr>
                      <w:color w:val="C00000"/>
                      <w:szCs w:val="21"/>
                    </w:rPr>
                  </w:pPr>
                  <w:r>
                    <w:rPr>
                      <w:color w:val="C00000"/>
                      <w:szCs w:val="21"/>
                    </w:rPr>
                    <w:t>一般工业固体废物</w:t>
                  </w:r>
                </w:p>
              </w:tc>
              <w:tc>
                <w:tcPr>
                  <w:tcW w:w="3690" w:type="dxa"/>
                  <w:vAlign w:val="center"/>
                </w:tcPr>
                <w:p w14:paraId="4DD97DFC">
                  <w:pPr>
                    <w:pStyle w:val="100"/>
                    <w:rPr>
                      <w:rFonts w:hint="default" w:eastAsia="宋体"/>
                      <w:color w:val="C00000"/>
                      <w:szCs w:val="21"/>
                      <w:lang w:val="en-US" w:eastAsia="zh-CN"/>
                    </w:rPr>
                  </w:pPr>
                  <w:r>
                    <w:rPr>
                      <w:color w:val="C00000"/>
                      <w:szCs w:val="21"/>
                    </w:rPr>
                    <w:t>一般工业固体废物收集设施</w:t>
                  </w:r>
                  <w:r>
                    <w:rPr>
                      <w:rFonts w:hint="eastAsia"/>
                      <w:color w:val="C00000"/>
                      <w:szCs w:val="21"/>
                      <w:lang w:eastAsia="zh-CN"/>
                    </w:rPr>
                    <w:t>（</w:t>
                  </w:r>
                  <w:r>
                    <w:rPr>
                      <w:rFonts w:hint="eastAsia"/>
                      <w:color w:val="C00000"/>
                      <w:szCs w:val="21"/>
                      <w:lang w:val="en-US" w:eastAsia="zh-CN"/>
                    </w:rPr>
                    <w:t>灰渣仓）</w:t>
                  </w:r>
                </w:p>
              </w:tc>
              <w:tc>
                <w:tcPr>
                  <w:tcW w:w="1359" w:type="dxa"/>
                  <w:vAlign w:val="center"/>
                </w:tcPr>
                <w:p w14:paraId="0F9F9B57">
                  <w:pPr>
                    <w:widowControl/>
                    <w:jc w:val="center"/>
                    <w:textAlignment w:val="center"/>
                    <w:rPr>
                      <w:rFonts w:hint="eastAsia" w:eastAsia="宋体"/>
                      <w:szCs w:val="21"/>
                      <w:lang w:eastAsia="zh-CN"/>
                    </w:rPr>
                  </w:pPr>
                  <w:r>
                    <w:rPr>
                      <w:rFonts w:hint="eastAsia"/>
                      <w:szCs w:val="21"/>
                      <w:lang w:val="en-US" w:eastAsia="zh-CN"/>
                    </w:rPr>
                    <w:t>1</w:t>
                  </w:r>
                </w:p>
              </w:tc>
            </w:tr>
            <w:tr w14:paraId="20534F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6" w:type="dxa"/>
                  <w:vMerge w:val="continue"/>
                  <w:vAlign w:val="center"/>
                </w:tcPr>
                <w:p w14:paraId="09138B1A">
                  <w:pPr>
                    <w:pStyle w:val="100"/>
                    <w:rPr>
                      <w:szCs w:val="21"/>
                    </w:rPr>
                  </w:pPr>
                </w:p>
              </w:tc>
              <w:tc>
                <w:tcPr>
                  <w:tcW w:w="1106" w:type="dxa"/>
                  <w:vMerge w:val="continue"/>
                  <w:vAlign w:val="center"/>
                </w:tcPr>
                <w:p w14:paraId="054A8638">
                  <w:pPr>
                    <w:pStyle w:val="100"/>
                    <w:rPr>
                      <w:szCs w:val="21"/>
                    </w:rPr>
                  </w:pPr>
                </w:p>
              </w:tc>
              <w:tc>
                <w:tcPr>
                  <w:tcW w:w="1343" w:type="dxa"/>
                  <w:vAlign w:val="center"/>
                </w:tcPr>
                <w:p w14:paraId="62685B42">
                  <w:pPr>
                    <w:pStyle w:val="100"/>
                    <w:rPr>
                      <w:rFonts w:hint="eastAsia" w:eastAsia="宋体"/>
                      <w:color w:val="C00000"/>
                      <w:szCs w:val="21"/>
                      <w:lang w:val="en-US" w:eastAsia="zh-CN"/>
                    </w:rPr>
                  </w:pPr>
                  <w:r>
                    <w:rPr>
                      <w:rFonts w:hint="eastAsia"/>
                      <w:color w:val="C00000"/>
                      <w:szCs w:val="21"/>
                      <w:lang w:val="en-US" w:eastAsia="zh-CN"/>
                    </w:rPr>
                    <w:t>危险废物</w:t>
                  </w:r>
                </w:p>
              </w:tc>
              <w:tc>
                <w:tcPr>
                  <w:tcW w:w="3690" w:type="dxa"/>
                  <w:vAlign w:val="center"/>
                </w:tcPr>
                <w:p w14:paraId="717430C4">
                  <w:pPr>
                    <w:pStyle w:val="100"/>
                    <w:rPr>
                      <w:rFonts w:hint="default" w:eastAsia="宋体"/>
                      <w:color w:val="C00000"/>
                      <w:szCs w:val="21"/>
                      <w:lang w:val="en-US" w:eastAsia="zh-CN"/>
                    </w:rPr>
                  </w:pPr>
                  <w:r>
                    <w:rPr>
                      <w:rFonts w:hint="eastAsia"/>
                      <w:color w:val="C00000"/>
                      <w:szCs w:val="21"/>
                      <w:lang w:val="en-US" w:eastAsia="zh-CN"/>
                    </w:rPr>
                    <w:t>危险废物贮存点</w:t>
                  </w:r>
                </w:p>
              </w:tc>
              <w:tc>
                <w:tcPr>
                  <w:tcW w:w="1359" w:type="dxa"/>
                  <w:vAlign w:val="center"/>
                </w:tcPr>
                <w:p w14:paraId="41D1872D">
                  <w:pPr>
                    <w:widowControl/>
                    <w:jc w:val="center"/>
                    <w:textAlignment w:val="center"/>
                    <w:rPr>
                      <w:rFonts w:hint="eastAsia" w:eastAsia="宋体"/>
                      <w:szCs w:val="21"/>
                      <w:lang w:val="en-US" w:eastAsia="zh-CN"/>
                    </w:rPr>
                  </w:pPr>
                  <w:r>
                    <w:rPr>
                      <w:rFonts w:hint="eastAsia"/>
                      <w:szCs w:val="21"/>
                      <w:lang w:val="en-US" w:eastAsia="zh-CN"/>
                    </w:rPr>
                    <w:t>3</w:t>
                  </w:r>
                </w:p>
              </w:tc>
            </w:tr>
            <w:tr w14:paraId="09AEA1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5" w:type="dxa"/>
                  <w:gridSpan w:val="4"/>
                  <w:shd w:val="clear" w:color="auto" w:fill="auto"/>
                  <w:vAlign w:val="center"/>
                </w:tcPr>
                <w:p w14:paraId="433822EE">
                  <w:pPr>
                    <w:pStyle w:val="100"/>
                    <w:rPr>
                      <w:szCs w:val="21"/>
                    </w:rPr>
                  </w:pPr>
                  <w:r>
                    <w:rPr>
                      <w:rFonts w:hint="eastAsia"/>
                      <w:szCs w:val="21"/>
                    </w:rPr>
                    <w:t>设施维护</w:t>
                  </w:r>
                </w:p>
              </w:tc>
              <w:tc>
                <w:tcPr>
                  <w:tcW w:w="1359" w:type="dxa"/>
                  <w:vAlign w:val="center"/>
                </w:tcPr>
                <w:p w14:paraId="05B32C51">
                  <w:pPr>
                    <w:widowControl/>
                    <w:jc w:val="center"/>
                    <w:textAlignment w:val="center"/>
                    <w:rPr>
                      <w:rFonts w:hint="eastAsia" w:eastAsia="宋体"/>
                      <w:szCs w:val="21"/>
                      <w:lang w:eastAsia="zh-CN"/>
                    </w:rPr>
                  </w:pPr>
                  <w:r>
                    <w:rPr>
                      <w:rFonts w:hint="eastAsia"/>
                      <w:szCs w:val="21"/>
                      <w:lang w:val="en-US" w:eastAsia="zh-CN"/>
                    </w:rPr>
                    <w:t>2</w:t>
                  </w:r>
                </w:p>
              </w:tc>
            </w:tr>
            <w:tr w14:paraId="0FDA6F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5" w:type="dxa"/>
                  <w:gridSpan w:val="4"/>
                  <w:shd w:val="clear" w:color="auto" w:fill="auto"/>
                  <w:vAlign w:val="center"/>
                </w:tcPr>
                <w:p w14:paraId="24EA5B67">
                  <w:pPr>
                    <w:pStyle w:val="100"/>
                    <w:rPr>
                      <w:szCs w:val="21"/>
                    </w:rPr>
                  </w:pPr>
                  <w:r>
                    <w:rPr>
                      <w:rFonts w:hint="eastAsia"/>
                      <w:szCs w:val="21"/>
                    </w:rPr>
                    <w:t>例行监测</w:t>
                  </w:r>
                </w:p>
              </w:tc>
              <w:tc>
                <w:tcPr>
                  <w:tcW w:w="1359" w:type="dxa"/>
                  <w:vAlign w:val="center"/>
                </w:tcPr>
                <w:p w14:paraId="712461EE">
                  <w:pPr>
                    <w:widowControl/>
                    <w:jc w:val="center"/>
                    <w:textAlignment w:val="center"/>
                    <w:rPr>
                      <w:szCs w:val="21"/>
                    </w:rPr>
                  </w:pPr>
                  <w:r>
                    <w:rPr>
                      <w:rFonts w:hint="eastAsia"/>
                      <w:szCs w:val="21"/>
                    </w:rPr>
                    <w:t>1</w:t>
                  </w:r>
                </w:p>
              </w:tc>
            </w:tr>
            <w:tr w14:paraId="2AFB25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5" w:type="dxa"/>
                  <w:gridSpan w:val="4"/>
                  <w:vAlign w:val="center"/>
                </w:tcPr>
                <w:p w14:paraId="16FE69C7">
                  <w:pPr>
                    <w:pStyle w:val="100"/>
                    <w:rPr>
                      <w:szCs w:val="21"/>
                    </w:rPr>
                  </w:pPr>
                  <w:r>
                    <w:rPr>
                      <w:szCs w:val="21"/>
                    </w:rPr>
                    <w:t>环保投资合计</w:t>
                  </w:r>
                </w:p>
              </w:tc>
              <w:tc>
                <w:tcPr>
                  <w:tcW w:w="1359" w:type="dxa"/>
                  <w:vAlign w:val="center"/>
                </w:tcPr>
                <w:p w14:paraId="7545CA12">
                  <w:pPr>
                    <w:pStyle w:val="100"/>
                    <w:rPr>
                      <w:szCs w:val="21"/>
                    </w:rPr>
                  </w:pPr>
                  <w:r>
                    <w:rPr>
                      <w:rFonts w:hint="eastAsia"/>
                      <w:szCs w:val="21"/>
                    </w:rPr>
                    <w:t>14</w:t>
                  </w:r>
                </w:p>
              </w:tc>
            </w:tr>
            <w:tr w14:paraId="5A7AA4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5" w:type="dxa"/>
                  <w:gridSpan w:val="4"/>
                  <w:vAlign w:val="center"/>
                </w:tcPr>
                <w:p w14:paraId="7A0E7EA2">
                  <w:pPr>
                    <w:pStyle w:val="100"/>
                    <w:rPr>
                      <w:szCs w:val="21"/>
                    </w:rPr>
                  </w:pPr>
                  <w:r>
                    <w:rPr>
                      <w:szCs w:val="21"/>
                    </w:rPr>
                    <w:t>总投资</w:t>
                  </w:r>
                </w:p>
              </w:tc>
              <w:tc>
                <w:tcPr>
                  <w:tcW w:w="1359" w:type="dxa"/>
                  <w:vAlign w:val="center"/>
                </w:tcPr>
                <w:p w14:paraId="4B886A18">
                  <w:pPr>
                    <w:pStyle w:val="100"/>
                    <w:rPr>
                      <w:szCs w:val="21"/>
                    </w:rPr>
                  </w:pPr>
                  <w:r>
                    <w:rPr>
                      <w:rFonts w:hint="eastAsia"/>
                      <w:szCs w:val="21"/>
                    </w:rPr>
                    <w:t>36</w:t>
                  </w:r>
                </w:p>
              </w:tc>
            </w:tr>
            <w:tr w14:paraId="57F4B0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5" w:type="dxa"/>
                  <w:gridSpan w:val="4"/>
                  <w:vAlign w:val="center"/>
                </w:tcPr>
                <w:p w14:paraId="125607FF">
                  <w:pPr>
                    <w:pStyle w:val="100"/>
                    <w:rPr>
                      <w:szCs w:val="21"/>
                    </w:rPr>
                  </w:pPr>
                  <w:r>
                    <w:rPr>
                      <w:szCs w:val="21"/>
                    </w:rPr>
                    <w:t>环保投资比</w:t>
                  </w:r>
                </w:p>
              </w:tc>
              <w:tc>
                <w:tcPr>
                  <w:tcW w:w="1359" w:type="dxa"/>
                  <w:vAlign w:val="center"/>
                </w:tcPr>
                <w:p w14:paraId="485921EA">
                  <w:pPr>
                    <w:pStyle w:val="100"/>
                    <w:rPr>
                      <w:szCs w:val="21"/>
                    </w:rPr>
                  </w:pPr>
                  <w:r>
                    <w:rPr>
                      <w:rFonts w:hint="eastAsia"/>
                      <w:szCs w:val="21"/>
                    </w:rPr>
                    <w:t>38.</w:t>
                  </w:r>
                  <w:r>
                    <w:rPr>
                      <w:rFonts w:hint="eastAsia"/>
                      <w:szCs w:val="21"/>
                      <w:lang w:val="en-US" w:eastAsia="zh-CN"/>
                    </w:rPr>
                    <w:t>8</w:t>
                  </w:r>
                  <w:r>
                    <w:rPr>
                      <w:rFonts w:hint="eastAsia"/>
                      <w:szCs w:val="21"/>
                    </w:rPr>
                    <w:t>9</w:t>
                  </w:r>
                  <w:r>
                    <w:rPr>
                      <w:szCs w:val="21"/>
                    </w:rPr>
                    <w:t>%</w:t>
                  </w:r>
                </w:p>
              </w:tc>
            </w:tr>
          </w:tbl>
          <w:p w14:paraId="1FEDAAB1"/>
        </w:tc>
      </w:tr>
      <w:tr w14:paraId="7BE47B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Align w:val="center"/>
          </w:tcPr>
          <w:p w14:paraId="320D30E6">
            <w:pPr>
              <w:pStyle w:val="27"/>
              <w:adjustRightInd w:val="0"/>
              <w:snapToGrid w:val="0"/>
              <w:spacing w:before="0" w:beforeAutospacing="0" w:after="0" w:afterAutospacing="0" w:line="360" w:lineRule="auto"/>
              <w:jc w:val="center"/>
              <w:rPr>
                <w:rFonts w:ascii="Times New Roman" w:hAnsi="Times New Roman"/>
                <w:szCs w:val="24"/>
              </w:rPr>
            </w:pPr>
            <w:r>
              <w:rPr>
                <w:rFonts w:ascii="Times New Roman" w:hAnsi="Times New Roman"/>
                <w:szCs w:val="24"/>
              </w:rPr>
              <w:t>工艺流程和产排污环节</w:t>
            </w:r>
          </w:p>
        </w:tc>
        <w:tc>
          <w:tcPr>
            <w:tcW w:w="8161" w:type="dxa"/>
          </w:tcPr>
          <w:p w14:paraId="00A34279">
            <w:pPr>
              <w:pStyle w:val="59"/>
              <w:spacing w:line="360" w:lineRule="auto"/>
              <w:ind w:firstLine="480"/>
              <w:rPr>
                <w:bCs/>
              </w:rPr>
            </w:pPr>
            <w:r>
              <w:rPr>
                <w:bCs/>
              </w:rPr>
              <w:t>生产工艺流程简述</w:t>
            </w:r>
            <w:r>
              <w:rPr>
                <w:rFonts w:hint="eastAsia"/>
                <w:bCs/>
              </w:rPr>
              <w:t>：</w:t>
            </w:r>
            <w:r>
              <w:rPr>
                <w:bCs/>
              </w:rPr>
              <w:t xml:space="preserve"> </w:t>
            </w:r>
          </w:p>
          <w:p w14:paraId="42934D6F">
            <w:pPr>
              <w:pStyle w:val="59"/>
              <w:spacing w:line="360" w:lineRule="auto"/>
              <w:ind w:firstLine="480"/>
              <w:rPr>
                <w:rFonts w:hint="eastAsia"/>
                <w:color w:val="C00000"/>
                <w:sz w:val="24"/>
                <w:lang w:val="en-US" w:eastAsia="zh-CN"/>
              </w:rPr>
            </w:pPr>
            <w:r>
              <w:rPr>
                <w:rFonts w:hint="eastAsia"/>
                <w:color w:val="C00000"/>
                <w:lang w:eastAsia="zh-CN"/>
              </w:rPr>
              <w:t>（1）</w:t>
            </w:r>
            <w:r>
              <w:rPr>
                <w:color w:val="C00000"/>
              </w:rPr>
              <w:t>原料运输</w:t>
            </w:r>
            <w:r>
              <w:rPr>
                <w:rFonts w:hint="eastAsia"/>
                <w:color w:val="C00000"/>
              </w:rPr>
              <w:t>：</w:t>
            </w:r>
            <w:r>
              <w:rPr>
                <w:color w:val="C00000"/>
              </w:rPr>
              <w:t>原粮收割，脱粒后装车，通常是汽运的方式运送到厂区，此时为潮粮，</w:t>
            </w:r>
            <w:r>
              <w:rPr>
                <w:rFonts w:hint="eastAsia"/>
                <w:color w:val="C00000"/>
              </w:rPr>
              <w:t>玉米水分在30%左右</w:t>
            </w:r>
            <w:r>
              <w:rPr>
                <w:rFonts w:hint="eastAsia"/>
                <w:color w:val="C00000"/>
                <w:lang w:eastAsia="zh-CN"/>
              </w:rPr>
              <w:t>，</w:t>
            </w:r>
            <w:r>
              <w:rPr>
                <w:rFonts w:hint="eastAsia"/>
                <w:color w:val="C00000"/>
                <w:lang w:val="en-US" w:eastAsia="zh-CN"/>
              </w:rPr>
              <w:t>潮粮运输</w:t>
            </w:r>
            <w:r>
              <w:rPr>
                <w:color w:val="C00000"/>
                <w:sz w:val="24"/>
              </w:rPr>
              <w:t>过程中</w:t>
            </w:r>
            <w:r>
              <w:rPr>
                <w:rFonts w:hint="eastAsia"/>
                <w:color w:val="C00000"/>
                <w:sz w:val="24"/>
                <w:lang w:val="en-US" w:eastAsia="zh-CN"/>
              </w:rPr>
              <w:t>采用</w:t>
            </w:r>
            <w:r>
              <w:rPr>
                <w:color w:val="C00000"/>
                <w:sz w:val="24"/>
              </w:rPr>
              <w:t>用毡布覆盖</w:t>
            </w:r>
            <w:r>
              <w:rPr>
                <w:rFonts w:hint="eastAsia"/>
                <w:color w:val="C00000"/>
                <w:sz w:val="24"/>
                <w:lang w:eastAsia="zh-CN"/>
              </w:rPr>
              <w:t>，</w:t>
            </w:r>
            <w:r>
              <w:rPr>
                <w:color w:val="C00000"/>
                <w:sz w:val="24"/>
              </w:rPr>
              <w:t>运输车辆严格控制车速减速慢行</w:t>
            </w:r>
            <w:r>
              <w:rPr>
                <w:rFonts w:hint="eastAsia"/>
                <w:color w:val="C00000"/>
                <w:sz w:val="24"/>
                <w:lang w:eastAsia="zh-CN"/>
              </w:rPr>
              <w:t>，</w:t>
            </w:r>
            <w:r>
              <w:rPr>
                <w:rFonts w:hint="eastAsia"/>
                <w:color w:val="C00000"/>
                <w:sz w:val="24"/>
                <w:lang w:val="en-US" w:eastAsia="zh-CN"/>
              </w:rPr>
              <w:t>卸粮采用临时围挡，减小卸粮高度，减小粉尘排放</w:t>
            </w:r>
            <w:r>
              <w:rPr>
                <w:rFonts w:hint="eastAsia"/>
                <w:color w:val="C00000"/>
                <w:sz w:val="24"/>
                <w:lang w:eastAsia="zh-CN"/>
              </w:rPr>
              <w:t>。</w:t>
            </w:r>
            <w:r>
              <w:rPr>
                <w:rFonts w:hint="eastAsia"/>
                <w:color w:val="C00000"/>
                <w:sz w:val="24"/>
                <w:lang w:val="en-US" w:eastAsia="zh-CN"/>
              </w:rPr>
              <w:t>原粮运输过程</w:t>
            </w:r>
            <w:r>
              <w:rPr>
                <w:rFonts w:hint="eastAsia" w:ascii="Times New Roman" w:hAnsi="Times New Roman" w:eastAsia="宋体" w:cs="Times New Roman"/>
                <w:color w:val="C00000"/>
                <w:lang w:val="en-US" w:eastAsia="zh-CN"/>
              </w:rPr>
              <w:t>主要污染物为噪声、废气</w:t>
            </w:r>
            <w:r>
              <w:rPr>
                <w:rFonts w:hint="eastAsia"/>
                <w:color w:val="C00000"/>
                <w:sz w:val="24"/>
                <w:lang w:val="en-US" w:eastAsia="zh-CN"/>
              </w:rPr>
              <w:t>。</w:t>
            </w:r>
          </w:p>
          <w:p w14:paraId="3F92A181">
            <w:pPr>
              <w:pStyle w:val="59"/>
              <w:spacing w:line="360" w:lineRule="auto"/>
              <w:ind w:firstLine="480"/>
              <w:rPr>
                <w:rFonts w:hint="eastAsia" w:eastAsia="宋体"/>
                <w:color w:val="C00000"/>
                <w:lang w:eastAsia="zh-CN"/>
              </w:rPr>
            </w:pPr>
            <w:r>
              <w:rPr>
                <w:rFonts w:hint="eastAsia"/>
                <w:color w:val="C00000"/>
                <w:lang w:eastAsia="zh-CN"/>
              </w:rPr>
              <w:t>（</w:t>
            </w:r>
            <w:r>
              <w:rPr>
                <w:rFonts w:hint="eastAsia"/>
                <w:color w:val="C00000"/>
                <w:lang w:val="en-US" w:eastAsia="zh-CN"/>
              </w:rPr>
              <w:t>2</w:t>
            </w:r>
            <w:r>
              <w:rPr>
                <w:rFonts w:hint="eastAsia"/>
                <w:color w:val="C00000"/>
                <w:lang w:eastAsia="zh-CN"/>
              </w:rPr>
              <w:t>）</w:t>
            </w:r>
            <w:r>
              <w:rPr>
                <w:rFonts w:hint="eastAsia"/>
                <w:color w:val="C00000"/>
              </w:rPr>
              <w:t>筛分：</w:t>
            </w:r>
            <w:r>
              <w:rPr>
                <w:rFonts w:hint="eastAsia"/>
                <w:color w:val="C00000"/>
                <w:sz w:val="24"/>
                <w:lang w:val="en-US" w:eastAsia="zh-CN"/>
              </w:rPr>
              <w:t>原粮经输送机送入筛分工序，输送过程为密闭设施，</w:t>
            </w:r>
            <w:r>
              <w:rPr>
                <w:color w:val="C00000"/>
              </w:rPr>
              <w:t>用</w:t>
            </w:r>
            <w:r>
              <w:rPr>
                <w:rFonts w:hint="eastAsia"/>
                <w:color w:val="C00000"/>
                <w:lang w:val="en-US" w:eastAsia="zh-CN"/>
              </w:rPr>
              <w:t>圆筒初清筛</w:t>
            </w:r>
            <w:r>
              <w:rPr>
                <w:color w:val="C00000"/>
              </w:rPr>
              <w:t>将粮食内的大颗粒杂质进行筛选，筛选</w:t>
            </w:r>
            <w:r>
              <w:rPr>
                <w:rFonts w:hint="eastAsia"/>
                <w:color w:val="C00000"/>
                <w:lang w:val="en-US" w:eastAsia="zh-CN"/>
              </w:rPr>
              <w:t>过程主要污染物为固废、废气、噪声</w:t>
            </w:r>
            <w:r>
              <w:rPr>
                <w:rFonts w:hint="eastAsia"/>
                <w:color w:val="C00000"/>
                <w:lang w:eastAsia="zh-CN"/>
              </w:rPr>
              <w:t>。</w:t>
            </w:r>
          </w:p>
          <w:p w14:paraId="535CB60A">
            <w:pPr>
              <w:pStyle w:val="59"/>
              <w:spacing w:line="360" w:lineRule="auto"/>
              <w:ind w:firstLine="480"/>
              <w:rPr>
                <w:rFonts w:hint="eastAsia" w:ascii="Times New Roman" w:hAnsi="Times New Roman" w:eastAsia="宋体" w:cs="Times New Roman"/>
                <w:color w:val="C00000"/>
              </w:rPr>
            </w:pPr>
            <w:r>
              <w:rPr>
                <w:rFonts w:hint="eastAsia"/>
                <w:color w:val="C00000"/>
                <w:lang w:eastAsia="zh-CN"/>
              </w:rPr>
              <w:t>（</w:t>
            </w:r>
            <w:r>
              <w:rPr>
                <w:rFonts w:hint="eastAsia"/>
                <w:color w:val="C00000"/>
                <w:lang w:val="en-US" w:eastAsia="zh-CN"/>
              </w:rPr>
              <w:t>3</w:t>
            </w:r>
            <w:r>
              <w:rPr>
                <w:rFonts w:hint="eastAsia"/>
                <w:color w:val="C00000"/>
                <w:lang w:eastAsia="zh-CN"/>
              </w:rPr>
              <w:t>）</w:t>
            </w:r>
            <w:r>
              <w:rPr>
                <w:color w:val="C00000"/>
              </w:rPr>
              <w:t>烘干</w:t>
            </w:r>
            <w:r>
              <w:rPr>
                <w:rFonts w:hint="eastAsia"/>
                <w:color w:val="C00000"/>
              </w:rPr>
              <w:t>：</w:t>
            </w:r>
            <w:r>
              <w:rPr>
                <w:color w:val="C00000"/>
              </w:rPr>
              <w:t>粮食经</w:t>
            </w:r>
            <w:r>
              <w:rPr>
                <w:rFonts w:hint="eastAsia"/>
                <w:color w:val="C00000"/>
                <w:lang w:val="en-US" w:eastAsia="zh-CN"/>
              </w:rPr>
              <w:t>输送机送入</w:t>
            </w:r>
            <w:r>
              <w:rPr>
                <w:color w:val="C00000"/>
              </w:rPr>
              <w:t>烘干塔，</w:t>
            </w:r>
            <w:r>
              <w:rPr>
                <w:rFonts w:hint="eastAsia"/>
                <w:color w:val="C00000"/>
                <w:lang w:eastAsia="zh-CN"/>
              </w:rPr>
              <w:t>利用</w:t>
            </w:r>
            <w:r>
              <w:rPr>
                <w:rFonts w:hint="eastAsia"/>
                <w:color w:val="C00000"/>
              </w:rPr>
              <w:t>生物质</w:t>
            </w:r>
            <w:r>
              <w:rPr>
                <w:color w:val="C00000"/>
              </w:rPr>
              <w:t>热风炉，向烘干塔内供应干燥空气，从而达到烘干的效果，一般一次性降水通常可以达到15%</w:t>
            </w:r>
            <w:r>
              <w:rPr>
                <w:rFonts w:hint="eastAsia"/>
                <w:color w:val="C00000"/>
              </w:rPr>
              <w:t>，</w:t>
            </w:r>
            <w:r>
              <w:rPr>
                <w:color w:val="C00000"/>
              </w:rPr>
              <w:t>符合国家安全</w:t>
            </w:r>
            <w:r>
              <w:rPr>
                <w:rFonts w:ascii="Times New Roman" w:hAnsi="Times New Roman" w:eastAsia="宋体" w:cs="Times New Roman"/>
                <w:color w:val="C00000"/>
              </w:rPr>
              <w:t>存储的标准</w:t>
            </w:r>
            <w:r>
              <w:rPr>
                <w:rFonts w:hint="eastAsia" w:ascii="Times New Roman" w:hAnsi="Times New Roman" w:eastAsia="宋体" w:cs="Times New Roman"/>
                <w:color w:val="C00000"/>
                <w:lang w:eastAsia="zh-CN"/>
              </w:rPr>
              <w:t>，</w:t>
            </w:r>
            <w:r>
              <w:rPr>
                <w:rFonts w:hint="eastAsia" w:ascii="Times New Roman" w:hAnsi="Times New Roman" w:eastAsia="宋体" w:cs="Times New Roman"/>
                <w:color w:val="C00000"/>
                <w:lang w:val="en-US" w:eastAsia="zh-CN"/>
              </w:rPr>
              <w:t>此过程主要污染物为噪声、废气</w:t>
            </w:r>
            <w:r>
              <w:rPr>
                <w:rFonts w:hint="eastAsia" w:cs="Times New Roman"/>
                <w:color w:val="C00000"/>
                <w:lang w:val="en-US" w:eastAsia="zh-CN"/>
              </w:rPr>
              <w:t>。</w:t>
            </w:r>
          </w:p>
          <w:p w14:paraId="14336A42">
            <w:pPr>
              <w:pStyle w:val="59"/>
              <w:spacing w:line="360" w:lineRule="auto"/>
              <w:ind w:firstLine="480"/>
              <w:rPr>
                <w:rFonts w:hint="default" w:ascii="Times New Roman" w:hAnsi="Times New Roman" w:eastAsia="宋体" w:cs="Times New Roman"/>
                <w:color w:val="C00000"/>
                <w:lang w:val="en-US" w:eastAsia="zh-CN"/>
              </w:rPr>
            </w:pPr>
            <w:r>
              <w:rPr>
                <w:bCs/>
                <w:color w:val="C00000"/>
              </w:rPr>
              <w:t>生物质燃料</w:t>
            </w:r>
            <w:r>
              <w:rPr>
                <w:rFonts w:hint="eastAsia"/>
                <w:bCs/>
                <w:color w:val="C00000"/>
                <w:lang w:val="en-US" w:eastAsia="zh-CN"/>
              </w:rPr>
              <w:t>采用自动点火方式</w:t>
            </w:r>
            <w:r>
              <w:rPr>
                <w:bCs/>
                <w:color w:val="C00000"/>
              </w:rPr>
              <w:t>，热风炉燃烧时产生的高温烟气经引风机输送至烘干塔内的热交换器，与烘干塔内进入的冷空气进行热量交换后，经烘干塔顶部排出，被加热的冷空气变成热空气，对塔内的原粮进行高温烘干处理</w:t>
            </w:r>
            <w:r>
              <w:rPr>
                <w:rFonts w:hint="eastAsia"/>
                <w:bCs/>
                <w:color w:val="C00000"/>
                <w:lang w:eastAsia="zh-CN"/>
              </w:rPr>
              <w:t>。</w:t>
            </w:r>
            <w:r>
              <w:rPr>
                <w:rFonts w:hint="eastAsia"/>
                <w:bCs/>
                <w:color w:val="C00000"/>
                <w:lang w:val="en-US" w:eastAsia="zh-CN"/>
              </w:rPr>
              <w:t>热风炉炉渣采用人工除渣，收集的炉渣暂存于灰渣仓内，热风炉房、灰渣仓均为密闭设施，定期洒水降尘。生物质热风炉运行主要污染物为废气、噪声、固废。</w:t>
            </w:r>
          </w:p>
          <w:p w14:paraId="41037981">
            <w:pPr>
              <w:pStyle w:val="59"/>
              <w:spacing w:line="360" w:lineRule="auto"/>
              <w:ind w:firstLine="480"/>
              <w:rPr>
                <w:rFonts w:ascii="Times New Roman" w:hAnsi="Times New Roman" w:eastAsia="宋体" w:cs="Times New Roman"/>
                <w:color w:val="C00000"/>
              </w:rPr>
            </w:pPr>
            <w:r>
              <w:rPr>
                <w:rFonts w:hint="eastAsia" w:ascii="Times New Roman" w:hAnsi="Times New Roman" w:eastAsia="宋体" w:cs="Times New Roman"/>
                <w:color w:val="C00000"/>
                <w:lang w:eastAsia="zh-CN"/>
              </w:rPr>
              <w:t>（</w:t>
            </w:r>
            <w:r>
              <w:rPr>
                <w:rFonts w:hint="eastAsia" w:ascii="Times New Roman" w:hAnsi="Times New Roman" w:eastAsia="宋体" w:cs="Times New Roman"/>
                <w:color w:val="C00000"/>
                <w:lang w:val="en-US" w:eastAsia="zh-CN"/>
              </w:rPr>
              <w:t>4</w:t>
            </w:r>
            <w:r>
              <w:rPr>
                <w:rFonts w:hint="eastAsia" w:ascii="Times New Roman" w:hAnsi="Times New Roman" w:eastAsia="宋体" w:cs="Times New Roman"/>
                <w:color w:val="C00000"/>
                <w:lang w:eastAsia="zh-CN"/>
              </w:rPr>
              <w:t>）</w:t>
            </w:r>
            <w:r>
              <w:rPr>
                <w:rFonts w:ascii="Times New Roman" w:hAnsi="Times New Roman" w:eastAsia="宋体" w:cs="Times New Roman"/>
                <w:color w:val="C00000"/>
              </w:rPr>
              <w:t>入库</w:t>
            </w:r>
            <w:r>
              <w:rPr>
                <w:rFonts w:hint="eastAsia" w:ascii="Times New Roman" w:hAnsi="Times New Roman" w:eastAsia="宋体" w:cs="Times New Roman"/>
                <w:color w:val="C00000"/>
              </w:rPr>
              <w:t>：</w:t>
            </w:r>
            <w:r>
              <w:rPr>
                <w:rFonts w:ascii="Times New Roman" w:hAnsi="Times New Roman" w:eastAsia="宋体" w:cs="Times New Roman"/>
                <w:color w:val="C00000"/>
              </w:rPr>
              <w:t>烘干后</w:t>
            </w:r>
            <w:r>
              <w:rPr>
                <w:rFonts w:hint="eastAsia" w:ascii="Times New Roman" w:hAnsi="Times New Roman" w:eastAsia="宋体" w:cs="Times New Roman"/>
                <w:color w:val="C00000"/>
              </w:rPr>
              <w:t>干粮</w:t>
            </w:r>
            <w:r>
              <w:rPr>
                <w:rFonts w:hint="eastAsia" w:ascii="Times New Roman" w:hAnsi="Times New Roman" w:eastAsia="宋体" w:cs="Times New Roman"/>
                <w:color w:val="C00000"/>
                <w:lang w:val="en-US" w:eastAsia="zh-CN"/>
              </w:rPr>
              <w:t>由输送机送入</w:t>
            </w:r>
            <w:r>
              <w:rPr>
                <w:rFonts w:ascii="Times New Roman" w:hAnsi="Times New Roman" w:eastAsia="宋体" w:cs="Times New Roman"/>
                <w:color w:val="C00000"/>
              </w:rPr>
              <w:t>干粮仓内，储存或外售</w:t>
            </w:r>
            <w:r>
              <w:rPr>
                <w:rFonts w:hint="eastAsia" w:ascii="Times New Roman" w:hAnsi="Times New Roman" w:eastAsia="宋体" w:cs="Times New Roman"/>
                <w:color w:val="C00000"/>
                <w:lang w:eastAsia="zh-CN"/>
              </w:rPr>
              <w:t>，</w:t>
            </w:r>
            <w:r>
              <w:rPr>
                <w:rFonts w:hint="eastAsia" w:ascii="Times New Roman" w:hAnsi="Times New Roman" w:eastAsia="宋体" w:cs="Times New Roman"/>
                <w:color w:val="C00000"/>
                <w:lang w:val="en-US" w:eastAsia="zh-CN"/>
              </w:rPr>
              <w:t>此过程主要污染物为噪声、废气</w:t>
            </w:r>
            <w:r>
              <w:rPr>
                <w:rFonts w:ascii="Times New Roman" w:hAnsi="Times New Roman" w:eastAsia="宋体" w:cs="Times New Roman"/>
                <w:color w:val="C00000"/>
              </w:rPr>
              <w:t>。</w:t>
            </w:r>
          </w:p>
          <w:p w14:paraId="34E53110">
            <w:pPr>
              <w:pStyle w:val="59"/>
              <w:spacing w:line="360" w:lineRule="auto"/>
              <w:ind w:firstLine="480"/>
              <w:rPr>
                <w:rFonts w:hint="eastAsia"/>
                <w:color w:val="C00000"/>
              </w:rPr>
            </w:pPr>
            <w:r>
              <w:rPr>
                <w:color w:val="C00000"/>
              </w:rPr>
              <w:t>项目主要生产工艺流程及产污环节见下图</w:t>
            </w:r>
            <w:r>
              <w:rPr>
                <w:rFonts w:hint="eastAsia"/>
                <w:color w:val="C00000"/>
              </w:rPr>
              <w:t>。</w:t>
            </w:r>
          </w:p>
          <w:p w14:paraId="19CDF61F">
            <w:pPr>
              <w:pStyle w:val="59"/>
              <w:spacing w:line="360" w:lineRule="auto"/>
              <w:ind w:firstLine="480"/>
              <w:rPr>
                <w:rFonts w:hint="eastAsia"/>
                <w:color w:val="C00000"/>
              </w:rPr>
            </w:pPr>
          </w:p>
          <w:p w14:paraId="407A8CB6">
            <w:pPr>
              <w:pStyle w:val="59"/>
              <w:spacing w:line="360" w:lineRule="auto"/>
              <w:ind w:left="0" w:leftChars="0" w:firstLine="0" w:firstLineChars="0"/>
              <w:rPr>
                <w:rFonts w:hint="eastAsia"/>
                <w:color w:val="C00000"/>
              </w:rPr>
            </w:pPr>
          </w:p>
          <w:p w14:paraId="1A5734F9">
            <w:pPr>
              <w:pStyle w:val="59"/>
              <w:spacing w:line="360" w:lineRule="auto"/>
              <w:ind w:firstLine="0" w:firstLineChars="0"/>
              <w:jc w:val="center"/>
            </w:pPr>
            <w:r>
              <w:drawing>
                <wp:inline distT="0" distB="0" distL="114300" distR="114300">
                  <wp:extent cx="5043805" cy="3394075"/>
                  <wp:effectExtent l="0" t="0" r="4445" b="15875"/>
                  <wp:docPr id="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
                          <pic:cNvPicPr>
                            <a:picLocks noChangeAspect="1"/>
                          </pic:cNvPicPr>
                        </pic:nvPicPr>
                        <pic:blipFill>
                          <a:blip r:embed="rId16"/>
                          <a:stretch>
                            <a:fillRect/>
                          </a:stretch>
                        </pic:blipFill>
                        <pic:spPr>
                          <a:xfrm>
                            <a:off x="0" y="0"/>
                            <a:ext cx="5043805" cy="3394075"/>
                          </a:xfrm>
                          <a:prstGeom prst="rect">
                            <a:avLst/>
                          </a:prstGeom>
                          <a:noFill/>
                          <a:ln>
                            <a:noFill/>
                          </a:ln>
                        </pic:spPr>
                      </pic:pic>
                    </a:graphicData>
                  </a:graphic>
                </wp:inline>
              </w:drawing>
            </w:r>
          </w:p>
          <w:p w14:paraId="60CDCE3A">
            <w:pPr>
              <w:spacing w:line="360" w:lineRule="auto"/>
              <w:jc w:val="center"/>
              <w:rPr>
                <w:b/>
                <w:bCs/>
                <w:szCs w:val="21"/>
              </w:rPr>
            </w:pPr>
            <w:r>
              <w:rPr>
                <w:b/>
                <w:bCs/>
                <w:szCs w:val="21"/>
              </w:rPr>
              <w:t>图2-1项目生产工艺流程及产污节点示意图</w:t>
            </w:r>
          </w:p>
          <w:p w14:paraId="198BAEEB">
            <w:pPr>
              <w:jc w:val="center"/>
              <w:rPr>
                <w:b/>
                <w:color w:val="C00000"/>
                <w:szCs w:val="21"/>
              </w:rPr>
            </w:pPr>
            <w:r>
              <w:rPr>
                <w:b/>
                <w:color w:val="C00000"/>
                <w:szCs w:val="21"/>
              </w:rPr>
              <w:t>表2-</w:t>
            </w:r>
            <w:r>
              <w:rPr>
                <w:rFonts w:hint="eastAsia"/>
                <w:b/>
                <w:color w:val="C00000"/>
                <w:szCs w:val="21"/>
                <w:lang w:val="en-US" w:eastAsia="zh-CN"/>
              </w:rPr>
              <w:t>8</w:t>
            </w:r>
            <w:r>
              <w:rPr>
                <w:b/>
                <w:color w:val="C00000"/>
                <w:szCs w:val="21"/>
              </w:rPr>
              <w:t xml:space="preserve">  污染工序及排污节点</w:t>
            </w:r>
          </w:p>
          <w:tbl>
            <w:tblPr>
              <w:tblStyle w:val="32"/>
              <w:tblW w:w="494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00"/>
              <w:gridCol w:w="1202"/>
              <w:gridCol w:w="988"/>
              <w:gridCol w:w="1547"/>
              <w:gridCol w:w="2913"/>
            </w:tblGrid>
            <w:tr w14:paraId="4E4E66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pct"/>
                  <w:noWrap w:val="0"/>
                  <w:vAlign w:val="center"/>
                </w:tcPr>
                <w:p w14:paraId="685D9EF2">
                  <w:pPr>
                    <w:jc w:val="center"/>
                    <w:rPr>
                      <w:color w:val="C00000"/>
                      <w:sz w:val="21"/>
                      <w:szCs w:val="21"/>
                    </w:rPr>
                  </w:pPr>
                  <w:r>
                    <w:rPr>
                      <w:color w:val="C00000"/>
                      <w:sz w:val="21"/>
                      <w:szCs w:val="21"/>
                    </w:rPr>
                    <w:t>项目</w:t>
                  </w:r>
                </w:p>
              </w:tc>
              <w:tc>
                <w:tcPr>
                  <w:tcW w:w="765" w:type="pct"/>
                  <w:noWrap w:val="0"/>
                  <w:vAlign w:val="center"/>
                </w:tcPr>
                <w:p w14:paraId="50800FF0">
                  <w:pPr>
                    <w:jc w:val="center"/>
                    <w:rPr>
                      <w:color w:val="C00000"/>
                      <w:sz w:val="21"/>
                      <w:szCs w:val="21"/>
                    </w:rPr>
                  </w:pPr>
                  <w:r>
                    <w:rPr>
                      <w:color w:val="C00000"/>
                      <w:sz w:val="21"/>
                      <w:szCs w:val="21"/>
                    </w:rPr>
                    <w:t>工序</w:t>
                  </w:r>
                </w:p>
              </w:tc>
              <w:tc>
                <w:tcPr>
                  <w:tcW w:w="629" w:type="pct"/>
                  <w:noWrap w:val="0"/>
                  <w:vAlign w:val="center"/>
                </w:tcPr>
                <w:p w14:paraId="7C3760BC">
                  <w:pPr>
                    <w:jc w:val="center"/>
                    <w:rPr>
                      <w:color w:val="C00000"/>
                      <w:sz w:val="21"/>
                      <w:szCs w:val="21"/>
                    </w:rPr>
                  </w:pPr>
                  <w:r>
                    <w:rPr>
                      <w:color w:val="C00000"/>
                      <w:sz w:val="21"/>
                      <w:szCs w:val="21"/>
                    </w:rPr>
                    <w:t>污染源</w:t>
                  </w:r>
                </w:p>
              </w:tc>
              <w:tc>
                <w:tcPr>
                  <w:tcW w:w="985" w:type="pct"/>
                  <w:noWrap w:val="0"/>
                  <w:vAlign w:val="center"/>
                </w:tcPr>
                <w:p w14:paraId="4840E239">
                  <w:pPr>
                    <w:jc w:val="center"/>
                    <w:rPr>
                      <w:color w:val="C00000"/>
                      <w:sz w:val="21"/>
                      <w:szCs w:val="21"/>
                    </w:rPr>
                  </w:pPr>
                  <w:r>
                    <w:rPr>
                      <w:color w:val="C00000"/>
                      <w:sz w:val="21"/>
                      <w:szCs w:val="21"/>
                    </w:rPr>
                    <w:t>污染物</w:t>
                  </w:r>
                </w:p>
              </w:tc>
              <w:tc>
                <w:tcPr>
                  <w:tcW w:w="1855" w:type="pct"/>
                  <w:noWrap w:val="0"/>
                  <w:vAlign w:val="center"/>
                </w:tcPr>
                <w:p w14:paraId="292AA4AF">
                  <w:pPr>
                    <w:jc w:val="center"/>
                    <w:rPr>
                      <w:color w:val="C00000"/>
                      <w:sz w:val="21"/>
                      <w:szCs w:val="21"/>
                    </w:rPr>
                  </w:pPr>
                  <w:r>
                    <w:rPr>
                      <w:color w:val="C00000"/>
                      <w:sz w:val="21"/>
                      <w:szCs w:val="21"/>
                    </w:rPr>
                    <w:t>治理措施</w:t>
                  </w:r>
                </w:p>
              </w:tc>
            </w:tr>
            <w:tr w14:paraId="6FEA58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pct"/>
                  <w:vMerge w:val="restart"/>
                  <w:noWrap w:val="0"/>
                  <w:vAlign w:val="center"/>
                </w:tcPr>
                <w:p w14:paraId="6F961397">
                  <w:pPr>
                    <w:jc w:val="center"/>
                    <w:rPr>
                      <w:color w:val="C00000"/>
                      <w:sz w:val="21"/>
                      <w:szCs w:val="21"/>
                    </w:rPr>
                  </w:pPr>
                  <w:r>
                    <w:rPr>
                      <w:color w:val="C00000"/>
                      <w:sz w:val="21"/>
                      <w:szCs w:val="21"/>
                    </w:rPr>
                    <w:t>废气</w:t>
                  </w:r>
                </w:p>
              </w:tc>
              <w:tc>
                <w:tcPr>
                  <w:tcW w:w="765" w:type="pct"/>
                  <w:noWrap w:val="0"/>
                  <w:vAlign w:val="center"/>
                </w:tcPr>
                <w:p w14:paraId="6E54A808">
                  <w:pPr>
                    <w:jc w:val="center"/>
                    <w:rPr>
                      <w:rFonts w:hint="eastAsia" w:eastAsia="宋体"/>
                      <w:color w:val="C00000"/>
                      <w:sz w:val="21"/>
                      <w:szCs w:val="21"/>
                      <w:lang w:val="en-US" w:eastAsia="zh-CN"/>
                    </w:rPr>
                  </w:pPr>
                  <w:r>
                    <w:rPr>
                      <w:color w:val="C00000"/>
                      <w:sz w:val="21"/>
                      <w:szCs w:val="21"/>
                    </w:rPr>
                    <w:t>运输、筛分、</w:t>
                  </w:r>
                  <w:r>
                    <w:rPr>
                      <w:rFonts w:hint="eastAsia"/>
                      <w:color w:val="C00000"/>
                      <w:sz w:val="21"/>
                      <w:szCs w:val="21"/>
                      <w:lang w:val="en-US" w:eastAsia="zh-CN"/>
                    </w:rPr>
                    <w:t>入库</w:t>
                  </w:r>
                </w:p>
              </w:tc>
              <w:tc>
                <w:tcPr>
                  <w:tcW w:w="629" w:type="pct"/>
                  <w:noWrap w:val="0"/>
                  <w:vAlign w:val="center"/>
                </w:tcPr>
                <w:p w14:paraId="0C217B75">
                  <w:pPr>
                    <w:jc w:val="center"/>
                    <w:rPr>
                      <w:rFonts w:hint="eastAsia" w:eastAsia="宋体"/>
                      <w:color w:val="C00000"/>
                      <w:sz w:val="21"/>
                      <w:szCs w:val="21"/>
                      <w:lang w:eastAsia="zh-CN"/>
                    </w:rPr>
                  </w:pPr>
                  <w:r>
                    <w:rPr>
                      <w:rFonts w:hint="eastAsia" w:ascii="Times New Roman" w:hAnsi="Times New Roman" w:eastAsia="宋体" w:cs="Times New Roman"/>
                      <w:color w:val="C00000"/>
                      <w:sz w:val="21"/>
                      <w:szCs w:val="21"/>
                      <w:lang w:val="en-US" w:eastAsia="zh-CN"/>
                    </w:rPr>
                    <w:t>输送机、圆筒初清筛</w:t>
                  </w:r>
                </w:p>
              </w:tc>
              <w:tc>
                <w:tcPr>
                  <w:tcW w:w="985" w:type="pct"/>
                  <w:noWrap w:val="0"/>
                  <w:vAlign w:val="center"/>
                </w:tcPr>
                <w:p w14:paraId="461F68E3">
                  <w:pPr>
                    <w:jc w:val="center"/>
                    <w:rPr>
                      <w:color w:val="C00000"/>
                      <w:sz w:val="21"/>
                      <w:szCs w:val="21"/>
                    </w:rPr>
                  </w:pPr>
                  <w:r>
                    <w:rPr>
                      <w:color w:val="C00000"/>
                      <w:sz w:val="21"/>
                      <w:szCs w:val="21"/>
                    </w:rPr>
                    <w:t>颗粒物</w:t>
                  </w:r>
                </w:p>
              </w:tc>
              <w:tc>
                <w:tcPr>
                  <w:tcW w:w="1855" w:type="pct"/>
                  <w:noWrap w:val="0"/>
                  <w:vAlign w:val="center"/>
                </w:tcPr>
                <w:p w14:paraId="49F41A2B">
                  <w:pPr>
                    <w:jc w:val="center"/>
                    <w:rPr>
                      <w:rFonts w:hint="default" w:eastAsia="宋体"/>
                      <w:color w:val="C00000"/>
                      <w:sz w:val="21"/>
                      <w:szCs w:val="21"/>
                      <w:lang w:val="en-US" w:eastAsia="zh-CN"/>
                    </w:rPr>
                  </w:pPr>
                  <w:r>
                    <w:rPr>
                      <w:color w:val="C00000"/>
                      <w:sz w:val="21"/>
                      <w:szCs w:val="21"/>
                    </w:rPr>
                    <w:t>采取封闭输送传送带，装卸区设置</w:t>
                  </w:r>
                  <w:r>
                    <w:rPr>
                      <w:rFonts w:hint="eastAsia"/>
                      <w:color w:val="C00000"/>
                      <w:sz w:val="21"/>
                      <w:szCs w:val="21"/>
                      <w:lang w:val="en-US" w:eastAsia="zh-CN"/>
                    </w:rPr>
                    <w:t>临时围挡</w:t>
                  </w:r>
                  <w:r>
                    <w:rPr>
                      <w:color w:val="C00000"/>
                      <w:sz w:val="21"/>
                      <w:szCs w:val="21"/>
                    </w:rPr>
                    <w:t>，</w:t>
                  </w:r>
                  <w:r>
                    <w:rPr>
                      <w:rFonts w:hint="eastAsia"/>
                      <w:color w:val="C00000"/>
                      <w:sz w:val="21"/>
                      <w:szCs w:val="21"/>
                      <w:lang w:val="en-US" w:eastAsia="zh-CN"/>
                    </w:rPr>
                    <w:t>筛选采用密闭设施</w:t>
                  </w:r>
                </w:p>
              </w:tc>
            </w:tr>
            <w:tr w14:paraId="0FBC6A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pct"/>
                  <w:vMerge w:val="continue"/>
                  <w:noWrap w:val="0"/>
                  <w:vAlign w:val="center"/>
                </w:tcPr>
                <w:p w14:paraId="0E2377DB">
                  <w:pPr>
                    <w:jc w:val="center"/>
                    <w:rPr>
                      <w:color w:val="C00000"/>
                      <w:sz w:val="21"/>
                      <w:szCs w:val="21"/>
                    </w:rPr>
                  </w:pPr>
                </w:p>
              </w:tc>
              <w:tc>
                <w:tcPr>
                  <w:tcW w:w="765" w:type="pct"/>
                  <w:vMerge w:val="restart"/>
                  <w:noWrap w:val="0"/>
                  <w:vAlign w:val="center"/>
                </w:tcPr>
                <w:p w14:paraId="588B9EEF">
                  <w:pPr>
                    <w:jc w:val="center"/>
                    <w:rPr>
                      <w:color w:val="C00000"/>
                      <w:sz w:val="21"/>
                      <w:szCs w:val="21"/>
                    </w:rPr>
                  </w:pPr>
                  <w:r>
                    <w:rPr>
                      <w:color w:val="C00000"/>
                      <w:sz w:val="21"/>
                      <w:szCs w:val="21"/>
                    </w:rPr>
                    <w:t>烘干</w:t>
                  </w:r>
                </w:p>
              </w:tc>
              <w:tc>
                <w:tcPr>
                  <w:tcW w:w="629" w:type="pct"/>
                  <w:noWrap w:val="0"/>
                  <w:vAlign w:val="center"/>
                </w:tcPr>
                <w:p w14:paraId="5ED9D9F6">
                  <w:pPr>
                    <w:jc w:val="center"/>
                    <w:rPr>
                      <w:color w:val="C00000"/>
                      <w:sz w:val="21"/>
                      <w:szCs w:val="21"/>
                    </w:rPr>
                  </w:pPr>
                  <w:r>
                    <w:rPr>
                      <w:color w:val="C00000"/>
                      <w:sz w:val="21"/>
                      <w:szCs w:val="21"/>
                    </w:rPr>
                    <w:t>热风炉</w:t>
                  </w:r>
                </w:p>
              </w:tc>
              <w:tc>
                <w:tcPr>
                  <w:tcW w:w="985" w:type="pct"/>
                  <w:noWrap w:val="0"/>
                  <w:vAlign w:val="center"/>
                </w:tcPr>
                <w:p w14:paraId="4BFEDF6B">
                  <w:pPr>
                    <w:jc w:val="center"/>
                    <w:rPr>
                      <w:color w:val="C00000"/>
                      <w:sz w:val="21"/>
                      <w:szCs w:val="21"/>
                    </w:rPr>
                  </w:pPr>
                  <w:r>
                    <w:rPr>
                      <w:color w:val="C00000"/>
                      <w:sz w:val="21"/>
                      <w:szCs w:val="21"/>
                    </w:rPr>
                    <w:t>氮氧化物、颗粒物、烟气黑度、SO</w:t>
                  </w:r>
                  <w:r>
                    <w:rPr>
                      <w:color w:val="C00000"/>
                      <w:sz w:val="21"/>
                      <w:szCs w:val="21"/>
                      <w:vertAlign w:val="subscript"/>
                    </w:rPr>
                    <w:t>2</w:t>
                  </w:r>
                </w:p>
              </w:tc>
              <w:tc>
                <w:tcPr>
                  <w:tcW w:w="1855" w:type="pct"/>
                  <w:noWrap w:val="0"/>
                  <w:vAlign w:val="center"/>
                </w:tcPr>
                <w:p w14:paraId="625D705D">
                  <w:pPr>
                    <w:jc w:val="center"/>
                    <w:rPr>
                      <w:color w:val="C00000"/>
                      <w:sz w:val="21"/>
                      <w:szCs w:val="21"/>
                    </w:rPr>
                  </w:pPr>
                  <w:r>
                    <w:rPr>
                      <w:rFonts w:hint="eastAsia"/>
                      <w:color w:val="C00000"/>
                      <w:sz w:val="21"/>
                      <w:szCs w:val="21"/>
                      <w:lang w:val="en-US" w:eastAsia="zh-CN"/>
                    </w:rPr>
                    <w:t>高效</w:t>
                  </w:r>
                  <w:r>
                    <w:rPr>
                      <w:color w:val="C00000"/>
                      <w:sz w:val="21"/>
                      <w:szCs w:val="21"/>
                    </w:rPr>
                    <w:t>布袋除尘器+</w:t>
                  </w:r>
                  <w:r>
                    <w:rPr>
                      <w:rFonts w:hint="eastAsia"/>
                      <w:color w:val="C00000"/>
                      <w:sz w:val="21"/>
                      <w:szCs w:val="21"/>
                      <w:lang w:val="en-US" w:eastAsia="zh-CN"/>
                    </w:rPr>
                    <w:t>20</w:t>
                  </w:r>
                  <w:r>
                    <w:rPr>
                      <w:color w:val="C00000"/>
                      <w:sz w:val="21"/>
                      <w:szCs w:val="21"/>
                    </w:rPr>
                    <w:t>m高烟囱排放</w:t>
                  </w:r>
                </w:p>
              </w:tc>
            </w:tr>
            <w:tr w14:paraId="7537DE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pct"/>
                  <w:vMerge w:val="continue"/>
                  <w:noWrap w:val="0"/>
                  <w:vAlign w:val="center"/>
                </w:tcPr>
                <w:p w14:paraId="40B4B8D5">
                  <w:pPr>
                    <w:jc w:val="center"/>
                    <w:rPr>
                      <w:color w:val="C00000"/>
                      <w:sz w:val="21"/>
                      <w:szCs w:val="21"/>
                    </w:rPr>
                  </w:pPr>
                </w:p>
              </w:tc>
              <w:tc>
                <w:tcPr>
                  <w:tcW w:w="765" w:type="pct"/>
                  <w:vMerge w:val="continue"/>
                  <w:noWrap w:val="0"/>
                  <w:vAlign w:val="center"/>
                </w:tcPr>
                <w:p w14:paraId="53432217">
                  <w:pPr>
                    <w:jc w:val="center"/>
                    <w:rPr>
                      <w:color w:val="C00000"/>
                      <w:sz w:val="21"/>
                      <w:szCs w:val="21"/>
                    </w:rPr>
                  </w:pPr>
                </w:p>
              </w:tc>
              <w:tc>
                <w:tcPr>
                  <w:tcW w:w="629" w:type="pct"/>
                  <w:noWrap w:val="0"/>
                  <w:vAlign w:val="center"/>
                </w:tcPr>
                <w:p w14:paraId="0CAC1B88">
                  <w:pPr>
                    <w:jc w:val="center"/>
                    <w:rPr>
                      <w:color w:val="C00000"/>
                      <w:sz w:val="21"/>
                      <w:szCs w:val="21"/>
                    </w:rPr>
                  </w:pPr>
                  <w:r>
                    <w:rPr>
                      <w:color w:val="C00000"/>
                      <w:sz w:val="21"/>
                      <w:szCs w:val="21"/>
                    </w:rPr>
                    <w:t>烘干塔</w:t>
                  </w:r>
                </w:p>
              </w:tc>
              <w:tc>
                <w:tcPr>
                  <w:tcW w:w="985" w:type="pct"/>
                  <w:noWrap w:val="0"/>
                  <w:vAlign w:val="center"/>
                </w:tcPr>
                <w:p w14:paraId="6E0C0144">
                  <w:pPr>
                    <w:jc w:val="center"/>
                    <w:rPr>
                      <w:color w:val="C00000"/>
                      <w:sz w:val="21"/>
                      <w:szCs w:val="21"/>
                    </w:rPr>
                  </w:pPr>
                  <w:r>
                    <w:rPr>
                      <w:color w:val="C00000"/>
                      <w:sz w:val="21"/>
                      <w:szCs w:val="21"/>
                    </w:rPr>
                    <w:t>颗粒物</w:t>
                  </w:r>
                </w:p>
              </w:tc>
              <w:tc>
                <w:tcPr>
                  <w:tcW w:w="1855" w:type="pct"/>
                  <w:noWrap w:val="0"/>
                  <w:vAlign w:val="center"/>
                </w:tcPr>
                <w:p w14:paraId="48F098D8">
                  <w:pPr>
                    <w:jc w:val="center"/>
                    <w:rPr>
                      <w:color w:val="C00000"/>
                      <w:sz w:val="21"/>
                      <w:szCs w:val="21"/>
                    </w:rPr>
                  </w:pPr>
                  <w:r>
                    <w:rPr>
                      <w:rFonts w:hint="eastAsia"/>
                      <w:color w:val="C00000"/>
                      <w:szCs w:val="21"/>
                      <w:lang w:val="en-US" w:eastAsia="zh-CN"/>
                    </w:rPr>
                    <w:t>烘干塔塔体外设置铁皮塔衣，塔顶设置抑尘网</w:t>
                  </w:r>
                </w:p>
              </w:tc>
            </w:tr>
            <w:tr w14:paraId="2DAF7B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pct"/>
                  <w:vMerge w:val="restart"/>
                  <w:noWrap w:val="0"/>
                  <w:vAlign w:val="center"/>
                </w:tcPr>
                <w:p w14:paraId="4459051E">
                  <w:pPr>
                    <w:jc w:val="center"/>
                    <w:rPr>
                      <w:color w:val="C00000"/>
                      <w:sz w:val="21"/>
                      <w:szCs w:val="21"/>
                    </w:rPr>
                  </w:pPr>
                  <w:r>
                    <w:rPr>
                      <w:color w:val="C00000"/>
                      <w:sz w:val="21"/>
                      <w:szCs w:val="21"/>
                    </w:rPr>
                    <w:t>噪声</w:t>
                  </w:r>
                </w:p>
              </w:tc>
              <w:tc>
                <w:tcPr>
                  <w:tcW w:w="765" w:type="pct"/>
                  <w:noWrap w:val="0"/>
                  <w:vAlign w:val="center"/>
                </w:tcPr>
                <w:p w14:paraId="0B63CBC4">
                  <w:pPr>
                    <w:jc w:val="center"/>
                    <w:rPr>
                      <w:color w:val="C00000"/>
                      <w:sz w:val="21"/>
                      <w:szCs w:val="21"/>
                    </w:rPr>
                  </w:pPr>
                  <w:r>
                    <w:rPr>
                      <w:color w:val="C00000"/>
                      <w:sz w:val="21"/>
                      <w:szCs w:val="21"/>
                    </w:rPr>
                    <w:t>输送</w:t>
                  </w:r>
                </w:p>
              </w:tc>
              <w:tc>
                <w:tcPr>
                  <w:tcW w:w="629" w:type="pct"/>
                  <w:noWrap w:val="0"/>
                  <w:vAlign w:val="center"/>
                </w:tcPr>
                <w:p w14:paraId="4E3E44FB">
                  <w:pPr>
                    <w:jc w:val="center"/>
                    <w:rPr>
                      <w:color w:val="C00000"/>
                      <w:sz w:val="21"/>
                      <w:szCs w:val="21"/>
                    </w:rPr>
                  </w:pPr>
                  <w:r>
                    <w:rPr>
                      <w:color w:val="C00000"/>
                      <w:sz w:val="21"/>
                      <w:szCs w:val="21"/>
                    </w:rPr>
                    <w:t>输送机</w:t>
                  </w:r>
                </w:p>
              </w:tc>
              <w:tc>
                <w:tcPr>
                  <w:tcW w:w="985" w:type="pct"/>
                  <w:noWrap w:val="0"/>
                  <w:vAlign w:val="center"/>
                </w:tcPr>
                <w:p w14:paraId="1D5599D8">
                  <w:pPr>
                    <w:jc w:val="center"/>
                    <w:rPr>
                      <w:color w:val="C00000"/>
                      <w:sz w:val="21"/>
                      <w:szCs w:val="21"/>
                    </w:rPr>
                  </w:pPr>
                  <w:r>
                    <w:rPr>
                      <w:color w:val="C00000"/>
                      <w:sz w:val="21"/>
                      <w:szCs w:val="21"/>
                    </w:rPr>
                    <w:t>噪声</w:t>
                  </w:r>
                </w:p>
              </w:tc>
              <w:tc>
                <w:tcPr>
                  <w:tcW w:w="1855" w:type="pct"/>
                  <w:noWrap w:val="0"/>
                  <w:vAlign w:val="center"/>
                </w:tcPr>
                <w:p w14:paraId="7219CAAC">
                  <w:pPr>
                    <w:jc w:val="center"/>
                    <w:rPr>
                      <w:color w:val="C00000"/>
                      <w:sz w:val="21"/>
                      <w:szCs w:val="21"/>
                    </w:rPr>
                  </w:pPr>
                  <w:r>
                    <w:rPr>
                      <w:rFonts w:hint="eastAsia"/>
                      <w:color w:val="C00000"/>
                      <w:sz w:val="21"/>
                      <w:szCs w:val="21"/>
                      <w:lang w:val="en-US" w:eastAsia="zh-CN"/>
                    </w:rPr>
                    <w:t>低噪声设备、</w:t>
                  </w:r>
                  <w:r>
                    <w:rPr>
                      <w:color w:val="C00000"/>
                      <w:sz w:val="21"/>
                      <w:szCs w:val="21"/>
                    </w:rPr>
                    <w:t>基础减振、距离衰减</w:t>
                  </w:r>
                </w:p>
              </w:tc>
            </w:tr>
            <w:tr w14:paraId="6E7AA6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pct"/>
                  <w:vMerge w:val="continue"/>
                  <w:noWrap w:val="0"/>
                  <w:vAlign w:val="center"/>
                </w:tcPr>
                <w:p w14:paraId="35194EA8">
                  <w:pPr>
                    <w:jc w:val="center"/>
                    <w:rPr>
                      <w:color w:val="C00000"/>
                      <w:sz w:val="21"/>
                      <w:szCs w:val="21"/>
                    </w:rPr>
                  </w:pPr>
                </w:p>
              </w:tc>
              <w:tc>
                <w:tcPr>
                  <w:tcW w:w="765" w:type="pct"/>
                  <w:noWrap w:val="0"/>
                  <w:vAlign w:val="center"/>
                </w:tcPr>
                <w:p w14:paraId="5874EDA1">
                  <w:pPr>
                    <w:jc w:val="center"/>
                    <w:rPr>
                      <w:color w:val="C00000"/>
                      <w:sz w:val="21"/>
                      <w:szCs w:val="21"/>
                    </w:rPr>
                  </w:pPr>
                  <w:r>
                    <w:rPr>
                      <w:color w:val="C00000"/>
                      <w:sz w:val="21"/>
                      <w:szCs w:val="21"/>
                    </w:rPr>
                    <w:t>烘干</w:t>
                  </w:r>
                </w:p>
              </w:tc>
              <w:tc>
                <w:tcPr>
                  <w:tcW w:w="629" w:type="pct"/>
                  <w:noWrap w:val="0"/>
                  <w:vAlign w:val="center"/>
                </w:tcPr>
                <w:p w14:paraId="1CC88387">
                  <w:pPr>
                    <w:jc w:val="center"/>
                    <w:rPr>
                      <w:color w:val="C00000"/>
                      <w:sz w:val="21"/>
                      <w:szCs w:val="21"/>
                    </w:rPr>
                  </w:pPr>
                  <w:r>
                    <w:rPr>
                      <w:color w:val="C00000"/>
                      <w:sz w:val="21"/>
                      <w:szCs w:val="21"/>
                    </w:rPr>
                    <w:t>风机</w:t>
                  </w:r>
                </w:p>
              </w:tc>
              <w:tc>
                <w:tcPr>
                  <w:tcW w:w="985" w:type="pct"/>
                  <w:noWrap w:val="0"/>
                  <w:vAlign w:val="center"/>
                </w:tcPr>
                <w:p w14:paraId="459E148A">
                  <w:pPr>
                    <w:jc w:val="center"/>
                    <w:rPr>
                      <w:color w:val="C00000"/>
                      <w:sz w:val="21"/>
                      <w:szCs w:val="21"/>
                    </w:rPr>
                  </w:pPr>
                  <w:r>
                    <w:rPr>
                      <w:color w:val="C00000"/>
                      <w:sz w:val="21"/>
                      <w:szCs w:val="21"/>
                    </w:rPr>
                    <w:t>噪声</w:t>
                  </w:r>
                </w:p>
              </w:tc>
              <w:tc>
                <w:tcPr>
                  <w:tcW w:w="1855" w:type="pct"/>
                  <w:noWrap w:val="0"/>
                  <w:vAlign w:val="center"/>
                </w:tcPr>
                <w:p w14:paraId="242DB524">
                  <w:pPr>
                    <w:jc w:val="center"/>
                    <w:rPr>
                      <w:color w:val="C00000"/>
                      <w:sz w:val="21"/>
                      <w:szCs w:val="21"/>
                    </w:rPr>
                  </w:pPr>
                  <w:r>
                    <w:rPr>
                      <w:rFonts w:hint="eastAsia"/>
                      <w:color w:val="C00000"/>
                      <w:sz w:val="21"/>
                      <w:szCs w:val="21"/>
                      <w:lang w:val="en-US" w:eastAsia="zh-CN"/>
                    </w:rPr>
                    <w:t>低噪声设备、</w:t>
                  </w:r>
                  <w:r>
                    <w:rPr>
                      <w:color w:val="C00000"/>
                      <w:sz w:val="21"/>
                      <w:szCs w:val="21"/>
                    </w:rPr>
                    <w:t>基础减振、距离衰减</w:t>
                  </w:r>
                </w:p>
              </w:tc>
            </w:tr>
            <w:tr w14:paraId="4E930B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pct"/>
                  <w:vMerge w:val="continue"/>
                  <w:noWrap w:val="0"/>
                  <w:vAlign w:val="center"/>
                </w:tcPr>
                <w:p w14:paraId="532E1974">
                  <w:pPr>
                    <w:jc w:val="center"/>
                    <w:rPr>
                      <w:color w:val="C00000"/>
                      <w:sz w:val="21"/>
                      <w:szCs w:val="21"/>
                    </w:rPr>
                  </w:pPr>
                </w:p>
              </w:tc>
              <w:tc>
                <w:tcPr>
                  <w:tcW w:w="765" w:type="pct"/>
                  <w:noWrap w:val="0"/>
                  <w:vAlign w:val="center"/>
                </w:tcPr>
                <w:p w14:paraId="10123081">
                  <w:pPr>
                    <w:jc w:val="center"/>
                    <w:rPr>
                      <w:color w:val="C00000"/>
                      <w:sz w:val="21"/>
                      <w:szCs w:val="21"/>
                    </w:rPr>
                  </w:pPr>
                  <w:r>
                    <w:rPr>
                      <w:color w:val="C00000"/>
                      <w:sz w:val="21"/>
                      <w:szCs w:val="21"/>
                    </w:rPr>
                    <w:t>筛选</w:t>
                  </w:r>
                </w:p>
              </w:tc>
              <w:tc>
                <w:tcPr>
                  <w:tcW w:w="629" w:type="pct"/>
                  <w:noWrap w:val="0"/>
                  <w:vAlign w:val="center"/>
                </w:tcPr>
                <w:p w14:paraId="2E0FFBDA">
                  <w:pPr>
                    <w:jc w:val="center"/>
                    <w:rPr>
                      <w:color w:val="C00000"/>
                      <w:sz w:val="21"/>
                      <w:szCs w:val="21"/>
                    </w:rPr>
                  </w:pPr>
                  <w:r>
                    <w:rPr>
                      <w:rFonts w:hint="eastAsia" w:ascii="Times New Roman" w:hAnsi="Times New Roman" w:eastAsia="宋体" w:cs="Times New Roman"/>
                      <w:color w:val="C00000"/>
                      <w:sz w:val="21"/>
                      <w:szCs w:val="21"/>
                      <w:lang w:val="en-US" w:eastAsia="zh-CN"/>
                    </w:rPr>
                    <w:t>圆筒初清筛</w:t>
                  </w:r>
                </w:p>
              </w:tc>
              <w:tc>
                <w:tcPr>
                  <w:tcW w:w="985" w:type="pct"/>
                  <w:noWrap w:val="0"/>
                  <w:vAlign w:val="center"/>
                </w:tcPr>
                <w:p w14:paraId="551CEFD2">
                  <w:pPr>
                    <w:jc w:val="center"/>
                    <w:rPr>
                      <w:color w:val="C00000"/>
                      <w:sz w:val="21"/>
                      <w:szCs w:val="21"/>
                    </w:rPr>
                  </w:pPr>
                  <w:r>
                    <w:rPr>
                      <w:color w:val="C00000"/>
                      <w:sz w:val="21"/>
                      <w:szCs w:val="21"/>
                    </w:rPr>
                    <w:t>噪声</w:t>
                  </w:r>
                </w:p>
              </w:tc>
              <w:tc>
                <w:tcPr>
                  <w:tcW w:w="1855" w:type="pct"/>
                  <w:noWrap w:val="0"/>
                  <w:vAlign w:val="center"/>
                </w:tcPr>
                <w:p w14:paraId="3C63B714">
                  <w:pPr>
                    <w:jc w:val="center"/>
                    <w:rPr>
                      <w:color w:val="C00000"/>
                      <w:sz w:val="21"/>
                      <w:szCs w:val="21"/>
                    </w:rPr>
                  </w:pPr>
                  <w:r>
                    <w:rPr>
                      <w:rFonts w:hint="eastAsia"/>
                      <w:color w:val="C00000"/>
                      <w:sz w:val="21"/>
                      <w:szCs w:val="21"/>
                      <w:lang w:val="en-US" w:eastAsia="zh-CN"/>
                    </w:rPr>
                    <w:t>低噪声设备、</w:t>
                  </w:r>
                  <w:r>
                    <w:rPr>
                      <w:color w:val="C00000"/>
                      <w:sz w:val="21"/>
                      <w:szCs w:val="21"/>
                    </w:rPr>
                    <w:t>基础减振、距离衰减</w:t>
                  </w:r>
                </w:p>
              </w:tc>
            </w:tr>
            <w:tr w14:paraId="146511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pct"/>
                  <w:vMerge w:val="restart"/>
                  <w:noWrap w:val="0"/>
                  <w:vAlign w:val="center"/>
                </w:tcPr>
                <w:p w14:paraId="1888988B">
                  <w:pPr>
                    <w:jc w:val="center"/>
                    <w:rPr>
                      <w:color w:val="C00000"/>
                      <w:sz w:val="21"/>
                      <w:szCs w:val="21"/>
                    </w:rPr>
                  </w:pPr>
                  <w:r>
                    <w:rPr>
                      <w:color w:val="C00000"/>
                      <w:sz w:val="21"/>
                      <w:szCs w:val="21"/>
                    </w:rPr>
                    <w:t>固体废物</w:t>
                  </w:r>
                </w:p>
              </w:tc>
              <w:tc>
                <w:tcPr>
                  <w:tcW w:w="765" w:type="pct"/>
                  <w:vMerge w:val="restart"/>
                  <w:noWrap w:val="0"/>
                  <w:vAlign w:val="center"/>
                </w:tcPr>
                <w:p w14:paraId="4183EE7A">
                  <w:pPr>
                    <w:jc w:val="center"/>
                    <w:rPr>
                      <w:color w:val="C00000"/>
                      <w:sz w:val="21"/>
                      <w:szCs w:val="21"/>
                    </w:rPr>
                  </w:pPr>
                  <w:r>
                    <w:rPr>
                      <w:color w:val="C00000"/>
                      <w:sz w:val="21"/>
                      <w:szCs w:val="21"/>
                    </w:rPr>
                    <w:t>热风炉</w:t>
                  </w:r>
                </w:p>
              </w:tc>
              <w:tc>
                <w:tcPr>
                  <w:tcW w:w="629" w:type="pct"/>
                  <w:noWrap w:val="0"/>
                  <w:vAlign w:val="center"/>
                </w:tcPr>
                <w:p w14:paraId="67AB69BA">
                  <w:pPr>
                    <w:jc w:val="center"/>
                    <w:rPr>
                      <w:color w:val="C00000"/>
                      <w:sz w:val="21"/>
                      <w:szCs w:val="21"/>
                    </w:rPr>
                  </w:pPr>
                  <w:r>
                    <w:rPr>
                      <w:color w:val="C00000"/>
                      <w:sz w:val="21"/>
                      <w:szCs w:val="21"/>
                    </w:rPr>
                    <w:t>热风炉</w:t>
                  </w:r>
                </w:p>
              </w:tc>
              <w:tc>
                <w:tcPr>
                  <w:tcW w:w="985" w:type="pct"/>
                  <w:noWrap w:val="0"/>
                  <w:vAlign w:val="center"/>
                </w:tcPr>
                <w:p w14:paraId="00C51B9E">
                  <w:pPr>
                    <w:jc w:val="center"/>
                    <w:rPr>
                      <w:color w:val="C00000"/>
                      <w:sz w:val="21"/>
                      <w:szCs w:val="21"/>
                    </w:rPr>
                  </w:pPr>
                  <w:r>
                    <w:rPr>
                      <w:color w:val="C00000"/>
                      <w:sz w:val="21"/>
                      <w:szCs w:val="21"/>
                    </w:rPr>
                    <w:t>热风炉炉渣</w:t>
                  </w:r>
                </w:p>
              </w:tc>
              <w:tc>
                <w:tcPr>
                  <w:tcW w:w="1855" w:type="pct"/>
                  <w:vMerge w:val="restart"/>
                  <w:noWrap w:val="0"/>
                  <w:vAlign w:val="center"/>
                </w:tcPr>
                <w:p w14:paraId="4F96BD22">
                  <w:pPr>
                    <w:jc w:val="center"/>
                    <w:rPr>
                      <w:color w:val="C00000"/>
                      <w:sz w:val="21"/>
                      <w:szCs w:val="21"/>
                    </w:rPr>
                  </w:pPr>
                  <w:r>
                    <w:rPr>
                      <w:color w:val="C00000"/>
                      <w:sz w:val="21"/>
                      <w:szCs w:val="21"/>
                    </w:rPr>
                    <w:t>集中收集后外售</w:t>
                  </w:r>
                </w:p>
              </w:tc>
            </w:tr>
            <w:tr w14:paraId="2D4E1E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pct"/>
                  <w:vMerge w:val="continue"/>
                  <w:noWrap w:val="0"/>
                  <w:vAlign w:val="center"/>
                </w:tcPr>
                <w:p w14:paraId="0F45AC02">
                  <w:pPr>
                    <w:jc w:val="center"/>
                    <w:rPr>
                      <w:color w:val="C00000"/>
                      <w:sz w:val="21"/>
                      <w:szCs w:val="21"/>
                    </w:rPr>
                  </w:pPr>
                </w:p>
              </w:tc>
              <w:tc>
                <w:tcPr>
                  <w:tcW w:w="765" w:type="pct"/>
                  <w:vMerge w:val="continue"/>
                  <w:noWrap w:val="0"/>
                  <w:vAlign w:val="center"/>
                </w:tcPr>
                <w:p w14:paraId="402F35D2">
                  <w:pPr>
                    <w:jc w:val="center"/>
                    <w:rPr>
                      <w:color w:val="C00000"/>
                      <w:sz w:val="21"/>
                      <w:szCs w:val="21"/>
                    </w:rPr>
                  </w:pPr>
                </w:p>
              </w:tc>
              <w:tc>
                <w:tcPr>
                  <w:tcW w:w="629" w:type="pct"/>
                  <w:noWrap w:val="0"/>
                  <w:vAlign w:val="center"/>
                </w:tcPr>
                <w:p w14:paraId="0E74BFF9">
                  <w:pPr>
                    <w:jc w:val="center"/>
                    <w:rPr>
                      <w:color w:val="C00000"/>
                      <w:sz w:val="21"/>
                      <w:szCs w:val="21"/>
                    </w:rPr>
                  </w:pPr>
                  <w:r>
                    <w:rPr>
                      <w:color w:val="C00000"/>
                      <w:sz w:val="21"/>
                      <w:szCs w:val="21"/>
                    </w:rPr>
                    <w:t>除尘器</w:t>
                  </w:r>
                </w:p>
              </w:tc>
              <w:tc>
                <w:tcPr>
                  <w:tcW w:w="985" w:type="pct"/>
                  <w:noWrap w:val="0"/>
                  <w:vAlign w:val="center"/>
                </w:tcPr>
                <w:p w14:paraId="3D4F3BBF">
                  <w:pPr>
                    <w:jc w:val="center"/>
                    <w:rPr>
                      <w:rFonts w:hint="eastAsia" w:eastAsia="宋体"/>
                      <w:color w:val="C00000"/>
                      <w:sz w:val="21"/>
                      <w:szCs w:val="21"/>
                      <w:lang w:val="en-US" w:eastAsia="zh-CN"/>
                    </w:rPr>
                  </w:pPr>
                  <w:r>
                    <w:rPr>
                      <w:color w:val="C00000"/>
                      <w:sz w:val="21"/>
                      <w:szCs w:val="21"/>
                    </w:rPr>
                    <w:t>除尘器</w:t>
                  </w:r>
                  <w:r>
                    <w:rPr>
                      <w:rFonts w:hint="eastAsia"/>
                      <w:color w:val="C00000"/>
                      <w:sz w:val="21"/>
                      <w:szCs w:val="21"/>
                      <w:lang w:val="en-US" w:eastAsia="zh-CN"/>
                    </w:rPr>
                    <w:t>收尘</w:t>
                  </w:r>
                </w:p>
              </w:tc>
              <w:tc>
                <w:tcPr>
                  <w:tcW w:w="1855" w:type="pct"/>
                  <w:vMerge w:val="continue"/>
                  <w:noWrap w:val="0"/>
                  <w:vAlign w:val="center"/>
                </w:tcPr>
                <w:p w14:paraId="51FB2D2B">
                  <w:pPr>
                    <w:jc w:val="center"/>
                    <w:rPr>
                      <w:color w:val="C00000"/>
                      <w:sz w:val="21"/>
                      <w:szCs w:val="21"/>
                    </w:rPr>
                  </w:pPr>
                </w:p>
              </w:tc>
            </w:tr>
            <w:tr w14:paraId="47CB86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4" w:type="pct"/>
                  <w:vMerge w:val="continue"/>
                  <w:noWrap w:val="0"/>
                  <w:vAlign w:val="center"/>
                </w:tcPr>
                <w:p w14:paraId="7CB9CFF7">
                  <w:pPr>
                    <w:jc w:val="center"/>
                    <w:rPr>
                      <w:color w:val="C00000"/>
                      <w:sz w:val="21"/>
                      <w:szCs w:val="21"/>
                    </w:rPr>
                  </w:pPr>
                </w:p>
              </w:tc>
              <w:tc>
                <w:tcPr>
                  <w:tcW w:w="765" w:type="pct"/>
                  <w:noWrap w:val="0"/>
                  <w:vAlign w:val="center"/>
                </w:tcPr>
                <w:p w14:paraId="25EFFAD8">
                  <w:pPr>
                    <w:jc w:val="center"/>
                    <w:rPr>
                      <w:rFonts w:hint="eastAsia" w:eastAsia="宋体"/>
                      <w:color w:val="C00000"/>
                      <w:sz w:val="21"/>
                      <w:szCs w:val="21"/>
                      <w:lang w:val="en-US" w:eastAsia="zh-CN"/>
                    </w:rPr>
                  </w:pPr>
                  <w:r>
                    <w:rPr>
                      <w:color w:val="C00000"/>
                      <w:sz w:val="21"/>
                      <w:szCs w:val="21"/>
                    </w:rPr>
                    <w:t>筛分</w:t>
                  </w:r>
                </w:p>
              </w:tc>
              <w:tc>
                <w:tcPr>
                  <w:tcW w:w="629" w:type="pct"/>
                  <w:noWrap w:val="0"/>
                  <w:vAlign w:val="center"/>
                </w:tcPr>
                <w:p w14:paraId="3DC1A60C">
                  <w:pPr>
                    <w:jc w:val="center"/>
                    <w:rPr>
                      <w:rFonts w:hint="eastAsia"/>
                      <w:color w:val="C00000"/>
                      <w:sz w:val="21"/>
                      <w:szCs w:val="21"/>
                    </w:rPr>
                  </w:pPr>
                  <w:r>
                    <w:rPr>
                      <w:rFonts w:hint="eastAsia"/>
                      <w:color w:val="C00000"/>
                      <w:sz w:val="21"/>
                      <w:szCs w:val="21"/>
                    </w:rPr>
                    <w:t>筛分</w:t>
                  </w:r>
                </w:p>
              </w:tc>
              <w:tc>
                <w:tcPr>
                  <w:tcW w:w="985" w:type="pct"/>
                  <w:noWrap w:val="0"/>
                  <w:vAlign w:val="center"/>
                </w:tcPr>
                <w:p w14:paraId="52EC6941">
                  <w:pPr>
                    <w:jc w:val="center"/>
                    <w:rPr>
                      <w:rFonts w:hint="eastAsia"/>
                      <w:color w:val="C00000"/>
                      <w:sz w:val="21"/>
                      <w:szCs w:val="21"/>
                    </w:rPr>
                  </w:pPr>
                  <w:r>
                    <w:rPr>
                      <w:rFonts w:hint="eastAsia"/>
                      <w:color w:val="C00000"/>
                      <w:sz w:val="21"/>
                      <w:szCs w:val="21"/>
                    </w:rPr>
                    <w:t>杂质</w:t>
                  </w:r>
                </w:p>
              </w:tc>
              <w:tc>
                <w:tcPr>
                  <w:tcW w:w="1855" w:type="pct"/>
                  <w:noWrap w:val="0"/>
                  <w:vAlign w:val="center"/>
                </w:tcPr>
                <w:p w14:paraId="05727ABB">
                  <w:pPr>
                    <w:jc w:val="center"/>
                    <w:rPr>
                      <w:color w:val="C00000"/>
                      <w:sz w:val="21"/>
                      <w:szCs w:val="21"/>
                    </w:rPr>
                  </w:pPr>
                  <w:r>
                    <w:rPr>
                      <w:color w:val="C00000"/>
                      <w:sz w:val="21"/>
                      <w:szCs w:val="21"/>
                    </w:rPr>
                    <w:t>环卫部门统一清理</w:t>
                  </w:r>
                </w:p>
              </w:tc>
            </w:tr>
          </w:tbl>
          <w:p w14:paraId="00ADD648">
            <w:pPr>
              <w:pStyle w:val="9"/>
            </w:pPr>
          </w:p>
        </w:tc>
      </w:tr>
      <w:tr w14:paraId="53BAE6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Align w:val="center"/>
          </w:tcPr>
          <w:p w14:paraId="46FC0226">
            <w:pPr>
              <w:pStyle w:val="27"/>
              <w:adjustRightInd w:val="0"/>
              <w:snapToGrid w:val="0"/>
              <w:spacing w:before="0" w:beforeAutospacing="0" w:after="0" w:afterAutospacing="0" w:line="360" w:lineRule="auto"/>
              <w:jc w:val="center"/>
              <w:rPr>
                <w:rFonts w:ascii="Times New Roman" w:hAnsi="Times New Roman"/>
                <w:szCs w:val="24"/>
                <w:highlight w:val="yellow"/>
              </w:rPr>
            </w:pPr>
            <w:r>
              <w:rPr>
                <w:rFonts w:ascii="Times New Roman" w:hAnsi="Times New Roman"/>
                <w:bCs/>
                <w:kern w:val="2"/>
                <w:szCs w:val="24"/>
              </w:rPr>
              <w:t>与项目有关的原有环境污染问题</w:t>
            </w:r>
          </w:p>
        </w:tc>
        <w:tc>
          <w:tcPr>
            <w:tcW w:w="8161" w:type="dxa"/>
          </w:tcPr>
          <w:p w14:paraId="2DB657AA">
            <w:pPr>
              <w:widowControl/>
              <w:spacing w:line="360" w:lineRule="auto"/>
              <w:ind w:firstLine="482" w:firstLineChars="200"/>
              <w:jc w:val="left"/>
              <w:rPr>
                <w:b/>
                <w:bCs/>
                <w:sz w:val="24"/>
                <w:highlight w:val="yellow"/>
              </w:rPr>
            </w:pPr>
            <w:r>
              <w:rPr>
                <w:b/>
                <w:bCs/>
                <w:sz w:val="24"/>
              </w:rPr>
              <w:t>一、现有工程环保手续履行情况</w:t>
            </w:r>
          </w:p>
          <w:p w14:paraId="407C9BA5">
            <w:pPr>
              <w:pStyle w:val="30"/>
              <w:spacing w:after="0" w:line="360" w:lineRule="auto"/>
              <w:ind w:firstLine="480" w:firstLineChars="200"/>
              <w:rPr>
                <w:rFonts w:eastAsiaTheme="majorEastAsia"/>
                <w:sz w:val="24"/>
                <w:highlight w:val="yellow"/>
              </w:rPr>
            </w:pPr>
            <w:r>
              <w:rPr>
                <w:rFonts w:hint="eastAsia"/>
                <w:sz w:val="24"/>
              </w:rPr>
              <w:t>双鸭山市润丰粮食有限公司</w:t>
            </w:r>
            <w:r>
              <w:rPr>
                <w:sz w:val="24"/>
              </w:rPr>
              <w:t>位于</w:t>
            </w:r>
            <w:r>
              <w:rPr>
                <w:rFonts w:hint="eastAsia"/>
                <w:sz w:val="24"/>
              </w:rPr>
              <w:t>双鸭山市宝山区新安煤矿原建设科院内，企业于2016</w:t>
            </w:r>
            <w:r>
              <w:rPr>
                <w:sz w:val="24"/>
              </w:rPr>
              <w:t>年编制《</w:t>
            </w:r>
            <w:r>
              <w:rPr>
                <w:rFonts w:hint="eastAsia"/>
                <w:sz w:val="24"/>
              </w:rPr>
              <w:t>双鸭山市润丰粮食有限公司建设项目环境现状评估报告</w:t>
            </w:r>
            <w:r>
              <w:rPr>
                <w:sz w:val="24"/>
              </w:rPr>
              <w:t>》，建设内容主要为：厂区占地面积</w:t>
            </w:r>
            <w:r>
              <w:rPr>
                <w:rFonts w:hint="eastAsia"/>
                <w:sz w:val="24"/>
              </w:rPr>
              <w:t>9081.6</w:t>
            </w:r>
            <w:r>
              <w:rPr>
                <w:sz w:val="24"/>
              </w:rPr>
              <w:t>平方米，主要建设</w:t>
            </w:r>
            <w:r>
              <w:rPr>
                <w:rFonts w:hint="eastAsia"/>
                <w:sz w:val="24"/>
              </w:rPr>
              <w:t>烘干塔、锅炉房、粮仓、仓库、办公室等</w:t>
            </w:r>
            <w:r>
              <w:rPr>
                <w:sz w:val="24"/>
              </w:rPr>
              <w:t>，建设1台</w:t>
            </w:r>
            <w:r>
              <w:rPr>
                <w:rFonts w:hint="eastAsia"/>
                <w:sz w:val="24"/>
                <w:lang w:eastAsia="zh-CN"/>
              </w:rPr>
              <w:t>6t/h</w:t>
            </w:r>
            <w:r>
              <w:rPr>
                <w:sz w:val="24"/>
              </w:rPr>
              <w:t>燃煤热风炉，1台烘干能力</w:t>
            </w:r>
            <w:r>
              <w:rPr>
                <w:rFonts w:eastAsiaTheme="majorEastAsia"/>
                <w:sz w:val="24"/>
              </w:rPr>
              <w:t>为300t/d烘干塔和粮食烘干生产线，日烘干粮食300吨。</w:t>
            </w:r>
          </w:p>
          <w:p w14:paraId="4CF38E76">
            <w:pPr>
              <w:pStyle w:val="30"/>
              <w:spacing w:after="0" w:line="360" w:lineRule="auto"/>
              <w:ind w:firstLine="480" w:firstLineChars="200"/>
              <w:rPr>
                <w:rFonts w:eastAsiaTheme="majorEastAsia"/>
                <w:iCs/>
                <w:color w:val="000000" w:themeColor="text1"/>
                <w:sz w:val="24"/>
                <w14:textFill>
                  <w14:solidFill>
                    <w14:schemeClr w14:val="tx1"/>
                  </w14:solidFill>
                </w14:textFill>
              </w:rPr>
            </w:pPr>
            <w:r>
              <w:rPr>
                <w:rFonts w:eastAsiaTheme="majorEastAsia"/>
                <w:sz w:val="24"/>
              </w:rPr>
              <w:t>企业于</w:t>
            </w:r>
            <w:r>
              <w:rPr>
                <w:rFonts w:hint="eastAsia" w:eastAsiaTheme="majorEastAsia"/>
                <w:sz w:val="24"/>
              </w:rPr>
              <w:t>2016年</w:t>
            </w:r>
            <w:r>
              <w:rPr>
                <w:rFonts w:eastAsiaTheme="majorEastAsia"/>
                <w:sz w:val="24"/>
              </w:rPr>
              <w:t>完成建设项目环境保护评估报告备案登记，备案号：双环备</w:t>
            </w:r>
            <w:r>
              <w:rPr>
                <w:rFonts w:hint="eastAsia" w:eastAsiaTheme="majorEastAsia"/>
                <w:sz w:val="24"/>
                <w:lang w:eastAsia="zh-CN"/>
              </w:rPr>
              <w:t>〔2016〕25号</w:t>
            </w:r>
            <w:r>
              <w:rPr>
                <w:rFonts w:eastAsiaTheme="majorEastAsia"/>
                <w:sz w:val="24"/>
              </w:rPr>
              <w:t>，</w:t>
            </w:r>
            <w:r>
              <w:rPr>
                <w:rFonts w:eastAsiaTheme="majorEastAsia"/>
                <w:iCs/>
                <w:color w:val="000000" w:themeColor="text1"/>
                <w:sz w:val="24"/>
                <w14:textFill>
                  <w14:solidFill>
                    <w14:schemeClr w14:val="tx1"/>
                  </w14:solidFill>
                </w14:textFill>
              </w:rPr>
              <w:t>根据当时政策，进行现状影响评估无需进行验收，因此企业不涉及未验先投。</w:t>
            </w:r>
          </w:p>
          <w:p w14:paraId="5FD6594A">
            <w:pPr>
              <w:pStyle w:val="30"/>
              <w:spacing w:after="0" w:line="360" w:lineRule="auto"/>
              <w:ind w:firstLine="480" w:firstLineChars="200"/>
              <w:rPr>
                <w:rFonts w:hint="default" w:eastAsia="宋体"/>
                <w:bCs/>
                <w:color w:val="C00000"/>
                <w:sz w:val="24"/>
                <w:lang w:val="en-US" w:eastAsia="zh-CN"/>
              </w:rPr>
            </w:pPr>
            <w:r>
              <w:rPr>
                <w:rFonts w:hint="eastAsia"/>
                <w:bCs/>
                <w:color w:val="C00000"/>
                <w:sz w:val="24"/>
                <w:lang w:val="en-US" w:eastAsia="zh-CN"/>
              </w:rPr>
              <w:t>企业根据排污许可规定，于2020年申领排污许可证，按照排污许可要求进行例行检测，并按照要求提交排污许可执行报告年报。</w:t>
            </w:r>
          </w:p>
          <w:p w14:paraId="6C24D866">
            <w:pPr>
              <w:widowControl/>
              <w:spacing w:line="360" w:lineRule="auto"/>
              <w:ind w:firstLine="482" w:firstLineChars="200"/>
              <w:jc w:val="left"/>
              <w:rPr>
                <w:b/>
                <w:bCs/>
                <w:kern w:val="0"/>
                <w:sz w:val="24"/>
                <w:lang w:bidi="ar"/>
              </w:rPr>
            </w:pPr>
            <w:r>
              <w:rPr>
                <w:b/>
                <w:bCs/>
                <w:kern w:val="0"/>
                <w:sz w:val="24"/>
                <w:lang w:bidi="ar"/>
              </w:rPr>
              <w:t>二、现有工程主要建设内容及规模</w:t>
            </w:r>
          </w:p>
          <w:p w14:paraId="5CAA7DD2">
            <w:pPr>
              <w:widowControl/>
              <w:spacing w:line="360" w:lineRule="auto"/>
              <w:ind w:firstLine="480" w:firstLineChars="200"/>
              <w:jc w:val="left"/>
              <w:rPr>
                <w:b/>
                <w:bCs/>
                <w:kern w:val="0"/>
                <w:sz w:val="24"/>
                <w:lang w:bidi="ar"/>
              </w:rPr>
            </w:pPr>
            <w:r>
              <w:rPr>
                <w:rFonts w:hint="eastAsia"/>
                <w:sz w:val="24"/>
              </w:rPr>
              <w:t>厂区占地面积9081.6平方米，建有1台</w:t>
            </w:r>
            <w:r>
              <w:rPr>
                <w:rFonts w:hint="eastAsia"/>
                <w:sz w:val="24"/>
                <w:lang w:eastAsia="zh-CN"/>
              </w:rPr>
              <w:t>6t/h</w:t>
            </w:r>
            <w:r>
              <w:rPr>
                <w:sz w:val="24"/>
              </w:rPr>
              <w:t>燃</w:t>
            </w:r>
            <w:r>
              <w:rPr>
                <w:rFonts w:hint="eastAsia"/>
                <w:sz w:val="24"/>
              </w:rPr>
              <w:t>煤</w:t>
            </w:r>
            <w:r>
              <w:rPr>
                <w:sz w:val="24"/>
              </w:rPr>
              <w:t>热风炉</w:t>
            </w:r>
            <w:r>
              <w:rPr>
                <w:rFonts w:hint="eastAsia"/>
                <w:sz w:val="24"/>
              </w:rPr>
              <w:t>和1台</w:t>
            </w:r>
            <w:r>
              <w:rPr>
                <w:sz w:val="24"/>
              </w:rPr>
              <w:t>烘干能力为</w:t>
            </w:r>
            <w:r>
              <w:rPr>
                <w:rFonts w:hint="eastAsia"/>
                <w:sz w:val="24"/>
              </w:rPr>
              <w:t>300</w:t>
            </w:r>
            <w:r>
              <w:rPr>
                <w:sz w:val="24"/>
              </w:rPr>
              <w:t>t/d烘干塔</w:t>
            </w:r>
            <w:r>
              <w:rPr>
                <w:rFonts w:hint="eastAsia"/>
                <w:sz w:val="24"/>
              </w:rPr>
              <w:t>，日烘干粮食300吨</w:t>
            </w:r>
            <w:r>
              <w:rPr>
                <w:rFonts w:hint="eastAsia"/>
                <w:b/>
                <w:bCs/>
                <w:kern w:val="0"/>
                <w:sz w:val="24"/>
                <w:lang w:bidi="ar"/>
              </w:rPr>
              <w:t>。</w:t>
            </w:r>
          </w:p>
          <w:p w14:paraId="1C6375A3">
            <w:pPr>
              <w:pStyle w:val="99"/>
              <w:rPr>
                <w:rFonts w:eastAsia="宋体" w:cs="Times New Roman"/>
              </w:rPr>
            </w:pPr>
            <w:r>
              <w:rPr>
                <w:rFonts w:eastAsia="宋体" w:cs="Times New Roman"/>
                <w:b/>
                <w:bCs/>
                <w:sz w:val="21"/>
                <w:szCs w:val="21"/>
              </w:rPr>
              <w:t>表2-</w:t>
            </w:r>
            <w:r>
              <w:rPr>
                <w:rFonts w:hint="eastAsia" w:eastAsia="宋体" w:cs="Times New Roman"/>
                <w:b/>
                <w:bCs/>
                <w:sz w:val="21"/>
                <w:szCs w:val="21"/>
                <w:lang w:val="en-US" w:eastAsia="zh-CN"/>
              </w:rPr>
              <w:t>9</w:t>
            </w:r>
            <w:r>
              <w:rPr>
                <w:rFonts w:hint="eastAsia" w:eastAsia="宋体" w:cs="Times New Roman"/>
                <w:b/>
                <w:bCs/>
                <w:sz w:val="21"/>
                <w:szCs w:val="21"/>
              </w:rPr>
              <w:t xml:space="preserve"> </w:t>
            </w:r>
            <w:r>
              <w:rPr>
                <w:rFonts w:eastAsia="宋体" w:cs="Times New Roman"/>
                <w:b/>
                <w:bCs/>
                <w:sz w:val="21"/>
                <w:szCs w:val="21"/>
              </w:rPr>
              <w:t>现有工程组成及建设内容一览表</w:t>
            </w:r>
          </w:p>
          <w:tbl>
            <w:tblPr>
              <w:tblStyle w:val="32"/>
              <w:tblW w:w="7917"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777"/>
              <w:gridCol w:w="1204"/>
              <w:gridCol w:w="5936"/>
            </w:tblGrid>
            <w:tr w14:paraId="6DE4406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981" w:type="dxa"/>
                  <w:gridSpan w:val="2"/>
                  <w:vAlign w:val="center"/>
                </w:tcPr>
                <w:p w14:paraId="7AE13AA5">
                  <w:pPr>
                    <w:jc w:val="center"/>
                    <w:rPr>
                      <w:szCs w:val="21"/>
                    </w:rPr>
                  </w:pPr>
                  <w:r>
                    <w:rPr>
                      <w:szCs w:val="21"/>
                    </w:rPr>
                    <w:t>建设内容</w:t>
                  </w:r>
                </w:p>
              </w:tc>
              <w:tc>
                <w:tcPr>
                  <w:tcW w:w="5936" w:type="dxa"/>
                  <w:vAlign w:val="center"/>
                </w:tcPr>
                <w:p w14:paraId="18894C34">
                  <w:pPr>
                    <w:jc w:val="center"/>
                    <w:rPr>
                      <w:szCs w:val="21"/>
                    </w:rPr>
                  </w:pPr>
                  <w:r>
                    <w:rPr>
                      <w:szCs w:val="21"/>
                    </w:rPr>
                    <w:t>建设规模及内容</w:t>
                  </w:r>
                </w:p>
              </w:tc>
            </w:tr>
            <w:tr w14:paraId="6A7D0C8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95" w:hRule="atLeast"/>
                <w:jc w:val="center"/>
              </w:trPr>
              <w:tc>
                <w:tcPr>
                  <w:tcW w:w="777" w:type="dxa"/>
                  <w:vMerge w:val="restart"/>
                  <w:shd w:val="clear" w:color="auto" w:fill="auto"/>
                  <w:vAlign w:val="center"/>
                </w:tcPr>
                <w:p w14:paraId="4D57A258">
                  <w:pPr>
                    <w:jc w:val="center"/>
                    <w:rPr>
                      <w:bCs/>
                      <w:szCs w:val="21"/>
                    </w:rPr>
                  </w:pPr>
                  <w:r>
                    <w:rPr>
                      <w:bCs/>
                      <w:szCs w:val="21"/>
                    </w:rPr>
                    <w:t>主体</w:t>
                  </w:r>
                </w:p>
                <w:p w14:paraId="22DF73B7">
                  <w:pPr>
                    <w:jc w:val="center"/>
                    <w:rPr>
                      <w:bCs/>
                      <w:szCs w:val="21"/>
                    </w:rPr>
                  </w:pPr>
                  <w:r>
                    <w:rPr>
                      <w:bCs/>
                      <w:szCs w:val="21"/>
                    </w:rPr>
                    <w:t>工程</w:t>
                  </w:r>
                </w:p>
              </w:tc>
              <w:tc>
                <w:tcPr>
                  <w:tcW w:w="1204" w:type="dxa"/>
                  <w:shd w:val="clear" w:color="auto" w:fill="auto"/>
                  <w:vAlign w:val="center"/>
                </w:tcPr>
                <w:p w14:paraId="255DFED7">
                  <w:pPr>
                    <w:widowControl/>
                    <w:jc w:val="center"/>
                    <w:rPr>
                      <w:szCs w:val="21"/>
                    </w:rPr>
                  </w:pPr>
                  <w:r>
                    <w:rPr>
                      <w:szCs w:val="21"/>
                    </w:rPr>
                    <w:t>烘干塔</w:t>
                  </w:r>
                </w:p>
              </w:tc>
              <w:tc>
                <w:tcPr>
                  <w:tcW w:w="5936" w:type="dxa"/>
                  <w:shd w:val="clear" w:color="auto" w:fill="auto"/>
                  <w:vAlign w:val="center"/>
                </w:tcPr>
                <w:p w14:paraId="04220290">
                  <w:pPr>
                    <w:jc w:val="center"/>
                    <w:rPr>
                      <w:bCs/>
                      <w:szCs w:val="21"/>
                    </w:rPr>
                  </w:pPr>
                  <w:r>
                    <w:rPr>
                      <w:rFonts w:hint="eastAsia"/>
                      <w:bCs/>
                      <w:szCs w:val="21"/>
                    </w:rPr>
                    <w:t>占地面积12m</w:t>
                  </w:r>
                  <w:r>
                    <w:rPr>
                      <w:rFonts w:hint="eastAsia"/>
                      <w:bCs/>
                      <w:szCs w:val="21"/>
                      <w:vertAlign w:val="superscript"/>
                    </w:rPr>
                    <w:t>2</w:t>
                  </w:r>
                  <w:r>
                    <w:rPr>
                      <w:rFonts w:hint="eastAsia"/>
                      <w:bCs/>
                      <w:szCs w:val="21"/>
                    </w:rPr>
                    <w:t>，用于烘干粮食，烘干塔日最大处理能力为300t/d，年烘干玉米15000吨</w:t>
                  </w:r>
                </w:p>
              </w:tc>
            </w:tr>
            <w:tr w14:paraId="4311670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77" w:type="dxa"/>
                  <w:vMerge w:val="continue"/>
                  <w:shd w:val="clear" w:color="auto" w:fill="auto"/>
                  <w:vAlign w:val="center"/>
                </w:tcPr>
                <w:p w14:paraId="3C7E614E">
                  <w:pPr>
                    <w:jc w:val="center"/>
                    <w:rPr>
                      <w:bCs/>
                      <w:szCs w:val="21"/>
                    </w:rPr>
                  </w:pPr>
                </w:p>
              </w:tc>
              <w:tc>
                <w:tcPr>
                  <w:tcW w:w="1204" w:type="dxa"/>
                  <w:shd w:val="clear" w:color="auto" w:fill="auto"/>
                  <w:vAlign w:val="center"/>
                </w:tcPr>
                <w:p w14:paraId="41EA88FE">
                  <w:pPr>
                    <w:widowControl/>
                    <w:jc w:val="center"/>
                    <w:rPr>
                      <w:szCs w:val="21"/>
                    </w:rPr>
                  </w:pPr>
                  <w:r>
                    <w:rPr>
                      <w:szCs w:val="21"/>
                    </w:rPr>
                    <w:t>热风炉房</w:t>
                  </w:r>
                </w:p>
              </w:tc>
              <w:tc>
                <w:tcPr>
                  <w:tcW w:w="5936" w:type="dxa"/>
                  <w:shd w:val="clear" w:color="auto" w:fill="auto"/>
                  <w:vAlign w:val="center"/>
                </w:tcPr>
                <w:p w14:paraId="17A1B00B">
                  <w:pPr>
                    <w:jc w:val="center"/>
                    <w:rPr>
                      <w:rFonts w:hint="eastAsia" w:eastAsia="宋体"/>
                      <w:bCs/>
                      <w:szCs w:val="21"/>
                      <w:lang w:eastAsia="zh-CN"/>
                    </w:rPr>
                  </w:pPr>
                  <w:r>
                    <w:rPr>
                      <w:rFonts w:hint="eastAsia"/>
                      <w:bCs/>
                      <w:szCs w:val="21"/>
                    </w:rPr>
                    <w:t>占地</w:t>
                  </w:r>
                  <w:r>
                    <w:rPr>
                      <w:bCs/>
                      <w:szCs w:val="21"/>
                    </w:rPr>
                    <w:t>面积</w:t>
                  </w:r>
                  <w:r>
                    <w:rPr>
                      <w:rFonts w:hint="eastAsia"/>
                      <w:bCs/>
                      <w:szCs w:val="21"/>
                    </w:rPr>
                    <w:t>135</w:t>
                  </w:r>
                  <w:r>
                    <w:rPr>
                      <w:szCs w:val="21"/>
                    </w:rPr>
                    <w:t>m</w:t>
                  </w:r>
                  <w:r>
                    <w:rPr>
                      <w:szCs w:val="21"/>
                      <w:vertAlign w:val="superscript"/>
                    </w:rPr>
                    <w:t>2</w:t>
                  </w:r>
                  <w:r>
                    <w:rPr>
                      <w:bCs/>
                      <w:szCs w:val="21"/>
                    </w:rPr>
                    <w:t>，</w:t>
                  </w:r>
                  <w:r>
                    <w:rPr>
                      <w:rFonts w:hint="eastAsia"/>
                      <w:bCs/>
                      <w:szCs w:val="21"/>
                    </w:rPr>
                    <w:t>内置</w:t>
                  </w:r>
                  <w:r>
                    <w:rPr>
                      <w:bCs/>
                      <w:szCs w:val="21"/>
                    </w:rPr>
                    <w:t>1台</w:t>
                  </w:r>
                  <w:r>
                    <w:rPr>
                      <w:rFonts w:hint="eastAsia"/>
                      <w:bCs/>
                      <w:szCs w:val="21"/>
                      <w:lang w:eastAsia="zh-CN"/>
                    </w:rPr>
                    <w:t>6t/h</w:t>
                  </w:r>
                  <w:r>
                    <w:rPr>
                      <w:bCs/>
                      <w:szCs w:val="21"/>
                    </w:rPr>
                    <w:t>热风炉，</w:t>
                  </w:r>
                  <w:r>
                    <w:rPr>
                      <w:rFonts w:hint="eastAsia"/>
                      <w:bCs/>
                      <w:szCs w:val="21"/>
                    </w:rPr>
                    <w:t>燃料为原煤，烟囱高度</w:t>
                  </w:r>
                  <w:r>
                    <w:rPr>
                      <w:rFonts w:hint="eastAsia"/>
                      <w:bCs/>
                      <w:szCs w:val="21"/>
                      <w:lang w:eastAsia="zh-CN"/>
                    </w:rPr>
                    <w:t>20m</w:t>
                  </w:r>
                </w:p>
              </w:tc>
            </w:tr>
            <w:tr w14:paraId="1844F61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86" w:hRule="atLeast"/>
                <w:jc w:val="center"/>
              </w:trPr>
              <w:tc>
                <w:tcPr>
                  <w:tcW w:w="777" w:type="dxa"/>
                  <w:vMerge w:val="restart"/>
                  <w:shd w:val="clear" w:color="auto" w:fill="auto"/>
                  <w:vAlign w:val="center"/>
                </w:tcPr>
                <w:p w14:paraId="1A020F17">
                  <w:pPr>
                    <w:widowControl/>
                    <w:jc w:val="center"/>
                    <w:rPr>
                      <w:szCs w:val="21"/>
                    </w:rPr>
                  </w:pPr>
                  <w:r>
                    <w:rPr>
                      <w:szCs w:val="21"/>
                    </w:rPr>
                    <w:t>储运</w:t>
                  </w:r>
                </w:p>
                <w:p w14:paraId="6468387A">
                  <w:pPr>
                    <w:widowControl/>
                    <w:jc w:val="center"/>
                    <w:rPr>
                      <w:szCs w:val="21"/>
                    </w:rPr>
                  </w:pPr>
                  <w:r>
                    <w:rPr>
                      <w:szCs w:val="21"/>
                    </w:rPr>
                    <w:t>工程</w:t>
                  </w:r>
                </w:p>
              </w:tc>
              <w:tc>
                <w:tcPr>
                  <w:tcW w:w="1204" w:type="dxa"/>
                  <w:shd w:val="clear" w:color="auto" w:fill="auto"/>
                  <w:vAlign w:val="center"/>
                </w:tcPr>
                <w:p w14:paraId="1549E4E0">
                  <w:pPr>
                    <w:widowControl/>
                    <w:jc w:val="center"/>
                    <w:rPr>
                      <w:szCs w:val="21"/>
                    </w:rPr>
                  </w:pPr>
                  <w:r>
                    <w:rPr>
                      <w:rFonts w:hint="eastAsia"/>
                      <w:szCs w:val="21"/>
                    </w:rPr>
                    <w:t>粮仓</w:t>
                  </w:r>
                </w:p>
              </w:tc>
              <w:tc>
                <w:tcPr>
                  <w:tcW w:w="5936" w:type="dxa"/>
                  <w:shd w:val="clear" w:color="auto" w:fill="auto"/>
                  <w:vAlign w:val="center"/>
                </w:tcPr>
                <w:p w14:paraId="5144B86A">
                  <w:pPr>
                    <w:jc w:val="center"/>
                    <w:rPr>
                      <w:bCs/>
                      <w:szCs w:val="21"/>
                    </w:rPr>
                  </w:pPr>
                  <w:r>
                    <w:rPr>
                      <w:rFonts w:hint="eastAsia"/>
                      <w:bCs/>
                      <w:szCs w:val="21"/>
                    </w:rPr>
                    <w:t>占地面积27m</w:t>
                  </w:r>
                  <w:r>
                    <w:rPr>
                      <w:rFonts w:hint="eastAsia"/>
                      <w:bCs/>
                      <w:szCs w:val="21"/>
                      <w:vertAlign w:val="superscript"/>
                    </w:rPr>
                    <w:t>2</w:t>
                  </w:r>
                  <w:r>
                    <w:rPr>
                      <w:rFonts w:hint="eastAsia"/>
                      <w:bCs/>
                      <w:szCs w:val="21"/>
                    </w:rPr>
                    <w:t>，用于储存原粮，存储能力为100吨</w:t>
                  </w:r>
                </w:p>
              </w:tc>
            </w:tr>
            <w:tr w14:paraId="2FD4FD9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77" w:type="dxa"/>
                  <w:vMerge w:val="continue"/>
                  <w:shd w:val="clear" w:color="auto" w:fill="auto"/>
                  <w:vAlign w:val="center"/>
                </w:tcPr>
                <w:p w14:paraId="60F98E48">
                  <w:pPr>
                    <w:widowControl/>
                    <w:jc w:val="center"/>
                    <w:rPr>
                      <w:szCs w:val="21"/>
                    </w:rPr>
                  </w:pPr>
                </w:p>
              </w:tc>
              <w:tc>
                <w:tcPr>
                  <w:tcW w:w="1204" w:type="dxa"/>
                  <w:tcBorders>
                    <w:top w:val="single" w:color="auto" w:sz="4" w:space="0"/>
                  </w:tcBorders>
                  <w:shd w:val="clear" w:color="auto" w:fill="auto"/>
                  <w:vAlign w:val="center"/>
                </w:tcPr>
                <w:p w14:paraId="48286217">
                  <w:pPr>
                    <w:widowControl/>
                    <w:jc w:val="center"/>
                    <w:rPr>
                      <w:szCs w:val="21"/>
                    </w:rPr>
                  </w:pPr>
                  <w:r>
                    <w:rPr>
                      <w:rFonts w:hint="eastAsia"/>
                      <w:szCs w:val="21"/>
                    </w:rPr>
                    <w:t>仓库</w:t>
                  </w:r>
                </w:p>
              </w:tc>
              <w:tc>
                <w:tcPr>
                  <w:tcW w:w="5936" w:type="dxa"/>
                  <w:tcBorders>
                    <w:top w:val="single" w:color="auto" w:sz="4" w:space="0"/>
                  </w:tcBorders>
                  <w:shd w:val="clear" w:color="auto" w:fill="auto"/>
                  <w:vAlign w:val="center"/>
                </w:tcPr>
                <w:p w14:paraId="7FB4840C">
                  <w:pPr>
                    <w:jc w:val="center"/>
                    <w:rPr>
                      <w:bCs/>
                      <w:szCs w:val="21"/>
                    </w:rPr>
                  </w:pPr>
                  <w:r>
                    <w:rPr>
                      <w:rFonts w:hint="eastAsia"/>
                      <w:bCs/>
                      <w:szCs w:val="21"/>
                    </w:rPr>
                    <w:t>占地面积600m</w:t>
                  </w:r>
                  <w:r>
                    <w:rPr>
                      <w:rFonts w:hint="eastAsia"/>
                      <w:bCs/>
                      <w:szCs w:val="21"/>
                      <w:vertAlign w:val="superscript"/>
                    </w:rPr>
                    <w:t>2</w:t>
                  </w:r>
                  <w:r>
                    <w:rPr>
                      <w:rFonts w:hint="eastAsia"/>
                      <w:bCs/>
                      <w:szCs w:val="21"/>
                    </w:rPr>
                    <w:t>，用于储存烘干后的粮食，存储能力为3000吨</w:t>
                  </w:r>
                </w:p>
              </w:tc>
            </w:tr>
            <w:tr w14:paraId="0AB4C1F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77" w:type="dxa"/>
                  <w:vMerge w:val="restart"/>
                  <w:shd w:val="clear" w:color="auto" w:fill="auto"/>
                  <w:vAlign w:val="center"/>
                </w:tcPr>
                <w:p w14:paraId="266DC8DC">
                  <w:pPr>
                    <w:widowControl/>
                    <w:jc w:val="center"/>
                    <w:rPr>
                      <w:szCs w:val="21"/>
                    </w:rPr>
                  </w:pPr>
                  <w:r>
                    <w:rPr>
                      <w:szCs w:val="21"/>
                    </w:rPr>
                    <w:t>辅助</w:t>
                  </w:r>
                </w:p>
                <w:p w14:paraId="73A3E3EE">
                  <w:pPr>
                    <w:widowControl/>
                    <w:jc w:val="center"/>
                    <w:rPr>
                      <w:szCs w:val="21"/>
                    </w:rPr>
                  </w:pPr>
                  <w:r>
                    <w:rPr>
                      <w:szCs w:val="21"/>
                    </w:rPr>
                    <w:t>工程</w:t>
                  </w:r>
                </w:p>
              </w:tc>
              <w:tc>
                <w:tcPr>
                  <w:tcW w:w="1204" w:type="dxa"/>
                  <w:tcBorders>
                    <w:top w:val="single" w:color="auto" w:sz="4" w:space="0"/>
                  </w:tcBorders>
                  <w:shd w:val="clear" w:color="auto" w:fill="auto"/>
                  <w:vAlign w:val="center"/>
                </w:tcPr>
                <w:p w14:paraId="08AF3C84">
                  <w:pPr>
                    <w:widowControl/>
                    <w:jc w:val="center"/>
                    <w:rPr>
                      <w:szCs w:val="21"/>
                    </w:rPr>
                  </w:pPr>
                  <w:r>
                    <w:rPr>
                      <w:szCs w:val="21"/>
                    </w:rPr>
                    <w:t>办公室</w:t>
                  </w:r>
                </w:p>
              </w:tc>
              <w:tc>
                <w:tcPr>
                  <w:tcW w:w="5936" w:type="dxa"/>
                  <w:tcBorders>
                    <w:top w:val="single" w:color="auto" w:sz="4" w:space="0"/>
                  </w:tcBorders>
                  <w:shd w:val="clear" w:color="auto" w:fill="auto"/>
                  <w:vAlign w:val="center"/>
                </w:tcPr>
                <w:p w14:paraId="28A03D2D">
                  <w:pPr>
                    <w:jc w:val="center"/>
                    <w:rPr>
                      <w:bCs/>
                      <w:szCs w:val="21"/>
                    </w:rPr>
                  </w:pPr>
                  <w:r>
                    <w:rPr>
                      <w:rFonts w:hint="eastAsia"/>
                      <w:bCs/>
                      <w:szCs w:val="21"/>
                    </w:rPr>
                    <w:t>占地面积240m</w:t>
                  </w:r>
                  <w:r>
                    <w:rPr>
                      <w:rFonts w:hint="eastAsia"/>
                      <w:bCs/>
                      <w:szCs w:val="21"/>
                      <w:vertAlign w:val="superscript"/>
                    </w:rPr>
                    <w:t>2</w:t>
                  </w:r>
                  <w:r>
                    <w:rPr>
                      <w:rFonts w:hint="eastAsia"/>
                      <w:bCs/>
                      <w:szCs w:val="21"/>
                    </w:rPr>
                    <w:t>，用于厂内职工办公</w:t>
                  </w:r>
                </w:p>
              </w:tc>
            </w:tr>
            <w:tr w14:paraId="1F60634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77" w:type="dxa"/>
                  <w:vMerge w:val="continue"/>
                  <w:shd w:val="clear" w:color="auto" w:fill="auto"/>
                  <w:vAlign w:val="center"/>
                </w:tcPr>
                <w:p w14:paraId="3478A5F7">
                  <w:pPr>
                    <w:widowControl/>
                    <w:jc w:val="center"/>
                    <w:rPr>
                      <w:szCs w:val="21"/>
                    </w:rPr>
                  </w:pPr>
                </w:p>
              </w:tc>
              <w:tc>
                <w:tcPr>
                  <w:tcW w:w="1204" w:type="dxa"/>
                  <w:tcBorders>
                    <w:top w:val="single" w:color="auto" w:sz="4" w:space="0"/>
                  </w:tcBorders>
                  <w:shd w:val="clear" w:color="auto" w:fill="auto"/>
                  <w:vAlign w:val="center"/>
                </w:tcPr>
                <w:p w14:paraId="6D12F2E7">
                  <w:pPr>
                    <w:widowControl/>
                    <w:jc w:val="center"/>
                    <w:rPr>
                      <w:szCs w:val="21"/>
                    </w:rPr>
                  </w:pPr>
                  <w:r>
                    <w:rPr>
                      <w:rFonts w:hint="eastAsia"/>
                      <w:szCs w:val="21"/>
                    </w:rPr>
                    <w:t>库房</w:t>
                  </w:r>
                </w:p>
              </w:tc>
              <w:tc>
                <w:tcPr>
                  <w:tcW w:w="5936" w:type="dxa"/>
                  <w:tcBorders>
                    <w:top w:val="single" w:color="auto" w:sz="4" w:space="0"/>
                  </w:tcBorders>
                  <w:shd w:val="clear" w:color="auto" w:fill="auto"/>
                  <w:vAlign w:val="center"/>
                </w:tcPr>
                <w:p w14:paraId="0AEC3E60">
                  <w:pPr>
                    <w:jc w:val="center"/>
                    <w:rPr>
                      <w:bCs/>
                      <w:szCs w:val="21"/>
                    </w:rPr>
                  </w:pPr>
                  <w:r>
                    <w:rPr>
                      <w:rFonts w:hint="eastAsia"/>
                      <w:bCs/>
                      <w:szCs w:val="21"/>
                    </w:rPr>
                    <w:t>占地面积20m</w:t>
                  </w:r>
                  <w:r>
                    <w:rPr>
                      <w:rFonts w:hint="eastAsia"/>
                      <w:bCs/>
                      <w:szCs w:val="21"/>
                      <w:vertAlign w:val="superscript"/>
                    </w:rPr>
                    <w:t>2</w:t>
                  </w:r>
                  <w:r>
                    <w:rPr>
                      <w:rFonts w:hint="eastAsia"/>
                      <w:bCs/>
                      <w:szCs w:val="21"/>
                    </w:rPr>
                    <w:t>，用于存放工具</w:t>
                  </w:r>
                </w:p>
              </w:tc>
            </w:tr>
            <w:tr w14:paraId="091E470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77" w:type="dxa"/>
                  <w:vMerge w:val="continue"/>
                  <w:shd w:val="clear" w:color="auto" w:fill="auto"/>
                  <w:vAlign w:val="center"/>
                </w:tcPr>
                <w:p w14:paraId="05EF4CCF">
                  <w:pPr>
                    <w:widowControl/>
                    <w:jc w:val="center"/>
                    <w:rPr>
                      <w:szCs w:val="21"/>
                    </w:rPr>
                  </w:pPr>
                </w:p>
              </w:tc>
              <w:tc>
                <w:tcPr>
                  <w:tcW w:w="1204" w:type="dxa"/>
                  <w:tcBorders>
                    <w:top w:val="single" w:color="auto" w:sz="4" w:space="0"/>
                  </w:tcBorders>
                  <w:shd w:val="clear" w:color="auto" w:fill="auto"/>
                  <w:vAlign w:val="center"/>
                </w:tcPr>
                <w:p w14:paraId="7C75EDD4">
                  <w:pPr>
                    <w:widowControl/>
                    <w:jc w:val="center"/>
                    <w:rPr>
                      <w:szCs w:val="21"/>
                    </w:rPr>
                  </w:pPr>
                  <w:r>
                    <w:rPr>
                      <w:rFonts w:hint="eastAsia"/>
                      <w:szCs w:val="21"/>
                    </w:rPr>
                    <w:t>地称、称房</w:t>
                  </w:r>
                  <w:r>
                    <w:rPr>
                      <w:rFonts w:hint="eastAsia"/>
                      <w:szCs w:val="21"/>
                      <w:lang w:eastAsia="zh-CN"/>
                    </w:rPr>
                    <w:t>、</w:t>
                  </w:r>
                  <w:r>
                    <w:rPr>
                      <w:rFonts w:hint="eastAsia"/>
                      <w:szCs w:val="21"/>
                      <w:lang w:val="en-US" w:eastAsia="zh-CN"/>
                    </w:rPr>
                    <w:t>门卫</w:t>
                  </w:r>
                </w:p>
              </w:tc>
              <w:tc>
                <w:tcPr>
                  <w:tcW w:w="5936" w:type="dxa"/>
                  <w:tcBorders>
                    <w:top w:val="single" w:color="auto" w:sz="4" w:space="0"/>
                  </w:tcBorders>
                  <w:shd w:val="clear" w:color="auto" w:fill="auto"/>
                  <w:vAlign w:val="center"/>
                </w:tcPr>
                <w:p w14:paraId="4DB05938">
                  <w:pPr>
                    <w:jc w:val="center"/>
                    <w:rPr>
                      <w:bCs/>
                      <w:szCs w:val="21"/>
                    </w:rPr>
                  </w:pPr>
                  <w:r>
                    <w:rPr>
                      <w:rFonts w:hint="eastAsia"/>
                      <w:bCs/>
                      <w:szCs w:val="21"/>
                      <w:lang w:val="en-US" w:eastAsia="zh-CN"/>
                    </w:rPr>
                    <w:t>占地面积20</w:t>
                  </w:r>
                  <w:r>
                    <w:rPr>
                      <w:rFonts w:hint="eastAsia"/>
                      <w:bCs/>
                      <w:szCs w:val="21"/>
                    </w:rPr>
                    <w:t>m</w:t>
                  </w:r>
                  <w:r>
                    <w:rPr>
                      <w:rFonts w:hint="eastAsia"/>
                      <w:bCs/>
                      <w:szCs w:val="21"/>
                      <w:vertAlign w:val="superscript"/>
                    </w:rPr>
                    <w:t>2</w:t>
                  </w:r>
                  <w:r>
                    <w:rPr>
                      <w:rFonts w:hint="eastAsia"/>
                      <w:bCs/>
                      <w:szCs w:val="21"/>
                    </w:rPr>
                    <w:t>，用于进场粮食称重</w:t>
                  </w:r>
                  <w:r>
                    <w:rPr>
                      <w:rFonts w:hint="eastAsia"/>
                      <w:bCs/>
                      <w:szCs w:val="21"/>
                      <w:lang w:eastAsia="zh-CN"/>
                    </w:rPr>
                    <w:t>，</w:t>
                  </w:r>
                  <w:r>
                    <w:rPr>
                      <w:rFonts w:hint="eastAsia"/>
                      <w:bCs/>
                      <w:szCs w:val="21"/>
                    </w:rPr>
                    <w:t>用于管理进出厂区人员及车辆管理</w:t>
                  </w:r>
                </w:p>
              </w:tc>
            </w:tr>
            <w:tr w14:paraId="17CEE92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77" w:type="dxa"/>
                  <w:vMerge w:val="restart"/>
                  <w:vAlign w:val="center"/>
                </w:tcPr>
                <w:p w14:paraId="59520ECB">
                  <w:pPr>
                    <w:jc w:val="center"/>
                    <w:rPr>
                      <w:szCs w:val="21"/>
                    </w:rPr>
                  </w:pPr>
                  <w:r>
                    <w:rPr>
                      <w:szCs w:val="21"/>
                    </w:rPr>
                    <w:t>公用工程</w:t>
                  </w:r>
                </w:p>
              </w:tc>
              <w:tc>
                <w:tcPr>
                  <w:tcW w:w="1204" w:type="dxa"/>
                  <w:shd w:val="clear" w:color="auto" w:fill="auto"/>
                  <w:vAlign w:val="center"/>
                </w:tcPr>
                <w:p w14:paraId="25A26E0C">
                  <w:pPr>
                    <w:widowControl/>
                    <w:jc w:val="center"/>
                    <w:rPr>
                      <w:szCs w:val="21"/>
                    </w:rPr>
                  </w:pPr>
                  <w:r>
                    <w:rPr>
                      <w:szCs w:val="21"/>
                    </w:rPr>
                    <w:t>供水</w:t>
                  </w:r>
                </w:p>
              </w:tc>
              <w:tc>
                <w:tcPr>
                  <w:tcW w:w="5936" w:type="dxa"/>
                  <w:shd w:val="clear" w:color="auto" w:fill="auto"/>
                  <w:vAlign w:val="center"/>
                </w:tcPr>
                <w:p w14:paraId="61AEECD7">
                  <w:pPr>
                    <w:tabs>
                      <w:tab w:val="left" w:pos="3439"/>
                    </w:tabs>
                    <w:jc w:val="center"/>
                    <w:rPr>
                      <w:szCs w:val="21"/>
                    </w:rPr>
                  </w:pPr>
                  <w:r>
                    <w:rPr>
                      <w:rFonts w:hint="eastAsia"/>
                      <w:szCs w:val="21"/>
                    </w:rPr>
                    <w:t>由市政管网提供</w:t>
                  </w:r>
                </w:p>
              </w:tc>
            </w:tr>
            <w:tr w14:paraId="34D3119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77" w:type="dxa"/>
                  <w:vMerge w:val="continue"/>
                  <w:shd w:val="clear" w:color="auto" w:fill="auto"/>
                  <w:vAlign w:val="center"/>
                </w:tcPr>
                <w:p w14:paraId="327C334F">
                  <w:pPr>
                    <w:jc w:val="center"/>
                    <w:rPr>
                      <w:szCs w:val="21"/>
                    </w:rPr>
                  </w:pPr>
                </w:p>
              </w:tc>
              <w:tc>
                <w:tcPr>
                  <w:tcW w:w="1204" w:type="dxa"/>
                  <w:shd w:val="clear" w:color="auto" w:fill="auto"/>
                  <w:vAlign w:val="center"/>
                </w:tcPr>
                <w:p w14:paraId="049A8748">
                  <w:pPr>
                    <w:widowControl/>
                    <w:jc w:val="center"/>
                    <w:rPr>
                      <w:szCs w:val="21"/>
                    </w:rPr>
                  </w:pPr>
                  <w:r>
                    <w:rPr>
                      <w:szCs w:val="21"/>
                    </w:rPr>
                    <w:t>排水</w:t>
                  </w:r>
                </w:p>
              </w:tc>
              <w:tc>
                <w:tcPr>
                  <w:tcW w:w="5936" w:type="dxa"/>
                  <w:shd w:val="clear" w:color="auto" w:fill="auto"/>
                  <w:vAlign w:val="center"/>
                </w:tcPr>
                <w:p w14:paraId="2D5E07AD">
                  <w:pPr>
                    <w:jc w:val="center"/>
                    <w:rPr>
                      <w:szCs w:val="21"/>
                    </w:rPr>
                  </w:pPr>
                  <w:r>
                    <w:rPr>
                      <w:rFonts w:hint="eastAsia"/>
                      <w:szCs w:val="21"/>
                    </w:rPr>
                    <w:t>项目生产不产生废水，不新增员工，不增加生活污水排放量</w:t>
                  </w:r>
                </w:p>
              </w:tc>
            </w:tr>
            <w:tr w14:paraId="78A1E11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77" w:type="dxa"/>
                  <w:vMerge w:val="continue"/>
                  <w:shd w:val="clear" w:color="auto" w:fill="auto"/>
                  <w:vAlign w:val="center"/>
                </w:tcPr>
                <w:p w14:paraId="192B46E3">
                  <w:pPr>
                    <w:jc w:val="center"/>
                    <w:rPr>
                      <w:szCs w:val="21"/>
                    </w:rPr>
                  </w:pPr>
                </w:p>
              </w:tc>
              <w:tc>
                <w:tcPr>
                  <w:tcW w:w="1204" w:type="dxa"/>
                  <w:shd w:val="clear" w:color="auto" w:fill="auto"/>
                  <w:vAlign w:val="center"/>
                </w:tcPr>
                <w:p w14:paraId="21BBC342">
                  <w:pPr>
                    <w:widowControl/>
                    <w:jc w:val="center"/>
                    <w:rPr>
                      <w:szCs w:val="21"/>
                    </w:rPr>
                  </w:pPr>
                  <w:r>
                    <w:rPr>
                      <w:szCs w:val="21"/>
                    </w:rPr>
                    <w:t>供热</w:t>
                  </w:r>
                </w:p>
              </w:tc>
              <w:tc>
                <w:tcPr>
                  <w:tcW w:w="5936" w:type="dxa"/>
                  <w:shd w:val="clear" w:color="auto" w:fill="auto"/>
                  <w:vAlign w:val="center"/>
                </w:tcPr>
                <w:p w14:paraId="640F3714">
                  <w:pPr>
                    <w:jc w:val="center"/>
                  </w:pPr>
                  <w:r>
                    <w:rPr>
                      <w:rFonts w:hint="eastAsia"/>
                    </w:rPr>
                    <w:t>项目冬季供热采用电取暖</w:t>
                  </w:r>
                </w:p>
              </w:tc>
            </w:tr>
            <w:tr w14:paraId="3925DBF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777" w:type="dxa"/>
                  <w:vMerge w:val="continue"/>
                  <w:shd w:val="clear" w:color="auto" w:fill="auto"/>
                  <w:vAlign w:val="center"/>
                </w:tcPr>
                <w:p w14:paraId="008156BD">
                  <w:pPr>
                    <w:jc w:val="center"/>
                    <w:rPr>
                      <w:szCs w:val="21"/>
                    </w:rPr>
                  </w:pPr>
                </w:p>
              </w:tc>
              <w:tc>
                <w:tcPr>
                  <w:tcW w:w="1204" w:type="dxa"/>
                  <w:shd w:val="clear" w:color="auto" w:fill="auto"/>
                  <w:vAlign w:val="center"/>
                </w:tcPr>
                <w:p w14:paraId="53297238">
                  <w:pPr>
                    <w:widowControl/>
                    <w:jc w:val="center"/>
                    <w:rPr>
                      <w:szCs w:val="21"/>
                    </w:rPr>
                  </w:pPr>
                  <w:r>
                    <w:rPr>
                      <w:szCs w:val="21"/>
                    </w:rPr>
                    <w:t>供电</w:t>
                  </w:r>
                </w:p>
              </w:tc>
              <w:tc>
                <w:tcPr>
                  <w:tcW w:w="5936" w:type="dxa"/>
                  <w:shd w:val="clear" w:color="auto" w:fill="auto"/>
                  <w:vAlign w:val="center"/>
                </w:tcPr>
                <w:p w14:paraId="42D59E1B">
                  <w:pPr>
                    <w:jc w:val="center"/>
                    <w:rPr>
                      <w:szCs w:val="21"/>
                    </w:rPr>
                  </w:pPr>
                  <w:r>
                    <w:rPr>
                      <w:rFonts w:hint="eastAsia"/>
                      <w:szCs w:val="21"/>
                    </w:rPr>
                    <w:t>由市政电网提供</w:t>
                  </w:r>
                </w:p>
              </w:tc>
            </w:tr>
            <w:tr w14:paraId="68CD28D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58" w:hRule="atLeast"/>
                <w:jc w:val="center"/>
              </w:trPr>
              <w:tc>
                <w:tcPr>
                  <w:tcW w:w="777" w:type="dxa"/>
                  <w:vMerge w:val="restart"/>
                  <w:vAlign w:val="center"/>
                </w:tcPr>
                <w:p w14:paraId="11E9B45C">
                  <w:pPr>
                    <w:jc w:val="center"/>
                    <w:rPr>
                      <w:szCs w:val="21"/>
                    </w:rPr>
                  </w:pPr>
                  <w:r>
                    <w:rPr>
                      <w:szCs w:val="21"/>
                    </w:rPr>
                    <w:t>环保工程</w:t>
                  </w:r>
                </w:p>
              </w:tc>
              <w:tc>
                <w:tcPr>
                  <w:tcW w:w="1204" w:type="dxa"/>
                  <w:vAlign w:val="center"/>
                </w:tcPr>
                <w:p w14:paraId="1D131A19">
                  <w:pPr>
                    <w:jc w:val="center"/>
                    <w:rPr>
                      <w:szCs w:val="21"/>
                    </w:rPr>
                  </w:pPr>
                  <w:r>
                    <w:rPr>
                      <w:szCs w:val="21"/>
                    </w:rPr>
                    <w:t>废气防治措施</w:t>
                  </w:r>
                </w:p>
              </w:tc>
              <w:tc>
                <w:tcPr>
                  <w:tcW w:w="5936" w:type="dxa"/>
                  <w:vAlign w:val="center"/>
                </w:tcPr>
                <w:p w14:paraId="34EDEBE2">
                  <w:pPr>
                    <w:widowControl/>
                    <w:jc w:val="left"/>
                  </w:pPr>
                  <w:r>
                    <w:rPr>
                      <w:rFonts w:hint="eastAsia"/>
                      <w:color w:val="C00000"/>
                      <w:lang w:val="en-US" w:eastAsia="zh-CN"/>
                    </w:rPr>
                    <w:t>筛分采用密闭设施；</w:t>
                  </w:r>
                  <w:r>
                    <w:rPr>
                      <w:rFonts w:hint="eastAsia"/>
                      <w:color w:val="C00000"/>
                    </w:rPr>
                    <w:t>热风炉配</w:t>
                  </w:r>
                  <w:r>
                    <w:rPr>
                      <w:rFonts w:hint="eastAsia"/>
                      <w:color w:val="C00000"/>
                      <w:lang w:eastAsia="zh-CN"/>
                    </w:rPr>
                    <w:t>布袋除尘器</w:t>
                  </w:r>
                  <w:r>
                    <w:rPr>
                      <w:rFonts w:hint="eastAsia"/>
                      <w:color w:val="C00000"/>
                    </w:rPr>
                    <w:t>，处理后的烟气经</w:t>
                  </w:r>
                  <w:r>
                    <w:rPr>
                      <w:rFonts w:hint="eastAsia"/>
                      <w:color w:val="C00000"/>
                      <w:lang w:eastAsia="zh-CN"/>
                    </w:rPr>
                    <w:t>20m</w:t>
                  </w:r>
                  <w:r>
                    <w:rPr>
                      <w:rFonts w:hint="eastAsia"/>
                      <w:color w:val="C00000"/>
                    </w:rPr>
                    <w:t>高烟囱排入大气，</w:t>
                  </w:r>
                  <w:r>
                    <w:rPr>
                      <w:rFonts w:hint="eastAsia"/>
                      <w:color w:val="C00000"/>
                      <w:szCs w:val="21"/>
                      <w:lang w:val="en-US" w:eastAsia="zh-CN"/>
                    </w:rPr>
                    <w:t>烘干塔塔体外设置铁皮塔衣，塔顶设置抑尘网，可有效抑制无组织粉尘排放</w:t>
                  </w:r>
                  <w:r>
                    <w:rPr>
                      <w:color w:val="C00000"/>
                      <w:szCs w:val="21"/>
                    </w:rPr>
                    <w:t>。</w:t>
                  </w:r>
                </w:p>
              </w:tc>
            </w:tr>
            <w:tr w14:paraId="71E9BEF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98" w:hRule="atLeast"/>
                <w:jc w:val="center"/>
              </w:trPr>
              <w:tc>
                <w:tcPr>
                  <w:tcW w:w="777" w:type="dxa"/>
                  <w:vMerge w:val="continue"/>
                  <w:vAlign w:val="center"/>
                </w:tcPr>
                <w:p w14:paraId="3A794432">
                  <w:pPr>
                    <w:jc w:val="center"/>
                    <w:rPr>
                      <w:szCs w:val="21"/>
                    </w:rPr>
                  </w:pPr>
                </w:p>
              </w:tc>
              <w:tc>
                <w:tcPr>
                  <w:tcW w:w="1204" w:type="dxa"/>
                  <w:vAlign w:val="center"/>
                </w:tcPr>
                <w:p w14:paraId="0719F44F">
                  <w:pPr>
                    <w:jc w:val="center"/>
                    <w:rPr>
                      <w:szCs w:val="21"/>
                    </w:rPr>
                  </w:pPr>
                  <w:r>
                    <w:rPr>
                      <w:szCs w:val="21"/>
                    </w:rPr>
                    <w:t>噪声防治措施</w:t>
                  </w:r>
                </w:p>
              </w:tc>
              <w:tc>
                <w:tcPr>
                  <w:tcW w:w="5936" w:type="dxa"/>
                  <w:vAlign w:val="center"/>
                </w:tcPr>
                <w:p w14:paraId="7C428F1A">
                  <w:pPr>
                    <w:rPr>
                      <w:szCs w:val="21"/>
                    </w:rPr>
                  </w:pPr>
                  <w:r>
                    <w:rPr>
                      <w:rFonts w:hint="eastAsia"/>
                      <w:szCs w:val="21"/>
                    </w:rPr>
                    <w:t>采用低噪声设备，高噪声设备采取了底座安装减振垫等减振措施，对来往运输车辆限速、控制鸣笛。</w:t>
                  </w:r>
                </w:p>
              </w:tc>
            </w:tr>
            <w:tr w14:paraId="7A41F1B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07" w:hRule="atLeast"/>
                <w:jc w:val="center"/>
              </w:trPr>
              <w:tc>
                <w:tcPr>
                  <w:tcW w:w="777" w:type="dxa"/>
                  <w:vMerge w:val="continue"/>
                  <w:vAlign w:val="center"/>
                </w:tcPr>
                <w:p w14:paraId="3EE07AB1">
                  <w:pPr>
                    <w:jc w:val="center"/>
                    <w:rPr>
                      <w:szCs w:val="21"/>
                    </w:rPr>
                  </w:pPr>
                </w:p>
              </w:tc>
              <w:tc>
                <w:tcPr>
                  <w:tcW w:w="1204" w:type="dxa"/>
                  <w:vAlign w:val="center"/>
                </w:tcPr>
                <w:p w14:paraId="347AAD7B">
                  <w:pPr>
                    <w:jc w:val="center"/>
                    <w:rPr>
                      <w:szCs w:val="21"/>
                    </w:rPr>
                  </w:pPr>
                  <w:r>
                    <w:rPr>
                      <w:szCs w:val="21"/>
                    </w:rPr>
                    <w:t>废水防治措施</w:t>
                  </w:r>
                </w:p>
              </w:tc>
              <w:tc>
                <w:tcPr>
                  <w:tcW w:w="5936" w:type="dxa"/>
                  <w:vAlign w:val="center"/>
                </w:tcPr>
                <w:p w14:paraId="1518F1F8">
                  <w:pPr>
                    <w:rPr>
                      <w:szCs w:val="21"/>
                    </w:rPr>
                  </w:pPr>
                  <w:r>
                    <w:rPr>
                      <w:rFonts w:hint="eastAsia"/>
                      <w:szCs w:val="21"/>
                    </w:rPr>
                    <w:t>生活污水排入防渗旱厕，由市政部门统一定期凊掏堆肥</w:t>
                  </w:r>
                </w:p>
              </w:tc>
            </w:tr>
            <w:tr w14:paraId="5BFA3C8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718" w:hRule="atLeast"/>
                <w:jc w:val="center"/>
              </w:trPr>
              <w:tc>
                <w:tcPr>
                  <w:tcW w:w="777" w:type="dxa"/>
                  <w:vMerge w:val="continue"/>
                  <w:vAlign w:val="center"/>
                </w:tcPr>
                <w:p w14:paraId="6A37B732">
                  <w:pPr>
                    <w:jc w:val="center"/>
                    <w:rPr>
                      <w:szCs w:val="21"/>
                    </w:rPr>
                  </w:pPr>
                </w:p>
              </w:tc>
              <w:tc>
                <w:tcPr>
                  <w:tcW w:w="1204" w:type="dxa"/>
                  <w:vAlign w:val="center"/>
                </w:tcPr>
                <w:p w14:paraId="628BE462">
                  <w:pPr>
                    <w:jc w:val="center"/>
                    <w:rPr>
                      <w:szCs w:val="21"/>
                    </w:rPr>
                  </w:pPr>
                  <w:r>
                    <w:rPr>
                      <w:szCs w:val="21"/>
                    </w:rPr>
                    <w:t>固体废物防治措施</w:t>
                  </w:r>
                </w:p>
              </w:tc>
              <w:tc>
                <w:tcPr>
                  <w:tcW w:w="5936" w:type="dxa"/>
                  <w:vAlign w:val="center"/>
                </w:tcPr>
                <w:p w14:paraId="3E09B3F2">
                  <w:pPr>
                    <w:rPr>
                      <w:szCs w:val="21"/>
                    </w:rPr>
                  </w:pPr>
                  <w:r>
                    <w:rPr>
                      <w:rFonts w:hint="eastAsia"/>
                      <w:szCs w:val="21"/>
                    </w:rPr>
                    <w:t>生活垃圾和生产过程中产生的杂质集中收集，由市政部门统一清运，碎粮食集中收集，外售、综合利用。</w:t>
                  </w:r>
                </w:p>
              </w:tc>
            </w:tr>
          </w:tbl>
          <w:p w14:paraId="7D811792">
            <w:pPr>
              <w:widowControl/>
              <w:spacing w:line="360" w:lineRule="auto"/>
              <w:ind w:firstLine="482" w:firstLineChars="200"/>
              <w:jc w:val="left"/>
            </w:pPr>
            <w:r>
              <w:rPr>
                <w:b/>
                <w:bCs/>
                <w:kern w:val="0"/>
                <w:sz w:val="24"/>
                <w:lang w:bidi="ar"/>
              </w:rPr>
              <w:t>三、现有工程主要原材料</w:t>
            </w:r>
          </w:p>
          <w:p w14:paraId="1B73E339">
            <w:pPr>
              <w:ind w:left="2823"/>
              <w:rPr>
                <w:b/>
                <w:bCs/>
                <w:szCs w:val="21"/>
              </w:rPr>
            </w:pPr>
            <w:r>
              <w:rPr>
                <w:b/>
                <w:bCs/>
                <w:szCs w:val="21"/>
              </w:rPr>
              <w:t>表2-</w:t>
            </w:r>
            <w:r>
              <w:rPr>
                <w:rFonts w:hint="eastAsia"/>
                <w:b/>
                <w:bCs/>
                <w:szCs w:val="21"/>
                <w:lang w:val="en-US" w:eastAsia="zh-CN"/>
              </w:rPr>
              <w:t>10</w:t>
            </w:r>
            <w:r>
              <w:rPr>
                <w:b/>
                <w:bCs/>
                <w:szCs w:val="21"/>
              </w:rPr>
              <w:t>原辅材料一览表</w:t>
            </w:r>
          </w:p>
          <w:tbl>
            <w:tblPr>
              <w:tblStyle w:val="32"/>
              <w:tblW w:w="7929"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68"/>
              <w:gridCol w:w="2205"/>
              <w:gridCol w:w="1626"/>
              <w:gridCol w:w="3130"/>
            </w:tblGrid>
            <w:tr w14:paraId="0BE972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968" w:type="dxa"/>
                  <w:vAlign w:val="center"/>
                </w:tcPr>
                <w:p w14:paraId="44B88074">
                  <w:pPr>
                    <w:pStyle w:val="59"/>
                    <w:spacing w:line="240" w:lineRule="auto"/>
                    <w:ind w:firstLine="0" w:firstLineChars="0"/>
                    <w:jc w:val="center"/>
                    <w:rPr>
                      <w:sz w:val="21"/>
                      <w:szCs w:val="21"/>
                    </w:rPr>
                  </w:pPr>
                  <w:r>
                    <w:rPr>
                      <w:sz w:val="21"/>
                      <w:szCs w:val="21"/>
                    </w:rPr>
                    <w:t>序号</w:t>
                  </w:r>
                </w:p>
              </w:tc>
              <w:tc>
                <w:tcPr>
                  <w:tcW w:w="2205" w:type="dxa"/>
                  <w:vAlign w:val="center"/>
                </w:tcPr>
                <w:p w14:paraId="2A408BC7">
                  <w:pPr>
                    <w:pStyle w:val="59"/>
                    <w:spacing w:line="240" w:lineRule="auto"/>
                    <w:ind w:firstLine="0" w:firstLineChars="0"/>
                    <w:jc w:val="center"/>
                    <w:rPr>
                      <w:sz w:val="21"/>
                      <w:szCs w:val="21"/>
                    </w:rPr>
                  </w:pPr>
                  <w:r>
                    <w:rPr>
                      <w:sz w:val="21"/>
                      <w:szCs w:val="21"/>
                    </w:rPr>
                    <w:t>名称</w:t>
                  </w:r>
                </w:p>
              </w:tc>
              <w:tc>
                <w:tcPr>
                  <w:tcW w:w="1626" w:type="dxa"/>
                  <w:vAlign w:val="center"/>
                </w:tcPr>
                <w:p w14:paraId="24A31273">
                  <w:pPr>
                    <w:pStyle w:val="59"/>
                    <w:spacing w:line="240" w:lineRule="auto"/>
                    <w:ind w:firstLine="0" w:firstLineChars="0"/>
                    <w:jc w:val="center"/>
                    <w:rPr>
                      <w:sz w:val="21"/>
                      <w:szCs w:val="21"/>
                    </w:rPr>
                  </w:pPr>
                  <w:r>
                    <w:rPr>
                      <w:sz w:val="21"/>
                      <w:szCs w:val="21"/>
                    </w:rPr>
                    <w:t>用量</w:t>
                  </w:r>
                  <w:r>
                    <w:rPr>
                      <w:rFonts w:hint="eastAsia"/>
                      <w:sz w:val="21"/>
                      <w:szCs w:val="21"/>
                    </w:rPr>
                    <w:t>（t/a</w:t>
                  </w:r>
                  <w:r>
                    <w:rPr>
                      <w:rFonts w:hint="eastAsia"/>
                      <w:sz w:val="21"/>
                      <w:szCs w:val="21"/>
                      <w:lang w:eastAsia="zh-CN"/>
                    </w:rPr>
                    <w:t>）</w:t>
                  </w:r>
                </w:p>
              </w:tc>
              <w:tc>
                <w:tcPr>
                  <w:tcW w:w="3130" w:type="dxa"/>
                  <w:vAlign w:val="center"/>
                </w:tcPr>
                <w:p w14:paraId="2F60902F">
                  <w:pPr>
                    <w:pStyle w:val="59"/>
                    <w:spacing w:line="240" w:lineRule="auto"/>
                    <w:ind w:firstLine="0" w:firstLineChars="0"/>
                    <w:jc w:val="center"/>
                    <w:rPr>
                      <w:sz w:val="21"/>
                      <w:szCs w:val="21"/>
                    </w:rPr>
                  </w:pPr>
                  <w:r>
                    <w:rPr>
                      <w:sz w:val="21"/>
                      <w:szCs w:val="21"/>
                    </w:rPr>
                    <w:t>备注</w:t>
                  </w:r>
                </w:p>
              </w:tc>
            </w:tr>
            <w:tr w14:paraId="6A8434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968" w:type="dxa"/>
                  <w:vAlign w:val="center"/>
                </w:tcPr>
                <w:p w14:paraId="3773BCD0">
                  <w:pPr>
                    <w:pStyle w:val="59"/>
                    <w:spacing w:line="240" w:lineRule="auto"/>
                    <w:ind w:firstLine="0" w:firstLineChars="0"/>
                    <w:jc w:val="center"/>
                    <w:rPr>
                      <w:sz w:val="21"/>
                      <w:szCs w:val="21"/>
                    </w:rPr>
                  </w:pPr>
                  <w:r>
                    <w:rPr>
                      <w:sz w:val="21"/>
                      <w:szCs w:val="21"/>
                    </w:rPr>
                    <w:t>1</w:t>
                  </w:r>
                </w:p>
              </w:tc>
              <w:tc>
                <w:tcPr>
                  <w:tcW w:w="2205" w:type="dxa"/>
                  <w:vAlign w:val="center"/>
                </w:tcPr>
                <w:p w14:paraId="4B2FB9C1">
                  <w:pPr>
                    <w:jc w:val="center"/>
                    <w:rPr>
                      <w:szCs w:val="21"/>
                    </w:rPr>
                  </w:pPr>
                  <w:r>
                    <w:rPr>
                      <w:rFonts w:hint="eastAsia"/>
                      <w:szCs w:val="21"/>
                    </w:rPr>
                    <w:t>原粮玉米</w:t>
                  </w:r>
                </w:p>
              </w:tc>
              <w:tc>
                <w:tcPr>
                  <w:tcW w:w="1626" w:type="dxa"/>
                  <w:vAlign w:val="center"/>
                </w:tcPr>
                <w:p w14:paraId="083CBFED">
                  <w:pPr>
                    <w:jc w:val="center"/>
                    <w:rPr>
                      <w:szCs w:val="21"/>
                    </w:rPr>
                  </w:pPr>
                  <w:r>
                    <w:rPr>
                      <w:rFonts w:hint="eastAsia"/>
                      <w:kern w:val="0"/>
                      <w:szCs w:val="21"/>
                    </w:rPr>
                    <w:t>15000</w:t>
                  </w:r>
                </w:p>
              </w:tc>
              <w:tc>
                <w:tcPr>
                  <w:tcW w:w="3130" w:type="dxa"/>
                  <w:vAlign w:val="center"/>
                </w:tcPr>
                <w:p w14:paraId="31187340">
                  <w:pPr>
                    <w:jc w:val="center"/>
                    <w:rPr>
                      <w:szCs w:val="21"/>
                    </w:rPr>
                  </w:pPr>
                  <w:r>
                    <w:rPr>
                      <w:szCs w:val="21"/>
                    </w:rPr>
                    <w:t>外购</w:t>
                  </w:r>
                </w:p>
              </w:tc>
            </w:tr>
            <w:tr w14:paraId="133133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968" w:type="dxa"/>
                  <w:vAlign w:val="center"/>
                </w:tcPr>
                <w:p w14:paraId="6C67CFBB">
                  <w:pPr>
                    <w:pStyle w:val="59"/>
                    <w:spacing w:line="240" w:lineRule="auto"/>
                    <w:ind w:firstLine="0" w:firstLineChars="0"/>
                    <w:jc w:val="center"/>
                    <w:rPr>
                      <w:sz w:val="21"/>
                      <w:szCs w:val="21"/>
                    </w:rPr>
                  </w:pPr>
                  <w:r>
                    <w:rPr>
                      <w:rFonts w:hint="eastAsia"/>
                      <w:sz w:val="21"/>
                      <w:szCs w:val="21"/>
                    </w:rPr>
                    <w:t>3</w:t>
                  </w:r>
                </w:p>
              </w:tc>
              <w:tc>
                <w:tcPr>
                  <w:tcW w:w="2205" w:type="dxa"/>
                  <w:vAlign w:val="center"/>
                </w:tcPr>
                <w:p w14:paraId="795447CD">
                  <w:pPr>
                    <w:jc w:val="center"/>
                    <w:rPr>
                      <w:szCs w:val="21"/>
                    </w:rPr>
                  </w:pPr>
                  <w:r>
                    <w:rPr>
                      <w:rFonts w:hint="eastAsia"/>
                      <w:szCs w:val="21"/>
                    </w:rPr>
                    <w:t>燃煤</w:t>
                  </w:r>
                </w:p>
              </w:tc>
              <w:tc>
                <w:tcPr>
                  <w:tcW w:w="1626" w:type="dxa"/>
                  <w:vAlign w:val="center"/>
                </w:tcPr>
                <w:p w14:paraId="0EC52D44">
                  <w:pPr>
                    <w:jc w:val="center"/>
                    <w:rPr>
                      <w:szCs w:val="21"/>
                    </w:rPr>
                  </w:pPr>
                  <w:r>
                    <w:rPr>
                      <w:rFonts w:hint="eastAsia"/>
                      <w:szCs w:val="21"/>
                    </w:rPr>
                    <w:t>800t/a</w:t>
                  </w:r>
                </w:p>
              </w:tc>
              <w:tc>
                <w:tcPr>
                  <w:tcW w:w="3130" w:type="dxa"/>
                  <w:vAlign w:val="center"/>
                </w:tcPr>
                <w:p w14:paraId="5744F537">
                  <w:pPr>
                    <w:jc w:val="center"/>
                    <w:rPr>
                      <w:szCs w:val="21"/>
                    </w:rPr>
                  </w:pPr>
                  <w:r>
                    <w:rPr>
                      <w:rFonts w:hint="eastAsia"/>
                      <w:szCs w:val="21"/>
                    </w:rPr>
                    <w:t>外购</w:t>
                  </w:r>
                </w:p>
              </w:tc>
            </w:tr>
          </w:tbl>
          <w:p w14:paraId="32994483">
            <w:pPr>
              <w:widowControl/>
              <w:spacing w:line="360" w:lineRule="auto"/>
              <w:ind w:firstLine="482" w:firstLineChars="200"/>
              <w:jc w:val="left"/>
              <w:rPr>
                <w:b/>
                <w:bCs/>
                <w:kern w:val="0"/>
                <w:sz w:val="24"/>
                <w:lang w:bidi="ar"/>
              </w:rPr>
            </w:pPr>
            <w:r>
              <w:rPr>
                <w:rFonts w:hint="eastAsia"/>
                <w:b/>
                <w:bCs/>
                <w:kern w:val="0"/>
                <w:sz w:val="24"/>
                <w:lang w:bidi="ar"/>
              </w:rPr>
              <w:t>四、</w:t>
            </w:r>
            <w:r>
              <w:rPr>
                <w:b/>
                <w:bCs/>
                <w:kern w:val="0"/>
                <w:sz w:val="24"/>
                <w:lang w:bidi="ar"/>
              </w:rPr>
              <w:t>现有工程工艺流程</w:t>
            </w:r>
          </w:p>
          <w:p w14:paraId="1927BFC5">
            <w:pPr>
              <w:widowControl/>
              <w:spacing w:line="360" w:lineRule="auto"/>
              <w:ind w:firstLine="480" w:firstLineChars="200"/>
              <w:jc w:val="left"/>
              <w:rPr>
                <w:sz w:val="24"/>
              </w:rPr>
            </w:pPr>
            <w:r>
              <w:rPr>
                <w:sz w:val="24"/>
              </w:rPr>
              <w:t>现有工程工艺流程图详见下图。</w:t>
            </w:r>
          </w:p>
          <w:p w14:paraId="1D69A7DE">
            <w:pPr>
              <w:spacing w:line="360" w:lineRule="auto"/>
              <w:jc w:val="center"/>
              <w:rPr>
                <w:b/>
                <w:bCs/>
                <w:szCs w:val="21"/>
              </w:rPr>
            </w:pPr>
            <w:r>
              <mc:AlternateContent>
                <mc:Choice Requires="wpg">
                  <w:drawing>
                    <wp:anchor distT="0" distB="0" distL="114300" distR="114300" simplePos="0" relativeHeight="251666432" behindDoc="0" locked="0" layoutInCell="1" allowOverlap="1">
                      <wp:simplePos x="0" y="0"/>
                      <wp:positionH relativeFrom="column">
                        <wp:posOffset>349885</wp:posOffset>
                      </wp:positionH>
                      <wp:positionV relativeFrom="paragraph">
                        <wp:posOffset>34925</wp:posOffset>
                      </wp:positionV>
                      <wp:extent cx="4246245" cy="2188845"/>
                      <wp:effectExtent l="0" t="5080" r="0" b="15875"/>
                      <wp:wrapNone/>
                      <wp:docPr id="82" name="组合 82"/>
                      <wp:cNvGraphicFramePr/>
                      <a:graphic xmlns:a="http://schemas.openxmlformats.org/drawingml/2006/main">
                        <a:graphicData uri="http://schemas.microsoft.com/office/word/2010/wordprocessingGroup">
                          <wpg:wgp>
                            <wpg:cNvGrpSpPr/>
                            <wpg:grpSpPr>
                              <a:xfrm>
                                <a:off x="0" y="0"/>
                                <a:ext cx="4246245" cy="2188845"/>
                                <a:chOff x="3245" y="347258"/>
                                <a:chExt cx="6687" cy="3447"/>
                              </a:xfrm>
                            </wpg:grpSpPr>
                            <wps:wsp>
                              <wps:cNvPr id="20" name="文本框 20"/>
                              <wps:cNvSpPr txBox="1"/>
                              <wps:spPr>
                                <a:xfrm>
                                  <a:off x="6094" y="347258"/>
                                  <a:ext cx="931" cy="51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7B5D614">
                                    <w:pPr>
                                      <w:jc w:val="center"/>
                                    </w:pPr>
                                    <w:r>
                                      <w:rPr>
                                        <w:rFonts w:hint="eastAsia"/>
                                      </w:rPr>
                                      <w:t>湿玉米</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3" name="直接箭头连接符 53"/>
                              <wps:cNvCnPr>
                                <a:stCxn id="20" idx="2"/>
                              </wps:cNvCnPr>
                              <wps:spPr>
                                <a:xfrm>
                                  <a:off x="6560" y="347769"/>
                                  <a:ext cx="0" cy="509"/>
                                </a:xfrm>
                                <a:prstGeom prst="straightConnector1">
                                  <a:avLst/>
                                </a:prstGeom>
                                <a:ln w="19050">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54" name="文本框 54"/>
                              <wps:cNvSpPr txBox="1"/>
                              <wps:spPr>
                                <a:xfrm>
                                  <a:off x="6094" y="348226"/>
                                  <a:ext cx="931" cy="51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D0BC48E">
                                    <w:pPr>
                                      <w:jc w:val="center"/>
                                    </w:pPr>
                                    <w:r>
                                      <w:rPr>
                                        <w:rFonts w:hint="eastAsia"/>
                                      </w:rPr>
                                      <w:t>筛选</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0" name="文本框 60"/>
                              <wps:cNvSpPr txBox="1"/>
                              <wps:spPr>
                                <a:xfrm>
                                  <a:off x="6094" y="349194"/>
                                  <a:ext cx="931" cy="51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48079F2">
                                    <w:r>
                                      <w:rPr>
                                        <w:rFonts w:hint="eastAsia"/>
                                      </w:rPr>
                                      <w:t>烘干塔</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2" name="文本框 62"/>
                              <wps:cNvSpPr txBox="1"/>
                              <wps:spPr>
                                <a:xfrm>
                                  <a:off x="6081" y="350194"/>
                                  <a:ext cx="931" cy="51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A384865">
                                    <w:r>
                                      <w:rPr>
                                        <w:rFonts w:hint="eastAsia"/>
                                      </w:rPr>
                                      <w:t>干玉米</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3" name="文本框 63"/>
                              <wps:cNvSpPr txBox="1"/>
                              <wps:spPr>
                                <a:xfrm>
                                  <a:off x="7766" y="350192"/>
                                  <a:ext cx="931" cy="51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3A43835">
                                    <w:pPr>
                                      <w:jc w:val="center"/>
                                    </w:pPr>
                                    <w:r>
                                      <w:rPr>
                                        <w:rFonts w:hint="eastAsia"/>
                                      </w:rPr>
                                      <w:t>仓库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4" name="直接箭头连接符 64"/>
                              <wps:cNvCnPr>
                                <a:stCxn id="54" idx="2"/>
                              </wps:cNvCnPr>
                              <wps:spPr>
                                <a:xfrm>
                                  <a:off x="6560" y="348737"/>
                                  <a:ext cx="11" cy="486"/>
                                </a:xfrm>
                                <a:prstGeom prst="straightConnector1">
                                  <a:avLst/>
                                </a:prstGeom>
                                <a:ln w="19050">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65" name="直接箭头连接符 65"/>
                              <wps:cNvCnPr/>
                              <wps:spPr>
                                <a:xfrm>
                                  <a:off x="6560" y="349697"/>
                                  <a:ext cx="11" cy="486"/>
                                </a:xfrm>
                                <a:prstGeom prst="straightConnector1">
                                  <a:avLst/>
                                </a:prstGeom>
                                <a:ln w="19050">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67" name="直接箭头连接符 67"/>
                              <wps:cNvCnPr>
                                <a:stCxn id="62" idx="3"/>
                                <a:endCxn id="63" idx="1"/>
                              </wps:cNvCnPr>
                              <wps:spPr>
                                <a:xfrm flipV="1">
                                  <a:off x="7012" y="350448"/>
                                  <a:ext cx="754" cy="2"/>
                                </a:xfrm>
                                <a:prstGeom prst="straightConnector1">
                                  <a:avLst/>
                                </a:prstGeom>
                                <a:ln w="19050">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68" name="直接箭头连接符 68"/>
                              <wps:cNvCnPr/>
                              <wps:spPr>
                                <a:xfrm flipV="1">
                                  <a:off x="7040" y="349479"/>
                                  <a:ext cx="754" cy="2"/>
                                </a:xfrm>
                                <a:prstGeom prst="straightConnector1">
                                  <a:avLst/>
                                </a:prstGeom>
                                <a:ln w="19050">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69" name="文本框 69"/>
                              <wps:cNvSpPr txBox="1"/>
                              <wps:spPr>
                                <a:xfrm>
                                  <a:off x="7756" y="349292"/>
                                  <a:ext cx="2176" cy="51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B305B1">
                                    <w:pPr>
                                      <w:jc w:val="center"/>
                                    </w:pPr>
                                    <w:r>
                                      <w:rPr>
                                        <w:rFonts w:hint="eastAsia"/>
                                      </w:rPr>
                                      <w:t>粉尘、噪声、固废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7" name="直接箭头连接符 77"/>
                              <wps:cNvCnPr/>
                              <wps:spPr>
                                <a:xfrm flipV="1">
                                  <a:off x="7025" y="348489"/>
                                  <a:ext cx="754" cy="2"/>
                                </a:xfrm>
                                <a:prstGeom prst="straightConnector1">
                                  <a:avLst/>
                                </a:prstGeom>
                                <a:ln w="19050">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71" name="文本框 71"/>
                              <wps:cNvSpPr txBox="1"/>
                              <wps:spPr>
                                <a:xfrm>
                                  <a:off x="7714" y="348261"/>
                                  <a:ext cx="2176" cy="51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8E3F6F">
                                    <w:pPr>
                                      <w:jc w:val="center"/>
                                    </w:pPr>
                                    <w:r>
                                      <w:rPr>
                                        <w:rFonts w:hint="eastAsia"/>
                                      </w:rPr>
                                      <w:t>粉尘、噪声、固废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8" name="直接箭头连接符 78"/>
                              <wps:cNvCnPr>
                                <a:stCxn id="60" idx="1"/>
                              </wps:cNvCnPr>
                              <wps:spPr>
                                <a:xfrm flipH="1" flipV="1">
                                  <a:off x="5581" y="349448"/>
                                  <a:ext cx="513" cy="2"/>
                                </a:xfrm>
                                <a:prstGeom prst="straightConnector1">
                                  <a:avLst/>
                                </a:prstGeom>
                                <a:ln w="19050">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79" name="文本框 79"/>
                              <wps:cNvSpPr txBox="1"/>
                              <wps:spPr>
                                <a:xfrm>
                                  <a:off x="4639" y="349224"/>
                                  <a:ext cx="931" cy="51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A399D36">
                                    <w:r>
                                      <w:rPr>
                                        <w:rFonts w:hint="eastAsia"/>
                                      </w:rPr>
                                      <w:t>热风炉</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0" name="直接箭头连接符 80"/>
                              <wps:cNvCnPr/>
                              <wps:spPr>
                                <a:xfrm flipH="1" flipV="1">
                                  <a:off x="4111" y="349493"/>
                                  <a:ext cx="513" cy="2"/>
                                </a:xfrm>
                                <a:prstGeom prst="straightConnector1">
                                  <a:avLst/>
                                </a:prstGeom>
                                <a:ln w="19050">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81" name="文本框 81"/>
                              <wps:cNvSpPr txBox="1"/>
                              <wps:spPr>
                                <a:xfrm>
                                  <a:off x="3245" y="349033"/>
                                  <a:ext cx="855" cy="92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BD0BDF">
                                    <w:r>
                                      <w:rPr>
                                        <w:rFonts w:hint="eastAsia"/>
                                        <w:lang w:val="en-US" w:eastAsia="zh-CN"/>
                                      </w:rPr>
                                      <w:t>炉渣</w:t>
                                    </w:r>
                                    <w:r>
                                      <w:rPr>
                                        <w:rFonts w:hint="eastAsia"/>
                                      </w:rPr>
                                      <w:t>、</w:t>
                                    </w:r>
                                  </w:p>
                                  <w:p w14:paraId="43F8232C">
                                    <w:pPr>
                                      <w:rPr>
                                        <w:rFonts w:hint="default" w:eastAsia="宋体"/>
                                        <w:lang w:val="en-US" w:eastAsia="zh-CN"/>
                                      </w:rPr>
                                    </w:pPr>
                                    <w:r>
                                      <w:rPr>
                                        <w:rFonts w:hint="eastAsia"/>
                                      </w:rPr>
                                      <w:t>废气</w:t>
                                    </w:r>
                                    <w:r>
                                      <w:rPr>
                                        <w:rFonts w:hint="eastAsia"/>
                                        <w:lang w:eastAsia="zh-CN"/>
                                      </w:rPr>
                                      <w:t>、</w:t>
                                    </w:r>
                                    <w:r>
                                      <w:rPr>
                                        <w:rFonts w:hint="eastAsia"/>
                                        <w:lang w:val="en-US" w:eastAsia="zh-CN"/>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7.55pt;margin-top:2.75pt;height:172.35pt;width:334.35pt;z-index:251666432;mso-width-relative:page;mso-height-relative:page;" coordorigin="3245,347258" coordsize="6687,3447" o:gfxdata="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">
                      <o:lock v:ext="edit" aspectratio="f"/>
                      <v:shape id="_x0000_s1026" o:spid="_x0000_s1026" o:spt="202" type="#_x0000_t202" style="position:absolute;left:6094;top:347258;height:511;width:931;" fillcolor="#FFFFFF [3201]" filled="t" stroked="t" coordsize="21600,21600" o:gfxdata="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ymEib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14:paraId="77B5D614">
                              <w:pPr>
                                <w:jc w:val="center"/>
                              </w:pPr>
                              <w:r>
                                <w:rPr>
                                  <w:rFonts w:hint="eastAsia"/>
                                </w:rPr>
                                <w:t>湿玉米</w:t>
                              </w:r>
                            </w:p>
                          </w:txbxContent>
                        </v:textbox>
                      </v:shape>
                      <v:shape id="_x0000_s1026" o:spid="_x0000_s1026" o:spt="32" type="#_x0000_t32" style="position:absolute;left:6560;top:347769;height:509;width:0;" filled="f" stroked="t" coordsize="21600,21600" o:gfxdata="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8pRyb4A&#10;AADbAAAADwAAAAAAAAABACAAAAAiAAAAZHJzL2Rvd25yZXYueG1sUEsBAhQAFAAAAAgAh07iQDMv&#10;BZ47AAAAOQAAABAAAAAAAAAAAQAgAAAADQEAAGRycy9zaGFwZXhtbC54bWxQSwUGAAAAAAYABgBb&#10;AQAAtwMAAAAA&#10;">
                        <v:fill on="f" focussize="0,0"/>
                        <v:stroke weight="1.5pt" color="#000000 [3213]" miterlimit="8" joinstyle="miter" endarrow="block"/>
                        <v:imagedata o:title=""/>
                        <o:lock v:ext="edit" aspectratio="f"/>
                      </v:shape>
                      <v:shape id="_x0000_s1026" o:spid="_x0000_s1026" o:spt="202" type="#_x0000_t202" style="position:absolute;left:6094;top:348226;height:511;width:931;" fillcolor="#FFFFFF [3201]" filled="t" stroked="t" coordsize="21600,21600" o:gfxdata="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VpT3l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1D0BC48E">
                              <w:pPr>
                                <w:jc w:val="center"/>
                              </w:pPr>
                              <w:r>
                                <w:rPr>
                                  <w:rFonts w:hint="eastAsia"/>
                                </w:rPr>
                                <w:t>筛选</w:t>
                              </w:r>
                            </w:p>
                          </w:txbxContent>
                        </v:textbox>
                      </v:shape>
                      <v:shape id="_x0000_s1026" o:spid="_x0000_s1026" o:spt="202" type="#_x0000_t202" style="position:absolute;left:6094;top:349194;height:511;width:931;" fillcolor="#FFFFFF [3201]" filled="t" stroked="t" coordsize="21600,21600" o:gfxdata="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Ck8vFb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14:paraId="748079F2">
                              <w:r>
                                <w:rPr>
                                  <w:rFonts w:hint="eastAsia"/>
                                </w:rPr>
                                <w:t>烘干塔</w:t>
                              </w:r>
                            </w:p>
                          </w:txbxContent>
                        </v:textbox>
                      </v:shape>
                      <v:shape id="_x0000_s1026" o:spid="_x0000_s1026" o:spt="202" type="#_x0000_t202" style="position:absolute;left:6081;top:350194;height:511;width:931;" fillcolor="#FFFFFF [3201]" filled="t" stroked="t" coordsize="21600,21600" o:gfxdata="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tsyre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14:paraId="4A384865">
                              <w:r>
                                <w:rPr>
                                  <w:rFonts w:hint="eastAsia"/>
                                </w:rPr>
                                <w:t>干玉米</w:t>
                              </w:r>
                            </w:p>
                          </w:txbxContent>
                        </v:textbox>
                      </v:shape>
                      <v:shape id="_x0000_s1026" o:spid="_x0000_s1026" o:spt="202" type="#_x0000_t202" style="position:absolute;left:7766;top:350192;height:511;width:931;" fillcolor="#FFFFFF [3201]" filled="t" stroked="t" coordsize="21600,21600" o:gfxdata="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Qgbyy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14:paraId="03A43835">
                              <w:pPr>
                                <w:jc w:val="center"/>
                              </w:pPr>
                              <w:r>
                                <w:rPr>
                                  <w:rFonts w:hint="eastAsia"/>
                                </w:rPr>
                                <w:t>仓库</w:t>
                              </w:r>
                            </w:p>
                          </w:txbxContent>
                        </v:textbox>
                      </v:shape>
                      <v:shape id="_x0000_s1026" o:spid="_x0000_s1026" o:spt="32" type="#_x0000_t32" style="position:absolute;left:6560;top:348737;height:486;width:11;" filled="f" stroked="t" coordsize="21600,21600" o:gfxdata="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TwMAvQAA&#10;ANsAAAAPAAAAAAAAAAEAIAAAACIAAABkcnMvZG93bnJldi54bWxQSwECFAAUAAAACACHTuJAMy8F&#10;njsAAAA5AAAAEAAAAAAAAAABACAAAAAMAQAAZHJzL3NoYXBleG1sLnhtbFBLBQYAAAAABgAGAFsB&#10;AAC2AwAAAAA=&#10;">
                        <v:fill on="f" focussize="0,0"/>
                        <v:stroke weight="1.5pt" color="#000000 [3213]" miterlimit="8" joinstyle="miter" endarrow="block"/>
                        <v:imagedata o:title=""/>
                        <o:lock v:ext="edit" aspectratio="f"/>
                      </v:shape>
                      <v:shape id="_x0000_s1026" o:spid="_x0000_s1026" o:spt="32" type="#_x0000_t32" style="position:absolute;left:6560;top:349697;height:486;width:11;" filled="f" stroked="t" coordsize="21600,21600" o:gfxdata="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QOmm74A&#10;AADbAAAADwAAAAAAAAABACAAAAAiAAAAZHJzL2Rvd25yZXYueG1sUEsBAhQAFAAAAAgAh07iQDMv&#10;BZ47AAAAOQAAABAAAAAAAAAAAQAgAAAADQEAAGRycy9zaGFwZXhtbC54bWxQSwUGAAAAAAYABgBb&#10;AQAAtwMAAAAA&#10;">
                        <v:fill on="f" focussize="0,0"/>
                        <v:stroke weight="1.5pt" color="#000000 [3213]" miterlimit="8" joinstyle="miter" endarrow="block"/>
                        <v:imagedata o:title=""/>
                        <o:lock v:ext="edit" aspectratio="f"/>
                      </v:shape>
                      <v:shape id="_x0000_s1026" o:spid="_x0000_s1026" o:spt="32" type="#_x0000_t32" style="position:absolute;left:7012;top:350448;flip:y;height:2;width:754;" filled="f" stroked="t" coordsize="21600,21600" o:gfxdata="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aapzQugAAANsA&#10;AAAPAAAAAAAAAAEAIAAAACIAAABkcnMvZG93bnJldi54bWxQSwECFAAUAAAACACHTuJAMy8FnjsA&#10;AAA5AAAAEAAAAAAAAAABACAAAAAJAQAAZHJzL3NoYXBleG1sLnhtbFBLBQYAAAAABgAGAFsBAACz&#10;AwAAAAA=&#10;">
                        <v:fill on="f" focussize="0,0"/>
                        <v:stroke weight="1.5pt" color="#000000 [3213]" miterlimit="8" joinstyle="miter" endarrow="block"/>
                        <v:imagedata o:title=""/>
                        <o:lock v:ext="edit" aspectratio="f"/>
                      </v:shape>
                      <v:shape id="_x0000_s1026" o:spid="_x0000_s1026" o:spt="32" type="#_x0000_t32" style="position:absolute;left:7040;top:349479;flip:y;height:2;width:754;" filled="f" stroked="t" coordsize="21600,21600" o:gfxdata="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UIorgAAADbAAAA&#10;DwAAAAAAAAABACAAAAAiAAAAZHJzL2Rvd25yZXYueG1sUEsBAhQAFAAAAAgAh07iQDMvBZ47AAAA&#10;OQAAABAAAAAAAAAAAQAgAAAABwEAAGRycy9zaGFwZXhtbC54bWxQSwUGAAAAAAYABgBbAQAAsQMA&#10;AAAA&#10;">
                        <v:fill on="f" focussize="0,0"/>
                        <v:stroke weight="1.5pt" color="#000000 [3213]" miterlimit="8" joinstyle="miter" endarrow="block"/>
                        <v:imagedata o:title=""/>
                        <o:lock v:ext="edit" aspectratio="f"/>
                      </v:shape>
                      <v:shape id="_x0000_s1026" o:spid="_x0000_s1026" o:spt="202" type="#_x0000_t202" style="position:absolute;left:7756;top:349292;height:511;width:2176;" filled="f" stroked="f" coordsize="21600,21600" o:gfxdata="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GJNg&#10;wAAAANs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7FB305B1">
                              <w:pPr>
                                <w:jc w:val="center"/>
                              </w:pPr>
                              <w:r>
                                <w:rPr>
                                  <w:rFonts w:hint="eastAsia"/>
                                </w:rPr>
                                <w:t>粉尘、噪声、固废</w:t>
                              </w:r>
                            </w:p>
                          </w:txbxContent>
                        </v:textbox>
                      </v:shape>
                      <v:shape id="_x0000_s1026" o:spid="_x0000_s1026" o:spt="32" type="#_x0000_t32" style="position:absolute;left:7025;top:348489;flip:y;height:2;width:754;" filled="f" stroked="t" coordsize="21600,21600" o:gfxdata="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fswoNugAAANsA&#10;AAAPAAAAAAAAAAEAIAAAACIAAABkcnMvZG93bnJldi54bWxQSwECFAAUAAAACACHTuJAMy8FnjsA&#10;AAA5AAAAEAAAAAAAAAABACAAAAAJAQAAZHJzL3NoYXBleG1sLnhtbFBLBQYAAAAABgAGAFsBAACz&#10;AwAAAAA=&#10;">
                        <v:fill on="f" focussize="0,0"/>
                        <v:stroke weight="1.5pt" color="#000000 [3213]" miterlimit="8" joinstyle="miter" endarrow="block"/>
                        <v:imagedata o:title=""/>
                        <o:lock v:ext="edit" aspectratio="f"/>
                      </v:shape>
                      <v:shape id="_x0000_s1026" o:spid="_x0000_s1026" o:spt="202" type="#_x0000_t202" style="position:absolute;left:7714;top:348261;height:511;width:2176;" filled="f" stroked="f" coordsize="21600,21600" o:gfxdata="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bcJu7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418E3F6F">
                              <w:pPr>
                                <w:jc w:val="center"/>
                              </w:pPr>
                              <w:r>
                                <w:rPr>
                                  <w:rFonts w:hint="eastAsia"/>
                                </w:rPr>
                                <w:t>粉尘、噪声、固废</w:t>
                              </w:r>
                            </w:p>
                          </w:txbxContent>
                        </v:textbox>
                      </v:shape>
                      <v:shape id="_x0000_s1026" o:spid="_x0000_s1026" o:spt="32" type="#_x0000_t32" style="position:absolute;left:5581;top:349448;flip:x y;height:2;width:513;" filled="f" stroked="t" coordsize="21600,21600" o:gfxdata="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S2V0G2AAAA2wAAAA8A&#10;AAAAAAAAAQAgAAAAIgAAAGRycy9kb3ducmV2LnhtbFBLAQIUABQAAAAIAIdO4kAzLwWeOwAAADkA&#10;AAAQAAAAAAAAAAEAIAAAAAUBAABkcnMvc2hhcGV4bWwueG1sUEsFBgAAAAAGAAYAWwEAAK8DAAAA&#10;AA==&#10;">
                        <v:fill on="f" focussize="0,0"/>
                        <v:stroke weight="1.5pt" color="#000000 [3213]" miterlimit="8" joinstyle="miter" endarrow="block"/>
                        <v:imagedata o:title=""/>
                        <o:lock v:ext="edit" aspectratio="f"/>
                      </v:shape>
                      <v:shape id="_x0000_s1026" o:spid="_x0000_s1026" o:spt="202" type="#_x0000_t202" style="position:absolute;left:4639;top:349224;height:511;width:931;" fillcolor="#FFFFFF [3201]" filled="t" stroked="t" coordsize="21600,21600" o:gfxdata="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wEc4b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0A399D36">
                              <w:r>
                                <w:rPr>
                                  <w:rFonts w:hint="eastAsia"/>
                                </w:rPr>
                                <w:t>热风炉</w:t>
                              </w:r>
                            </w:p>
                          </w:txbxContent>
                        </v:textbox>
                      </v:shape>
                      <v:shape id="_x0000_s1026" o:spid="_x0000_s1026" o:spt="32" type="#_x0000_t32" style="position:absolute;left:4111;top:349493;flip:x y;height:2;width:513;" filled="f" stroked="t" coordsize="21600,21600" o:gfxdata="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nxUrYLUAAADbAAAADwAA&#10;AAAAAAABACAAAAAiAAAAZHJzL2Rvd25yZXYueG1sUEsBAhQAFAAAAAgAh07iQDMvBZ47AAAAOQAA&#10;ABAAAAAAAAAAAQAgAAAABAEAAGRycy9zaGFwZXhtbC54bWxQSwUGAAAAAAYABgBbAQAArgMAAAAA&#10;">
                        <v:fill on="f" focussize="0,0"/>
                        <v:stroke weight="1.5pt" color="#000000 [3213]" miterlimit="8" joinstyle="miter" endarrow="block"/>
                        <v:imagedata o:title=""/>
                        <o:lock v:ext="edit" aspectratio="f"/>
                      </v:shape>
                      <v:shape id="_x0000_s1026" o:spid="_x0000_s1026" o:spt="202" type="#_x0000_t202" style="position:absolute;left:3245;top:349033;height:927;width:855;" filled="f" stroked="f" coordsize="21600,21600" o:gfxdata="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xieZy/&#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0DBD0BDF">
                              <w:r>
                                <w:rPr>
                                  <w:rFonts w:hint="eastAsia"/>
                                  <w:lang w:val="en-US" w:eastAsia="zh-CN"/>
                                </w:rPr>
                                <w:t>炉渣</w:t>
                              </w:r>
                              <w:r>
                                <w:rPr>
                                  <w:rFonts w:hint="eastAsia"/>
                                </w:rPr>
                                <w:t>、</w:t>
                              </w:r>
                            </w:p>
                            <w:p w14:paraId="43F8232C">
                              <w:pPr>
                                <w:rPr>
                                  <w:rFonts w:hint="default" w:eastAsia="宋体"/>
                                  <w:lang w:val="en-US" w:eastAsia="zh-CN"/>
                                </w:rPr>
                              </w:pPr>
                              <w:r>
                                <w:rPr>
                                  <w:rFonts w:hint="eastAsia"/>
                                </w:rPr>
                                <w:t>废气</w:t>
                              </w:r>
                              <w:r>
                                <w:rPr>
                                  <w:rFonts w:hint="eastAsia"/>
                                  <w:lang w:eastAsia="zh-CN"/>
                                </w:rPr>
                                <w:t>、</w:t>
                              </w:r>
                              <w:r>
                                <w:rPr>
                                  <w:rFonts w:hint="eastAsia"/>
                                  <w:lang w:val="en-US" w:eastAsia="zh-CN"/>
                                </w:rPr>
                                <w:t>噪声</w:t>
                              </w:r>
                            </w:p>
                          </w:txbxContent>
                        </v:textbox>
                      </v:shape>
                    </v:group>
                  </w:pict>
                </mc:Fallback>
              </mc:AlternateContent>
            </w:r>
          </w:p>
          <w:p w14:paraId="7CADBC0C">
            <w:pPr>
              <w:pStyle w:val="9"/>
              <w:rPr>
                <w:rFonts w:eastAsia="宋体"/>
                <w:b/>
                <w:bCs/>
                <w:szCs w:val="21"/>
              </w:rPr>
            </w:pPr>
          </w:p>
          <w:p w14:paraId="011497B1">
            <w:pPr>
              <w:pStyle w:val="48"/>
              <w:rPr>
                <w:rFonts w:ascii="Times New Roman"/>
                <w:b/>
                <w:bCs/>
              </w:rPr>
            </w:pPr>
          </w:p>
          <w:p w14:paraId="38D10765">
            <w:pPr>
              <w:pStyle w:val="49"/>
              <w:ind w:left="5250"/>
              <w:rPr>
                <w:b/>
                <w:bCs/>
                <w:szCs w:val="21"/>
              </w:rPr>
            </w:pPr>
          </w:p>
          <w:p w14:paraId="1C2C553B">
            <w:pPr>
              <w:rPr>
                <w:b/>
                <w:bCs/>
                <w:szCs w:val="21"/>
              </w:rPr>
            </w:pPr>
          </w:p>
          <w:p w14:paraId="389FDBD9">
            <w:pPr>
              <w:pStyle w:val="9"/>
              <w:rPr>
                <w:rFonts w:eastAsia="宋体"/>
                <w:b/>
                <w:bCs/>
                <w:szCs w:val="21"/>
              </w:rPr>
            </w:pPr>
          </w:p>
          <w:p w14:paraId="5E865F00">
            <w:pPr>
              <w:pStyle w:val="48"/>
              <w:rPr>
                <w:rFonts w:ascii="Times New Roman"/>
                <w:b/>
                <w:bCs/>
              </w:rPr>
            </w:pPr>
          </w:p>
          <w:p w14:paraId="6F424552">
            <w:pPr>
              <w:pStyle w:val="49"/>
              <w:ind w:left="5250"/>
              <w:rPr>
                <w:b/>
                <w:bCs/>
                <w:szCs w:val="21"/>
              </w:rPr>
            </w:pPr>
          </w:p>
          <w:p w14:paraId="187D8EB7">
            <w:pPr>
              <w:rPr>
                <w:b/>
                <w:bCs/>
                <w:szCs w:val="21"/>
              </w:rPr>
            </w:pPr>
          </w:p>
          <w:p w14:paraId="28869368">
            <w:pPr>
              <w:pStyle w:val="9"/>
              <w:rPr>
                <w:rFonts w:eastAsia="宋体"/>
                <w:b/>
                <w:bCs/>
                <w:szCs w:val="21"/>
              </w:rPr>
            </w:pPr>
          </w:p>
          <w:p w14:paraId="40BFA623">
            <w:pPr>
              <w:pStyle w:val="48"/>
            </w:pPr>
          </w:p>
          <w:p w14:paraId="1F4D67AD">
            <w:pPr>
              <w:pStyle w:val="49"/>
              <w:ind w:left="5250"/>
            </w:pPr>
          </w:p>
          <w:p w14:paraId="307BB1D0"/>
          <w:p w14:paraId="1827CC20">
            <w:pPr>
              <w:spacing w:line="360" w:lineRule="auto"/>
              <w:jc w:val="center"/>
            </w:pPr>
            <w:r>
              <w:rPr>
                <w:b/>
                <w:bCs/>
                <w:szCs w:val="21"/>
              </w:rPr>
              <w:t>图2-</w:t>
            </w:r>
            <w:r>
              <w:rPr>
                <w:rFonts w:hint="eastAsia"/>
                <w:b/>
                <w:bCs/>
                <w:szCs w:val="21"/>
              </w:rPr>
              <w:t>2</w:t>
            </w:r>
            <w:r>
              <w:rPr>
                <w:b/>
                <w:bCs/>
                <w:szCs w:val="21"/>
              </w:rPr>
              <w:t>项目生产工艺流程及产污节点示意图</w:t>
            </w:r>
          </w:p>
          <w:p w14:paraId="68F12B27">
            <w:pPr>
              <w:widowControl/>
              <w:spacing w:line="360" w:lineRule="auto"/>
              <w:ind w:firstLine="482" w:firstLineChars="200"/>
              <w:jc w:val="left"/>
              <w:rPr>
                <w:sz w:val="24"/>
              </w:rPr>
            </w:pPr>
            <w:r>
              <w:rPr>
                <w:rFonts w:hint="eastAsia"/>
                <w:b/>
                <w:bCs/>
                <w:kern w:val="0"/>
                <w:sz w:val="24"/>
                <w:lang w:bidi="ar"/>
              </w:rPr>
              <w:t>五</w:t>
            </w:r>
            <w:r>
              <w:rPr>
                <w:b/>
                <w:bCs/>
                <w:kern w:val="0"/>
                <w:sz w:val="24"/>
                <w:lang w:bidi="ar"/>
              </w:rPr>
              <w:t>、现有工程污染物排放情况</w:t>
            </w:r>
          </w:p>
          <w:p w14:paraId="6A35DE4A">
            <w:pPr>
              <w:widowControl/>
              <w:numPr>
                <w:ilvl w:val="0"/>
                <w:numId w:val="0"/>
              </w:numPr>
              <w:spacing w:line="360" w:lineRule="auto"/>
              <w:ind w:firstLine="482" w:firstLineChars="200"/>
              <w:jc w:val="left"/>
              <w:rPr>
                <w:b/>
                <w:sz w:val="24"/>
              </w:rPr>
            </w:pPr>
            <w:r>
              <w:rPr>
                <w:rFonts w:hint="eastAsia" w:cs="Times New Roman"/>
                <w:b/>
                <w:kern w:val="2"/>
                <w:sz w:val="24"/>
                <w:szCs w:val="24"/>
                <w:lang w:val="en-US" w:eastAsia="zh-CN" w:bidi="ar-SA"/>
              </w:rPr>
              <w:t>（1）</w:t>
            </w:r>
            <w:r>
              <w:rPr>
                <w:b/>
                <w:sz w:val="24"/>
              </w:rPr>
              <w:t>废气</w:t>
            </w:r>
          </w:p>
          <w:p w14:paraId="586544F6">
            <w:pPr>
              <w:widowControl/>
              <w:spacing w:line="360" w:lineRule="auto"/>
              <w:ind w:firstLine="480" w:firstLineChars="200"/>
              <w:jc w:val="left"/>
              <w:rPr>
                <w:color w:val="C00000"/>
                <w:sz w:val="24"/>
              </w:rPr>
            </w:pPr>
            <w:r>
              <w:rPr>
                <w:rFonts w:hint="eastAsia"/>
                <w:color w:val="C00000"/>
                <w:sz w:val="24"/>
              </w:rPr>
              <w:t>热风炉配</w:t>
            </w:r>
            <w:r>
              <w:rPr>
                <w:rFonts w:hint="eastAsia"/>
                <w:color w:val="C00000"/>
                <w:sz w:val="24"/>
                <w:lang w:eastAsia="zh-CN"/>
              </w:rPr>
              <w:t>布袋除尘器</w:t>
            </w:r>
            <w:r>
              <w:rPr>
                <w:rFonts w:hint="eastAsia"/>
                <w:color w:val="C00000"/>
                <w:sz w:val="24"/>
              </w:rPr>
              <w:t>，处理后的烟气经</w:t>
            </w:r>
            <w:r>
              <w:rPr>
                <w:rFonts w:hint="eastAsia"/>
                <w:color w:val="C00000"/>
                <w:sz w:val="24"/>
                <w:lang w:eastAsia="zh-CN"/>
              </w:rPr>
              <w:t>20m</w:t>
            </w:r>
            <w:r>
              <w:rPr>
                <w:rFonts w:hint="eastAsia"/>
                <w:color w:val="C00000"/>
                <w:sz w:val="24"/>
              </w:rPr>
              <w:t>高烟囱排入大气，烘干塔</w:t>
            </w:r>
            <w:r>
              <w:rPr>
                <w:rFonts w:hint="eastAsia"/>
                <w:color w:val="C00000"/>
                <w:sz w:val="24"/>
                <w:lang w:val="en-US" w:eastAsia="zh-CN"/>
              </w:rPr>
              <w:t>塔体</w:t>
            </w:r>
            <w:r>
              <w:rPr>
                <w:rFonts w:hint="eastAsia"/>
                <w:color w:val="C00000"/>
                <w:sz w:val="24"/>
              </w:rPr>
              <w:t>四周包围铁皮塔衣，塔顶设置滤尘网，可有效抑制烘干塔产生的粉尘扩散到外环境中</w:t>
            </w:r>
            <w:r>
              <w:rPr>
                <w:color w:val="C00000"/>
                <w:sz w:val="24"/>
              </w:rPr>
              <w:t>。</w:t>
            </w:r>
          </w:p>
          <w:p w14:paraId="2DE97A19">
            <w:pPr>
              <w:widowControl/>
              <w:spacing w:line="360" w:lineRule="auto"/>
              <w:ind w:firstLine="480" w:firstLineChars="200"/>
              <w:jc w:val="left"/>
              <w:rPr>
                <w:rFonts w:eastAsiaTheme="minorEastAsia"/>
                <w:bCs/>
                <w:sz w:val="24"/>
              </w:rPr>
            </w:pPr>
            <w:r>
              <w:rPr>
                <w:rFonts w:hint="eastAsia"/>
                <w:sz w:val="24"/>
              </w:rPr>
              <w:t>根据</w:t>
            </w:r>
            <w:r>
              <w:rPr>
                <w:rFonts w:hint="eastAsia"/>
                <w:sz w:val="24"/>
                <w:lang w:val="en-US" w:eastAsia="zh-CN"/>
              </w:rPr>
              <w:t>企业</w:t>
            </w:r>
            <w:r>
              <w:rPr>
                <w:rFonts w:hint="eastAsia"/>
                <w:sz w:val="24"/>
              </w:rPr>
              <w:t>2024年度</w:t>
            </w:r>
            <w:r>
              <w:rPr>
                <w:rFonts w:hint="eastAsia"/>
                <w:sz w:val="24"/>
                <w:lang w:val="en-US" w:eastAsia="zh-CN"/>
              </w:rPr>
              <w:t>例行检测</w:t>
            </w:r>
            <w:r>
              <w:rPr>
                <w:rFonts w:hint="eastAsia"/>
                <w:sz w:val="24"/>
              </w:rPr>
              <w:t>报告中数据，检测结果如下：</w:t>
            </w:r>
            <w:r>
              <w:rPr>
                <w:rFonts w:eastAsiaTheme="minorEastAsia"/>
                <w:bCs/>
                <w:sz w:val="24"/>
              </w:rPr>
              <w:t>有组织废气颗粒物最大排放浓度为</w:t>
            </w:r>
            <w:r>
              <w:rPr>
                <w:rFonts w:hint="eastAsia" w:eastAsiaTheme="minorEastAsia"/>
                <w:bCs/>
                <w:sz w:val="24"/>
              </w:rPr>
              <w:t>122</w:t>
            </w:r>
            <w:r>
              <w:rPr>
                <w:rFonts w:eastAsiaTheme="minorEastAsia"/>
                <w:bCs/>
                <w:sz w:val="24"/>
              </w:rPr>
              <w:t>mg/m</w:t>
            </w:r>
            <w:r>
              <w:rPr>
                <w:rFonts w:eastAsiaTheme="minorEastAsia"/>
                <w:bCs/>
                <w:sz w:val="24"/>
                <w:vertAlign w:val="superscript"/>
              </w:rPr>
              <w:t>3</w:t>
            </w:r>
            <w:r>
              <w:rPr>
                <w:rFonts w:eastAsiaTheme="minorEastAsia"/>
                <w:bCs/>
                <w:sz w:val="24"/>
              </w:rPr>
              <w:t>，SO</w:t>
            </w:r>
            <w:r>
              <w:rPr>
                <w:rFonts w:eastAsiaTheme="minorEastAsia"/>
                <w:bCs/>
                <w:sz w:val="24"/>
                <w:vertAlign w:val="subscript"/>
              </w:rPr>
              <w:t>2</w:t>
            </w:r>
            <w:r>
              <w:rPr>
                <w:rFonts w:eastAsiaTheme="minorEastAsia"/>
                <w:bCs/>
                <w:sz w:val="24"/>
              </w:rPr>
              <w:t>最大排放浓度为</w:t>
            </w:r>
            <w:r>
              <w:rPr>
                <w:rFonts w:hint="eastAsia" w:eastAsiaTheme="minorEastAsia"/>
                <w:bCs/>
                <w:sz w:val="24"/>
              </w:rPr>
              <w:t>83</w:t>
            </w:r>
            <w:r>
              <w:rPr>
                <w:rFonts w:eastAsiaTheme="minorEastAsia"/>
                <w:bCs/>
                <w:sz w:val="24"/>
              </w:rPr>
              <w:t>mg/m³，NO</w:t>
            </w:r>
            <w:r>
              <w:rPr>
                <w:rFonts w:eastAsiaTheme="minorEastAsia"/>
                <w:bCs/>
                <w:sz w:val="24"/>
                <w:vertAlign w:val="subscript"/>
              </w:rPr>
              <w:t>x</w:t>
            </w:r>
            <w:r>
              <w:rPr>
                <w:rFonts w:eastAsiaTheme="minorEastAsia"/>
                <w:bCs/>
                <w:sz w:val="24"/>
              </w:rPr>
              <w:t>最大排放浓度为</w:t>
            </w:r>
            <w:r>
              <w:rPr>
                <w:rFonts w:hint="eastAsia" w:eastAsiaTheme="minorEastAsia"/>
                <w:bCs/>
                <w:sz w:val="24"/>
              </w:rPr>
              <w:t>141</w:t>
            </w:r>
            <w:r>
              <w:rPr>
                <w:rFonts w:eastAsiaTheme="minorEastAsia"/>
                <w:bCs/>
                <w:sz w:val="24"/>
              </w:rPr>
              <w:t>mg/m³，汞</w:t>
            </w:r>
            <w:r>
              <w:rPr>
                <w:rFonts w:hint="eastAsia" w:eastAsiaTheme="minorEastAsia"/>
                <w:bCs/>
                <w:sz w:val="24"/>
              </w:rPr>
              <w:t>为未检出，工业</w:t>
            </w:r>
            <w:r>
              <w:rPr>
                <w:rFonts w:eastAsiaTheme="minorEastAsia"/>
                <w:bCs/>
                <w:sz w:val="24"/>
              </w:rPr>
              <w:t>炉窑周边颗粒物最大排放浓度为0.</w:t>
            </w:r>
            <w:r>
              <w:rPr>
                <w:rFonts w:hint="eastAsia" w:eastAsiaTheme="minorEastAsia"/>
                <w:bCs/>
                <w:sz w:val="24"/>
              </w:rPr>
              <w:t>416</w:t>
            </w:r>
            <w:r>
              <w:rPr>
                <w:rFonts w:eastAsiaTheme="minorEastAsia"/>
                <w:bCs/>
                <w:sz w:val="24"/>
              </w:rPr>
              <w:t>mg/m</w:t>
            </w:r>
            <w:r>
              <w:rPr>
                <w:rFonts w:eastAsiaTheme="minorEastAsia"/>
                <w:bCs/>
                <w:sz w:val="24"/>
                <w:vertAlign w:val="superscript"/>
              </w:rPr>
              <w:t>3</w:t>
            </w:r>
            <w:r>
              <w:rPr>
                <w:rFonts w:eastAsiaTheme="minorEastAsia"/>
                <w:bCs/>
                <w:sz w:val="24"/>
              </w:rPr>
              <w:t>，以上监测结果均符合《</w:t>
            </w:r>
            <w:r>
              <w:rPr>
                <w:rFonts w:eastAsiaTheme="minorEastAsia"/>
                <w:sz w:val="24"/>
                <w:shd w:val="clear" w:color="auto" w:fill="FFFFFF"/>
              </w:rPr>
              <w:t>工业炉窑大气污染物排放标准》（GB 9078-1996）</w:t>
            </w:r>
            <w:r>
              <w:rPr>
                <w:rFonts w:hint="eastAsia" w:eastAsiaTheme="minorEastAsia"/>
                <w:sz w:val="24"/>
                <w:shd w:val="clear" w:color="auto" w:fill="FFFFFF"/>
              </w:rPr>
              <w:t>标准限值要求</w:t>
            </w:r>
            <w:r>
              <w:rPr>
                <w:rFonts w:eastAsiaTheme="minorEastAsia"/>
                <w:bCs/>
                <w:sz w:val="24"/>
              </w:rPr>
              <w:t>；厂区下风向颗粒物最大排放浓度为0.</w:t>
            </w:r>
            <w:r>
              <w:rPr>
                <w:rFonts w:hint="eastAsia" w:eastAsiaTheme="minorEastAsia"/>
                <w:bCs/>
                <w:sz w:val="24"/>
              </w:rPr>
              <w:t>416</w:t>
            </w:r>
            <w:r>
              <w:rPr>
                <w:rFonts w:eastAsiaTheme="minorEastAsia"/>
                <w:bCs/>
                <w:sz w:val="24"/>
              </w:rPr>
              <w:t>mg/m</w:t>
            </w:r>
            <w:r>
              <w:rPr>
                <w:rFonts w:eastAsiaTheme="minorEastAsia"/>
                <w:bCs/>
                <w:sz w:val="24"/>
                <w:vertAlign w:val="superscript"/>
              </w:rPr>
              <w:t>3</w:t>
            </w:r>
            <w:r>
              <w:rPr>
                <w:rFonts w:eastAsiaTheme="minorEastAsia"/>
                <w:bCs/>
                <w:sz w:val="24"/>
              </w:rPr>
              <w:t>，符合《</w:t>
            </w:r>
            <w:r>
              <w:rPr>
                <w:rFonts w:eastAsiaTheme="minorEastAsia"/>
                <w:sz w:val="24"/>
                <w:shd w:val="clear" w:color="auto" w:fill="FFFFFF"/>
              </w:rPr>
              <w:t>大气污染物综合排放标准》（GB 16297-1996）标准</w:t>
            </w:r>
            <w:r>
              <w:rPr>
                <w:rFonts w:hint="eastAsia" w:eastAsiaTheme="minorEastAsia"/>
                <w:sz w:val="24"/>
                <w:shd w:val="clear" w:color="auto" w:fill="FFFFFF"/>
              </w:rPr>
              <w:t>限值</w:t>
            </w:r>
            <w:r>
              <w:rPr>
                <w:rFonts w:eastAsiaTheme="minorEastAsia"/>
                <w:sz w:val="24"/>
                <w:shd w:val="clear" w:color="auto" w:fill="FFFFFF"/>
              </w:rPr>
              <w:t>要求</w:t>
            </w:r>
            <w:r>
              <w:rPr>
                <w:rFonts w:hint="eastAsia" w:eastAsiaTheme="minorEastAsia"/>
                <w:sz w:val="24"/>
                <w:shd w:val="clear" w:color="auto" w:fill="FFFFFF"/>
              </w:rPr>
              <w:t>。</w:t>
            </w:r>
          </w:p>
          <w:p w14:paraId="1AD9001D">
            <w:pPr>
              <w:widowControl/>
              <w:spacing w:line="360" w:lineRule="auto"/>
              <w:ind w:firstLine="482" w:firstLineChars="200"/>
              <w:jc w:val="left"/>
              <w:rPr>
                <w:b/>
                <w:sz w:val="24"/>
              </w:rPr>
            </w:pPr>
            <w:r>
              <w:rPr>
                <w:rFonts w:hint="eastAsia"/>
                <w:b/>
                <w:sz w:val="24"/>
                <w:lang w:eastAsia="zh-CN"/>
              </w:rPr>
              <w:t>（</w:t>
            </w:r>
            <w:r>
              <w:rPr>
                <w:rFonts w:hint="eastAsia"/>
                <w:b/>
                <w:sz w:val="24"/>
                <w:lang w:val="en-US" w:eastAsia="zh-CN"/>
              </w:rPr>
              <w:t>2）</w:t>
            </w:r>
            <w:r>
              <w:rPr>
                <w:b/>
                <w:sz w:val="24"/>
              </w:rPr>
              <w:t>废水</w:t>
            </w:r>
          </w:p>
          <w:p w14:paraId="685CCF36">
            <w:pPr>
              <w:widowControl/>
              <w:spacing w:line="360" w:lineRule="auto"/>
              <w:ind w:firstLine="480" w:firstLineChars="200"/>
              <w:jc w:val="left"/>
              <w:rPr>
                <w:bCs/>
                <w:sz w:val="24"/>
              </w:rPr>
            </w:pPr>
            <w:r>
              <w:rPr>
                <w:rFonts w:hint="eastAsia"/>
                <w:sz w:val="24"/>
                <w:lang w:val="en-US" w:eastAsia="zh-CN"/>
              </w:rPr>
              <w:t>现有</w:t>
            </w:r>
            <w:r>
              <w:rPr>
                <w:rFonts w:hint="eastAsia"/>
                <w:sz w:val="24"/>
              </w:rPr>
              <w:t>工程废水主要为生活污水，生活污水排入防渗旱厕，由市政部门定期清掏堆肥</w:t>
            </w:r>
            <w:r>
              <w:rPr>
                <w:kern w:val="0"/>
                <w:sz w:val="24"/>
                <w:lang w:bidi="ar"/>
              </w:rPr>
              <w:t>。</w:t>
            </w:r>
          </w:p>
          <w:p w14:paraId="377DCB52">
            <w:pPr>
              <w:widowControl/>
              <w:spacing w:line="360" w:lineRule="auto"/>
              <w:ind w:firstLine="482" w:firstLineChars="200"/>
              <w:jc w:val="left"/>
              <w:rPr>
                <w:b/>
                <w:sz w:val="24"/>
              </w:rPr>
            </w:pPr>
            <w:r>
              <w:rPr>
                <w:rFonts w:hint="eastAsia"/>
                <w:b/>
                <w:sz w:val="24"/>
                <w:lang w:eastAsia="zh-CN"/>
              </w:rPr>
              <w:t>（</w:t>
            </w:r>
            <w:r>
              <w:rPr>
                <w:rFonts w:hint="eastAsia"/>
                <w:b/>
                <w:sz w:val="24"/>
                <w:lang w:val="en-US" w:eastAsia="zh-CN"/>
              </w:rPr>
              <w:t>3）</w:t>
            </w:r>
            <w:r>
              <w:rPr>
                <w:b/>
                <w:sz w:val="24"/>
              </w:rPr>
              <w:t>噪声</w:t>
            </w:r>
          </w:p>
          <w:p w14:paraId="0AC04FD7">
            <w:pPr>
              <w:pStyle w:val="59"/>
              <w:adjustRightInd w:val="0"/>
              <w:spacing w:line="360" w:lineRule="auto"/>
              <w:ind w:firstLine="480"/>
              <w:rPr>
                <w:szCs w:val="24"/>
                <w:lang w:bidi="ar"/>
              </w:rPr>
            </w:pPr>
            <w:r>
              <w:rPr>
                <w:szCs w:val="24"/>
                <w:lang w:bidi="ar"/>
              </w:rPr>
              <w:t>现有工程噪声</w:t>
            </w:r>
            <w:r>
              <w:rPr>
                <w:rFonts w:hint="eastAsia"/>
                <w:szCs w:val="24"/>
                <w:lang w:bidi="ar"/>
              </w:rPr>
              <w:t>主要为热风炉风机、设备机械噪声、运输车辆噪声。选用低噪声设备，对高噪声设备采取了底座安装减振垫等减振措施，对来往车辆限速、控制鸣笛</w:t>
            </w:r>
            <w:r>
              <w:rPr>
                <w:szCs w:val="24"/>
                <w:lang w:bidi="ar"/>
              </w:rPr>
              <w:t>。</w:t>
            </w:r>
          </w:p>
          <w:p w14:paraId="3E7D9A48">
            <w:pPr>
              <w:pStyle w:val="59"/>
              <w:adjustRightInd w:val="0"/>
              <w:spacing w:line="360" w:lineRule="auto"/>
              <w:ind w:firstLine="480"/>
              <w:rPr>
                <w:rFonts w:hint="eastAsia" w:eastAsiaTheme="minorEastAsia"/>
                <w:color w:val="C00000"/>
                <w:sz w:val="24"/>
                <w:lang w:val="en-US" w:eastAsia="zh-CN"/>
              </w:rPr>
            </w:pPr>
            <w:r>
              <w:rPr>
                <w:rFonts w:hint="eastAsia"/>
                <w:color w:val="C00000"/>
                <w:sz w:val="24"/>
              </w:rPr>
              <w:t>根据</w:t>
            </w:r>
            <w:r>
              <w:rPr>
                <w:rFonts w:hint="eastAsia"/>
                <w:color w:val="C00000"/>
                <w:sz w:val="24"/>
                <w:lang w:val="en-US" w:eastAsia="zh-CN"/>
              </w:rPr>
              <w:t>企业</w:t>
            </w:r>
            <w:r>
              <w:rPr>
                <w:rFonts w:hint="eastAsia"/>
                <w:color w:val="C00000"/>
                <w:sz w:val="24"/>
              </w:rPr>
              <w:t>2024年度</w:t>
            </w:r>
            <w:r>
              <w:rPr>
                <w:rFonts w:hint="eastAsia"/>
                <w:color w:val="C00000"/>
                <w:sz w:val="24"/>
                <w:lang w:val="en-US" w:eastAsia="zh-CN"/>
              </w:rPr>
              <w:t>例行检测</w:t>
            </w:r>
            <w:r>
              <w:rPr>
                <w:rFonts w:hint="eastAsia"/>
                <w:color w:val="C00000"/>
                <w:sz w:val="24"/>
              </w:rPr>
              <w:t>报告中数据，检测结果如下：</w:t>
            </w:r>
            <w:r>
              <w:rPr>
                <w:rFonts w:ascii="Times New Roman" w:hAnsi="Times New Roman" w:cs="Times New Roman" w:eastAsiaTheme="minorEastAsia"/>
                <w:bCs/>
                <w:color w:val="C00000"/>
              </w:rPr>
              <w:t>监测期间，厂界噪声监测点昼间监测结果为昼间噪声最大值为</w:t>
            </w:r>
            <w:r>
              <w:rPr>
                <w:rFonts w:hint="eastAsia" w:ascii="Times New Roman" w:hAnsi="Times New Roman" w:cs="Times New Roman" w:eastAsiaTheme="minorEastAsia"/>
                <w:bCs/>
                <w:color w:val="C00000"/>
                <w:lang w:val="en-US" w:eastAsia="zh-CN"/>
              </w:rPr>
              <w:t>53</w:t>
            </w:r>
            <w:r>
              <w:rPr>
                <w:rFonts w:ascii="Times New Roman" w:hAnsi="Times New Roman" w:cs="Times New Roman" w:eastAsiaTheme="minorEastAsia"/>
                <w:bCs/>
                <w:color w:val="C00000"/>
              </w:rPr>
              <w:t>dB(A)，夜间监测结果为夜间噪声最大值为</w:t>
            </w:r>
            <w:r>
              <w:rPr>
                <w:rFonts w:hint="eastAsia" w:ascii="Times New Roman" w:hAnsi="Times New Roman" w:cs="Times New Roman" w:eastAsiaTheme="minorEastAsia"/>
                <w:bCs/>
                <w:color w:val="C00000"/>
                <w:lang w:val="en-US" w:eastAsia="zh-CN"/>
              </w:rPr>
              <w:t>45</w:t>
            </w:r>
            <w:r>
              <w:rPr>
                <w:rFonts w:ascii="Times New Roman" w:hAnsi="Times New Roman" w:cs="Times New Roman" w:eastAsiaTheme="minorEastAsia"/>
                <w:bCs/>
                <w:color w:val="C00000"/>
              </w:rPr>
              <w:t>dB(A)，厂界排放噪声符合《工业企业厂界环境噪声排放标准》(GB12348-2008)2类标准</w:t>
            </w:r>
            <w:r>
              <w:rPr>
                <w:rFonts w:hint="eastAsia" w:ascii="Times New Roman" w:hAnsi="Times New Roman" w:cs="Times New Roman" w:eastAsiaTheme="minorEastAsia"/>
                <w:bCs/>
                <w:color w:val="C00000"/>
                <w:lang w:eastAsia="zh-CN"/>
              </w:rPr>
              <w:t>。</w:t>
            </w:r>
          </w:p>
          <w:p w14:paraId="2F1E8F17">
            <w:pPr>
              <w:widowControl/>
              <w:spacing w:line="360" w:lineRule="auto"/>
              <w:ind w:firstLine="482" w:firstLineChars="200"/>
              <w:jc w:val="left"/>
              <w:rPr>
                <w:color w:val="C00000"/>
                <w:sz w:val="24"/>
              </w:rPr>
            </w:pPr>
            <w:r>
              <w:rPr>
                <w:rFonts w:hint="eastAsia"/>
                <w:b/>
                <w:color w:val="C00000"/>
                <w:sz w:val="24"/>
                <w:lang w:eastAsia="zh-CN"/>
              </w:rPr>
              <w:t>（</w:t>
            </w:r>
            <w:r>
              <w:rPr>
                <w:rFonts w:hint="eastAsia"/>
                <w:b/>
                <w:color w:val="C00000"/>
                <w:sz w:val="24"/>
                <w:lang w:val="en-US" w:eastAsia="zh-CN"/>
              </w:rPr>
              <w:t>4）</w:t>
            </w:r>
            <w:r>
              <w:rPr>
                <w:b/>
                <w:color w:val="C00000"/>
                <w:sz w:val="24"/>
              </w:rPr>
              <w:t>固废</w:t>
            </w:r>
          </w:p>
          <w:p w14:paraId="3C4E2C15">
            <w:pPr>
              <w:adjustRightInd w:val="0"/>
              <w:spacing w:line="360" w:lineRule="auto"/>
              <w:ind w:firstLine="480" w:firstLineChars="200"/>
              <w:textAlignment w:val="baseline"/>
              <w:rPr>
                <w:rFonts w:hint="eastAsia" w:eastAsia="宋体"/>
                <w:color w:val="C00000"/>
                <w:kern w:val="0"/>
                <w:sz w:val="24"/>
                <w:lang w:eastAsia="zh-CN"/>
              </w:rPr>
            </w:pPr>
            <w:r>
              <w:rPr>
                <w:rFonts w:hint="eastAsia"/>
                <w:color w:val="C00000"/>
                <w:kern w:val="0"/>
                <w:sz w:val="24"/>
              </w:rPr>
              <w:t>生活垃圾和生产过程中产生的碎石，土块等杂质集中收集，由市政部门统一清运</w:t>
            </w:r>
            <w:r>
              <w:rPr>
                <w:rFonts w:hint="eastAsia"/>
                <w:color w:val="C00000"/>
                <w:kern w:val="0"/>
                <w:sz w:val="24"/>
                <w:lang w:eastAsia="zh-CN"/>
              </w:rPr>
              <w:t>；</w:t>
            </w:r>
            <w:r>
              <w:rPr>
                <w:rFonts w:hint="eastAsia"/>
                <w:color w:val="C00000"/>
                <w:kern w:val="0"/>
                <w:sz w:val="24"/>
              </w:rPr>
              <w:t>除尘器收集的粉尘、糠、糠粞、装卸过程中散落的的粮食颗粒及废包装集中收集，外售、综合利用</w:t>
            </w:r>
            <w:r>
              <w:rPr>
                <w:rFonts w:hint="eastAsia"/>
                <w:color w:val="C00000"/>
                <w:kern w:val="0"/>
                <w:sz w:val="24"/>
                <w:lang w:eastAsia="zh-CN"/>
              </w:rPr>
              <w:t>；</w:t>
            </w:r>
            <w:r>
              <w:rPr>
                <w:rFonts w:hint="eastAsia"/>
                <w:color w:val="C00000"/>
                <w:kern w:val="0"/>
                <w:sz w:val="24"/>
              </w:rPr>
              <w:t>燃煤热风炉炉渣外售，综合利用</w:t>
            </w:r>
            <w:r>
              <w:rPr>
                <w:rFonts w:hint="eastAsia"/>
                <w:color w:val="C00000"/>
                <w:kern w:val="0"/>
                <w:sz w:val="24"/>
                <w:lang w:eastAsia="zh-CN"/>
              </w:rPr>
              <w:t>。</w:t>
            </w:r>
          </w:p>
          <w:p w14:paraId="00507DA5">
            <w:pPr>
              <w:pStyle w:val="46"/>
              <w:spacing w:line="360" w:lineRule="auto"/>
              <w:ind w:firstLine="482" w:firstLineChars="200"/>
              <w:jc w:val="both"/>
              <w:rPr>
                <w:rFonts w:ascii="Times New Roman" w:hAnsi="Times New Roman" w:cs="Times New Roman"/>
                <w:b/>
                <w:bCs/>
                <w:color w:val="C00000"/>
                <w:highlight w:val="yellow"/>
                <w:lang w:bidi="ar"/>
              </w:rPr>
            </w:pPr>
            <w:r>
              <w:rPr>
                <w:rFonts w:hint="eastAsia" w:ascii="Times New Roman" w:hAnsi="Times New Roman" w:cs="Times New Roman"/>
                <w:b/>
                <w:bCs/>
                <w:color w:val="C00000"/>
                <w:lang w:bidi="ar"/>
              </w:rPr>
              <w:t>六</w:t>
            </w:r>
            <w:r>
              <w:rPr>
                <w:rFonts w:ascii="Times New Roman" w:hAnsi="Times New Roman" w:cs="Times New Roman"/>
                <w:b/>
                <w:bCs/>
                <w:color w:val="C00000"/>
                <w:lang w:bidi="ar"/>
              </w:rPr>
              <w:t>、现有工程存在的问题：</w:t>
            </w:r>
          </w:p>
          <w:p w14:paraId="72CAF3D4">
            <w:pPr>
              <w:pStyle w:val="18"/>
              <w:spacing w:after="0" w:line="360" w:lineRule="auto"/>
              <w:ind w:left="0" w:leftChars="0" w:firstLine="480" w:firstLineChars="200"/>
              <w:rPr>
                <w:rFonts w:hint="default"/>
                <w:bCs/>
                <w:color w:val="C00000"/>
                <w:sz w:val="24"/>
              </w:rPr>
            </w:pPr>
            <w:r>
              <w:rPr>
                <w:color w:val="C00000"/>
                <w:sz w:val="24"/>
              </w:rPr>
              <w:t>原工程污染物均达标排放，各项污染防治措施正常运行</w:t>
            </w:r>
            <w:r>
              <w:rPr>
                <w:rFonts w:hint="eastAsia"/>
                <w:color w:val="C00000"/>
                <w:sz w:val="24"/>
              </w:rPr>
              <w:t>，</w:t>
            </w:r>
            <w:r>
              <w:rPr>
                <w:color w:val="C00000"/>
                <w:sz w:val="24"/>
              </w:rPr>
              <w:t>无主要环境问题</w:t>
            </w:r>
            <w:r>
              <w:rPr>
                <w:color w:val="C00000"/>
                <w:kern w:val="0"/>
                <w:sz w:val="24"/>
                <w:szCs w:val="20"/>
              </w:rPr>
              <w:t>。</w:t>
            </w:r>
          </w:p>
          <w:p w14:paraId="1A6268EB">
            <w:pPr>
              <w:widowControl/>
              <w:spacing w:line="360" w:lineRule="auto"/>
              <w:ind w:firstLine="482" w:firstLineChars="200"/>
              <w:jc w:val="left"/>
              <w:rPr>
                <w:b/>
                <w:bCs/>
                <w:sz w:val="24"/>
              </w:rPr>
            </w:pPr>
            <w:r>
              <w:rPr>
                <w:rFonts w:hint="eastAsia"/>
                <w:b/>
                <w:bCs/>
                <w:kern w:val="0"/>
                <w:sz w:val="24"/>
                <w:lang w:bidi="ar"/>
              </w:rPr>
              <w:t>七</w:t>
            </w:r>
            <w:r>
              <w:rPr>
                <w:b/>
                <w:bCs/>
                <w:kern w:val="0"/>
                <w:sz w:val="24"/>
                <w:lang w:bidi="ar"/>
              </w:rPr>
              <w:t>、现有工程污染物</w:t>
            </w:r>
            <w:r>
              <w:rPr>
                <w:rFonts w:hint="eastAsia"/>
                <w:b/>
                <w:bCs/>
                <w:kern w:val="0"/>
                <w:sz w:val="24"/>
                <w:lang w:bidi="ar"/>
              </w:rPr>
              <w:t>排放总量</w:t>
            </w:r>
          </w:p>
          <w:p w14:paraId="16EB7E5D">
            <w:pPr>
              <w:adjustRightInd w:val="0"/>
              <w:spacing w:line="360" w:lineRule="auto"/>
              <w:ind w:firstLine="480" w:firstLineChars="200"/>
              <w:textAlignment w:val="baseline"/>
              <w:rPr>
                <w:color w:val="auto"/>
                <w:kern w:val="0"/>
                <w:sz w:val="24"/>
              </w:rPr>
            </w:pPr>
            <w:r>
              <w:rPr>
                <w:rFonts w:hint="eastAsia"/>
                <w:color w:val="C00000"/>
                <w:kern w:val="0"/>
                <w:sz w:val="24"/>
              </w:rPr>
              <w:t>根据《</w:t>
            </w:r>
            <w:r>
              <w:rPr>
                <w:rFonts w:hint="eastAsia"/>
                <w:color w:val="C00000"/>
                <w:sz w:val="24"/>
              </w:rPr>
              <w:t>双鸭山市润丰粮食有限公司建设</w:t>
            </w:r>
            <w:r>
              <w:rPr>
                <w:rFonts w:hint="eastAsia"/>
                <w:color w:val="C00000"/>
                <w:kern w:val="0"/>
                <w:sz w:val="24"/>
              </w:rPr>
              <w:t>项目环境现状评估报告》，未进行核定总量</w:t>
            </w:r>
            <w:r>
              <w:rPr>
                <w:rFonts w:hint="eastAsia"/>
                <w:color w:val="C00000"/>
                <w:kern w:val="0"/>
                <w:sz w:val="24"/>
                <w:lang w:eastAsia="zh-CN"/>
              </w:rPr>
              <w:t>，</w:t>
            </w:r>
            <w:r>
              <w:rPr>
                <w:rFonts w:hint="eastAsia"/>
                <w:color w:val="C00000"/>
                <w:kern w:val="0"/>
                <w:sz w:val="24"/>
                <w:lang w:val="en-US" w:eastAsia="zh-CN"/>
              </w:rPr>
              <w:t>预测量即为核定量，</w:t>
            </w:r>
            <w:r>
              <w:rPr>
                <w:rFonts w:hint="eastAsia"/>
                <w:color w:val="C00000"/>
                <w:kern w:val="0"/>
                <w:sz w:val="24"/>
              </w:rPr>
              <w:t>现有实际排放量根据</w:t>
            </w:r>
            <w:r>
              <w:rPr>
                <w:rFonts w:hint="eastAsia"/>
                <w:color w:val="C00000"/>
                <w:kern w:val="0"/>
                <w:sz w:val="24"/>
                <w:lang w:val="en-US" w:eastAsia="zh-CN"/>
              </w:rPr>
              <w:t>企业</w:t>
            </w:r>
            <w:r>
              <w:rPr>
                <w:rFonts w:hint="eastAsia"/>
                <w:color w:val="C00000"/>
                <w:kern w:val="0"/>
                <w:sz w:val="24"/>
              </w:rPr>
              <w:t>2024年</w:t>
            </w:r>
            <w:r>
              <w:rPr>
                <w:rFonts w:hint="eastAsia"/>
                <w:color w:val="C00000"/>
                <w:kern w:val="0"/>
                <w:sz w:val="24"/>
                <w:lang w:val="en-US" w:eastAsia="zh-CN"/>
              </w:rPr>
              <w:t>例行检测</w:t>
            </w:r>
            <w:r>
              <w:rPr>
                <w:rFonts w:hint="eastAsia"/>
                <w:color w:val="C00000"/>
                <w:kern w:val="0"/>
                <w:sz w:val="24"/>
              </w:rPr>
              <w:t>报告中数据，</w:t>
            </w:r>
            <w:r>
              <w:rPr>
                <w:rFonts w:hint="eastAsia"/>
                <w:color w:val="C00000"/>
                <w:kern w:val="0"/>
                <w:sz w:val="24"/>
                <w:lang w:val="en-US" w:eastAsia="zh-CN"/>
              </w:rPr>
              <w:t>按照满负荷计算，</w:t>
            </w:r>
            <w:r>
              <w:rPr>
                <w:rFonts w:hint="eastAsia"/>
                <w:color w:val="C00000"/>
                <w:kern w:val="0"/>
                <w:sz w:val="24"/>
              </w:rPr>
              <w:t>实际排放量见下表。</w:t>
            </w:r>
          </w:p>
          <w:p w14:paraId="3FD3373E">
            <w:pPr>
              <w:pStyle w:val="18"/>
              <w:adjustRightInd w:val="0"/>
              <w:snapToGrid w:val="0"/>
              <w:spacing w:after="0" w:line="240" w:lineRule="auto"/>
              <w:ind w:left="0" w:leftChars="0" w:firstLine="422" w:firstLineChars="200"/>
              <w:jc w:val="center"/>
              <w:rPr>
                <w:rFonts w:hint="default"/>
                <w:b/>
                <w:bCs/>
                <w:color w:val="C00000"/>
                <w:szCs w:val="21"/>
              </w:rPr>
            </w:pPr>
            <w:r>
              <w:rPr>
                <w:rFonts w:hint="default"/>
                <w:b/>
                <w:bCs/>
                <w:color w:val="C00000"/>
                <w:szCs w:val="21"/>
              </w:rPr>
              <w:t>表2-</w:t>
            </w:r>
            <w:r>
              <w:rPr>
                <w:b/>
                <w:bCs/>
                <w:color w:val="C00000"/>
                <w:szCs w:val="21"/>
              </w:rPr>
              <w:t>1</w:t>
            </w:r>
            <w:r>
              <w:rPr>
                <w:rFonts w:hint="eastAsia"/>
                <w:b/>
                <w:bCs/>
                <w:color w:val="C00000"/>
                <w:szCs w:val="21"/>
                <w:lang w:val="en-US" w:eastAsia="zh-CN"/>
              </w:rPr>
              <w:t>1</w:t>
            </w:r>
            <w:r>
              <w:rPr>
                <w:b/>
                <w:bCs/>
                <w:color w:val="C00000"/>
                <w:szCs w:val="21"/>
              </w:rPr>
              <w:t>现有</w:t>
            </w:r>
            <w:r>
              <w:rPr>
                <w:rFonts w:hint="default"/>
                <w:b/>
                <w:bCs/>
                <w:color w:val="C00000"/>
                <w:szCs w:val="21"/>
              </w:rPr>
              <w:t>工程</w:t>
            </w:r>
            <w:r>
              <w:rPr>
                <w:b/>
                <w:bCs/>
                <w:color w:val="C00000"/>
                <w:szCs w:val="21"/>
              </w:rPr>
              <w:t>污染物排放总量</w:t>
            </w:r>
          </w:p>
          <w:tbl>
            <w:tblPr>
              <w:tblStyle w:val="33"/>
              <w:tblW w:w="495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56"/>
              <w:gridCol w:w="2138"/>
              <w:gridCol w:w="2138"/>
              <w:gridCol w:w="2138"/>
            </w:tblGrid>
            <w:tr w14:paraId="3D4F34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5" w:type="pct"/>
                  <w:tcBorders>
                    <w:tl2br w:val="nil"/>
                    <w:tr2bl w:val="nil"/>
                  </w:tcBorders>
                  <w:vAlign w:val="center"/>
                </w:tcPr>
                <w:p w14:paraId="4581D3B5">
                  <w:pPr>
                    <w:pStyle w:val="112"/>
                    <w:widowControl/>
                    <w:kinsoku w:val="0"/>
                    <w:autoSpaceDE w:val="0"/>
                    <w:autoSpaceDN w:val="0"/>
                    <w:adjustRightInd w:val="0"/>
                    <w:snapToGrid w:val="0"/>
                    <w:jc w:val="center"/>
                    <w:textAlignment w:val="baseline"/>
                    <w:rPr>
                      <w:rFonts w:ascii="Times New Roman" w:hAnsi="Times New Roman" w:cs="Times New Roman"/>
                      <w:b/>
                      <w:bCs/>
                      <w:color w:val="C00000"/>
                      <w:spacing w:val="-1"/>
                      <w:sz w:val="21"/>
                      <w:szCs w:val="21"/>
                      <w:lang w:eastAsia="zh-CN"/>
                    </w:rPr>
                  </w:pPr>
                  <w:r>
                    <w:rPr>
                      <w:rFonts w:ascii="Times New Roman" w:hAnsi="Times New Roman" w:cs="Times New Roman"/>
                      <w:b/>
                      <w:bCs/>
                      <w:color w:val="C00000"/>
                      <w:spacing w:val="-1"/>
                      <w:sz w:val="21"/>
                      <w:szCs w:val="21"/>
                      <w:lang w:eastAsia="zh-CN"/>
                    </w:rPr>
                    <w:t>序号</w:t>
                  </w:r>
                </w:p>
              </w:tc>
              <w:tc>
                <w:tcPr>
                  <w:tcW w:w="1358" w:type="pct"/>
                  <w:tcBorders>
                    <w:tl2br w:val="nil"/>
                    <w:tr2bl w:val="nil"/>
                  </w:tcBorders>
                  <w:vAlign w:val="center"/>
                </w:tcPr>
                <w:p w14:paraId="5EE354CE">
                  <w:pPr>
                    <w:pStyle w:val="112"/>
                    <w:widowControl/>
                    <w:kinsoku w:val="0"/>
                    <w:autoSpaceDE w:val="0"/>
                    <w:autoSpaceDN w:val="0"/>
                    <w:adjustRightInd w:val="0"/>
                    <w:snapToGrid w:val="0"/>
                    <w:jc w:val="center"/>
                    <w:textAlignment w:val="baseline"/>
                    <w:rPr>
                      <w:rFonts w:ascii="Times New Roman" w:hAnsi="Times New Roman" w:cs="Times New Roman"/>
                      <w:b/>
                      <w:bCs/>
                      <w:color w:val="C00000"/>
                      <w:spacing w:val="-1"/>
                      <w:sz w:val="21"/>
                      <w:szCs w:val="21"/>
                      <w:lang w:eastAsia="zh-CN"/>
                    </w:rPr>
                  </w:pPr>
                  <w:r>
                    <w:rPr>
                      <w:rFonts w:ascii="Times New Roman" w:hAnsi="Times New Roman" w:cs="Times New Roman"/>
                      <w:b/>
                      <w:bCs/>
                      <w:color w:val="C00000"/>
                      <w:spacing w:val="-1"/>
                      <w:sz w:val="21"/>
                      <w:szCs w:val="21"/>
                      <w:lang w:eastAsia="zh-CN"/>
                    </w:rPr>
                    <w:t>污染物</w:t>
                  </w:r>
                </w:p>
              </w:tc>
              <w:tc>
                <w:tcPr>
                  <w:tcW w:w="1358" w:type="pct"/>
                  <w:tcBorders>
                    <w:tl2br w:val="nil"/>
                    <w:tr2bl w:val="nil"/>
                  </w:tcBorders>
                  <w:vAlign w:val="center"/>
                </w:tcPr>
                <w:p w14:paraId="7B759135">
                  <w:pPr>
                    <w:pStyle w:val="112"/>
                    <w:widowControl/>
                    <w:kinsoku w:val="0"/>
                    <w:autoSpaceDE w:val="0"/>
                    <w:autoSpaceDN w:val="0"/>
                    <w:adjustRightInd w:val="0"/>
                    <w:snapToGrid w:val="0"/>
                    <w:jc w:val="center"/>
                    <w:textAlignment w:val="baseline"/>
                    <w:rPr>
                      <w:rFonts w:hint="default" w:ascii="Times New Roman" w:hAnsi="Times New Roman" w:cs="Times New Roman"/>
                      <w:b/>
                      <w:bCs/>
                      <w:color w:val="C00000"/>
                      <w:spacing w:val="-1"/>
                      <w:sz w:val="21"/>
                      <w:szCs w:val="21"/>
                      <w:lang w:val="en-US" w:eastAsia="zh-CN"/>
                    </w:rPr>
                  </w:pPr>
                  <w:r>
                    <w:rPr>
                      <w:rFonts w:hint="eastAsia" w:ascii="Times New Roman" w:hAnsi="Times New Roman" w:cs="Times New Roman"/>
                      <w:b/>
                      <w:bCs/>
                      <w:color w:val="C00000"/>
                      <w:spacing w:val="-1"/>
                      <w:sz w:val="21"/>
                      <w:szCs w:val="21"/>
                      <w:lang w:val="en-US" w:eastAsia="zh-CN"/>
                    </w:rPr>
                    <w:t>核定排放量</w:t>
                  </w:r>
                </w:p>
              </w:tc>
              <w:tc>
                <w:tcPr>
                  <w:tcW w:w="1358" w:type="pct"/>
                  <w:tcBorders>
                    <w:tl2br w:val="nil"/>
                    <w:tr2bl w:val="nil"/>
                  </w:tcBorders>
                  <w:vAlign w:val="center"/>
                </w:tcPr>
                <w:p w14:paraId="0963FD88">
                  <w:pPr>
                    <w:pStyle w:val="112"/>
                    <w:widowControl/>
                    <w:kinsoku w:val="0"/>
                    <w:autoSpaceDE w:val="0"/>
                    <w:autoSpaceDN w:val="0"/>
                    <w:adjustRightInd w:val="0"/>
                    <w:snapToGrid w:val="0"/>
                    <w:jc w:val="center"/>
                    <w:textAlignment w:val="baseline"/>
                    <w:rPr>
                      <w:rFonts w:ascii="Times New Roman" w:hAnsi="Times New Roman" w:cs="Times New Roman"/>
                      <w:b/>
                      <w:bCs/>
                      <w:color w:val="C00000"/>
                      <w:spacing w:val="-1"/>
                      <w:sz w:val="21"/>
                      <w:szCs w:val="21"/>
                      <w:highlight w:val="none"/>
                      <w:lang w:eastAsia="zh-CN"/>
                    </w:rPr>
                  </w:pPr>
                  <w:r>
                    <w:rPr>
                      <w:rFonts w:hint="eastAsia" w:ascii="Times New Roman" w:hAnsi="Times New Roman" w:cs="Times New Roman"/>
                      <w:b/>
                      <w:bCs/>
                      <w:color w:val="C00000"/>
                      <w:spacing w:val="-1"/>
                      <w:sz w:val="21"/>
                      <w:szCs w:val="21"/>
                      <w:highlight w:val="none"/>
                      <w:lang w:eastAsia="zh-CN"/>
                    </w:rPr>
                    <w:t>实际排放量</w:t>
                  </w:r>
                </w:p>
              </w:tc>
            </w:tr>
            <w:tr w14:paraId="3B1CE4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5" w:type="pct"/>
                  <w:tcBorders>
                    <w:tl2br w:val="nil"/>
                    <w:tr2bl w:val="nil"/>
                  </w:tcBorders>
                  <w:vAlign w:val="center"/>
                </w:tcPr>
                <w:p w14:paraId="4E517200">
                  <w:pPr>
                    <w:pStyle w:val="112"/>
                    <w:widowControl/>
                    <w:kinsoku w:val="0"/>
                    <w:autoSpaceDE w:val="0"/>
                    <w:autoSpaceDN w:val="0"/>
                    <w:adjustRightInd w:val="0"/>
                    <w:snapToGrid w:val="0"/>
                    <w:jc w:val="center"/>
                    <w:textAlignment w:val="baseline"/>
                    <w:rPr>
                      <w:rFonts w:ascii="Times New Roman" w:hAnsi="Times New Roman" w:cs="Times New Roman"/>
                      <w:color w:val="C00000"/>
                      <w:spacing w:val="-1"/>
                      <w:sz w:val="21"/>
                      <w:szCs w:val="21"/>
                      <w:lang w:eastAsia="zh-CN"/>
                    </w:rPr>
                  </w:pPr>
                  <w:r>
                    <w:rPr>
                      <w:rFonts w:ascii="Times New Roman" w:hAnsi="Times New Roman" w:cs="Times New Roman"/>
                      <w:color w:val="C00000"/>
                      <w:spacing w:val="-1"/>
                      <w:sz w:val="21"/>
                      <w:szCs w:val="21"/>
                      <w:lang w:eastAsia="zh-CN"/>
                    </w:rPr>
                    <w:t>1</w:t>
                  </w:r>
                </w:p>
              </w:tc>
              <w:tc>
                <w:tcPr>
                  <w:tcW w:w="1358" w:type="pct"/>
                  <w:tcBorders>
                    <w:tl2br w:val="nil"/>
                    <w:tr2bl w:val="nil"/>
                  </w:tcBorders>
                  <w:vAlign w:val="center"/>
                </w:tcPr>
                <w:p w14:paraId="65157162">
                  <w:pPr>
                    <w:adjustRightInd w:val="0"/>
                    <w:snapToGrid w:val="0"/>
                    <w:jc w:val="center"/>
                    <w:rPr>
                      <w:color w:val="C00000"/>
                      <w:spacing w:val="-1"/>
                      <w:szCs w:val="21"/>
                    </w:rPr>
                  </w:pPr>
                  <w:r>
                    <w:rPr>
                      <w:rFonts w:hint="eastAsia"/>
                      <w:color w:val="C00000"/>
                      <w:szCs w:val="21"/>
                    </w:rPr>
                    <w:t>颗粒物</w:t>
                  </w:r>
                </w:p>
              </w:tc>
              <w:tc>
                <w:tcPr>
                  <w:tcW w:w="1358" w:type="pct"/>
                  <w:tcBorders>
                    <w:tl2br w:val="nil"/>
                    <w:tr2bl w:val="nil"/>
                  </w:tcBorders>
                  <w:vAlign w:val="center"/>
                </w:tcPr>
                <w:p w14:paraId="7A32561B">
                  <w:pPr>
                    <w:adjustRightInd w:val="0"/>
                    <w:snapToGrid w:val="0"/>
                    <w:jc w:val="center"/>
                    <w:rPr>
                      <w:rFonts w:hint="default" w:eastAsia="宋体"/>
                      <w:color w:val="C00000"/>
                      <w:szCs w:val="21"/>
                      <w:lang w:val="en-US" w:eastAsia="zh-CN"/>
                    </w:rPr>
                  </w:pPr>
                  <w:r>
                    <w:rPr>
                      <w:rFonts w:hint="eastAsia"/>
                      <w:color w:val="C00000"/>
                      <w:szCs w:val="21"/>
                      <w:lang w:val="en-US" w:eastAsia="zh-CN"/>
                    </w:rPr>
                    <w:t>1.00</w:t>
                  </w:r>
                </w:p>
              </w:tc>
              <w:tc>
                <w:tcPr>
                  <w:tcW w:w="2138" w:type="dxa"/>
                  <w:tcBorders>
                    <w:tl2br w:val="nil"/>
                    <w:tr2bl w:val="nil"/>
                  </w:tcBorders>
                  <w:vAlign w:val="center"/>
                </w:tcPr>
                <w:p w14:paraId="2E824F8B">
                  <w:pPr>
                    <w:keepNext w:val="0"/>
                    <w:keepLines w:val="0"/>
                    <w:widowControl/>
                    <w:suppressLineNumbers w:val="0"/>
                    <w:jc w:val="center"/>
                    <w:textAlignment w:val="center"/>
                    <w:rPr>
                      <w:rFonts w:hint="default"/>
                      <w:color w:val="C00000"/>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0.908</w:t>
                  </w:r>
                </w:p>
              </w:tc>
            </w:tr>
            <w:tr w14:paraId="48166F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5" w:type="pct"/>
                  <w:tcBorders>
                    <w:tl2br w:val="nil"/>
                    <w:tr2bl w:val="nil"/>
                  </w:tcBorders>
                  <w:vAlign w:val="center"/>
                </w:tcPr>
                <w:p w14:paraId="57772A40">
                  <w:pPr>
                    <w:pStyle w:val="112"/>
                    <w:widowControl/>
                    <w:kinsoku w:val="0"/>
                    <w:autoSpaceDE w:val="0"/>
                    <w:autoSpaceDN w:val="0"/>
                    <w:adjustRightInd w:val="0"/>
                    <w:snapToGrid w:val="0"/>
                    <w:jc w:val="center"/>
                    <w:textAlignment w:val="baseline"/>
                    <w:rPr>
                      <w:rFonts w:ascii="Times New Roman" w:hAnsi="Times New Roman" w:cs="Times New Roman"/>
                      <w:color w:val="C00000"/>
                      <w:spacing w:val="-1"/>
                      <w:sz w:val="21"/>
                      <w:szCs w:val="21"/>
                      <w:lang w:eastAsia="zh-CN"/>
                    </w:rPr>
                  </w:pPr>
                  <w:r>
                    <w:rPr>
                      <w:rFonts w:ascii="Times New Roman" w:hAnsi="Times New Roman" w:cs="Times New Roman"/>
                      <w:color w:val="C00000"/>
                      <w:spacing w:val="-1"/>
                      <w:sz w:val="21"/>
                      <w:szCs w:val="21"/>
                      <w:lang w:eastAsia="zh-CN"/>
                    </w:rPr>
                    <w:t>2</w:t>
                  </w:r>
                </w:p>
              </w:tc>
              <w:tc>
                <w:tcPr>
                  <w:tcW w:w="1358" w:type="pct"/>
                  <w:tcBorders>
                    <w:tl2br w:val="nil"/>
                    <w:tr2bl w:val="nil"/>
                  </w:tcBorders>
                  <w:vAlign w:val="center"/>
                </w:tcPr>
                <w:p w14:paraId="6E2D78BC">
                  <w:pPr>
                    <w:adjustRightInd w:val="0"/>
                    <w:snapToGrid w:val="0"/>
                    <w:jc w:val="center"/>
                    <w:rPr>
                      <w:color w:val="C00000"/>
                      <w:spacing w:val="-1"/>
                      <w:szCs w:val="21"/>
                    </w:rPr>
                  </w:pPr>
                  <w:r>
                    <w:rPr>
                      <w:color w:val="C00000"/>
                      <w:szCs w:val="21"/>
                    </w:rPr>
                    <w:t>SO</w:t>
                  </w:r>
                  <w:r>
                    <w:rPr>
                      <w:color w:val="C00000"/>
                      <w:szCs w:val="21"/>
                      <w:vertAlign w:val="subscript"/>
                    </w:rPr>
                    <w:t>2</w:t>
                  </w:r>
                </w:p>
              </w:tc>
              <w:tc>
                <w:tcPr>
                  <w:tcW w:w="1358" w:type="pct"/>
                  <w:tcBorders>
                    <w:tl2br w:val="nil"/>
                    <w:tr2bl w:val="nil"/>
                  </w:tcBorders>
                  <w:vAlign w:val="center"/>
                </w:tcPr>
                <w:p w14:paraId="7D23A73D">
                  <w:pPr>
                    <w:adjustRightInd w:val="0"/>
                    <w:snapToGrid w:val="0"/>
                    <w:jc w:val="center"/>
                    <w:rPr>
                      <w:rFonts w:hint="default" w:eastAsia="宋体"/>
                      <w:color w:val="C00000"/>
                      <w:szCs w:val="21"/>
                      <w:lang w:val="en-US" w:eastAsia="zh-CN"/>
                    </w:rPr>
                  </w:pPr>
                  <w:r>
                    <w:rPr>
                      <w:rFonts w:hint="eastAsia"/>
                      <w:color w:val="C00000"/>
                      <w:szCs w:val="21"/>
                      <w:lang w:val="en-US" w:eastAsia="zh-CN"/>
                    </w:rPr>
                    <w:t>3.84</w:t>
                  </w:r>
                </w:p>
              </w:tc>
              <w:tc>
                <w:tcPr>
                  <w:tcW w:w="2138" w:type="dxa"/>
                  <w:tcBorders>
                    <w:tl2br w:val="nil"/>
                    <w:tr2bl w:val="nil"/>
                  </w:tcBorders>
                  <w:vAlign w:val="center"/>
                </w:tcPr>
                <w:p w14:paraId="60F0D177">
                  <w:pPr>
                    <w:keepNext w:val="0"/>
                    <w:keepLines w:val="0"/>
                    <w:widowControl/>
                    <w:suppressLineNumbers w:val="0"/>
                    <w:jc w:val="center"/>
                    <w:textAlignment w:val="center"/>
                    <w:rPr>
                      <w:rFonts w:hint="default"/>
                      <w:color w:val="C00000"/>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0.615</w:t>
                  </w:r>
                </w:p>
              </w:tc>
            </w:tr>
            <w:tr w14:paraId="4A15D8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5" w:type="pct"/>
                  <w:tcBorders>
                    <w:tl2br w:val="nil"/>
                    <w:tr2bl w:val="nil"/>
                  </w:tcBorders>
                  <w:vAlign w:val="center"/>
                </w:tcPr>
                <w:p w14:paraId="651C8578">
                  <w:pPr>
                    <w:pStyle w:val="112"/>
                    <w:widowControl/>
                    <w:kinsoku w:val="0"/>
                    <w:autoSpaceDE w:val="0"/>
                    <w:autoSpaceDN w:val="0"/>
                    <w:adjustRightInd w:val="0"/>
                    <w:snapToGrid w:val="0"/>
                    <w:jc w:val="center"/>
                    <w:textAlignment w:val="baseline"/>
                    <w:rPr>
                      <w:rFonts w:ascii="Times New Roman" w:hAnsi="Times New Roman" w:cs="Times New Roman"/>
                      <w:color w:val="C00000"/>
                      <w:spacing w:val="-1"/>
                      <w:sz w:val="21"/>
                      <w:szCs w:val="21"/>
                      <w:lang w:eastAsia="zh-CN"/>
                    </w:rPr>
                  </w:pPr>
                  <w:r>
                    <w:rPr>
                      <w:rFonts w:ascii="Times New Roman" w:hAnsi="Times New Roman" w:cs="Times New Roman"/>
                      <w:color w:val="C00000"/>
                      <w:spacing w:val="-1"/>
                      <w:sz w:val="21"/>
                      <w:szCs w:val="21"/>
                      <w:lang w:eastAsia="zh-CN"/>
                    </w:rPr>
                    <w:t>3</w:t>
                  </w:r>
                </w:p>
              </w:tc>
              <w:tc>
                <w:tcPr>
                  <w:tcW w:w="1358" w:type="pct"/>
                  <w:tcBorders>
                    <w:tl2br w:val="nil"/>
                    <w:tr2bl w:val="nil"/>
                  </w:tcBorders>
                  <w:vAlign w:val="center"/>
                </w:tcPr>
                <w:p w14:paraId="6B40294B">
                  <w:pPr>
                    <w:adjustRightInd w:val="0"/>
                    <w:snapToGrid w:val="0"/>
                    <w:jc w:val="center"/>
                    <w:rPr>
                      <w:color w:val="C00000"/>
                      <w:spacing w:val="-1"/>
                      <w:szCs w:val="21"/>
                    </w:rPr>
                  </w:pPr>
                  <w:r>
                    <w:rPr>
                      <w:color w:val="C00000"/>
                      <w:szCs w:val="21"/>
                    </w:rPr>
                    <w:t>NO</w:t>
                  </w:r>
                  <w:r>
                    <w:rPr>
                      <w:color w:val="C00000"/>
                      <w:szCs w:val="21"/>
                      <w:vertAlign w:val="subscript"/>
                    </w:rPr>
                    <w:t>X</w:t>
                  </w:r>
                </w:p>
              </w:tc>
              <w:tc>
                <w:tcPr>
                  <w:tcW w:w="1358" w:type="pct"/>
                  <w:tcBorders>
                    <w:tl2br w:val="nil"/>
                    <w:tr2bl w:val="nil"/>
                  </w:tcBorders>
                  <w:vAlign w:val="center"/>
                </w:tcPr>
                <w:p w14:paraId="13E48ADF">
                  <w:pPr>
                    <w:adjustRightInd w:val="0"/>
                    <w:snapToGrid w:val="0"/>
                    <w:jc w:val="center"/>
                    <w:rPr>
                      <w:rFonts w:hint="default" w:eastAsia="宋体"/>
                      <w:color w:val="C00000"/>
                      <w:szCs w:val="21"/>
                      <w:lang w:val="en-US" w:eastAsia="zh-CN"/>
                    </w:rPr>
                  </w:pPr>
                  <w:r>
                    <w:rPr>
                      <w:rFonts w:hint="eastAsia"/>
                      <w:color w:val="C00000"/>
                      <w:szCs w:val="21"/>
                      <w:lang w:val="en-US" w:eastAsia="zh-CN"/>
                    </w:rPr>
                    <w:t>2.352</w:t>
                  </w:r>
                </w:p>
              </w:tc>
              <w:tc>
                <w:tcPr>
                  <w:tcW w:w="2138" w:type="dxa"/>
                  <w:tcBorders>
                    <w:tl2br w:val="nil"/>
                    <w:tr2bl w:val="nil"/>
                  </w:tcBorders>
                  <w:vAlign w:val="center"/>
                </w:tcPr>
                <w:p w14:paraId="23209907">
                  <w:pPr>
                    <w:keepNext w:val="0"/>
                    <w:keepLines w:val="0"/>
                    <w:widowControl/>
                    <w:suppressLineNumbers w:val="0"/>
                    <w:jc w:val="center"/>
                    <w:textAlignment w:val="center"/>
                    <w:rPr>
                      <w:rFonts w:hint="default"/>
                      <w:color w:val="C00000"/>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1.037</w:t>
                  </w:r>
                </w:p>
              </w:tc>
            </w:tr>
          </w:tbl>
          <w:p w14:paraId="0C4C4E55">
            <w:pPr>
              <w:pStyle w:val="50"/>
              <w:ind w:left="0" w:leftChars="0" w:firstLine="0" w:firstLineChars="0"/>
            </w:pPr>
          </w:p>
          <w:p w14:paraId="36C13784">
            <w:pPr>
              <w:pStyle w:val="50"/>
              <w:ind w:left="0" w:leftChars="0" w:firstLine="0" w:firstLineChars="0"/>
            </w:pPr>
          </w:p>
        </w:tc>
      </w:tr>
    </w:tbl>
    <w:p w14:paraId="74FDECC7">
      <w:pPr>
        <w:pStyle w:val="27"/>
        <w:jc w:val="center"/>
        <w:rPr>
          <w:rFonts w:ascii="Times New Roman" w:hAnsi="Times New Roman"/>
          <w:snapToGrid w:val="0"/>
          <w:sz w:val="36"/>
          <w:szCs w:val="36"/>
        </w:rPr>
        <w:sectPr>
          <w:pgSz w:w="11906" w:h="16838"/>
          <w:pgMar w:top="1701" w:right="1531" w:bottom="1701" w:left="1531" w:header="851" w:footer="851" w:gutter="0"/>
          <w:cols w:space="720" w:num="1"/>
          <w:docGrid w:linePitch="312" w:charSpace="0"/>
        </w:sectPr>
      </w:pPr>
    </w:p>
    <w:p w14:paraId="4B77B76A">
      <w:pPr>
        <w:pStyle w:val="27"/>
        <w:adjustRightInd w:val="0"/>
        <w:snapToGrid w:val="0"/>
        <w:spacing w:before="0" w:beforeAutospacing="0" w:after="0" w:afterAutospacing="0" w:line="14" w:lineRule="auto"/>
        <w:jc w:val="center"/>
        <w:rPr>
          <w:rFonts w:ascii="Times New Roman" w:hAnsi="Times New Roman"/>
          <w:snapToGrid w:val="0"/>
          <w:sz w:val="30"/>
          <w:szCs w:val="30"/>
        </w:rPr>
      </w:pPr>
    </w:p>
    <w:p w14:paraId="7481AE61">
      <w:pPr>
        <w:pStyle w:val="27"/>
        <w:jc w:val="center"/>
        <w:outlineLvl w:val="0"/>
        <w:rPr>
          <w:rFonts w:ascii="Times New Roman" w:hAnsi="Times New Roman"/>
          <w:snapToGrid w:val="0"/>
          <w:sz w:val="30"/>
          <w:szCs w:val="30"/>
        </w:rPr>
      </w:pPr>
      <w:bookmarkStart w:id="8" w:name="_Toc17295"/>
      <w:bookmarkStart w:id="9" w:name="_Toc2178"/>
      <w:r>
        <w:rPr>
          <w:rFonts w:ascii="Times New Roman" w:hAnsi="Times New Roman"/>
          <w:snapToGrid w:val="0"/>
          <w:sz w:val="30"/>
          <w:szCs w:val="30"/>
        </w:rPr>
        <w:t>三、区域环境质量现状、环境保护目标及评价标准</w:t>
      </w:r>
      <w:bookmarkEnd w:id="8"/>
      <w:bookmarkEnd w:id="9"/>
    </w:p>
    <w:tbl>
      <w:tblPr>
        <w:tblStyle w:val="32"/>
        <w:tblW w:w="89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2E3DC5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vAlign w:val="center"/>
          </w:tcPr>
          <w:p w14:paraId="04DCB9BE">
            <w:pPr>
              <w:adjustRightInd w:val="0"/>
              <w:snapToGrid w:val="0"/>
              <w:jc w:val="center"/>
              <w:rPr>
                <w:kern w:val="0"/>
                <w:szCs w:val="21"/>
              </w:rPr>
            </w:pPr>
            <w:r>
              <w:rPr>
                <w:kern w:val="0"/>
                <w:szCs w:val="21"/>
              </w:rPr>
              <w:t>区域</w:t>
            </w:r>
          </w:p>
          <w:p w14:paraId="58AC1C53">
            <w:pPr>
              <w:adjustRightInd w:val="0"/>
              <w:snapToGrid w:val="0"/>
              <w:jc w:val="center"/>
              <w:rPr>
                <w:kern w:val="0"/>
                <w:szCs w:val="21"/>
              </w:rPr>
            </w:pPr>
            <w:r>
              <w:rPr>
                <w:kern w:val="0"/>
                <w:szCs w:val="21"/>
              </w:rPr>
              <w:t>环境</w:t>
            </w:r>
          </w:p>
          <w:p w14:paraId="2265868B">
            <w:pPr>
              <w:adjustRightInd w:val="0"/>
              <w:snapToGrid w:val="0"/>
              <w:jc w:val="center"/>
              <w:rPr>
                <w:kern w:val="0"/>
                <w:szCs w:val="21"/>
              </w:rPr>
            </w:pPr>
            <w:r>
              <w:rPr>
                <w:kern w:val="0"/>
                <w:szCs w:val="21"/>
              </w:rPr>
              <w:t>质量</w:t>
            </w:r>
          </w:p>
          <w:p w14:paraId="7D7FB7E3">
            <w:pPr>
              <w:adjustRightInd w:val="0"/>
              <w:snapToGrid w:val="0"/>
              <w:jc w:val="center"/>
              <w:rPr>
                <w:kern w:val="0"/>
                <w:szCs w:val="21"/>
              </w:rPr>
            </w:pPr>
            <w:r>
              <w:rPr>
                <w:kern w:val="0"/>
                <w:szCs w:val="21"/>
              </w:rPr>
              <w:t>现状</w:t>
            </w:r>
          </w:p>
        </w:tc>
        <w:tc>
          <w:tcPr>
            <w:tcW w:w="8190" w:type="dxa"/>
            <w:vAlign w:val="center"/>
          </w:tcPr>
          <w:p w14:paraId="45B7B327">
            <w:pPr>
              <w:adjustRightInd w:val="0"/>
              <w:snapToGrid w:val="0"/>
              <w:spacing w:line="360" w:lineRule="auto"/>
              <w:ind w:firstLine="482" w:firstLineChars="200"/>
            </w:pPr>
            <w:r>
              <w:rPr>
                <w:b/>
                <w:sz w:val="24"/>
              </w:rPr>
              <w:t>1、环境空气</w:t>
            </w:r>
          </w:p>
          <w:p w14:paraId="325ADE2A">
            <w:pPr>
              <w:snapToGrid w:val="0"/>
              <w:spacing w:line="360" w:lineRule="auto"/>
              <w:ind w:firstLine="480" w:firstLineChars="200"/>
              <w:rPr>
                <w:sz w:val="24"/>
              </w:rPr>
            </w:pPr>
            <w:r>
              <w:rPr>
                <w:sz w:val="24"/>
              </w:rPr>
              <w:t>（1）基本污染物</w:t>
            </w:r>
          </w:p>
          <w:p w14:paraId="7B0660AE">
            <w:pPr>
              <w:adjustRightInd w:val="0"/>
              <w:snapToGrid w:val="0"/>
              <w:spacing w:line="360" w:lineRule="auto"/>
              <w:ind w:firstLine="480" w:firstLineChars="200"/>
              <w:rPr>
                <w:snapToGrid w:val="0"/>
                <w:kern w:val="0"/>
                <w:sz w:val="24"/>
                <w:lang w:val="en-GB"/>
              </w:rPr>
            </w:pPr>
            <w:r>
              <w:rPr>
                <w:sz w:val="24"/>
              </w:rPr>
              <w:t>本项目</w:t>
            </w:r>
            <w:r>
              <w:rPr>
                <w:rFonts w:hint="eastAsia"/>
                <w:sz w:val="24"/>
              </w:rPr>
              <w:t>位于双鸭山市</w:t>
            </w:r>
            <w:r>
              <w:rPr>
                <w:rFonts w:hint="eastAsia"/>
                <w:sz w:val="24"/>
                <w:lang w:val="en-GB"/>
              </w:rPr>
              <w:t>所在区域为二类功能区，执行《环境空气质量标准》（GB3095-2012）二级标准。</w:t>
            </w:r>
            <w:r>
              <w:rPr>
                <w:rFonts w:hint="eastAsia"/>
                <w:sz w:val="24"/>
              </w:rPr>
              <w:t>所在地</w:t>
            </w:r>
            <w:r>
              <w:rPr>
                <w:sz w:val="24"/>
              </w:rPr>
              <w:t>基本污染物</w:t>
            </w:r>
            <w:r>
              <w:rPr>
                <w:rFonts w:hint="eastAsia"/>
                <w:sz w:val="24"/>
                <w:lang w:val="en-GB"/>
              </w:rPr>
              <w:t>PM</w:t>
            </w:r>
            <w:r>
              <w:rPr>
                <w:rFonts w:hint="eastAsia"/>
                <w:sz w:val="24"/>
                <w:vertAlign w:val="subscript"/>
                <w:lang w:val="en-GB"/>
              </w:rPr>
              <w:t>10</w:t>
            </w:r>
            <w:r>
              <w:rPr>
                <w:rFonts w:hint="eastAsia"/>
                <w:sz w:val="24"/>
                <w:lang w:val="en-GB"/>
              </w:rPr>
              <w:t>、PM</w:t>
            </w:r>
            <w:r>
              <w:rPr>
                <w:rFonts w:hint="eastAsia"/>
                <w:sz w:val="24"/>
                <w:vertAlign w:val="subscript"/>
                <w:lang w:val="en-GB"/>
              </w:rPr>
              <w:t>2.5</w:t>
            </w:r>
            <w:r>
              <w:rPr>
                <w:rFonts w:hint="eastAsia"/>
                <w:sz w:val="24"/>
                <w:lang w:val="en-GB"/>
              </w:rPr>
              <w:t>、SO</w:t>
            </w:r>
            <w:r>
              <w:rPr>
                <w:rFonts w:hint="eastAsia"/>
                <w:sz w:val="24"/>
                <w:vertAlign w:val="subscript"/>
                <w:lang w:val="en-GB"/>
              </w:rPr>
              <w:t>2</w:t>
            </w:r>
            <w:r>
              <w:rPr>
                <w:rFonts w:hint="eastAsia"/>
                <w:sz w:val="24"/>
                <w:lang w:val="en-GB"/>
              </w:rPr>
              <w:t>、NO</w:t>
            </w:r>
            <w:r>
              <w:rPr>
                <w:rFonts w:hint="eastAsia"/>
                <w:sz w:val="24"/>
                <w:vertAlign w:val="subscript"/>
                <w:lang w:val="en-GB"/>
              </w:rPr>
              <w:t>2</w:t>
            </w:r>
            <w:r>
              <w:rPr>
                <w:rFonts w:hint="eastAsia"/>
                <w:sz w:val="24"/>
                <w:lang w:val="en-GB"/>
              </w:rPr>
              <w:t>、CO和O</w:t>
            </w:r>
            <w:r>
              <w:rPr>
                <w:rFonts w:hint="eastAsia"/>
                <w:sz w:val="24"/>
                <w:vertAlign w:val="subscript"/>
                <w:lang w:val="en-GB"/>
              </w:rPr>
              <w:t>3</w:t>
            </w:r>
            <w:r>
              <w:rPr>
                <w:rFonts w:hint="eastAsia"/>
                <w:sz w:val="24"/>
                <w:lang w:val="en-GB"/>
              </w:rPr>
              <w:t>的</w:t>
            </w:r>
            <w:r>
              <w:rPr>
                <w:sz w:val="24"/>
              </w:rPr>
              <w:t>环境质量现状</w:t>
            </w:r>
            <w:r>
              <w:rPr>
                <w:rFonts w:hint="eastAsia"/>
                <w:sz w:val="24"/>
              </w:rPr>
              <w:t>数据</w:t>
            </w:r>
            <w:r>
              <w:rPr>
                <w:sz w:val="24"/>
              </w:rPr>
              <w:t>引用</w:t>
            </w:r>
            <w:r>
              <w:rPr>
                <w:rFonts w:hint="eastAsia"/>
                <w:sz w:val="24"/>
              </w:rPr>
              <w:t>自《2024年双鸭山市环境空气质量状况》中公布的数据</w:t>
            </w:r>
            <w:r>
              <w:rPr>
                <w:rFonts w:hint="eastAsia"/>
                <w:snapToGrid w:val="0"/>
                <w:kern w:val="0"/>
                <w:sz w:val="24"/>
                <w:lang w:val="en-GB"/>
              </w:rPr>
              <w:t>，</w:t>
            </w:r>
            <w:r>
              <w:rPr>
                <w:rFonts w:hint="eastAsia"/>
                <w:snapToGrid w:val="0"/>
                <w:kern w:val="0"/>
                <w:sz w:val="24"/>
              </w:rPr>
              <w:t>具体见下表</w:t>
            </w:r>
            <w:r>
              <w:rPr>
                <w:rFonts w:hint="eastAsia"/>
                <w:snapToGrid w:val="0"/>
                <w:kern w:val="0"/>
                <w:sz w:val="24"/>
                <w:lang w:val="en-GB"/>
              </w:rPr>
              <w:t>。</w:t>
            </w:r>
          </w:p>
          <w:p w14:paraId="0D71C0EA">
            <w:pPr>
              <w:pStyle w:val="69"/>
              <w:spacing w:line="240" w:lineRule="auto"/>
              <w:rPr>
                <w:bCs/>
                <w:szCs w:val="21"/>
              </w:rPr>
            </w:pPr>
            <w:r>
              <w:rPr>
                <w:rFonts w:hint="eastAsia"/>
                <w:bCs/>
                <w:sz w:val="21"/>
                <w:szCs w:val="21"/>
              </w:rPr>
              <w:t xml:space="preserve">            </w:t>
            </w:r>
            <w:r>
              <w:rPr>
                <w:bCs/>
                <w:sz w:val="21"/>
                <w:szCs w:val="21"/>
              </w:rPr>
              <w:t>表3-1区域空气质量现状评价表</w:t>
            </w:r>
            <w:r>
              <w:rPr>
                <w:rFonts w:hint="eastAsia"/>
                <w:bCs/>
                <w:sz w:val="21"/>
                <w:szCs w:val="21"/>
              </w:rPr>
              <w:t xml:space="preserve">     </w:t>
            </w:r>
            <w:r>
              <w:rPr>
                <w:bCs/>
                <w:sz w:val="21"/>
                <w:szCs w:val="21"/>
              </w:rPr>
              <w:t>单位：</w:t>
            </w:r>
            <w:r>
              <w:rPr>
                <w:rFonts w:hint="default" w:ascii="Times New Roman" w:hAnsi="Times New Roman" w:cs="Times New Roman"/>
                <w:bCs/>
                <w:color w:val="auto"/>
                <w:sz w:val="21"/>
                <w:szCs w:val="21"/>
                <w:highlight w:val="none"/>
                <w:lang w:val="en-US" w:eastAsia="zh-CN"/>
              </w:rPr>
              <w:t>μg/m</w:t>
            </w:r>
            <w:r>
              <w:rPr>
                <w:rFonts w:hint="default" w:ascii="Times New Roman" w:hAnsi="Times New Roman" w:cs="Times New Roman"/>
                <w:bCs/>
                <w:color w:val="auto"/>
                <w:sz w:val="21"/>
                <w:szCs w:val="21"/>
                <w:highlight w:val="none"/>
                <w:vertAlign w:val="superscript"/>
                <w:lang w:val="en-US" w:eastAsia="zh-CN"/>
              </w:rPr>
              <w:t>3</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3"/>
              <w:gridCol w:w="2991"/>
              <w:gridCol w:w="878"/>
              <w:gridCol w:w="931"/>
              <w:gridCol w:w="913"/>
              <w:gridCol w:w="1035"/>
            </w:tblGrid>
            <w:tr w14:paraId="29DF8A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7" w:type="pct"/>
                  <w:tcBorders>
                    <w:tl2br w:val="nil"/>
                    <w:tr2bl w:val="nil"/>
                  </w:tcBorders>
                  <w:vAlign w:val="center"/>
                </w:tcPr>
                <w:p w14:paraId="6DF87988">
                  <w:pPr>
                    <w:adjustRightInd w:val="0"/>
                    <w:snapToGrid w:val="0"/>
                    <w:jc w:val="center"/>
                    <w:rPr>
                      <w:kern w:val="0"/>
                      <w:szCs w:val="21"/>
                    </w:rPr>
                  </w:pPr>
                  <w:r>
                    <w:rPr>
                      <w:kern w:val="0"/>
                      <w:szCs w:val="21"/>
                    </w:rPr>
                    <w:t>污染物</w:t>
                  </w:r>
                </w:p>
              </w:tc>
              <w:tc>
                <w:tcPr>
                  <w:tcW w:w="1876" w:type="pct"/>
                  <w:tcBorders>
                    <w:tl2br w:val="nil"/>
                    <w:tr2bl w:val="nil"/>
                  </w:tcBorders>
                  <w:vAlign w:val="center"/>
                </w:tcPr>
                <w:p w14:paraId="48A3F58A">
                  <w:pPr>
                    <w:adjustRightInd w:val="0"/>
                    <w:snapToGrid w:val="0"/>
                    <w:jc w:val="center"/>
                    <w:rPr>
                      <w:kern w:val="0"/>
                      <w:szCs w:val="21"/>
                    </w:rPr>
                  </w:pPr>
                  <w:r>
                    <w:rPr>
                      <w:kern w:val="0"/>
                      <w:szCs w:val="21"/>
                    </w:rPr>
                    <w:t>年评价指标</w:t>
                  </w:r>
                </w:p>
              </w:tc>
              <w:tc>
                <w:tcPr>
                  <w:tcW w:w="551" w:type="pct"/>
                  <w:tcBorders>
                    <w:tl2br w:val="nil"/>
                    <w:tr2bl w:val="nil"/>
                  </w:tcBorders>
                  <w:vAlign w:val="center"/>
                </w:tcPr>
                <w:p w14:paraId="6F2AA1C4">
                  <w:pPr>
                    <w:adjustRightInd w:val="0"/>
                    <w:snapToGrid w:val="0"/>
                    <w:jc w:val="center"/>
                    <w:rPr>
                      <w:kern w:val="0"/>
                      <w:szCs w:val="21"/>
                    </w:rPr>
                  </w:pPr>
                  <w:r>
                    <w:rPr>
                      <w:kern w:val="0"/>
                      <w:szCs w:val="21"/>
                    </w:rPr>
                    <w:t>现状浓度</w:t>
                  </w:r>
                </w:p>
              </w:tc>
              <w:tc>
                <w:tcPr>
                  <w:tcW w:w="584" w:type="pct"/>
                  <w:tcBorders>
                    <w:tl2br w:val="nil"/>
                    <w:tr2bl w:val="nil"/>
                  </w:tcBorders>
                  <w:vAlign w:val="center"/>
                </w:tcPr>
                <w:p w14:paraId="2F8DE176">
                  <w:pPr>
                    <w:adjustRightInd w:val="0"/>
                    <w:snapToGrid w:val="0"/>
                    <w:jc w:val="center"/>
                    <w:rPr>
                      <w:kern w:val="0"/>
                      <w:szCs w:val="21"/>
                    </w:rPr>
                  </w:pPr>
                  <w:r>
                    <w:rPr>
                      <w:kern w:val="0"/>
                      <w:szCs w:val="21"/>
                    </w:rPr>
                    <w:t>标准值</w:t>
                  </w:r>
                </w:p>
              </w:tc>
              <w:tc>
                <w:tcPr>
                  <w:tcW w:w="573" w:type="pct"/>
                  <w:tcBorders>
                    <w:tl2br w:val="nil"/>
                    <w:tr2bl w:val="nil"/>
                  </w:tcBorders>
                  <w:vAlign w:val="center"/>
                </w:tcPr>
                <w:p w14:paraId="62EB241B">
                  <w:pPr>
                    <w:adjustRightInd w:val="0"/>
                    <w:snapToGrid w:val="0"/>
                    <w:jc w:val="center"/>
                    <w:rPr>
                      <w:kern w:val="0"/>
                      <w:szCs w:val="21"/>
                    </w:rPr>
                  </w:pPr>
                  <w:r>
                    <w:rPr>
                      <w:kern w:val="0"/>
                      <w:szCs w:val="21"/>
                    </w:rPr>
                    <w:t>占标率</w:t>
                  </w:r>
                </w:p>
              </w:tc>
              <w:tc>
                <w:tcPr>
                  <w:tcW w:w="647" w:type="pct"/>
                  <w:tcBorders>
                    <w:tl2br w:val="nil"/>
                    <w:tr2bl w:val="nil"/>
                  </w:tcBorders>
                  <w:vAlign w:val="center"/>
                </w:tcPr>
                <w:p w14:paraId="1564DDC3">
                  <w:pPr>
                    <w:adjustRightInd w:val="0"/>
                    <w:snapToGrid w:val="0"/>
                    <w:jc w:val="center"/>
                    <w:rPr>
                      <w:kern w:val="0"/>
                      <w:szCs w:val="21"/>
                    </w:rPr>
                  </w:pPr>
                  <w:r>
                    <w:rPr>
                      <w:kern w:val="0"/>
                      <w:szCs w:val="21"/>
                    </w:rPr>
                    <w:t>达标情况</w:t>
                  </w:r>
                </w:p>
              </w:tc>
            </w:tr>
            <w:tr w14:paraId="218214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7" w:type="pct"/>
                  <w:tcBorders>
                    <w:tl2br w:val="nil"/>
                    <w:tr2bl w:val="nil"/>
                  </w:tcBorders>
                  <w:vAlign w:val="center"/>
                </w:tcPr>
                <w:p w14:paraId="18D2D722">
                  <w:pPr>
                    <w:adjustRightInd w:val="0"/>
                    <w:snapToGrid w:val="0"/>
                    <w:jc w:val="center"/>
                    <w:rPr>
                      <w:kern w:val="0"/>
                      <w:szCs w:val="21"/>
                    </w:rPr>
                  </w:pPr>
                  <w:r>
                    <w:rPr>
                      <w:kern w:val="0"/>
                      <w:szCs w:val="21"/>
                    </w:rPr>
                    <w:t>PM</w:t>
                  </w:r>
                  <w:r>
                    <w:rPr>
                      <w:kern w:val="0"/>
                      <w:szCs w:val="21"/>
                      <w:vertAlign w:val="subscript"/>
                    </w:rPr>
                    <w:t>2.5</w:t>
                  </w:r>
                </w:p>
              </w:tc>
              <w:tc>
                <w:tcPr>
                  <w:tcW w:w="1876" w:type="pct"/>
                  <w:tcBorders>
                    <w:tl2br w:val="nil"/>
                    <w:tr2bl w:val="nil"/>
                  </w:tcBorders>
                  <w:vAlign w:val="center"/>
                </w:tcPr>
                <w:p w14:paraId="1FDFBD42">
                  <w:pPr>
                    <w:adjustRightInd w:val="0"/>
                    <w:snapToGrid w:val="0"/>
                    <w:jc w:val="center"/>
                    <w:rPr>
                      <w:kern w:val="0"/>
                      <w:szCs w:val="21"/>
                    </w:rPr>
                  </w:pPr>
                  <w:r>
                    <w:rPr>
                      <w:kern w:val="0"/>
                      <w:szCs w:val="21"/>
                    </w:rPr>
                    <w:t>年平均质量浓度</w:t>
                  </w:r>
                </w:p>
              </w:tc>
              <w:tc>
                <w:tcPr>
                  <w:tcW w:w="551" w:type="pct"/>
                  <w:tcBorders>
                    <w:tl2br w:val="nil"/>
                    <w:tr2bl w:val="nil"/>
                  </w:tcBorders>
                  <w:vAlign w:val="center"/>
                </w:tcPr>
                <w:p w14:paraId="74202D17">
                  <w:pPr>
                    <w:jc w:val="center"/>
                    <w:rPr>
                      <w:kern w:val="0"/>
                      <w:szCs w:val="21"/>
                    </w:rPr>
                  </w:pPr>
                  <w:r>
                    <w:rPr>
                      <w:szCs w:val="21"/>
                    </w:rPr>
                    <w:t>27</w:t>
                  </w:r>
                </w:p>
              </w:tc>
              <w:tc>
                <w:tcPr>
                  <w:tcW w:w="584" w:type="pct"/>
                  <w:tcBorders>
                    <w:tl2br w:val="nil"/>
                    <w:tr2bl w:val="nil"/>
                  </w:tcBorders>
                  <w:vAlign w:val="center"/>
                </w:tcPr>
                <w:p w14:paraId="55A8C219">
                  <w:pPr>
                    <w:jc w:val="center"/>
                    <w:rPr>
                      <w:kern w:val="0"/>
                      <w:szCs w:val="21"/>
                    </w:rPr>
                  </w:pPr>
                  <w:r>
                    <w:rPr>
                      <w:kern w:val="0"/>
                      <w:szCs w:val="21"/>
                    </w:rPr>
                    <w:t>35</w:t>
                  </w:r>
                </w:p>
              </w:tc>
              <w:tc>
                <w:tcPr>
                  <w:tcW w:w="573" w:type="pct"/>
                  <w:tcBorders>
                    <w:tl2br w:val="nil"/>
                    <w:tr2bl w:val="nil"/>
                  </w:tcBorders>
                  <w:vAlign w:val="center"/>
                </w:tcPr>
                <w:p w14:paraId="4A5A4155">
                  <w:pPr>
                    <w:jc w:val="center"/>
                    <w:rPr>
                      <w:kern w:val="0"/>
                      <w:szCs w:val="21"/>
                    </w:rPr>
                  </w:pPr>
                  <w:r>
                    <w:rPr>
                      <w:kern w:val="0"/>
                      <w:szCs w:val="21"/>
                    </w:rPr>
                    <w:t>77.1</w:t>
                  </w:r>
                  <w:r>
                    <w:rPr>
                      <w:szCs w:val="21"/>
                    </w:rPr>
                    <w:t>%</w:t>
                  </w:r>
                </w:p>
              </w:tc>
              <w:tc>
                <w:tcPr>
                  <w:tcW w:w="647" w:type="pct"/>
                  <w:tcBorders>
                    <w:tl2br w:val="nil"/>
                    <w:tr2bl w:val="nil"/>
                  </w:tcBorders>
                  <w:vAlign w:val="center"/>
                </w:tcPr>
                <w:p w14:paraId="62D24918">
                  <w:pPr>
                    <w:adjustRightInd w:val="0"/>
                    <w:snapToGrid w:val="0"/>
                    <w:jc w:val="center"/>
                    <w:rPr>
                      <w:kern w:val="0"/>
                      <w:szCs w:val="21"/>
                    </w:rPr>
                  </w:pPr>
                  <w:r>
                    <w:rPr>
                      <w:szCs w:val="21"/>
                    </w:rPr>
                    <w:t>达标</w:t>
                  </w:r>
                </w:p>
              </w:tc>
            </w:tr>
            <w:tr w14:paraId="2B7B28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7" w:type="pct"/>
                  <w:tcBorders>
                    <w:tl2br w:val="nil"/>
                    <w:tr2bl w:val="nil"/>
                  </w:tcBorders>
                  <w:vAlign w:val="center"/>
                </w:tcPr>
                <w:p w14:paraId="2E7D0E70">
                  <w:pPr>
                    <w:adjustRightInd w:val="0"/>
                    <w:snapToGrid w:val="0"/>
                    <w:jc w:val="center"/>
                    <w:rPr>
                      <w:kern w:val="0"/>
                      <w:szCs w:val="21"/>
                    </w:rPr>
                  </w:pPr>
                  <w:r>
                    <w:rPr>
                      <w:kern w:val="0"/>
                      <w:szCs w:val="21"/>
                    </w:rPr>
                    <w:t>PM</w:t>
                  </w:r>
                  <w:r>
                    <w:rPr>
                      <w:kern w:val="0"/>
                      <w:szCs w:val="21"/>
                      <w:vertAlign w:val="subscript"/>
                    </w:rPr>
                    <w:t>10</w:t>
                  </w:r>
                </w:p>
              </w:tc>
              <w:tc>
                <w:tcPr>
                  <w:tcW w:w="1876" w:type="pct"/>
                  <w:tcBorders>
                    <w:tl2br w:val="nil"/>
                    <w:tr2bl w:val="nil"/>
                  </w:tcBorders>
                  <w:vAlign w:val="center"/>
                </w:tcPr>
                <w:p w14:paraId="57305BC2">
                  <w:pPr>
                    <w:adjustRightInd w:val="0"/>
                    <w:snapToGrid w:val="0"/>
                    <w:jc w:val="center"/>
                    <w:rPr>
                      <w:kern w:val="0"/>
                      <w:szCs w:val="21"/>
                    </w:rPr>
                  </w:pPr>
                  <w:r>
                    <w:rPr>
                      <w:kern w:val="0"/>
                      <w:szCs w:val="21"/>
                    </w:rPr>
                    <w:t>年平均质量浓度</w:t>
                  </w:r>
                </w:p>
              </w:tc>
              <w:tc>
                <w:tcPr>
                  <w:tcW w:w="551" w:type="pct"/>
                  <w:tcBorders>
                    <w:tl2br w:val="nil"/>
                    <w:tr2bl w:val="nil"/>
                  </w:tcBorders>
                  <w:vAlign w:val="center"/>
                </w:tcPr>
                <w:p w14:paraId="01C08E89">
                  <w:pPr>
                    <w:jc w:val="center"/>
                    <w:rPr>
                      <w:kern w:val="0"/>
                      <w:szCs w:val="21"/>
                    </w:rPr>
                  </w:pPr>
                  <w:r>
                    <w:rPr>
                      <w:szCs w:val="21"/>
                    </w:rPr>
                    <w:t>43</w:t>
                  </w:r>
                </w:p>
              </w:tc>
              <w:tc>
                <w:tcPr>
                  <w:tcW w:w="584" w:type="pct"/>
                  <w:tcBorders>
                    <w:tl2br w:val="nil"/>
                    <w:tr2bl w:val="nil"/>
                  </w:tcBorders>
                  <w:vAlign w:val="center"/>
                </w:tcPr>
                <w:p w14:paraId="70D51AC5">
                  <w:pPr>
                    <w:jc w:val="center"/>
                    <w:rPr>
                      <w:kern w:val="0"/>
                      <w:szCs w:val="21"/>
                    </w:rPr>
                  </w:pPr>
                  <w:r>
                    <w:rPr>
                      <w:kern w:val="0"/>
                      <w:szCs w:val="21"/>
                    </w:rPr>
                    <w:t>70</w:t>
                  </w:r>
                </w:p>
              </w:tc>
              <w:tc>
                <w:tcPr>
                  <w:tcW w:w="573" w:type="pct"/>
                  <w:tcBorders>
                    <w:tl2br w:val="nil"/>
                    <w:tr2bl w:val="nil"/>
                  </w:tcBorders>
                  <w:vAlign w:val="center"/>
                </w:tcPr>
                <w:p w14:paraId="602A8A22">
                  <w:pPr>
                    <w:jc w:val="center"/>
                    <w:rPr>
                      <w:kern w:val="0"/>
                      <w:szCs w:val="21"/>
                    </w:rPr>
                  </w:pPr>
                  <w:r>
                    <w:rPr>
                      <w:kern w:val="0"/>
                      <w:szCs w:val="21"/>
                    </w:rPr>
                    <w:t>61.4</w:t>
                  </w:r>
                  <w:r>
                    <w:rPr>
                      <w:szCs w:val="21"/>
                    </w:rPr>
                    <w:t>%</w:t>
                  </w:r>
                </w:p>
              </w:tc>
              <w:tc>
                <w:tcPr>
                  <w:tcW w:w="647" w:type="pct"/>
                  <w:tcBorders>
                    <w:tl2br w:val="nil"/>
                    <w:tr2bl w:val="nil"/>
                  </w:tcBorders>
                  <w:vAlign w:val="center"/>
                </w:tcPr>
                <w:p w14:paraId="7D47E53F">
                  <w:pPr>
                    <w:jc w:val="center"/>
                    <w:rPr>
                      <w:kern w:val="0"/>
                      <w:szCs w:val="21"/>
                    </w:rPr>
                  </w:pPr>
                  <w:r>
                    <w:rPr>
                      <w:szCs w:val="21"/>
                    </w:rPr>
                    <w:t>达标</w:t>
                  </w:r>
                </w:p>
              </w:tc>
            </w:tr>
            <w:tr w14:paraId="3776C7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7" w:type="pct"/>
                  <w:tcBorders>
                    <w:tl2br w:val="nil"/>
                    <w:tr2bl w:val="nil"/>
                  </w:tcBorders>
                  <w:vAlign w:val="center"/>
                </w:tcPr>
                <w:p w14:paraId="0BD9B899">
                  <w:pPr>
                    <w:adjustRightInd w:val="0"/>
                    <w:snapToGrid w:val="0"/>
                    <w:jc w:val="center"/>
                    <w:rPr>
                      <w:kern w:val="0"/>
                      <w:szCs w:val="21"/>
                    </w:rPr>
                  </w:pPr>
                  <w:r>
                    <w:rPr>
                      <w:kern w:val="0"/>
                      <w:szCs w:val="21"/>
                    </w:rPr>
                    <w:t>NO</w:t>
                  </w:r>
                  <w:r>
                    <w:rPr>
                      <w:kern w:val="0"/>
                      <w:szCs w:val="21"/>
                      <w:vertAlign w:val="subscript"/>
                    </w:rPr>
                    <w:t>2</w:t>
                  </w:r>
                </w:p>
              </w:tc>
              <w:tc>
                <w:tcPr>
                  <w:tcW w:w="1876" w:type="pct"/>
                  <w:tcBorders>
                    <w:tl2br w:val="nil"/>
                    <w:tr2bl w:val="nil"/>
                  </w:tcBorders>
                  <w:vAlign w:val="center"/>
                </w:tcPr>
                <w:p w14:paraId="23CEF147">
                  <w:pPr>
                    <w:adjustRightInd w:val="0"/>
                    <w:snapToGrid w:val="0"/>
                    <w:jc w:val="center"/>
                    <w:rPr>
                      <w:kern w:val="0"/>
                      <w:szCs w:val="21"/>
                    </w:rPr>
                  </w:pPr>
                  <w:r>
                    <w:rPr>
                      <w:kern w:val="0"/>
                      <w:szCs w:val="21"/>
                    </w:rPr>
                    <w:t>年平均质量浓度</w:t>
                  </w:r>
                </w:p>
              </w:tc>
              <w:tc>
                <w:tcPr>
                  <w:tcW w:w="551" w:type="pct"/>
                  <w:tcBorders>
                    <w:tl2br w:val="nil"/>
                    <w:tr2bl w:val="nil"/>
                  </w:tcBorders>
                  <w:vAlign w:val="center"/>
                </w:tcPr>
                <w:p w14:paraId="453BF6CF">
                  <w:pPr>
                    <w:jc w:val="center"/>
                    <w:rPr>
                      <w:kern w:val="0"/>
                      <w:szCs w:val="21"/>
                    </w:rPr>
                  </w:pPr>
                  <w:r>
                    <w:rPr>
                      <w:kern w:val="0"/>
                      <w:szCs w:val="21"/>
                    </w:rPr>
                    <w:t>11</w:t>
                  </w:r>
                </w:p>
              </w:tc>
              <w:tc>
                <w:tcPr>
                  <w:tcW w:w="584" w:type="pct"/>
                  <w:tcBorders>
                    <w:tl2br w:val="nil"/>
                    <w:tr2bl w:val="nil"/>
                  </w:tcBorders>
                  <w:vAlign w:val="center"/>
                </w:tcPr>
                <w:p w14:paraId="5F3D3EC2">
                  <w:pPr>
                    <w:jc w:val="center"/>
                    <w:rPr>
                      <w:kern w:val="0"/>
                      <w:szCs w:val="21"/>
                    </w:rPr>
                  </w:pPr>
                  <w:r>
                    <w:rPr>
                      <w:kern w:val="0"/>
                      <w:szCs w:val="21"/>
                    </w:rPr>
                    <w:t>40</w:t>
                  </w:r>
                </w:p>
              </w:tc>
              <w:tc>
                <w:tcPr>
                  <w:tcW w:w="573" w:type="pct"/>
                  <w:tcBorders>
                    <w:tl2br w:val="nil"/>
                    <w:tr2bl w:val="nil"/>
                  </w:tcBorders>
                  <w:vAlign w:val="center"/>
                </w:tcPr>
                <w:p w14:paraId="1C0318E3">
                  <w:pPr>
                    <w:jc w:val="center"/>
                    <w:rPr>
                      <w:kern w:val="0"/>
                      <w:szCs w:val="21"/>
                    </w:rPr>
                  </w:pPr>
                  <w:r>
                    <w:rPr>
                      <w:kern w:val="0"/>
                      <w:szCs w:val="21"/>
                    </w:rPr>
                    <w:t>27.5%</w:t>
                  </w:r>
                </w:p>
              </w:tc>
              <w:tc>
                <w:tcPr>
                  <w:tcW w:w="647" w:type="pct"/>
                  <w:tcBorders>
                    <w:tl2br w:val="nil"/>
                    <w:tr2bl w:val="nil"/>
                  </w:tcBorders>
                  <w:vAlign w:val="center"/>
                </w:tcPr>
                <w:p w14:paraId="52790048">
                  <w:pPr>
                    <w:jc w:val="center"/>
                    <w:rPr>
                      <w:kern w:val="0"/>
                      <w:szCs w:val="21"/>
                    </w:rPr>
                  </w:pPr>
                  <w:r>
                    <w:rPr>
                      <w:szCs w:val="21"/>
                    </w:rPr>
                    <w:t>达标</w:t>
                  </w:r>
                </w:p>
              </w:tc>
            </w:tr>
            <w:tr w14:paraId="00074B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7" w:type="pct"/>
                  <w:tcBorders>
                    <w:tl2br w:val="nil"/>
                    <w:tr2bl w:val="nil"/>
                  </w:tcBorders>
                  <w:vAlign w:val="center"/>
                </w:tcPr>
                <w:p w14:paraId="7C5ECCE0">
                  <w:pPr>
                    <w:adjustRightInd w:val="0"/>
                    <w:snapToGrid w:val="0"/>
                    <w:jc w:val="center"/>
                    <w:rPr>
                      <w:kern w:val="0"/>
                      <w:szCs w:val="21"/>
                    </w:rPr>
                  </w:pPr>
                  <w:r>
                    <w:rPr>
                      <w:kern w:val="0"/>
                      <w:szCs w:val="21"/>
                    </w:rPr>
                    <w:t>SO</w:t>
                  </w:r>
                  <w:r>
                    <w:rPr>
                      <w:kern w:val="0"/>
                      <w:szCs w:val="21"/>
                      <w:vertAlign w:val="subscript"/>
                    </w:rPr>
                    <w:t>2</w:t>
                  </w:r>
                </w:p>
              </w:tc>
              <w:tc>
                <w:tcPr>
                  <w:tcW w:w="1876" w:type="pct"/>
                  <w:tcBorders>
                    <w:tl2br w:val="nil"/>
                    <w:tr2bl w:val="nil"/>
                  </w:tcBorders>
                  <w:vAlign w:val="center"/>
                </w:tcPr>
                <w:p w14:paraId="4D594F69">
                  <w:pPr>
                    <w:adjustRightInd w:val="0"/>
                    <w:snapToGrid w:val="0"/>
                    <w:jc w:val="center"/>
                    <w:rPr>
                      <w:kern w:val="0"/>
                      <w:szCs w:val="21"/>
                    </w:rPr>
                  </w:pPr>
                  <w:r>
                    <w:rPr>
                      <w:kern w:val="0"/>
                      <w:szCs w:val="21"/>
                    </w:rPr>
                    <w:t>年平均质量浓度</w:t>
                  </w:r>
                </w:p>
              </w:tc>
              <w:tc>
                <w:tcPr>
                  <w:tcW w:w="551" w:type="pct"/>
                  <w:tcBorders>
                    <w:tl2br w:val="nil"/>
                    <w:tr2bl w:val="nil"/>
                  </w:tcBorders>
                  <w:vAlign w:val="center"/>
                </w:tcPr>
                <w:p w14:paraId="62F44EF5">
                  <w:pPr>
                    <w:jc w:val="center"/>
                    <w:rPr>
                      <w:kern w:val="0"/>
                      <w:szCs w:val="21"/>
                    </w:rPr>
                  </w:pPr>
                  <w:r>
                    <w:rPr>
                      <w:kern w:val="0"/>
                      <w:szCs w:val="21"/>
                    </w:rPr>
                    <w:t>15</w:t>
                  </w:r>
                </w:p>
              </w:tc>
              <w:tc>
                <w:tcPr>
                  <w:tcW w:w="584" w:type="pct"/>
                  <w:tcBorders>
                    <w:tl2br w:val="nil"/>
                    <w:tr2bl w:val="nil"/>
                  </w:tcBorders>
                  <w:vAlign w:val="center"/>
                </w:tcPr>
                <w:p w14:paraId="3A91B34B">
                  <w:pPr>
                    <w:jc w:val="center"/>
                    <w:rPr>
                      <w:kern w:val="0"/>
                      <w:szCs w:val="21"/>
                    </w:rPr>
                  </w:pPr>
                  <w:r>
                    <w:rPr>
                      <w:kern w:val="0"/>
                      <w:szCs w:val="21"/>
                    </w:rPr>
                    <w:t>60</w:t>
                  </w:r>
                </w:p>
              </w:tc>
              <w:tc>
                <w:tcPr>
                  <w:tcW w:w="573" w:type="pct"/>
                  <w:tcBorders>
                    <w:tl2br w:val="nil"/>
                    <w:tr2bl w:val="nil"/>
                  </w:tcBorders>
                  <w:vAlign w:val="center"/>
                </w:tcPr>
                <w:p w14:paraId="2E2AE312">
                  <w:pPr>
                    <w:jc w:val="center"/>
                    <w:rPr>
                      <w:kern w:val="0"/>
                      <w:szCs w:val="21"/>
                    </w:rPr>
                  </w:pPr>
                  <w:r>
                    <w:rPr>
                      <w:kern w:val="0"/>
                      <w:szCs w:val="21"/>
                    </w:rPr>
                    <w:t>25%</w:t>
                  </w:r>
                </w:p>
              </w:tc>
              <w:tc>
                <w:tcPr>
                  <w:tcW w:w="647" w:type="pct"/>
                  <w:tcBorders>
                    <w:tl2br w:val="nil"/>
                    <w:tr2bl w:val="nil"/>
                  </w:tcBorders>
                  <w:vAlign w:val="center"/>
                </w:tcPr>
                <w:p w14:paraId="1C1BD566">
                  <w:pPr>
                    <w:jc w:val="center"/>
                    <w:rPr>
                      <w:kern w:val="0"/>
                      <w:szCs w:val="21"/>
                    </w:rPr>
                  </w:pPr>
                  <w:r>
                    <w:rPr>
                      <w:szCs w:val="21"/>
                    </w:rPr>
                    <w:t>达标</w:t>
                  </w:r>
                </w:p>
              </w:tc>
            </w:tr>
            <w:tr w14:paraId="49F221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767" w:type="pct"/>
                  <w:tcBorders>
                    <w:tl2br w:val="nil"/>
                    <w:tr2bl w:val="nil"/>
                  </w:tcBorders>
                  <w:vAlign w:val="center"/>
                </w:tcPr>
                <w:p w14:paraId="2685AB3B">
                  <w:pPr>
                    <w:adjustRightInd w:val="0"/>
                    <w:snapToGrid w:val="0"/>
                    <w:jc w:val="center"/>
                    <w:rPr>
                      <w:kern w:val="0"/>
                      <w:szCs w:val="21"/>
                    </w:rPr>
                  </w:pPr>
                  <w:r>
                    <w:rPr>
                      <w:kern w:val="0"/>
                      <w:szCs w:val="21"/>
                    </w:rPr>
                    <w:t>CO（mg/m</w:t>
                  </w:r>
                  <w:r>
                    <w:rPr>
                      <w:kern w:val="0"/>
                      <w:szCs w:val="21"/>
                      <w:vertAlign w:val="superscript"/>
                    </w:rPr>
                    <w:t>3</w:t>
                  </w:r>
                  <w:r>
                    <w:rPr>
                      <w:kern w:val="0"/>
                      <w:szCs w:val="21"/>
                    </w:rPr>
                    <w:t>）</w:t>
                  </w:r>
                </w:p>
              </w:tc>
              <w:tc>
                <w:tcPr>
                  <w:tcW w:w="1876" w:type="pct"/>
                  <w:tcBorders>
                    <w:tl2br w:val="nil"/>
                    <w:tr2bl w:val="nil"/>
                  </w:tcBorders>
                  <w:vAlign w:val="center"/>
                </w:tcPr>
                <w:p w14:paraId="06BAAEBA">
                  <w:pPr>
                    <w:adjustRightInd w:val="0"/>
                    <w:snapToGrid w:val="0"/>
                    <w:jc w:val="center"/>
                    <w:rPr>
                      <w:kern w:val="0"/>
                      <w:szCs w:val="21"/>
                    </w:rPr>
                  </w:pPr>
                  <w:r>
                    <w:rPr>
                      <w:kern w:val="0"/>
                      <w:szCs w:val="21"/>
                    </w:rPr>
                    <w:t>百分位数日平均质量浓度</w:t>
                  </w:r>
                </w:p>
              </w:tc>
              <w:tc>
                <w:tcPr>
                  <w:tcW w:w="551" w:type="pct"/>
                  <w:tcBorders>
                    <w:tl2br w:val="nil"/>
                    <w:tr2bl w:val="nil"/>
                  </w:tcBorders>
                  <w:vAlign w:val="center"/>
                </w:tcPr>
                <w:p w14:paraId="377F90A7">
                  <w:pPr>
                    <w:jc w:val="center"/>
                    <w:rPr>
                      <w:kern w:val="0"/>
                      <w:szCs w:val="21"/>
                    </w:rPr>
                  </w:pPr>
                  <w:r>
                    <w:rPr>
                      <w:kern w:val="0"/>
                      <w:szCs w:val="21"/>
                    </w:rPr>
                    <w:t>0.9</w:t>
                  </w:r>
                </w:p>
              </w:tc>
              <w:tc>
                <w:tcPr>
                  <w:tcW w:w="584" w:type="pct"/>
                  <w:tcBorders>
                    <w:tl2br w:val="nil"/>
                    <w:tr2bl w:val="nil"/>
                  </w:tcBorders>
                  <w:vAlign w:val="center"/>
                </w:tcPr>
                <w:p w14:paraId="5A6A189A">
                  <w:pPr>
                    <w:jc w:val="center"/>
                    <w:rPr>
                      <w:kern w:val="0"/>
                      <w:szCs w:val="21"/>
                    </w:rPr>
                  </w:pPr>
                  <w:r>
                    <w:rPr>
                      <w:kern w:val="0"/>
                      <w:szCs w:val="21"/>
                    </w:rPr>
                    <w:t>4</w:t>
                  </w:r>
                </w:p>
              </w:tc>
              <w:tc>
                <w:tcPr>
                  <w:tcW w:w="573" w:type="pct"/>
                  <w:tcBorders>
                    <w:tl2br w:val="nil"/>
                    <w:tr2bl w:val="nil"/>
                  </w:tcBorders>
                  <w:vAlign w:val="center"/>
                </w:tcPr>
                <w:p w14:paraId="452841C8">
                  <w:pPr>
                    <w:jc w:val="center"/>
                    <w:rPr>
                      <w:kern w:val="0"/>
                      <w:szCs w:val="21"/>
                    </w:rPr>
                  </w:pPr>
                  <w:r>
                    <w:rPr>
                      <w:kern w:val="0"/>
                      <w:szCs w:val="21"/>
                    </w:rPr>
                    <w:t>22.5%</w:t>
                  </w:r>
                </w:p>
              </w:tc>
              <w:tc>
                <w:tcPr>
                  <w:tcW w:w="647" w:type="pct"/>
                  <w:tcBorders>
                    <w:tl2br w:val="nil"/>
                    <w:tr2bl w:val="nil"/>
                  </w:tcBorders>
                  <w:vAlign w:val="center"/>
                </w:tcPr>
                <w:p w14:paraId="78AB8D21">
                  <w:pPr>
                    <w:jc w:val="center"/>
                    <w:rPr>
                      <w:kern w:val="0"/>
                      <w:szCs w:val="21"/>
                    </w:rPr>
                  </w:pPr>
                  <w:r>
                    <w:rPr>
                      <w:szCs w:val="21"/>
                    </w:rPr>
                    <w:t>达标</w:t>
                  </w:r>
                </w:p>
              </w:tc>
            </w:tr>
            <w:tr w14:paraId="536453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7" w:type="pct"/>
                  <w:tcBorders>
                    <w:tl2br w:val="nil"/>
                    <w:tr2bl w:val="nil"/>
                  </w:tcBorders>
                  <w:vAlign w:val="center"/>
                </w:tcPr>
                <w:p w14:paraId="1E57D993">
                  <w:pPr>
                    <w:adjustRightInd w:val="0"/>
                    <w:snapToGrid w:val="0"/>
                    <w:jc w:val="center"/>
                    <w:rPr>
                      <w:kern w:val="0"/>
                      <w:szCs w:val="21"/>
                    </w:rPr>
                  </w:pPr>
                  <w:r>
                    <w:rPr>
                      <w:kern w:val="0"/>
                      <w:szCs w:val="21"/>
                    </w:rPr>
                    <w:t>臭氧</w:t>
                  </w:r>
                </w:p>
              </w:tc>
              <w:tc>
                <w:tcPr>
                  <w:tcW w:w="1876" w:type="pct"/>
                  <w:tcBorders>
                    <w:tl2br w:val="nil"/>
                    <w:tr2bl w:val="nil"/>
                  </w:tcBorders>
                  <w:vAlign w:val="center"/>
                </w:tcPr>
                <w:p w14:paraId="5CEC4C2B">
                  <w:pPr>
                    <w:adjustRightInd w:val="0"/>
                    <w:snapToGrid w:val="0"/>
                    <w:jc w:val="center"/>
                    <w:rPr>
                      <w:kern w:val="0"/>
                      <w:szCs w:val="21"/>
                    </w:rPr>
                  </w:pPr>
                  <w:r>
                    <w:rPr>
                      <w:kern w:val="0"/>
                      <w:szCs w:val="21"/>
                    </w:rPr>
                    <w:t>8h平均质量浓度</w:t>
                  </w:r>
                </w:p>
              </w:tc>
              <w:tc>
                <w:tcPr>
                  <w:tcW w:w="551" w:type="pct"/>
                  <w:tcBorders>
                    <w:tl2br w:val="nil"/>
                    <w:tr2bl w:val="nil"/>
                  </w:tcBorders>
                  <w:vAlign w:val="center"/>
                </w:tcPr>
                <w:p w14:paraId="76843BD4">
                  <w:pPr>
                    <w:jc w:val="center"/>
                    <w:rPr>
                      <w:kern w:val="0"/>
                      <w:szCs w:val="21"/>
                    </w:rPr>
                  </w:pPr>
                  <w:r>
                    <w:rPr>
                      <w:kern w:val="0"/>
                      <w:szCs w:val="21"/>
                    </w:rPr>
                    <w:t>105</w:t>
                  </w:r>
                </w:p>
              </w:tc>
              <w:tc>
                <w:tcPr>
                  <w:tcW w:w="584" w:type="pct"/>
                  <w:tcBorders>
                    <w:tl2br w:val="nil"/>
                    <w:tr2bl w:val="nil"/>
                  </w:tcBorders>
                  <w:vAlign w:val="center"/>
                </w:tcPr>
                <w:p w14:paraId="489AD392">
                  <w:pPr>
                    <w:jc w:val="center"/>
                    <w:rPr>
                      <w:kern w:val="0"/>
                      <w:szCs w:val="21"/>
                    </w:rPr>
                  </w:pPr>
                  <w:r>
                    <w:rPr>
                      <w:kern w:val="0"/>
                      <w:szCs w:val="21"/>
                    </w:rPr>
                    <w:t>160</w:t>
                  </w:r>
                </w:p>
              </w:tc>
              <w:tc>
                <w:tcPr>
                  <w:tcW w:w="573" w:type="pct"/>
                  <w:tcBorders>
                    <w:tl2br w:val="nil"/>
                    <w:tr2bl w:val="nil"/>
                  </w:tcBorders>
                  <w:vAlign w:val="center"/>
                </w:tcPr>
                <w:p w14:paraId="0ABEE089">
                  <w:pPr>
                    <w:jc w:val="center"/>
                    <w:rPr>
                      <w:kern w:val="0"/>
                      <w:szCs w:val="21"/>
                    </w:rPr>
                  </w:pPr>
                  <w:r>
                    <w:rPr>
                      <w:kern w:val="0"/>
                      <w:szCs w:val="21"/>
                    </w:rPr>
                    <w:t>65.6%</w:t>
                  </w:r>
                </w:p>
              </w:tc>
              <w:tc>
                <w:tcPr>
                  <w:tcW w:w="647" w:type="pct"/>
                  <w:tcBorders>
                    <w:tl2br w:val="nil"/>
                    <w:tr2bl w:val="nil"/>
                  </w:tcBorders>
                  <w:vAlign w:val="center"/>
                </w:tcPr>
                <w:p w14:paraId="614B37F6">
                  <w:pPr>
                    <w:jc w:val="center"/>
                    <w:rPr>
                      <w:kern w:val="0"/>
                      <w:szCs w:val="21"/>
                    </w:rPr>
                  </w:pPr>
                  <w:r>
                    <w:rPr>
                      <w:szCs w:val="21"/>
                    </w:rPr>
                    <w:t>达标</w:t>
                  </w:r>
                </w:p>
              </w:tc>
            </w:tr>
            <w:tr w14:paraId="69665F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tcBorders>
                    <w:tl2br w:val="nil"/>
                    <w:tr2bl w:val="nil"/>
                  </w:tcBorders>
                  <w:vAlign w:val="center"/>
                </w:tcPr>
                <w:p w14:paraId="5681145B">
                  <w:pPr>
                    <w:adjustRightInd w:val="0"/>
                    <w:snapToGrid w:val="0"/>
                    <w:rPr>
                      <w:szCs w:val="21"/>
                    </w:rPr>
                  </w:pPr>
                  <w:r>
                    <w:rPr>
                      <w:kern w:val="0"/>
                      <w:szCs w:val="21"/>
                    </w:rPr>
                    <w:t>注：一氧化碳百分位数为95，臭氧日最大8小时平均百分位数为90。</w:t>
                  </w:r>
                </w:p>
              </w:tc>
            </w:tr>
          </w:tbl>
          <w:p w14:paraId="4B7414B4">
            <w:pPr>
              <w:adjustRightInd w:val="0"/>
              <w:snapToGrid w:val="0"/>
              <w:spacing w:line="360" w:lineRule="auto"/>
              <w:ind w:firstLine="480" w:firstLineChars="200"/>
              <w:rPr>
                <w:sz w:val="24"/>
                <w:lang w:val="zh-CN"/>
              </w:rPr>
            </w:pPr>
            <w:r>
              <w:rPr>
                <w:sz w:val="24"/>
                <w:lang w:val="zh-CN"/>
              </w:rPr>
              <w:t>根据</w:t>
            </w:r>
            <w:r>
              <w:rPr>
                <w:sz w:val="24"/>
              </w:rPr>
              <w:t>《2024年双鸭山市环境空气质量状况》</w:t>
            </w:r>
            <w:r>
              <w:rPr>
                <w:sz w:val="24"/>
                <w:lang w:val="zh-CN"/>
              </w:rPr>
              <w:t>中相关数据，</w:t>
            </w:r>
            <w:r>
              <w:rPr>
                <w:sz w:val="24"/>
              </w:rPr>
              <w:t>双鸭山市</w:t>
            </w:r>
            <w:r>
              <w:rPr>
                <w:sz w:val="24"/>
                <w:lang w:val="zh-CN"/>
              </w:rPr>
              <w:t>区域</w:t>
            </w:r>
            <w:r>
              <w:rPr>
                <w:sz w:val="24"/>
              </w:rPr>
              <w:t>细颗粒物（PM</w:t>
            </w:r>
            <w:r>
              <w:rPr>
                <w:sz w:val="24"/>
                <w:vertAlign w:val="subscript"/>
              </w:rPr>
              <w:t>2.5</w:t>
            </w:r>
            <w:r>
              <w:rPr>
                <w:sz w:val="24"/>
              </w:rPr>
              <w:t>）、可吸入颗粒物（PM</w:t>
            </w:r>
            <w:r>
              <w:rPr>
                <w:sz w:val="24"/>
                <w:vertAlign w:val="subscript"/>
              </w:rPr>
              <w:t>10</w:t>
            </w:r>
            <w:r>
              <w:rPr>
                <w:sz w:val="24"/>
              </w:rPr>
              <w:t>）、二氧化氮、二氧化硫年平均质量浓度、一氧化碳相应百分位数日平均浓度值及臭氧相应百分位数日8小时平均值符合《环境空气质量标准》（GB3095-2012）中二级标准，因此</w:t>
            </w:r>
            <w:r>
              <w:rPr>
                <w:sz w:val="24"/>
                <w:lang w:val="zh-CN"/>
              </w:rPr>
              <w:t>区域属于环境空气质量达标区。</w:t>
            </w:r>
          </w:p>
          <w:p w14:paraId="1D334859">
            <w:pPr>
              <w:adjustRightInd w:val="0"/>
              <w:snapToGrid w:val="0"/>
              <w:spacing w:line="360" w:lineRule="auto"/>
              <w:ind w:firstLine="480" w:firstLineChars="200"/>
              <w:rPr>
                <w:sz w:val="24"/>
              </w:rPr>
            </w:pPr>
            <w:r>
              <w:rPr>
                <w:sz w:val="24"/>
              </w:rPr>
              <w:t>（2）特征污染物</w:t>
            </w:r>
          </w:p>
          <w:p w14:paraId="2204100D">
            <w:pPr>
              <w:spacing w:line="360" w:lineRule="auto"/>
              <w:ind w:firstLine="480" w:firstLineChars="200"/>
              <w:jc w:val="left"/>
              <w:rPr>
                <w:sz w:val="24"/>
              </w:rPr>
            </w:pPr>
            <w:r>
              <w:rPr>
                <w:sz w:val="24"/>
              </w:rPr>
              <w:t>根据《建设项目环境影响报告表编制技术指南污染影响类（试行）》可知，排放国家、地方环境空气质量标准中有标准限制要求的特征污染物时，引用建设项目周边5千米范围内近3年的现有监测数据，无相关数据的选择当季主导风向下风向1个点位补充不少于3天的监测数据，现引用《</w:t>
            </w:r>
            <w:r>
              <w:rPr>
                <w:rFonts w:hint="eastAsia"/>
                <w:sz w:val="24"/>
              </w:rPr>
              <w:t>友谊县谊隆粮食经销有限责任公司改建项目</w:t>
            </w:r>
            <w:r>
              <w:rPr>
                <w:sz w:val="24"/>
              </w:rPr>
              <w:t>现状检测报告》中的监测数据，该监测</w:t>
            </w:r>
            <w:r>
              <w:rPr>
                <w:sz w:val="24"/>
              </w:rPr>
              <w:drawing>
                <wp:anchor distT="0" distB="0" distL="114300" distR="114300" simplePos="0" relativeHeight="251668480" behindDoc="0" locked="0" layoutInCell="1" allowOverlap="1">
                  <wp:simplePos x="0" y="0"/>
                  <wp:positionH relativeFrom="column">
                    <wp:posOffset>4429125</wp:posOffset>
                  </wp:positionH>
                  <wp:positionV relativeFrom="paragraph">
                    <wp:posOffset>1181735</wp:posOffset>
                  </wp:positionV>
                  <wp:extent cx="640715" cy="612140"/>
                  <wp:effectExtent l="0" t="0" r="6985" b="16510"/>
                  <wp:wrapNone/>
                  <wp:docPr id="94" name="图片 9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图片1"/>
                          <pic:cNvPicPr>
                            <a:picLocks noChangeAspect="1"/>
                          </pic:cNvPicPr>
                        </pic:nvPicPr>
                        <pic:blipFill>
                          <a:blip r:embed="rId17"/>
                          <a:stretch>
                            <a:fillRect/>
                          </a:stretch>
                        </pic:blipFill>
                        <pic:spPr>
                          <a:xfrm>
                            <a:off x="0" y="0"/>
                            <a:ext cx="640715" cy="612140"/>
                          </a:xfrm>
                          <a:prstGeom prst="rect">
                            <a:avLst/>
                          </a:prstGeom>
                        </pic:spPr>
                      </pic:pic>
                    </a:graphicData>
                  </a:graphic>
                </wp:anchor>
              </w:drawing>
            </w:r>
            <w:r>
              <w:rPr>
                <w:sz w:val="24"/>
              </w:rPr>
              <w:t>点</w:t>
            </w:r>
            <w:r>
              <w:rPr>
                <w:rFonts w:hint="eastAsia"/>
                <w:sz w:val="24"/>
              </w:rPr>
              <w:t>位于项目西北侧，</w:t>
            </w:r>
            <w:r>
              <w:rPr>
                <w:sz w:val="24"/>
              </w:rPr>
              <w:t>距离本项目为</w:t>
            </w:r>
            <w:r>
              <w:rPr>
                <w:rFonts w:hint="eastAsia"/>
                <w:sz w:val="24"/>
              </w:rPr>
              <w:t>4400</w:t>
            </w:r>
            <w:r>
              <w:rPr>
                <w:sz w:val="24"/>
              </w:rPr>
              <w:t>m</w:t>
            </w:r>
            <w:r>
              <w:rPr>
                <w:rFonts w:hint="eastAsia"/>
                <w:sz w:val="24"/>
              </w:rPr>
              <w:t>，</w:t>
            </w:r>
            <w:r>
              <w:rPr>
                <w:sz w:val="24"/>
              </w:rPr>
              <w:t>该项目的其他污染物为TSP，环境质量现状监测委托</w:t>
            </w:r>
            <w:r>
              <w:rPr>
                <w:sz w:val="24"/>
                <w:lang w:val="zh-CN"/>
              </w:rPr>
              <w:t>黑龙江中邺检测技术有限公司</w:t>
            </w:r>
            <w:r>
              <w:rPr>
                <w:sz w:val="24"/>
              </w:rPr>
              <w:t>，于</w:t>
            </w:r>
            <w:r>
              <w:rPr>
                <w:rFonts w:hint="eastAsia"/>
                <w:sz w:val="24"/>
                <w:lang w:eastAsia="zh-CN"/>
              </w:rPr>
              <w:t>2025年7月28日</w:t>
            </w:r>
            <w:r>
              <w:rPr>
                <w:sz w:val="24"/>
              </w:rPr>
              <w:t>~</w:t>
            </w:r>
            <w:r>
              <w:rPr>
                <w:rFonts w:hint="eastAsia"/>
                <w:sz w:val="24"/>
                <w:lang w:eastAsia="zh-CN"/>
              </w:rPr>
              <w:t>7月30日</w:t>
            </w:r>
            <w:r>
              <w:rPr>
                <w:sz w:val="24"/>
              </w:rPr>
              <w:t>进行特征污染物TSP的补充监测（</w:t>
            </w:r>
            <w:r>
              <w:rPr>
                <w:rFonts w:hint="eastAsia"/>
                <w:sz w:val="24"/>
              </w:rPr>
              <w:t>引用</w:t>
            </w:r>
            <w:r>
              <w:rPr>
                <w:sz w:val="24"/>
              </w:rPr>
              <w:t>检测报告见附件</w:t>
            </w:r>
            <w:r>
              <w:rPr>
                <w:rFonts w:hint="eastAsia"/>
                <w:sz w:val="24"/>
              </w:rPr>
              <w:t>5</w:t>
            </w:r>
            <w:r>
              <w:rPr>
                <w:sz w:val="24"/>
              </w:rPr>
              <w:t>），评价结果见表3-2</w:t>
            </w:r>
            <w:r>
              <w:rPr>
                <w:rFonts w:hint="eastAsia"/>
                <w:sz w:val="24"/>
              </w:rPr>
              <w:t>。</w:t>
            </w:r>
          </w:p>
          <w:p w14:paraId="716FBBE4">
            <w:pPr>
              <w:spacing w:line="360" w:lineRule="auto"/>
              <w:jc w:val="left"/>
              <w:rPr>
                <w:sz w:val="24"/>
              </w:rPr>
            </w:pPr>
            <w:r>
              <mc:AlternateContent>
                <mc:Choice Requires="wpg">
                  <w:drawing>
                    <wp:anchor distT="0" distB="0" distL="114300" distR="114300" simplePos="0" relativeHeight="251667456" behindDoc="0" locked="0" layoutInCell="1" allowOverlap="1">
                      <wp:simplePos x="0" y="0"/>
                      <wp:positionH relativeFrom="column">
                        <wp:posOffset>4160520</wp:posOffset>
                      </wp:positionH>
                      <wp:positionV relativeFrom="paragraph">
                        <wp:posOffset>3221990</wp:posOffset>
                      </wp:positionV>
                      <wp:extent cx="889000" cy="714375"/>
                      <wp:effectExtent l="5080" t="4445" r="20320" b="5080"/>
                      <wp:wrapNone/>
                      <wp:docPr id="86" name="组合 86"/>
                      <wp:cNvGraphicFramePr/>
                      <a:graphic xmlns:a="http://schemas.openxmlformats.org/drawingml/2006/main">
                        <a:graphicData uri="http://schemas.microsoft.com/office/word/2010/wordprocessingGroup">
                          <wpg:wgp>
                            <wpg:cNvGrpSpPr/>
                            <wpg:grpSpPr>
                              <a:xfrm>
                                <a:off x="0" y="0"/>
                                <a:ext cx="889000" cy="714375"/>
                                <a:chOff x="12459" y="349177"/>
                                <a:chExt cx="1400" cy="1125"/>
                              </a:xfrm>
                            </wpg:grpSpPr>
                            <wps:wsp>
                              <wps:cNvPr id="87" name="文本框 43"/>
                              <wps:cNvSpPr txBox="1"/>
                              <wps:spPr>
                                <a:xfrm>
                                  <a:off x="12459" y="349177"/>
                                  <a:ext cx="1400" cy="11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D22E607">
                                    <w:pPr>
                                      <w:snapToGrid w:val="0"/>
                                      <w:jc w:val="center"/>
                                      <w:rPr>
                                        <w:rFonts w:ascii="微软雅黑" w:hAnsi="微软雅黑" w:eastAsia="微软雅黑" w:cs="微软雅黑"/>
                                      </w:rPr>
                                    </w:pPr>
                                    <w:r>
                                      <w:rPr>
                                        <w:rFonts w:hint="eastAsia" w:ascii="微软雅黑" w:hAnsi="微软雅黑" w:eastAsia="微软雅黑" w:cs="微软雅黑"/>
                                      </w:rPr>
                                      <w:t>图例</w:t>
                                    </w:r>
                                  </w:p>
                                  <w:p w14:paraId="5D7369F9">
                                    <w:pPr>
                                      <w:rPr>
                                        <w:sz w:val="18"/>
                                        <w:szCs w:val="18"/>
                                      </w:rPr>
                                    </w:pPr>
                                    <w:r>
                                      <w:rPr>
                                        <w:rFonts w:hint="eastAsia"/>
                                        <w:sz w:val="18"/>
                                        <w:szCs w:val="18"/>
                                      </w:rPr>
                                      <w:t>本项目</w:t>
                                    </w:r>
                                  </w:p>
                                  <w:p w14:paraId="6144C192">
                                    <w:pPr>
                                      <w:rPr>
                                        <w:sz w:val="18"/>
                                        <w:szCs w:val="18"/>
                                      </w:rPr>
                                    </w:pPr>
                                    <w:r>
                                      <w:rPr>
                                        <w:rFonts w:hint="eastAsia"/>
                                        <w:sz w:val="18"/>
                                        <w:szCs w:val="18"/>
                                      </w:rPr>
                                      <w:t>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8" name="矩形 65"/>
                              <wps:cNvSpPr/>
                              <wps:spPr>
                                <a:xfrm>
                                  <a:off x="13468" y="349710"/>
                                  <a:ext cx="338" cy="163"/>
                                </a:xfrm>
                                <a:prstGeom prst="rect">
                                  <a:avLst/>
                                </a:prstGeom>
                                <a:noFill/>
                                <a:ln>
                                  <a:solidFill>
                                    <a:srgbClr val="0000F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9" name="同心圆 67"/>
                              <wps:cNvSpPr/>
                              <wps:spPr>
                                <a:xfrm>
                                  <a:off x="13571" y="350004"/>
                                  <a:ext cx="175" cy="175"/>
                                </a:xfrm>
                                <a:prstGeom prst="donut">
                                  <a:avLst/>
                                </a:prstGeom>
                                <a:solidFill>
                                  <a:srgbClr val="C0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27.6pt;margin-top:253.7pt;height:56.25pt;width:70pt;z-index:251667456;mso-width-relative:page;mso-height-relative:page;" coordorigin="12459,349177" coordsize="1400,1125" o:gfxdata="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">
                      <o:lock v:ext="edit" aspectratio="f"/>
                      <v:shape id="文本框 43" o:spid="_x0000_s1026" o:spt="202" type="#_x0000_t202" style="position:absolute;left:12459;top:349177;height:1125;width:1400;" fillcolor="#FFFFFF [3201]" filled="t" stroked="t" coordsize="21600,21600" o:gfxdata="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bF4/V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6D22E607">
                              <w:pPr>
                                <w:snapToGrid w:val="0"/>
                                <w:jc w:val="center"/>
                                <w:rPr>
                                  <w:rFonts w:ascii="微软雅黑" w:hAnsi="微软雅黑" w:eastAsia="微软雅黑" w:cs="微软雅黑"/>
                                </w:rPr>
                              </w:pPr>
                              <w:r>
                                <w:rPr>
                                  <w:rFonts w:hint="eastAsia" w:ascii="微软雅黑" w:hAnsi="微软雅黑" w:eastAsia="微软雅黑" w:cs="微软雅黑"/>
                                </w:rPr>
                                <w:t>图例</w:t>
                              </w:r>
                            </w:p>
                            <w:p w14:paraId="5D7369F9">
                              <w:pPr>
                                <w:rPr>
                                  <w:sz w:val="18"/>
                                  <w:szCs w:val="18"/>
                                </w:rPr>
                              </w:pPr>
                              <w:r>
                                <w:rPr>
                                  <w:rFonts w:hint="eastAsia"/>
                                  <w:sz w:val="18"/>
                                  <w:szCs w:val="18"/>
                                </w:rPr>
                                <w:t>本项目</w:t>
                              </w:r>
                            </w:p>
                            <w:p w14:paraId="6144C192">
                              <w:pPr>
                                <w:rPr>
                                  <w:sz w:val="18"/>
                                  <w:szCs w:val="18"/>
                                </w:rPr>
                              </w:pPr>
                              <w:r>
                                <w:rPr>
                                  <w:rFonts w:hint="eastAsia"/>
                                  <w:sz w:val="18"/>
                                  <w:szCs w:val="18"/>
                                </w:rPr>
                                <w:t>监测点位</w:t>
                              </w:r>
                            </w:p>
                          </w:txbxContent>
                        </v:textbox>
                      </v:shape>
                      <v:rect id="矩形 65" o:spid="_x0000_s1026" o:spt="1" style="position:absolute;left:13468;top:349710;height:163;width:338;v-text-anchor:middle;" filled="f" stroked="t" coordsize="21600,21600" o:gfxdata="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mY9eztwAAANsAAAAP&#10;AAAAAAAAAAEAIAAAACIAAABkcnMvZG93bnJldi54bWxQSwECFAAUAAAACACHTuJAMy8FnjsAAAA5&#10;AAAAEAAAAAAAAAABACAAAAAGAQAAZHJzL3NoYXBleG1sLnhtbFBLBQYAAAAABgAGAFsBAACwAwAA&#10;AAA=&#10;">
                        <v:fill on="f" focussize="0,0"/>
                        <v:stroke weight="1pt" color="#0000FF [2404]" miterlimit="8" joinstyle="miter"/>
                        <v:imagedata o:title=""/>
                        <o:lock v:ext="edit" aspectratio="f"/>
                      </v:rect>
                      <v:shape id="同心圆 67" o:spid="_x0000_s1026" o:spt="23" type="#_x0000_t23" style="position:absolute;left:13571;top:350004;height:175;width:175;v-text-anchor:middle;" fillcolor="#C00000" filled="t" stroked="f" coordsize="21600,21600" o:gfxdata="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sW4S74A&#10;AADbAAAADwAAAAAAAAABACAAAAAiAAAAZHJzL2Rvd25yZXYueG1sUEsBAhQAFAAAAAgAh07iQDMv&#10;BZ47AAAAOQAAABAAAAAAAAAAAQAgAAAADQEAAGRycy9zaGFwZXhtbC54bWxQSwUGAAAAAAYABgBb&#10;AQAAtwMAAAAA&#10;" adj="5400">
                        <v:fill on="t" focussize="0,0"/>
                        <v:stroke on="f" weight="1pt" miterlimit="8" joinstyle="miter"/>
                        <v:imagedata o:title=""/>
                        <o:lock v:ext="edit" aspectratio="f"/>
                      </v:shape>
                    </v:group>
                  </w:pict>
                </mc:Fallback>
              </mc:AlternateContent>
            </w:r>
            <w:r>
              <w:drawing>
                <wp:inline distT="0" distB="0" distL="114300" distR="114300">
                  <wp:extent cx="5061585" cy="3947795"/>
                  <wp:effectExtent l="0" t="0" r="5715" b="14605"/>
                  <wp:docPr id="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
                          <pic:cNvPicPr>
                            <a:picLocks noChangeAspect="1"/>
                          </pic:cNvPicPr>
                        </pic:nvPicPr>
                        <pic:blipFill>
                          <a:blip r:embed="rId18"/>
                          <a:stretch>
                            <a:fillRect/>
                          </a:stretch>
                        </pic:blipFill>
                        <pic:spPr>
                          <a:xfrm>
                            <a:off x="0" y="0"/>
                            <a:ext cx="5061585" cy="3947795"/>
                          </a:xfrm>
                          <a:prstGeom prst="rect">
                            <a:avLst/>
                          </a:prstGeom>
                          <a:noFill/>
                          <a:ln>
                            <a:noFill/>
                          </a:ln>
                        </pic:spPr>
                      </pic:pic>
                    </a:graphicData>
                  </a:graphic>
                </wp:inline>
              </w:drawing>
            </w:r>
          </w:p>
          <w:p w14:paraId="1702F23E">
            <w:pPr>
              <w:spacing w:line="360" w:lineRule="auto"/>
              <w:jc w:val="center"/>
              <w:rPr>
                <w:b/>
                <w:kern w:val="0"/>
                <w:szCs w:val="21"/>
              </w:rPr>
            </w:pPr>
            <w:r>
              <w:rPr>
                <w:b/>
                <w:kern w:val="0"/>
                <w:szCs w:val="21"/>
              </w:rPr>
              <w:t>图3-1大气监测点位图</w:t>
            </w:r>
          </w:p>
          <w:p w14:paraId="5A48503A">
            <w:pPr>
              <w:pStyle w:val="128"/>
              <w:autoSpaceDE w:val="0"/>
              <w:autoSpaceDN w:val="0"/>
              <w:snapToGrid w:val="0"/>
              <w:spacing w:line="240" w:lineRule="auto"/>
              <w:ind w:left="0"/>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表</w:t>
            </w:r>
            <w:r>
              <w:rPr>
                <w:b/>
                <w:bCs/>
                <w:szCs w:val="24"/>
              </w:rPr>
              <w:t>3-2 本项目其他污染物检测结果一览表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2"/>
              <w:gridCol w:w="768"/>
              <w:gridCol w:w="770"/>
              <w:gridCol w:w="837"/>
              <w:gridCol w:w="586"/>
              <w:gridCol w:w="969"/>
              <w:gridCol w:w="989"/>
              <w:gridCol w:w="963"/>
              <w:gridCol w:w="574"/>
              <w:gridCol w:w="616"/>
            </w:tblGrid>
            <w:tr w14:paraId="683BF1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565" w:type="pct"/>
                  <w:vMerge w:val="restart"/>
                  <w:tcBorders>
                    <w:tl2br w:val="nil"/>
                    <w:tr2bl w:val="nil"/>
                  </w:tcBorders>
                  <w:tcMar>
                    <w:left w:w="57" w:type="dxa"/>
                    <w:right w:w="57" w:type="dxa"/>
                  </w:tcMar>
                  <w:vAlign w:val="center"/>
                </w:tcPr>
                <w:p w14:paraId="4E60667B">
                  <w:pPr>
                    <w:spacing w:line="320" w:lineRule="exact"/>
                    <w:jc w:val="center"/>
                    <w:rPr>
                      <w:rFonts w:eastAsiaTheme="minorEastAsia"/>
                      <w:kern w:val="0"/>
                      <w:szCs w:val="21"/>
                    </w:rPr>
                  </w:pPr>
                  <w:r>
                    <w:rPr>
                      <w:rFonts w:eastAsiaTheme="minorEastAsia"/>
                      <w:kern w:val="0"/>
                      <w:szCs w:val="21"/>
                    </w:rPr>
                    <w:t>监测点位</w:t>
                  </w:r>
                </w:p>
              </w:tc>
              <w:tc>
                <w:tcPr>
                  <w:tcW w:w="963" w:type="pct"/>
                  <w:gridSpan w:val="2"/>
                  <w:tcBorders>
                    <w:tl2br w:val="nil"/>
                    <w:tr2bl w:val="nil"/>
                  </w:tcBorders>
                  <w:tcMar>
                    <w:left w:w="57" w:type="dxa"/>
                    <w:right w:w="57" w:type="dxa"/>
                  </w:tcMar>
                  <w:vAlign w:val="center"/>
                </w:tcPr>
                <w:p w14:paraId="03001F10">
                  <w:pPr>
                    <w:spacing w:line="320" w:lineRule="exact"/>
                    <w:jc w:val="center"/>
                    <w:rPr>
                      <w:rFonts w:eastAsiaTheme="minorEastAsia"/>
                      <w:kern w:val="0"/>
                      <w:szCs w:val="21"/>
                    </w:rPr>
                  </w:pPr>
                  <w:r>
                    <w:rPr>
                      <w:rFonts w:eastAsiaTheme="minorEastAsia"/>
                      <w:kern w:val="0"/>
                      <w:szCs w:val="21"/>
                    </w:rPr>
                    <w:t>监测点坐标/°</w:t>
                  </w:r>
                </w:p>
              </w:tc>
              <w:tc>
                <w:tcPr>
                  <w:tcW w:w="524" w:type="pct"/>
                  <w:vMerge w:val="restart"/>
                  <w:tcBorders>
                    <w:tl2br w:val="nil"/>
                    <w:tr2bl w:val="nil"/>
                  </w:tcBorders>
                  <w:tcMar>
                    <w:left w:w="57" w:type="dxa"/>
                    <w:right w:w="57" w:type="dxa"/>
                  </w:tcMar>
                  <w:vAlign w:val="center"/>
                </w:tcPr>
                <w:p w14:paraId="06294278">
                  <w:pPr>
                    <w:spacing w:line="320" w:lineRule="exact"/>
                    <w:jc w:val="center"/>
                    <w:rPr>
                      <w:rFonts w:eastAsiaTheme="minorEastAsia"/>
                      <w:kern w:val="0"/>
                      <w:szCs w:val="21"/>
                    </w:rPr>
                  </w:pPr>
                  <w:r>
                    <w:rPr>
                      <w:rFonts w:eastAsiaTheme="minorEastAsia"/>
                      <w:kern w:val="0"/>
                      <w:szCs w:val="21"/>
                    </w:rPr>
                    <w:t>污染物</w:t>
                  </w:r>
                </w:p>
              </w:tc>
              <w:tc>
                <w:tcPr>
                  <w:tcW w:w="367" w:type="pct"/>
                  <w:vMerge w:val="restart"/>
                  <w:tcBorders>
                    <w:tl2br w:val="nil"/>
                    <w:tr2bl w:val="nil"/>
                  </w:tcBorders>
                  <w:tcMar>
                    <w:left w:w="57" w:type="dxa"/>
                    <w:right w:w="57" w:type="dxa"/>
                  </w:tcMar>
                  <w:vAlign w:val="center"/>
                </w:tcPr>
                <w:p w14:paraId="69190D41">
                  <w:pPr>
                    <w:spacing w:line="320" w:lineRule="exact"/>
                    <w:jc w:val="center"/>
                    <w:rPr>
                      <w:rFonts w:eastAsiaTheme="minorEastAsia"/>
                      <w:kern w:val="0"/>
                      <w:szCs w:val="21"/>
                    </w:rPr>
                  </w:pPr>
                  <w:r>
                    <w:rPr>
                      <w:rFonts w:eastAsiaTheme="minorEastAsia"/>
                      <w:kern w:val="0"/>
                      <w:szCs w:val="21"/>
                    </w:rPr>
                    <w:t>平均时间</w:t>
                  </w:r>
                </w:p>
              </w:tc>
              <w:tc>
                <w:tcPr>
                  <w:tcW w:w="607" w:type="pct"/>
                  <w:vMerge w:val="restart"/>
                  <w:tcBorders>
                    <w:tl2br w:val="nil"/>
                    <w:tr2bl w:val="nil"/>
                  </w:tcBorders>
                  <w:tcMar>
                    <w:left w:w="57" w:type="dxa"/>
                    <w:right w:w="57" w:type="dxa"/>
                  </w:tcMar>
                  <w:vAlign w:val="center"/>
                </w:tcPr>
                <w:p w14:paraId="73595BAE">
                  <w:pPr>
                    <w:spacing w:line="320" w:lineRule="exact"/>
                    <w:jc w:val="center"/>
                    <w:rPr>
                      <w:rFonts w:eastAsiaTheme="minorEastAsia"/>
                      <w:kern w:val="0"/>
                      <w:szCs w:val="21"/>
                    </w:rPr>
                  </w:pPr>
                  <w:r>
                    <w:rPr>
                      <w:rFonts w:eastAsiaTheme="minorEastAsia"/>
                      <w:kern w:val="0"/>
                      <w:szCs w:val="21"/>
                    </w:rPr>
                    <w:t>评价</w:t>
                  </w:r>
                </w:p>
                <w:p w14:paraId="120D7FE3">
                  <w:pPr>
                    <w:spacing w:line="320" w:lineRule="exact"/>
                    <w:jc w:val="center"/>
                    <w:rPr>
                      <w:rFonts w:eastAsiaTheme="minorEastAsia"/>
                      <w:kern w:val="0"/>
                      <w:szCs w:val="21"/>
                    </w:rPr>
                  </w:pPr>
                  <w:r>
                    <w:rPr>
                      <w:rFonts w:eastAsiaTheme="minorEastAsia"/>
                      <w:kern w:val="0"/>
                      <w:szCs w:val="21"/>
                    </w:rPr>
                    <w:t>标准</w:t>
                  </w:r>
                  <w:r>
                    <w:rPr>
                      <w:rFonts w:eastAsiaTheme="minorEastAsia"/>
                      <w:szCs w:val="21"/>
                    </w:rPr>
                    <w:t>(</w:t>
                  </w:r>
                  <w:r>
                    <w:rPr>
                      <w:rFonts w:eastAsiaTheme="minorEastAsia"/>
                      <w:kern w:val="0"/>
                      <w:szCs w:val="21"/>
                    </w:rPr>
                    <w:t>μg/m</w:t>
                  </w:r>
                  <w:r>
                    <w:rPr>
                      <w:rFonts w:eastAsiaTheme="minorEastAsia"/>
                      <w:kern w:val="0"/>
                      <w:szCs w:val="21"/>
                      <w:vertAlign w:val="superscript"/>
                    </w:rPr>
                    <w:t>3</w:t>
                  </w:r>
                  <w:r>
                    <w:rPr>
                      <w:rFonts w:eastAsiaTheme="minorEastAsia"/>
                      <w:szCs w:val="21"/>
                    </w:rPr>
                    <w:t>)</w:t>
                  </w:r>
                </w:p>
              </w:tc>
              <w:tc>
                <w:tcPr>
                  <w:tcW w:w="620" w:type="pct"/>
                  <w:vMerge w:val="restart"/>
                  <w:tcBorders>
                    <w:tl2br w:val="nil"/>
                    <w:tr2bl w:val="nil"/>
                  </w:tcBorders>
                  <w:tcMar>
                    <w:left w:w="57" w:type="dxa"/>
                    <w:right w:w="57" w:type="dxa"/>
                  </w:tcMar>
                  <w:vAlign w:val="center"/>
                </w:tcPr>
                <w:p w14:paraId="3078AB30">
                  <w:pPr>
                    <w:spacing w:line="320" w:lineRule="exact"/>
                    <w:jc w:val="center"/>
                    <w:rPr>
                      <w:rFonts w:eastAsiaTheme="minorEastAsia"/>
                      <w:kern w:val="0"/>
                      <w:szCs w:val="21"/>
                    </w:rPr>
                  </w:pPr>
                  <w:r>
                    <w:rPr>
                      <w:rFonts w:eastAsiaTheme="minorEastAsia"/>
                      <w:kern w:val="0"/>
                      <w:szCs w:val="21"/>
                    </w:rPr>
                    <w:t>监测浓度范围</w:t>
                  </w:r>
                  <w:r>
                    <w:rPr>
                      <w:rFonts w:eastAsiaTheme="minorEastAsia"/>
                      <w:szCs w:val="21"/>
                    </w:rPr>
                    <w:t>(</w:t>
                  </w:r>
                  <w:r>
                    <w:rPr>
                      <w:rFonts w:eastAsiaTheme="minorEastAsia"/>
                      <w:kern w:val="0"/>
                      <w:szCs w:val="21"/>
                    </w:rPr>
                    <w:t>μg/m</w:t>
                  </w:r>
                  <w:r>
                    <w:rPr>
                      <w:rFonts w:eastAsiaTheme="minorEastAsia"/>
                      <w:kern w:val="0"/>
                      <w:szCs w:val="21"/>
                      <w:vertAlign w:val="superscript"/>
                    </w:rPr>
                    <w:t>3</w:t>
                  </w:r>
                  <w:r>
                    <w:rPr>
                      <w:rFonts w:eastAsiaTheme="minorEastAsia"/>
                      <w:szCs w:val="21"/>
                    </w:rPr>
                    <w:t>)</w:t>
                  </w:r>
                </w:p>
              </w:tc>
              <w:tc>
                <w:tcPr>
                  <w:tcW w:w="604" w:type="pct"/>
                  <w:vMerge w:val="restart"/>
                  <w:tcBorders>
                    <w:tl2br w:val="nil"/>
                    <w:tr2bl w:val="nil"/>
                  </w:tcBorders>
                  <w:tcMar>
                    <w:left w:w="57" w:type="dxa"/>
                    <w:right w:w="57" w:type="dxa"/>
                  </w:tcMar>
                  <w:vAlign w:val="center"/>
                </w:tcPr>
                <w:p w14:paraId="15EB44C6">
                  <w:pPr>
                    <w:spacing w:line="320" w:lineRule="exact"/>
                    <w:jc w:val="center"/>
                    <w:rPr>
                      <w:rFonts w:eastAsiaTheme="minorEastAsia"/>
                      <w:kern w:val="0"/>
                      <w:szCs w:val="21"/>
                    </w:rPr>
                  </w:pPr>
                  <w:r>
                    <w:rPr>
                      <w:rFonts w:eastAsiaTheme="minorEastAsia"/>
                      <w:kern w:val="0"/>
                      <w:szCs w:val="21"/>
                    </w:rPr>
                    <w:t>最大浓度占标率%</w:t>
                  </w:r>
                </w:p>
              </w:tc>
              <w:tc>
                <w:tcPr>
                  <w:tcW w:w="360" w:type="pct"/>
                  <w:vMerge w:val="restart"/>
                  <w:tcBorders>
                    <w:tl2br w:val="nil"/>
                    <w:tr2bl w:val="nil"/>
                  </w:tcBorders>
                  <w:tcMar>
                    <w:left w:w="57" w:type="dxa"/>
                    <w:right w:w="57" w:type="dxa"/>
                  </w:tcMar>
                  <w:vAlign w:val="center"/>
                </w:tcPr>
                <w:p w14:paraId="4293BC0B">
                  <w:pPr>
                    <w:spacing w:line="320" w:lineRule="exact"/>
                    <w:jc w:val="center"/>
                    <w:rPr>
                      <w:rFonts w:eastAsiaTheme="minorEastAsia"/>
                      <w:kern w:val="0"/>
                      <w:szCs w:val="21"/>
                    </w:rPr>
                  </w:pPr>
                  <w:r>
                    <w:rPr>
                      <w:rFonts w:eastAsiaTheme="minorEastAsia"/>
                      <w:kern w:val="0"/>
                      <w:szCs w:val="21"/>
                    </w:rPr>
                    <w:t>超标率</w:t>
                  </w:r>
                </w:p>
                <w:p w14:paraId="1FEA5CCC">
                  <w:pPr>
                    <w:spacing w:line="320" w:lineRule="exact"/>
                    <w:jc w:val="center"/>
                    <w:rPr>
                      <w:rFonts w:eastAsiaTheme="minorEastAsia"/>
                      <w:kern w:val="0"/>
                      <w:szCs w:val="21"/>
                    </w:rPr>
                  </w:pPr>
                  <w:r>
                    <w:rPr>
                      <w:rFonts w:eastAsiaTheme="minorEastAsia"/>
                      <w:kern w:val="0"/>
                      <w:szCs w:val="21"/>
                    </w:rPr>
                    <w:t>%</w:t>
                  </w:r>
                </w:p>
              </w:tc>
              <w:tc>
                <w:tcPr>
                  <w:tcW w:w="386" w:type="pct"/>
                  <w:vMerge w:val="restart"/>
                  <w:tcBorders>
                    <w:tl2br w:val="nil"/>
                    <w:tr2bl w:val="nil"/>
                  </w:tcBorders>
                  <w:tcMar>
                    <w:left w:w="57" w:type="dxa"/>
                    <w:right w:w="57" w:type="dxa"/>
                  </w:tcMar>
                  <w:vAlign w:val="center"/>
                </w:tcPr>
                <w:p w14:paraId="52A2B087">
                  <w:pPr>
                    <w:spacing w:line="320" w:lineRule="exact"/>
                    <w:jc w:val="center"/>
                    <w:rPr>
                      <w:rFonts w:eastAsiaTheme="minorEastAsia"/>
                      <w:kern w:val="0"/>
                      <w:szCs w:val="21"/>
                    </w:rPr>
                  </w:pPr>
                  <w:r>
                    <w:rPr>
                      <w:rFonts w:eastAsiaTheme="minorEastAsia"/>
                      <w:kern w:val="0"/>
                      <w:szCs w:val="21"/>
                    </w:rPr>
                    <w:t>达标情况</w:t>
                  </w:r>
                </w:p>
              </w:tc>
            </w:tr>
            <w:tr w14:paraId="317E13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565" w:type="pct"/>
                  <w:vMerge w:val="continue"/>
                  <w:tcBorders>
                    <w:tl2br w:val="nil"/>
                    <w:tr2bl w:val="nil"/>
                  </w:tcBorders>
                  <w:tcMar>
                    <w:left w:w="57" w:type="dxa"/>
                    <w:right w:w="57" w:type="dxa"/>
                  </w:tcMar>
                  <w:vAlign w:val="center"/>
                </w:tcPr>
                <w:p w14:paraId="78115141">
                  <w:pPr>
                    <w:spacing w:line="320" w:lineRule="exact"/>
                    <w:jc w:val="center"/>
                    <w:rPr>
                      <w:rFonts w:eastAsiaTheme="minorEastAsia"/>
                      <w:kern w:val="0"/>
                      <w:szCs w:val="21"/>
                    </w:rPr>
                  </w:pPr>
                </w:p>
              </w:tc>
              <w:tc>
                <w:tcPr>
                  <w:tcW w:w="481" w:type="pct"/>
                  <w:tcBorders>
                    <w:tl2br w:val="nil"/>
                    <w:tr2bl w:val="nil"/>
                  </w:tcBorders>
                  <w:tcMar>
                    <w:left w:w="57" w:type="dxa"/>
                    <w:right w:w="57" w:type="dxa"/>
                  </w:tcMar>
                  <w:vAlign w:val="center"/>
                </w:tcPr>
                <w:p w14:paraId="352780A3">
                  <w:pPr>
                    <w:spacing w:line="240" w:lineRule="atLeast"/>
                    <w:jc w:val="center"/>
                    <w:rPr>
                      <w:rFonts w:eastAsiaTheme="minorEastAsia"/>
                      <w:kern w:val="0"/>
                      <w:szCs w:val="21"/>
                    </w:rPr>
                  </w:pPr>
                  <w:r>
                    <w:rPr>
                      <w:rFonts w:eastAsiaTheme="minorEastAsia"/>
                      <w:kern w:val="0"/>
                      <w:szCs w:val="21"/>
                    </w:rPr>
                    <w:t>东经</w:t>
                  </w:r>
                </w:p>
              </w:tc>
              <w:tc>
                <w:tcPr>
                  <w:tcW w:w="481" w:type="pct"/>
                  <w:tcBorders>
                    <w:tl2br w:val="nil"/>
                    <w:tr2bl w:val="nil"/>
                  </w:tcBorders>
                  <w:tcMar>
                    <w:left w:w="57" w:type="dxa"/>
                    <w:right w:w="57" w:type="dxa"/>
                  </w:tcMar>
                  <w:vAlign w:val="center"/>
                </w:tcPr>
                <w:p w14:paraId="47EF6F1B">
                  <w:pPr>
                    <w:spacing w:line="240" w:lineRule="atLeast"/>
                    <w:jc w:val="center"/>
                    <w:rPr>
                      <w:rFonts w:eastAsiaTheme="minorEastAsia"/>
                      <w:kern w:val="0"/>
                      <w:szCs w:val="21"/>
                    </w:rPr>
                  </w:pPr>
                  <w:r>
                    <w:rPr>
                      <w:rFonts w:eastAsiaTheme="minorEastAsia"/>
                      <w:kern w:val="0"/>
                      <w:szCs w:val="21"/>
                    </w:rPr>
                    <w:t>北纬</w:t>
                  </w:r>
                </w:p>
              </w:tc>
              <w:tc>
                <w:tcPr>
                  <w:tcW w:w="524" w:type="pct"/>
                  <w:vMerge w:val="continue"/>
                  <w:tcBorders>
                    <w:tl2br w:val="nil"/>
                    <w:tr2bl w:val="nil"/>
                  </w:tcBorders>
                  <w:tcMar>
                    <w:left w:w="57" w:type="dxa"/>
                    <w:right w:w="57" w:type="dxa"/>
                  </w:tcMar>
                  <w:vAlign w:val="center"/>
                </w:tcPr>
                <w:p w14:paraId="74B6F93B">
                  <w:pPr>
                    <w:spacing w:line="320" w:lineRule="exact"/>
                    <w:jc w:val="center"/>
                    <w:rPr>
                      <w:rFonts w:eastAsiaTheme="minorEastAsia"/>
                      <w:kern w:val="0"/>
                      <w:szCs w:val="21"/>
                    </w:rPr>
                  </w:pPr>
                </w:p>
              </w:tc>
              <w:tc>
                <w:tcPr>
                  <w:tcW w:w="367" w:type="pct"/>
                  <w:vMerge w:val="continue"/>
                  <w:tcBorders>
                    <w:tl2br w:val="nil"/>
                    <w:tr2bl w:val="nil"/>
                  </w:tcBorders>
                  <w:tcMar>
                    <w:left w:w="57" w:type="dxa"/>
                    <w:right w:w="57" w:type="dxa"/>
                  </w:tcMar>
                  <w:vAlign w:val="center"/>
                </w:tcPr>
                <w:p w14:paraId="050D4F76">
                  <w:pPr>
                    <w:spacing w:line="320" w:lineRule="exact"/>
                    <w:jc w:val="center"/>
                    <w:rPr>
                      <w:rFonts w:eastAsiaTheme="minorEastAsia"/>
                      <w:kern w:val="0"/>
                      <w:szCs w:val="21"/>
                    </w:rPr>
                  </w:pPr>
                </w:p>
              </w:tc>
              <w:tc>
                <w:tcPr>
                  <w:tcW w:w="607" w:type="pct"/>
                  <w:vMerge w:val="continue"/>
                  <w:tcBorders>
                    <w:tl2br w:val="nil"/>
                    <w:tr2bl w:val="nil"/>
                  </w:tcBorders>
                  <w:tcMar>
                    <w:left w:w="57" w:type="dxa"/>
                    <w:right w:w="57" w:type="dxa"/>
                  </w:tcMar>
                  <w:vAlign w:val="center"/>
                </w:tcPr>
                <w:p w14:paraId="5837FF9C">
                  <w:pPr>
                    <w:spacing w:line="320" w:lineRule="exact"/>
                    <w:jc w:val="center"/>
                    <w:rPr>
                      <w:rFonts w:eastAsiaTheme="minorEastAsia"/>
                      <w:kern w:val="0"/>
                      <w:szCs w:val="21"/>
                    </w:rPr>
                  </w:pPr>
                </w:p>
              </w:tc>
              <w:tc>
                <w:tcPr>
                  <w:tcW w:w="620" w:type="pct"/>
                  <w:vMerge w:val="continue"/>
                  <w:tcBorders>
                    <w:tl2br w:val="nil"/>
                    <w:tr2bl w:val="nil"/>
                  </w:tcBorders>
                  <w:tcMar>
                    <w:left w:w="57" w:type="dxa"/>
                    <w:right w:w="57" w:type="dxa"/>
                  </w:tcMar>
                  <w:vAlign w:val="center"/>
                </w:tcPr>
                <w:p w14:paraId="7E5414C5">
                  <w:pPr>
                    <w:spacing w:line="320" w:lineRule="exact"/>
                    <w:jc w:val="center"/>
                    <w:rPr>
                      <w:rFonts w:eastAsiaTheme="minorEastAsia"/>
                      <w:kern w:val="0"/>
                      <w:szCs w:val="21"/>
                    </w:rPr>
                  </w:pPr>
                </w:p>
              </w:tc>
              <w:tc>
                <w:tcPr>
                  <w:tcW w:w="604" w:type="pct"/>
                  <w:vMerge w:val="continue"/>
                  <w:tcBorders>
                    <w:tl2br w:val="nil"/>
                    <w:tr2bl w:val="nil"/>
                  </w:tcBorders>
                  <w:tcMar>
                    <w:left w:w="57" w:type="dxa"/>
                    <w:right w:w="57" w:type="dxa"/>
                  </w:tcMar>
                  <w:vAlign w:val="center"/>
                </w:tcPr>
                <w:p w14:paraId="53D31864">
                  <w:pPr>
                    <w:spacing w:line="320" w:lineRule="exact"/>
                    <w:jc w:val="center"/>
                    <w:rPr>
                      <w:rFonts w:eastAsiaTheme="minorEastAsia"/>
                      <w:kern w:val="0"/>
                      <w:szCs w:val="21"/>
                    </w:rPr>
                  </w:pPr>
                </w:p>
              </w:tc>
              <w:tc>
                <w:tcPr>
                  <w:tcW w:w="360" w:type="pct"/>
                  <w:vMerge w:val="continue"/>
                  <w:tcBorders>
                    <w:tl2br w:val="nil"/>
                    <w:tr2bl w:val="nil"/>
                  </w:tcBorders>
                  <w:tcMar>
                    <w:left w:w="57" w:type="dxa"/>
                    <w:right w:w="57" w:type="dxa"/>
                  </w:tcMar>
                  <w:vAlign w:val="center"/>
                </w:tcPr>
                <w:p w14:paraId="59FF4DCC">
                  <w:pPr>
                    <w:spacing w:line="320" w:lineRule="exact"/>
                    <w:jc w:val="center"/>
                    <w:rPr>
                      <w:rFonts w:eastAsiaTheme="minorEastAsia"/>
                      <w:kern w:val="0"/>
                      <w:szCs w:val="21"/>
                    </w:rPr>
                  </w:pPr>
                </w:p>
              </w:tc>
              <w:tc>
                <w:tcPr>
                  <w:tcW w:w="386" w:type="pct"/>
                  <w:vMerge w:val="continue"/>
                  <w:tcBorders>
                    <w:tl2br w:val="nil"/>
                    <w:tr2bl w:val="nil"/>
                  </w:tcBorders>
                  <w:tcMar>
                    <w:left w:w="57" w:type="dxa"/>
                    <w:right w:w="57" w:type="dxa"/>
                  </w:tcMar>
                  <w:vAlign w:val="center"/>
                </w:tcPr>
                <w:p w14:paraId="2E2927A0">
                  <w:pPr>
                    <w:spacing w:line="320" w:lineRule="exact"/>
                    <w:jc w:val="center"/>
                    <w:rPr>
                      <w:rFonts w:eastAsiaTheme="minorEastAsia"/>
                      <w:kern w:val="0"/>
                      <w:szCs w:val="21"/>
                    </w:rPr>
                  </w:pPr>
                </w:p>
              </w:tc>
            </w:tr>
            <w:tr w14:paraId="36E6AE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565" w:type="pct"/>
                  <w:tcBorders>
                    <w:tl2br w:val="nil"/>
                    <w:tr2bl w:val="nil"/>
                  </w:tcBorders>
                  <w:tcMar>
                    <w:left w:w="57" w:type="dxa"/>
                    <w:right w:w="57" w:type="dxa"/>
                  </w:tcMar>
                  <w:vAlign w:val="center"/>
                </w:tcPr>
                <w:p w14:paraId="2CEAB5B7">
                  <w:pPr>
                    <w:spacing w:line="320" w:lineRule="exact"/>
                    <w:jc w:val="center"/>
                    <w:rPr>
                      <w:rFonts w:eastAsiaTheme="minorEastAsia"/>
                      <w:kern w:val="0"/>
                      <w:szCs w:val="21"/>
                    </w:rPr>
                  </w:pPr>
                  <w:r>
                    <w:rPr>
                      <w:rFonts w:hint="eastAsia" w:eastAsiaTheme="minorEastAsia"/>
                      <w:kern w:val="0"/>
                      <w:szCs w:val="21"/>
                    </w:rPr>
                    <w:t>友谊县谊隆粮食经销有限责任公司东侧</w:t>
                  </w:r>
                </w:p>
              </w:tc>
              <w:tc>
                <w:tcPr>
                  <w:tcW w:w="481" w:type="pct"/>
                  <w:tcBorders>
                    <w:tl2br w:val="nil"/>
                    <w:tr2bl w:val="nil"/>
                  </w:tcBorders>
                  <w:tcMar>
                    <w:left w:w="57" w:type="dxa"/>
                    <w:right w:w="57" w:type="dxa"/>
                  </w:tcMar>
                  <w:vAlign w:val="center"/>
                </w:tcPr>
                <w:p w14:paraId="491C51DC">
                  <w:pPr>
                    <w:adjustRightInd w:val="0"/>
                    <w:snapToGrid w:val="0"/>
                    <w:jc w:val="center"/>
                    <w:rPr>
                      <w:rFonts w:eastAsiaTheme="minorEastAsia"/>
                      <w:szCs w:val="21"/>
                    </w:rPr>
                  </w:pPr>
                  <w:r>
                    <w:t>131.6656065</w:t>
                  </w:r>
                  <w:r>
                    <w:rPr>
                      <w:szCs w:val="21"/>
                    </w:rPr>
                    <w:t>°</w:t>
                  </w:r>
                </w:p>
              </w:tc>
              <w:tc>
                <w:tcPr>
                  <w:tcW w:w="481" w:type="pct"/>
                  <w:tcBorders>
                    <w:tl2br w:val="nil"/>
                    <w:tr2bl w:val="nil"/>
                  </w:tcBorders>
                  <w:tcMar>
                    <w:left w:w="57" w:type="dxa"/>
                    <w:right w:w="57" w:type="dxa"/>
                  </w:tcMar>
                  <w:vAlign w:val="center"/>
                </w:tcPr>
                <w:p w14:paraId="4DCEE8FA">
                  <w:pPr>
                    <w:rPr>
                      <w:rFonts w:eastAsiaTheme="minorEastAsia"/>
                      <w:szCs w:val="21"/>
                    </w:rPr>
                  </w:pPr>
                  <w:r>
                    <w:t>46.6527294</w:t>
                  </w:r>
                  <w:r>
                    <w:rPr>
                      <w:szCs w:val="21"/>
                    </w:rPr>
                    <w:t>°</w:t>
                  </w:r>
                </w:p>
              </w:tc>
              <w:tc>
                <w:tcPr>
                  <w:tcW w:w="524" w:type="pct"/>
                  <w:tcBorders>
                    <w:tl2br w:val="nil"/>
                    <w:tr2bl w:val="nil"/>
                  </w:tcBorders>
                  <w:tcMar>
                    <w:left w:w="57" w:type="dxa"/>
                    <w:right w:w="57" w:type="dxa"/>
                  </w:tcMar>
                  <w:vAlign w:val="center"/>
                </w:tcPr>
                <w:p w14:paraId="047B2642">
                  <w:pPr>
                    <w:spacing w:line="240" w:lineRule="atLeast"/>
                    <w:jc w:val="center"/>
                    <w:rPr>
                      <w:rFonts w:eastAsiaTheme="minorEastAsia"/>
                      <w:szCs w:val="21"/>
                    </w:rPr>
                  </w:pPr>
                  <w:r>
                    <w:rPr>
                      <w:rFonts w:eastAsiaTheme="minorEastAsia"/>
                      <w:kern w:val="0"/>
                      <w:szCs w:val="21"/>
                    </w:rPr>
                    <w:t>TSP</w:t>
                  </w:r>
                </w:p>
              </w:tc>
              <w:tc>
                <w:tcPr>
                  <w:tcW w:w="367" w:type="pct"/>
                  <w:tcBorders>
                    <w:tl2br w:val="nil"/>
                    <w:tr2bl w:val="nil"/>
                  </w:tcBorders>
                  <w:tcMar>
                    <w:left w:w="57" w:type="dxa"/>
                    <w:right w:w="57" w:type="dxa"/>
                  </w:tcMar>
                  <w:vAlign w:val="center"/>
                </w:tcPr>
                <w:p w14:paraId="602ACE8B">
                  <w:pPr>
                    <w:spacing w:line="320" w:lineRule="exact"/>
                    <w:jc w:val="center"/>
                    <w:rPr>
                      <w:rFonts w:eastAsiaTheme="minorEastAsia"/>
                      <w:kern w:val="0"/>
                      <w:szCs w:val="21"/>
                    </w:rPr>
                  </w:pPr>
                  <w:r>
                    <w:rPr>
                      <w:rFonts w:eastAsiaTheme="minorEastAsia"/>
                      <w:kern w:val="0"/>
                      <w:szCs w:val="21"/>
                    </w:rPr>
                    <w:t>24h</w:t>
                  </w:r>
                </w:p>
              </w:tc>
              <w:tc>
                <w:tcPr>
                  <w:tcW w:w="607" w:type="pct"/>
                  <w:tcBorders>
                    <w:tl2br w:val="nil"/>
                    <w:tr2bl w:val="nil"/>
                  </w:tcBorders>
                  <w:tcMar>
                    <w:left w:w="57" w:type="dxa"/>
                    <w:right w:w="57" w:type="dxa"/>
                  </w:tcMar>
                  <w:vAlign w:val="center"/>
                </w:tcPr>
                <w:p w14:paraId="4BB95E61">
                  <w:pPr>
                    <w:spacing w:line="320" w:lineRule="atLeast"/>
                    <w:jc w:val="center"/>
                    <w:rPr>
                      <w:rFonts w:eastAsiaTheme="minorEastAsia"/>
                      <w:szCs w:val="21"/>
                    </w:rPr>
                  </w:pPr>
                  <w:r>
                    <w:rPr>
                      <w:rFonts w:eastAsiaTheme="minorEastAsia"/>
                      <w:szCs w:val="21"/>
                    </w:rPr>
                    <w:t>300</w:t>
                  </w:r>
                </w:p>
              </w:tc>
              <w:tc>
                <w:tcPr>
                  <w:tcW w:w="989" w:type="dxa"/>
                  <w:tcBorders>
                    <w:tl2br w:val="nil"/>
                    <w:tr2bl w:val="nil"/>
                  </w:tcBorders>
                  <w:tcMar>
                    <w:left w:w="57" w:type="dxa"/>
                    <w:right w:w="57" w:type="dxa"/>
                  </w:tcMar>
                  <w:vAlign w:val="center"/>
                </w:tcPr>
                <w:p w14:paraId="0E023E3E">
                  <w:pPr>
                    <w:adjustRightInd w:val="0"/>
                    <w:snapToGrid w:val="0"/>
                    <w:jc w:val="center"/>
                    <w:rPr>
                      <w:rFonts w:eastAsiaTheme="minorEastAsia"/>
                      <w:szCs w:val="21"/>
                    </w:rPr>
                  </w:pPr>
                  <w:r>
                    <w:rPr>
                      <w:rFonts w:hint="eastAsia"/>
                      <w:szCs w:val="21"/>
                    </w:rPr>
                    <w:t>173-201</w:t>
                  </w:r>
                </w:p>
              </w:tc>
              <w:tc>
                <w:tcPr>
                  <w:tcW w:w="964" w:type="dxa"/>
                  <w:tcBorders>
                    <w:tl2br w:val="nil"/>
                    <w:tr2bl w:val="nil"/>
                  </w:tcBorders>
                  <w:tcMar>
                    <w:left w:w="57" w:type="dxa"/>
                    <w:right w:w="57" w:type="dxa"/>
                  </w:tcMar>
                  <w:vAlign w:val="center"/>
                </w:tcPr>
                <w:p w14:paraId="39D191B8">
                  <w:pPr>
                    <w:adjustRightInd w:val="0"/>
                    <w:snapToGrid w:val="0"/>
                    <w:jc w:val="center"/>
                    <w:rPr>
                      <w:rFonts w:eastAsiaTheme="minorEastAsia"/>
                      <w:szCs w:val="21"/>
                    </w:rPr>
                  </w:pPr>
                  <w:r>
                    <w:rPr>
                      <w:rFonts w:hint="eastAsia"/>
                      <w:szCs w:val="21"/>
                    </w:rPr>
                    <w:t>66.67</w:t>
                  </w:r>
                </w:p>
              </w:tc>
              <w:tc>
                <w:tcPr>
                  <w:tcW w:w="360" w:type="pct"/>
                  <w:tcBorders>
                    <w:tl2br w:val="nil"/>
                    <w:tr2bl w:val="nil"/>
                  </w:tcBorders>
                  <w:tcMar>
                    <w:left w:w="57" w:type="dxa"/>
                    <w:right w:w="57" w:type="dxa"/>
                  </w:tcMar>
                  <w:vAlign w:val="center"/>
                </w:tcPr>
                <w:p w14:paraId="54C15EB1">
                  <w:pPr>
                    <w:spacing w:line="320" w:lineRule="atLeast"/>
                    <w:jc w:val="center"/>
                    <w:rPr>
                      <w:rFonts w:eastAsiaTheme="minorEastAsia"/>
                      <w:szCs w:val="21"/>
                    </w:rPr>
                  </w:pPr>
                  <w:r>
                    <w:rPr>
                      <w:rFonts w:eastAsiaTheme="minorEastAsia"/>
                      <w:szCs w:val="21"/>
                    </w:rPr>
                    <w:t>0</w:t>
                  </w:r>
                </w:p>
              </w:tc>
              <w:tc>
                <w:tcPr>
                  <w:tcW w:w="386" w:type="pct"/>
                  <w:tcBorders>
                    <w:tl2br w:val="nil"/>
                    <w:tr2bl w:val="nil"/>
                  </w:tcBorders>
                  <w:tcMar>
                    <w:left w:w="57" w:type="dxa"/>
                    <w:right w:w="0" w:type="dxa"/>
                  </w:tcMar>
                  <w:vAlign w:val="center"/>
                </w:tcPr>
                <w:p w14:paraId="354BBEFF">
                  <w:pPr>
                    <w:jc w:val="center"/>
                    <w:rPr>
                      <w:rFonts w:eastAsiaTheme="minorEastAsia"/>
                      <w:kern w:val="0"/>
                      <w:szCs w:val="21"/>
                    </w:rPr>
                  </w:pPr>
                  <w:r>
                    <w:rPr>
                      <w:rFonts w:eastAsiaTheme="minorEastAsia"/>
                      <w:kern w:val="0"/>
                      <w:szCs w:val="21"/>
                    </w:rPr>
                    <w:t>达标</w:t>
                  </w:r>
                </w:p>
              </w:tc>
            </w:tr>
          </w:tbl>
          <w:p w14:paraId="7CA4EB82">
            <w:pPr>
              <w:adjustRightInd w:val="0"/>
              <w:snapToGrid w:val="0"/>
              <w:spacing w:line="360" w:lineRule="auto"/>
              <w:ind w:firstLine="480" w:firstLineChars="200"/>
              <w:rPr>
                <w:bCs/>
                <w:sz w:val="24"/>
                <w:highlight w:val="yellow"/>
              </w:rPr>
            </w:pPr>
            <w:r>
              <w:rPr>
                <w:color w:val="000000" w:themeColor="text1"/>
                <w:sz w:val="24"/>
                <w14:textFill>
                  <w14:solidFill>
                    <w14:schemeClr w14:val="tx1"/>
                  </w14:solidFill>
                </w14:textFill>
              </w:rPr>
              <w:t>由上表可知，本项目所在区域在监测时段内特征污染物总悬浮颗粒物监测结果无超标现象，符合《环境空气质量标准》（GB3095-2012）及其修改单二级标准要求</w:t>
            </w:r>
            <w:r>
              <w:rPr>
                <w:bCs/>
                <w:sz w:val="24"/>
              </w:rPr>
              <w:t>。</w:t>
            </w:r>
          </w:p>
          <w:p w14:paraId="6F4ACCE6">
            <w:pPr>
              <w:adjustRightInd w:val="0"/>
              <w:snapToGrid w:val="0"/>
              <w:spacing w:line="360" w:lineRule="auto"/>
              <w:ind w:firstLine="482" w:firstLineChars="200"/>
              <w:rPr>
                <w:b/>
                <w:bCs/>
                <w:sz w:val="24"/>
              </w:rPr>
            </w:pPr>
            <w:r>
              <w:rPr>
                <w:b/>
                <w:bCs/>
                <w:sz w:val="24"/>
              </w:rPr>
              <w:t>2、地表水环境</w:t>
            </w:r>
          </w:p>
          <w:p w14:paraId="40DDB5F1">
            <w:pPr>
              <w:adjustRightInd w:val="0"/>
              <w:snapToGrid w:val="0"/>
              <w:spacing w:line="360" w:lineRule="auto"/>
              <w:ind w:firstLine="480" w:firstLineChars="200"/>
              <w:jc w:val="left"/>
              <w:rPr>
                <w:bCs/>
                <w:kern w:val="0"/>
                <w:sz w:val="24"/>
              </w:rPr>
            </w:pPr>
            <w:r>
              <w:rPr>
                <w:sz w:val="24"/>
              </w:rPr>
              <w:t>本项目所在区域水体为七星河，属于挠力河支流，根据《全国重要江河湖泊水功能区划（2011-2030年）》，挠力河规划水体功能类别为</w:t>
            </w:r>
            <w:r>
              <w:rPr>
                <w:sz w:val="24"/>
              </w:rPr>
              <w:fldChar w:fldCharType="begin"/>
            </w:r>
            <w:r>
              <w:rPr>
                <w:sz w:val="24"/>
              </w:rPr>
              <w:instrText xml:space="preserve"> = 3 \* ROMAN \* MERGEFORMAT </w:instrText>
            </w:r>
            <w:r>
              <w:rPr>
                <w:sz w:val="24"/>
              </w:rPr>
              <w:fldChar w:fldCharType="separate"/>
            </w:r>
            <w:r>
              <w:rPr>
                <w:sz w:val="24"/>
              </w:rPr>
              <w:t>III</w:t>
            </w:r>
            <w:r>
              <w:rPr>
                <w:sz w:val="24"/>
              </w:rPr>
              <w:fldChar w:fldCharType="end"/>
            </w:r>
            <w:r>
              <w:rPr>
                <w:sz w:val="24"/>
              </w:rPr>
              <w:t>类，根据《2024年黑龙江省生态环境质量状况》，挠力河口内11项监测指标均满足《地表水环境质量标准》（GB3838-2002）Ⅲ类标准限值要求，水质达标率为100%</w:t>
            </w:r>
            <w:r>
              <w:rPr>
                <w:bCs/>
                <w:kern w:val="0"/>
                <w:sz w:val="24"/>
              </w:rPr>
              <w:t>。</w:t>
            </w:r>
          </w:p>
          <w:p w14:paraId="3A33DE37">
            <w:pPr>
              <w:adjustRightInd w:val="0"/>
              <w:snapToGrid w:val="0"/>
              <w:spacing w:line="360" w:lineRule="auto"/>
              <w:ind w:firstLine="482" w:firstLineChars="200"/>
              <w:rPr>
                <w:b/>
                <w:color w:val="auto"/>
                <w:sz w:val="24"/>
                <w:highlight w:val="none"/>
              </w:rPr>
            </w:pPr>
            <w:r>
              <w:rPr>
                <w:b/>
                <w:color w:val="auto"/>
                <w:sz w:val="24"/>
                <w:highlight w:val="none"/>
              </w:rPr>
              <w:t>3、声环境</w:t>
            </w:r>
          </w:p>
          <w:p w14:paraId="296F47D2">
            <w:pPr>
              <w:spacing w:line="360" w:lineRule="auto"/>
              <w:ind w:firstLine="480" w:firstLineChars="200"/>
              <w:rPr>
                <w:color w:val="auto"/>
                <w:sz w:val="24"/>
                <w:highlight w:val="none"/>
              </w:rPr>
            </w:pPr>
            <w:r>
              <w:rPr>
                <w:color w:val="auto"/>
                <w:sz w:val="24"/>
                <w:highlight w:val="none"/>
              </w:rPr>
              <w:t>根据《202</w:t>
            </w:r>
            <w:r>
              <w:rPr>
                <w:rFonts w:hint="eastAsia"/>
                <w:color w:val="auto"/>
                <w:sz w:val="24"/>
                <w:highlight w:val="none"/>
              </w:rPr>
              <w:t>4</w:t>
            </w:r>
            <w:r>
              <w:rPr>
                <w:color w:val="auto"/>
                <w:sz w:val="24"/>
                <w:highlight w:val="none"/>
              </w:rPr>
              <w:t>年黑龙江省生态环境质量状况》，202</w:t>
            </w:r>
            <w:r>
              <w:rPr>
                <w:rFonts w:hint="eastAsia"/>
                <w:color w:val="auto"/>
                <w:sz w:val="24"/>
                <w:highlight w:val="none"/>
              </w:rPr>
              <w:t>4</w:t>
            </w:r>
            <w:r>
              <w:rPr>
                <w:color w:val="auto"/>
                <w:sz w:val="24"/>
                <w:highlight w:val="none"/>
              </w:rPr>
              <w:t>双鸭山市区域昼间声环境质量为二级，等效声级为54.</w:t>
            </w:r>
            <w:r>
              <w:rPr>
                <w:rFonts w:hint="eastAsia"/>
                <w:color w:val="auto"/>
                <w:sz w:val="24"/>
                <w:highlight w:val="none"/>
              </w:rPr>
              <w:t>4</w:t>
            </w:r>
            <w:r>
              <w:rPr>
                <w:color w:val="auto"/>
                <w:sz w:val="24"/>
                <w:highlight w:val="none"/>
              </w:rPr>
              <w:t>dB（A）；道路交通声环境质量为一级，等效声级为67.</w:t>
            </w:r>
            <w:r>
              <w:rPr>
                <w:rFonts w:hint="eastAsia"/>
                <w:color w:val="auto"/>
                <w:sz w:val="24"/>
                <w:highlight w:val="none"/>
              </w:rPr>
              <w:t>6</w:t>
            </w:r>
            <w:r>
              <w:rPr>
                <w:color w:val="auto"/>
                <w:sz w:val="24"/>
                <w:highlight w:val="none"/>
              </w:rPr>
              <w:t>dB（A）；功能区昼间达标率100%；功能区夜间达标率</w:t>
            </w:r>
            <w:r>
              <w:rPr>
                <w:rFonts w:hint="eastAsia"/>
                <w:color w:val="auto"/>
                <w:sz w:val="24"/>
                <w:highlight w:val="none"/>
              </w:rPr>
              <w:t>93.8</w:t>
            </w:r>
            <w:r>
              <w:rPr>
                <w:color w:val="auto"/>
                <w:sz w:val="24"/>
                <w:highlight w:val="none"/>
              </w:rPr>
              <w:t>%。</w:t>
            </w:r>
          </w:p>
          <w:p w14:paraId="5C4B6D6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bCs/>
                <w:color w:val="auto"/>
                <w:kern w:val="0"/>
                <w:sz w:val="24"/>
                <w:highlight w:val="none"/>
              </w:rPr>
            </w:pPr>
            <w:r>
              <w:rPr>
                <w:color w:val="auto"/>
                <w:sz w:val="24"/>
                <w:highlight w:val="none"/>
                <w:lang w:val="zh-CN"/>
              </w:rPr>
              <w:t>黑龙江中邺检测技术有限公司于202</w:t>
            </w:r>
            <w:r>
              <w:rPr>
                <w:color w:val="auto"/>
                <w:sz w:val="24"/>
                <w:highlight w:val="none"/>
              </w:rPr>
              <w:t>5</w:t>
            </w:r>
            <w:r>
              <w:rPr>
                <w:color w:val="auto"/>
                <w:sz w:val="24"/>
                <w:highlight w:val="none"/>
                <w:lang w:val="zh-CN"/>
              </w:rPr>
              <w:t>年</w:t>
            </w:r>
            <w:r>
              <w:rPr>
                <w:rFonts w:hint="eastAsia"/>
                <w:color w:val="auto"/>
                <w:sz w:val="24"/>
                <w:highlight w:val="none"/>
                <w:lang w:val="en-US" w:eastAsia="zh-CN"/>
              </w:rPr>
              <w:t>10</w:t>
            </w:r>
            <w:r>
              <w:rPr>
                <w:color w:val="auto"/>
                <w:sz w:val="24"/>
                <w:highlight w:val="none"/>
                <w:lang w:val="zh-CN"/>
              </w:rPr>
              <w:t>月</w:t>
            </w:r>
            <w:r>
              <w:rPr>
                <w:rFonts w:hint="eastAsia"/>
                <w:color w:val="auto"/>
                <w:sz w:val="24"/>
                <w:highlight w:val="none"/>
                <w:lang w:val="en-US" w:eastAsia="zh-CN"/>
              </w:rPr>
              <w:t>19</w:t>
            </w:r>
            <w:r>
              <w:rPr>
                <w:color w:val="auto"/>
                <w:sz w:val="24"/>
                <w:highlight w:val="none"/>
                <w:lang w:val="zh-CN"/>
              </w:rPr>
              <w:t>日对项目所在区域的</w:t>
            </w:r>
            <w:r>
              <w:rPr>
                <w:bCs/>
                <w:color w:val="auto"/>
                <w:kern w:val="0"/>
                <w:sz w:val="24"/>
                <w:highlight w:val="none"/>
              </w:rPr>
              <w:t>声环境质量</w:t>
            </w:r>
            <w:r>
              <w:rPr>
                <w:color w:val="auto"/>
                <w:sz w:val="24"/>
                <w:highlight w:val="none"/>
                <w:lang w:val="zh-CN"/>
              </w:rPr>
              <w:t>现状进行监测</w:t>
            </w:r>
            <w:r>
              <w:rPr>
                <w:bCs/>
                <w:color w:val="auto"/>
                <w:kern w:val="0"/>
                <w:sz w:val="24"/>
                <w:highlight w:val="none"/>
              </w:rPr>
              <w:t>。监测结果如下：</w:t>
            </w:r>
          </w:p>
          <w:p w14:paraId="7F063A58">
            <w:pPr>
              <w:pStyle w:val="69"/>
              <w:spacing w:line="240" w:lineRule="auto"/>
              <w:rPr>
                <w:bCs/>
                <w:color w:val="auto"/>
                <w:kern w:val="2"/>
                <w:sz w:val="21"/>
                <w:szCs w:val="21"/>
                <w:highlight w:val="yellow"/>
              </w:rPr>
            </w:pPr>
            <w:r>
              <w:rPr>
                <w:bCs/>
                <w:color w:val="auto"/>
                <w:kern w:val="2"/>
                <w:sz w:val="21"/>
                <w:szCs w:val="21"/>
                <w:highlight w:val="none"/>
              </w:rPr>
              <w:t>表3</w:t>
            </w:r>
            <w:r>
              <w:rPr>
                <w:rFonts w:hint="eastAsia"/>
                <w:bCs/>
                <w:color w:val="auto"/>
                <w:kern w:val="2"/>
                <w:sz w:val="21"/>
                <w:szCs w:val="21"/>
                <w:highlight w:val="none"/>
                <w:lang w:val="en-US" w:eastAsia="zh-CN"/>
              </w:rPr>
              <w:t>-3</w:t>
            </w:r>
            <w:r>
              <w:rPr>
                <w:bCs/>
                <w:color w:val="auto"/>
                <w:kern w:val="2"/>
                <w:sz w:val="21"/>
                <w:szCs w:val="21"/>
                <w:highlight w:val="none"/>
              </w:rPr>
              <w:t xml:space="preserve"> 区域声质量现状监测结果</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49"/>
              <w:gridCol w:w="2707"/>
              <w:gridCol w:w="2570"/>
              <w:gridCol w:w="845"/>
            </w:tblGrid>
            <w:tr w14:paraId="4758FC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0" w:type="pct"/>
                  <w:vMerge w:val="restart"/>
                  <w:tcBorders>
                    <w:tl2br w:val="nil"/>
                    <w:tr2bl w:val="nil"/>
                  </w:tcBorders>
                  <w:vAlign w:val="center"/>
                </w:tcPr>
                <w:p w14:paraId="71EB1062">
                  <w:pPr>
                    <w:jc w:val="center"/>
                    <w:rPr>
                      <w:color w:val="auto"/>
                      <w:kern w:val="0"/>
                      <w:szCs w:val="21"/>
                      <w:highlight w:val="none"/>
                    </w:rPr>
                  </w:pPr>
                  <w:r>
                    <w:rPr>
                      <w:color w:val="auto"/>
                      <w:kern w:val="0"/>
                      <w:szCs w:val="21"/>
                      <w:highlight w:val="none"/>
                    </w:rPr>
                    <w:t>检测点位</w:t>
                  </w:r>
                </w:p>
              </w:tc>
              <w:tc>
                <w:tcPr>
                  <w:tcW w:w="3308" w:type="pct"/>
                  <w:gridSpan w:val="2"/>
                  <w:tcBorders>
                    <w:tl2br w:val="nil"/>
                    <w:tr2bl w:val="nil"/>
                  </w:tcBorders>
                  <w:vAlign w:val="center"/>
                </w:tcPr>
                <w:p w14:paraId="0A904BB7">
                  <w:pPr>
                    <w:jc w:val="center"/>
                    <w:rPr>
                      <w:color w:val="auto"/>
                      <w:kern w:val="0"/>
                      <w:szCs w:val="21"/>
                      <w:highlight w:val="none"/>
                    </w:rPr>
                  </w:pPr>
                  <w:r>
                    <w:rPr>
                      <w:color w:val="auto"/>
                      <w:kern w:val="0"/>
                      <w:szCs w:val="21"/>
                      <w:highlight w:val="none"/>
                    </w:rPr>
                    <w:t>检测结果/检测时间</w:t>
                  </w:r>
                </w:p>
              </w:tc>
              <w:tc>
                <w:tcPr>
                  <w:tcW w:w="530" w:type="pct"/>
                  <w:vMerge w:val="restart"/>
                  <w:tcBorders>
                    <w:tl2br w:val="nil"/>
                    <w:tr2bl w:val="nil"/>
                  </w:tcBorders>
                  <w:vAlign w:val="center"/>
                </w:tcPr>
                <w:p w14:paraId="7028EBCE">
                  <w:pPr>
                    <w:jc w:val="center"/>
                    <w:rPr>
                      <w:color w:val="auto"/>
                      <w:kern w:val="0"/>
                      <w:szCs w:val="21"/>
                      <w:highlight w:val="none"/>
                    </w:rPr>
                  </w:pPr>
                  <w:r>
                    <w:rPr>
                      <w:color w:val="auto"/>
                      <w:kern w:val="0"/>
                      <w:szCs w:val="21"/>
                      <w:highlight w:val="none"/>
                    </w:rPr>
                    <w:t>单位</w:t>
                  </w:r>
                </w:p>
              </w:tc>
            </w:tr>
            <w:tr w14:paraId="153B99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0" w:type="pct"/>
                  <w:vMerge w:val="continue"/>
                  <w:tcBorders>
                    <w:tl2br w:val="nil"/>
                    <w:tr2bl w:val="nil"/>
                  </w:tcBorders>
                  <w:vAlign w:val="center"/>
                </w:tcPr>
                <w:p w14:paraId="7264B2F1">
                  <w:pPr>
                    <w:jc w:val="center"/>
                    <w:rPr>
                      <w:color w:val="auto"/>
                      <w:kern w:val="0"/>
                      <w:szCs w:val="21"/>
                      <w:highlight w:val="none"/>
                    </w:rPr>
                  </w:pPr>
                </w:p>
              </w:tc>
              <w:tc>
                <w:tcPr>
                  <w:tcW w:w="3308" w:type="pct"/>
                  <w:gridSpan w:val="2"/>
                  <w:tcBorders>
                    <w:tl2br w:val="nil"/>
                    <w:tr2bl w:val="nil"/>
                  </w:tcBorders>
                  <w:vAlign w:val="center"/>
                </w:tcPr>
                <w:p w14:paraId="35328A3F">
                  <w:pPr>
                    <w:jc w:val="center"/>
                    <w:rPr>
                      <w:rFonts w:hint="default" w:eastAsia="宋体"/>
                      <w:color w:val="auto"/>
                      <w:kern w:val="0"/>
                      <w:szCs w:val="21"/>
                      <w:highlight w:val="none"/>
                      <w:lang w:val="en-US" w:eastAsia="zh-CN"/>
                    </w:rPr>
                  </w:pPr>
                  <w:r>
                    <w:rPr>
                      <w:color w:val="auto"/>
                      <w:kern w:val="0"/>
                      <w:szCs w:val="21"/>
                      <w:highlight w:val="none"/>
                    </w:rPr>
                    <w:t>2025.</w:t>
                  </w:r>
                  <w:r>
                    <w:rPr>
                      <w:rFonts w:hint="eastAsia"/>
                      <w:color w:val="auto"/>
                      <w:kern w:val="0"/>
                      <w:szCs w:val="21"/>
                      <w:highlight w:val="none"/>
                      <w:lang w:val="en-US" w:eastAsia="zh-CN"/>
                    </w:rPr>
                    <w:t>10</w:t>
                  </w:r>
                  <w:r>
                    <w:rPr>
                      <w:rFonts w:hint="eastAsia"/>
                      <w:color w:val="auto"/>
                      <w:kern w:val="0"/>
                      <w:szCs w:val="21"/>
                      <w:highlight w:val="none"/>
                    </w:rPr>
                    <w:t>.</w:t>
                  </w:r>
                  <w:r>
                    <w:rPr>
                      <w:rFonts w:hint="eastAsia"/>
                      <w:color w:val="auto"/>
                      <w:kern w:val="0"/>
                      <w:szCs w:val="21"/>
                      <w:highlight w:val="none"/>
                      <w:lang w:val="en-US" w:eastAsia="zh-CN"/>
                    </w:rPr>
                    <w:t>19</w:t>
                  </w:r>
                </w:p>
              </w:tc>
              <w:tc>
                <w:tcPr>
                  <w:tcW w:w="530" w:type="pct"/>
                  <w:vMerge w:val="continue"/>
                  <w:tcBorders>
                    <w:tl2br w:val="nil"/>
                    <w:tr2bl w:val="nil"/>
                  </w:tcBorders>
                  <w:vAlign w:val="center"/>
                </w:tcPr>
                <w:p w14:paraId="456ABBF7">
                  <w:pPr>
                    <w:jc w:val="center"/>
                    <w:rPr>
                      <w:color w:val="auto"/>
                      <w:kern w:val="0"/>
                      <w:szCs w:val="21"/>
                      <w:highlight w:val="none"/>
                    </w:rPr>
                  </w:pPr>
                </w:p>
              </w:tc>
            </w:tr>
            <w:tr w14:paraId="1ABAEE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0" w:type="pct"/>
                  <w:vMerge w:val="continue"/>
                  <w:tcBorders>
                    <w:tl2br w:val="nil"/>
                    <w:tr2bl w:val="nil"/>
                  </w:tcBorders>
                  <w:vAlign w:val="center"/>
                </w:tcPr>
                <w:p w14:paraId="541A47AA">
                  <w:pPr>
                    <w:jc w:val="center"/>
                    <w:rPr>
                      <w:color w:val="auto"/>
                      <w:kern w:val="0"/>
                      <w:szCs w:val="21"/>
                      <w:highlight w:val="none"/>
                    </w:rPr>
                  </w:pPr>
                </w:p>
              </w:tc>
              <w:tc>
                <w:tcPr>
                  <w:tcW w:w="1697" w:type="pct"/>
                  <w:tcBorders>
                    <w:tl2br w:val="nil"/>
                    <w:tr2bl w:val="nil"/>
                  </w:tcBorders>
                  <w:vAlign w:val="center"/>
                </w:tcPr>
                <w:p w14:paraId="6A20667D">
                  <w:pPr>
                    <w:jc w:val="center"/>
                    <w:rPr>
                      <w:color w:val="auto"/>
                      <w:kern w:val="0"/>
                      <w:szCs w:val="21"/>
                      <w:highlight w:val="none"/>
                    </w:rPr>
                  </w:pPr>
                  <w:r>
                    <w:rPr>
                      <w:color w:val="auto"/>
                      <w:kern w:val="0"/>
                      <w:szCs w:val="21"/>
                      <w:highlight w:val="none"/>
                    </w:rPr>
                    <w:t>昼间</w:t>
                  </w:r>
                </w:p>
              </w:tc>
              <w:tc>
                <w:tcPr>
                  <w:tcW w:w="1611" w:type="pct"/>
                  <w:tcBorders>
                    <w:tl2br w:val="nil"/>
                    <w:tr2bl w:val="nil"/>
                  </w:tcBorders>
                  <w:vAlign w:val="center"/>
                </w:tcPr>
                <w:p w14:paraId="6AA88584">
                  <w:pPr>
                    <w:jc w:val="center"/>
                    <w:rPr>
                      <w:color w:val="auto"/>
                      <w:kern w:val="0"/>
                      <w:szCs w:val="21"/>
                      <w:highlight w:val="none"/>
                    </w:rPr>
                  </w:pPr>
                  <w:r>
                    <w:rPr>
                      <w:color w:val="auto"/>
                      <w:kern w:val="0"/>
                      <w:szCs w:val="21"/>
                      <w:highlight w:val="none"/>
                    </w:rPr>
                    <w:t>夜间</w:t>
                  </w:r>
                </w:p>
              </w:tc>
              <w:tc>
                <w:tcPr>
                  <w:tcW w:w="530" w:type="pct"/>
                  <w:vMerge w:val="continue"/>
                  <w:tcBorders>
                    <w:tl2br w:val="nil"/>
                    <w:tr2bl w:val="nil"/>
                  </w:tcBorders>
                  <w:vAlign w:val="center"/>
                </w:tcPr>
                <w:p w14:paraId="38857D55">
                  <w:pPr>
                    <w:jc w:val="center"/>
                    <w:rPr>
                      <w:color w:val="auto"/>
                      <w:kern w:val="0"/>
                      <w:szCs w:val="21"/>
                      <w:highlight w:val="none"/>
                    </w:rPr>
                  </w:pPr>
                </w:p>
              </w:tc>
            </w:tr>
            <w:tr w14:paraId="2AD46F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0" w:type="pct"/>
                  <w:tcBorders>
                    <w:tl2br w:val="nil"/>
                    <w:tr2bl w:val="nil"/>
                  </w:tcBorders>
                  <w:vAlign w:val="center"/>
                </w:tcPr>
                <w:p w14:paraId="7340338F">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项目东侧居民区</w:t>
                  </w:r>
                </w:p>
              </w:tc>
              <w:tc>
                <w:tcPr>
                  <w:tcW w:w="1697" w:type="pct"/>
                  <w:tcBorders>
                    <w:tl2br w:val="nil"/>
                    <w:tr2bl w:val="nil"/>
                  </w:tcBorders>
                  <w:vAlign w:val="center"/>
                </w:tcPr>
                <w:p w14:paraId="6707A02A">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51</w:t>
                  </w:r>
                </w:p>
              </w:tc>
              <w:tc>
                <w:tcPr>
                  <w:tcW w:w="1611" w:type="pct"/>
                  <w:tcBorders>
                    <w:tl2br w:val="nil"/>
                    <w:tr2bl w:val="nil"/>
                  </w:tcBorders>
                  <w:vAlign w:val="center"/>
                </w:tcPr>
                <w:p w14:paraId="0FEEDE76">
                  <w:pPr>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40</w:t>
                  </w:r>
                </w:p>
              </w:tc>
              <w:tc>
                <w:tcPr>
                  <w:tcW w:w="530" w:type="pct"/>
                  <w:tcBorders>
                    <w:tl2br w:val="nil"/>
                    <w:tr2bl w:val="nil"/>
                  </w:tcBorders>
                  <w:vAlign w:val="center"/>
                </w:tcPr>
                <w:p w14:paraId="5742BFFE">
                  <w:pPr>
                    <w:jc w:val="center"/>
                    <w:rPr>
                      <w:color w:val="auto"/>
                      <w:kern w:val="0"/>
                      <w:szCs w:val="21"/>
                      <w:highlight w:val="none"/>
                    </w:rPr>
                  </w:pPr>
                  <w:r>
                    <w:rPr>
                      <w:color w:val="auto"/>
                      <w:kern w:val="0"/>
                      <w:szCs w:val="21"/>
                      <w:highlight w:val="none"/>
                    </w:rPr>
                    <w:t>dB(A）</w:t>
                  </w:r>
                </w:p>
              </w:tc>
            </w:tr>
            <w:tr w14:paraId="66AB28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60" w:type="pct"/>
                  <w:tcBorders>
                    <w:tl2br w:val="nil"/>
                    <w:tr2bl w:val="nil"/>
                  </w:tcBorders>
                  <w:vAlign w:val="center"/>
                </w:tcPr>
                <w:p w14:paraId="4C2FC7E3">
                  <w:pPr>
                    <w:jc w:val="center"/>
                    <w:rPr>
                      <w:rFonts w:hint="default"/>
                      <w:color w:val="0000FF"/>
                      <w:kern w:val="0"/>
                      <w:szCs w:val="21"/>
                      <w:highlight w:val="none"/>
                      <w:lang w:val="en-US" w:eastAsia="zh-CN"/>
                    </w:rPr>
                  </w:pPr>
                  <w:r>
                    <w:rPr>
                      <w:rFonts w:hint="eastAsia"/>
                      <w:color w:val="0000FF"/>
                      <w:kern w:val="0"/>
                      <w:szCs w:val="21"/>
                      <w:highlight w:val="none"/>
                      <w:lang w:val="en-US" w:eastAsia="zh-CN"/>
                    </w:rPr>
                    <w:t>项目西侧居民区</w:t>
                  </w:r>
                </w:p>
              </w:tc>
              <w:tc>
                <w:tcPr>
                  <w:tcW w:w="1697" w:type="pct"/>
                  <w:tcBorders>
                    <w:tl2br w:val="nil"/>
                    <w:tr2bl w:val="nil"/>
                  </w:tcBorders>
                  <w:vAlign w:val="center"/>
                </w:tcPr>
                <w:p w14:paraId="3CB0BD14">
                  <w:pPr>
                    <w:jc w:val="center"/>
                    <w:rPr>
                      <w:rFonts w:hint="default"/>
                      <w:color w:val="0000FF"/>
                      <w:kern w:val="0"/>
                      <w:szCs w:val="21"/>
                      <w:highlight w:val="none"/>
                      <w:lang w:val="en-US" w:eastAsia="zh-CN"/>
                    </w:rPr>
                  </w:pPr>
                  <w:r>
                    <w:rPr>
                      <w:rFonts w:hint="eastAsia"/>
                      <w:color w:val="0000FF"/>
                      <w:kern w:val="0"/>
                      <w:szCs w:val="21"/>
                      <w:highlight w:val="none"/>
                      <w:lang w:val="en-US" w:eastAsia="zh-CN"/>
                    </w:rPr>
                    <w:t>50</w:t>
                  </w:r>
                </w:p>
              </w:tc>
              <w:tc>
                <w:tcPr>
                  <w:tcW w:w="1611" w:type="pct"/>
                  <w:tcBorders>
                    <w:tl2br w:val="nil"/>
                    <w:tr2bl w:val="nil"/>
                  </w:tcBorders>
                  <w:vAlign w:val="center"/>
                </w:tcPr>
                <w:p w14:paraId="6F330F1A">
                  <w:pPr>
                    <w:jc w:val="center"/>
                    <w:rPr>
                      <w:rFonts w:hint="default"/>
                      <w:color w:val="0000FF"/>
                      <w:kern w:val="0"/>
                      <w:szCs w:val="21"/>
                      <w:highlight w:val="none"/>
                      <w:lang w:val="en-US" w:eastAsia="zh-CN"/>
                    </w:rPr>
                  </w:pPr>
                  <w:r>
                    <w:rPr>
                      <w:rFonts w:hint="eastAsia"/>
                      <w:color w:val="0000FF"/>
                      <w:kern w:val="0"/>
                      <w:szCs w:val="21"/>
                      <w:highlight w:val="none"/>
                      <w:lang w:val="en-US" w:eastAsia="zh-CN"/>
                    </w:rPr>
                    <w:t>41</w:t>
                  </w:r>
                </w:p>
              </w:tc>
              <w:tc>
                <w:tcPr>
                  <w:tcW w:w="530" w:type="pct"/>
                  <w:tcBorders>
                    <w:tl2br w:val="nil"/>
                    <w:tr2bl w:val="nil"/>
                  </w:tcBorders>
                  <w:vAlign w:val="center"/>
                </w:tcPr>
                <w:p w14:paraId="433FF1CB">
                  <w:pPr>
                    <w:jc w:val="center"/>
                    <w:rPr>
                      <w:color w:val="0000FF"/>
                      <w:kern w:val="0"/>
                      <w:szCs w:val="21"/>
                      <w:highlight w:val="none"/>
                    </w:rPr>
                  </w:pPr>
                  <w:r>
                    <w:rPr>
                      <w:color w:val="0000FF"/>
                      <w:kern w:val="0"/>
                      <w:szCs w:val="21"/>
                      <w:highlight w:val="none"/>
                    </w:rPr>
                    <w:t>dB(A）</w:t>
                  </w:r>
                </w:p>
              </w:tc>
            </w:tr>
          </w:tbl>
          <w:p w14:paraId="72763B3A">
            <w:pPr>
              <w:spacing w:line="360" w:lineRule="auto"/>
              <w:ind w:firstLine="480" w:firstLineChars="200"/>
              <w:rPr>
                <w:rFonts w:hint="eastAsia" w:ascii="Times New Roman" w:hAnsi="Times New Roman" w:eastAsia="宋体" w:cs="Times New Roman"/>
                <w:color w:val="auto"/>
                <w:sz w:val="24"/>
                <w:lang w:eastAsia="zh-CN"/>
              </w:rPr>
            </w:pPr>
            <w:r>
              <w:rPr>
                <w:rFonts w:hint="default" w:ascii="Times New Roman" w:hAnsi="Times New Roman" w:eastAsia="宋体" w:cs="Times New Roman"/>
                <w:color w:val="auto"/>
                <w:sz w:val="24"/>
              </w:rPr>
              <w:t>由上表可以看出，本项目</w:t>
            </w:r>
            <w:r>
              <w:rPr>
                <w:rFonts w:hint="default" w:ascii="Times New Roman" w:hAnsi="Times New Roman" w:eastAsia="宋体" w:cs="Times New Roman"/>
                <w:color w:val="auto"/>
                <w:sz w:val="24"/>
                <w:lang w:val="en-US" w:eastAsia="zh-CN"/>
              </w:rPr>
              <w:t>敏感点噪声监测</w:t>
            </w:r>
            <w:r>
              <w:rPr>
                <w:rFonts w:hint="default" w:ascii="Times New Roman" w:hAnsi="Times New Roman" w:eastAsia="宋体" w:cs="Times New Roman"/>
                <w:color w:val="auto"/>
                <w:sz w:val="24"/>
              </w:rPr>
              <w:t>值满足《</w:t>
            </w:r>
            <w:r>
              <w:rPr>
                <w:rFonts w:hint="default" w:ascii="Times New Roman" w:hAnsi="Times New Roman" w:eastAsia="宋体" w:cs="Times New Roman"/>
                <w:color w:val="auto"/>
                <w:sz w:val="24"/>
                <w:lang w:val="en-US" w:eastAsia="zh-CN"/>
              </w:rPr>
              <w:t>声环境</w:t>
            </w:r>
            <w:r>
              <w:rPr>
                <w:rFonts w:hint="default" w:ascii="Times New Roman" w:hAnsi="Times New Roman" w:eastAsia="宋体" w:cs="Times New Roman"/>
                <w:color w:val="auto"/>
                <w:sz w:val="24"/>
              </w:rPr>
              <w:t>质量标准》（GB309</w:t>
            </w:r>
            <w:r>
              <w:rPr>
                <w:rFonts w:hint="default" w:ascii="Times New Roman" w:hAnsi="Times New Roman" w:eastAsia="宋体" w:cs="Times New Roman"/>
                <w:color w:val="auto"/>
                <w:sz w:val="24"/>
                <w:lang w:val="en-US" w:eastAsia="zh-CN"/>
              </w:rPr>
              <w:t>6</w:t>
            </w:r>
            <w:r>
              <w:rPr>
                <w:rFonts w:hint="default" w:ascii="Times New Roman" w:hAnsi="Times New Roman" w:eastAsia="宋体" w:cs="Times New Roman"/>
                <w:color w:val="auto"/>
                <w:sz w:val="24"/>
              </w:rPr>
              <w:t>-20</w:t>
            </w:r>
            <w:r>
              <w:rPr>
                <w:rFonts w:hint="default" w:ascii="Times New Roman" w:hAnsi="Times New Roman" w:eastAsia="宋体" w:cs="Times New Roman"/>
                <w:color w:val="auto"/>
                <w:sz w:val="24"/>
                <w:lang w:val="en-US" w:eastAsia="zh-CN"/>
              </w:rPr>
              <w:t>08</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val="en-US" w:eastAsia="zh-CN"/>
              </w:rPr>
              <w:t>2类</w:t>
            </w:r>
            <w:r>
              <w:rPr>
                <w:rFonts w:hint="default" w:ascii="Times New Roman" w:hAnsi="Times New Roman" w:eastAsia="宋体" w:cs="Times New Roman"/>
                <w:color w:val="auto"/>
                <w:sz w:val="24"/>
              </w:rPr>
              <w:t>标准要求</w:t>
            </w:r>
            <w:r>
              <w:rPr>
                <w:rFonts w:hint="eastAsia" w:ascii="Times New Roman" w:hAnsi="Times New Roman" w:eastAsia="宋体" w:cs="Times New Roman"/>
                <w:color w:val="auto"/>
                <w:sz w:val="24"/>
                <w:lang w:eastAsia="zh-CN"/>
              </w:rPr>
              <w:t>。</w:t>
            </w:r>
          </w:p>
          <w:p w14:paraId="2DC48481">
            <w:pPr>
              <w:adjustRightInd w:val="0"/>
              <w:snapToGrid w:val="0"/>
              <w:spacing w:line="360" w:lineRule="auto"/>
              <w:ind w:firstLine="482" w:firstLineChars="200"/>
              <w:rPr>
                <w:b/>
                <w:sz w:val="24"/>
              </w:rPr>
            </w:pPr>
            <w:r>
              <w:rPr>
                <w:b/>
                <w:sz w:val="24"/>
              </w:rPr>
              <w:t>4、生态环境</w:t>
            </w:r>
          </w:p>
          <w:p w14:paraId="31F11E69">
            <w:pPr>
              <w:adjustRightInd w:val="0"/>
              <w:snapToGrid w:val="0"/>
              <w:spacing w:line="360" w:lineRule="auto"/>
              <w:ind w:firstLine="480" w:firstLineChars="200"/>
              <w:jc w:val="left"/>
              <w:rPr>
                <w:bCs/>
                <w:kern w:val="0"/>
                <w:sz w:val="24"/>
              </w:rPr>
            </w:pPr>
            <w:r>
              <w:rPr>
                <w:bCs/>
                <w:kern w:val="0"/>
                <w:sz w:val="24"/>
              </w:rPr>
              <w:t>本项目不新增占地，企业占地范围内无特殊生态敏感区及重要生态敏感区等生态环境保护目标，项目所在地无国家级、省、市级自然保护区、风景名胜区、文物保护对象。</w:t>
            </w:r>
          </w:p>
          <w:p w14:paraId="773029AD">
            <w:pPr>
              <w:adjustRightInd w:val="0"/>
              <w:snapToGrid w:val="0"/>
              <w:spacing w:line="360" w:lineRule="auto"/>
              <w:ind w:firstLine="482" w:firstLineChars="200"/>
              <w:rPr>
                <w:b/>
                <w:sz w:val="24"/>
              </w:rPr>
            </w:pPr>
            <w:r>
              <w:rPr>
                <w:b/>
                <w:sz w:val="24"/>
              </w:rPr>
              <w:t>5、地下水、土壤环境</w:t>
            </w:r>
          </w:p>
          <w:p w14:paraId="78E3436A">
            <w:pPr>
              <w:adjustRightInd w:val="0"/>
              <w:snapToGrid w:val="0"/>
              <w:spacing w:line="360" w:lineRule="auto"/>
              <w:ind w:firstLine="480" w:firstLineChars="200"/>
              <w:jc w:val="left"/>
              <w:rPr>
                <w:kern w:val="0"/>
                <w:szCs w:val="21"/>
              </w:rPr>
            </w:pPr>
            <w:r>
              <w:rPr>
                <w:kern w:val="0"/>
                <w:sz w:val="24"/>
              </w:rPr>
              <w:t>本项目厂界外500m范围内无地下水集中式饮用水水源和热水、矿泉水、温泉等特殊地下水资源</w:t>
            </w:r>
            <w:r>
              <w:rPr>
                <w:rFonts w:hint="eastAsia"/>
                <w:kern w:val="0"/>
                <w:sz w:val="24"/>
              </w:rPr>
              <w:t>，无地下水保护目标。</w:t>
            </w:r>
            <w:r>
              <w:rPr>
                <w:bCs/>
                <w:kern w:val="0"/>
                <w:sz w:val="24"/>
              </w:rPr>
              <w:t>厂区内区域采用水泥硬化</w:t>
            </w:r>
            <w:r>
              <w:rPr>
                <w:sz w:val="24"/>
              </w:rPr>
              <w:t>，</w:t>
            </w:r>
            <w:r>
              <w:rPr>
                <w:bCs/>
                <w:kern w:val="0"/>
                <w:sz w:val="24"/>
              </w:rPr>
              <w:t>不存在土壤、地下水环境污染途径，因此，不进行土壤、地下水环境质量现状监测。</w:t>
            </w:r>
          </w:p>
        </w:tc>
      </w:tr>
      <w:tr w14:paraId="6EDFB2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800" w:type="dxa"/>
            <w:vAlign w:val="center"/>
          </w:tcPr>
          <w:p w14:paraId="7CD6E7F0">
            <w:pPr>
              <w:adjustRightInd w:val="0"/>
              <w:snapToGrid w:val="0"/>
              <w:jc w:val="center"/>
              <w:rPr>
                <w:kern w:val="0"/>
                <w:szCs w:val="21"/>
              </w:rPr>
            </w:pPr>
            <w:r>
              <w:rPr>
                <w:kern w:val="0"/>
                <w:szCs w:val="21"/>
              </w:rPr>
              <w:t>环境</w:t>
            </w:r>
          </w:p>
          <w:p w14:paraId="4291198A">
            <w:pPr>
              <w:adjustRightInd w:val="0"/>
              <w:snapToGrid w:val="0"/>
              <w:jc w:val="center"/>
              <w:rPr>
                <w:kern w:val="0"/>
                <w:szCs w:val="21"/>
              </w:rPr>
            </w:pPr>
            <w:r>
              <w:rPr>
                <w:kern w:val="0"/>
                <w:szCs w:val="21"/>
              </w:rPr>
              <w:t>保护</w:t>
            </w:r>
          </w:p>
          <w:p w14:paraId="5FEDBCA1">
            <w:pPr>
              <w:adjustRightInd w:val="0"/>
              <w:snapToGrid w:val="0"/>
              <w:jc w:val="center"/>
              <w:rPr>
                <w:kern w:val="0"/>
                <w:szCs w:val="21"/>
              </w:rPr>
            </w:pPr>
            <w:r>
              <w:rPr>
                <w:kern w:val="0"/>
                <w:szCs w:val="21"/>
              </w:rPr>
              <w:t>目标</w:t>
            </w:r>
          </w:p>
        </w:tc>
        <w:tc>
          <w:tcPr>
            <w:tcW w:w="8190" w:type="dxa"/>
            <w:vAlign w:val="center"/>
          </w:tcPr>
          <w:p w14:paraId="31E0EFD1">
            <w:pPr>
              <w:adjustRightInd w:val="0"/>
              <w:snapToGrid w:val="0"/>
              <w:spacing w:line="360" w:lineRule="auto"/>
              <w:ind w:firstLine="482" w:firstLineChars="200"/>
              <w:rPr>
                <w:b/>
                <w:sz w:val="24"/>
              </w:rPr>
            </w:pPr>
            <w:r>
              <w:rPr>
                <w:b/>
                <w:sz w:val="24"/>
              </w:rPr>
              <w:t xml:space="preserve">1、大气环境保护目标 </w:t>
            </w:r>
          </w:p>
          <w:p w14:paraId="56236CBA">
            <w:pPr>
              <w:widowControl/>
              <w:spacing w:line="360" w:lineRule="auto"/>
              <w:ind w:firstLine="480" w:firstLineChars="200"/>
              <w:rPr>
                <w:sz w:val="24"/>
              </w:rPr>
            </w:pPr>
            <w:r>
              <w:rPr>
                <w:sz w:val="24"/>
              </w:rPr>
              <w:t>本项目大气环境保护目标见下表</w:t>
            </w:r>
            <w:r>
              <w:rPr>
                <w:rFonts w:hint="eastAsia"/>
                <w:sz w:val="24"/>
              </w:rPr>
              <w:t>。</w:t>
            </w:r>
          </w:p>
          <w:p w14:paraId="48EB3A63">
            <w:pPr>
              <w:jc w:val="center"/>
              <w:textAlignment w:val="center"/>
              <w:rPr>
                <w:b/>
                <w:bCs/>
              </w:rPr>
            </w:pPr>
            <w:r>
              <w:rPr>
                <w:b/>
                <w:bCs/>
              </w:rPr>
              <w:t>表3-</w:t>
            </w:r>
            <w:r>
              <w:rPr>
                <w:rFonts w:hint="eastAsia"/>
                <w:b/>
                <w:bCs/>
              </w:rPr>
              <w:t>4</w:t>
            </w:r>
            <w:r>
              <w:rPr>
                <w:b/>
                <w:bCs/>
              </w:rPr>
              <w:t>大气环境保护目标</w:t>
            </w:r>
          </w:p>
          <w:tbl>
            <w:tblPr>
              <w:tblStyle w:val="32"/>
              <w:tblW w:w="797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1163"/>
              <w:gridCol w:w="941"/>
              <w:gridCol w:w="982"/>
              <w:gridCol w:w="764"/>
              <w:gridCol w:w="749"/>
              <w:gridCol w:w="1118"/>
              <w:gridCol w:w="1111"/>
              <w:gridCol w:w="1142"/>
            </w:tblGrid>
            <w:tr w14:paraId="587EB9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511" w:hRule="exact"/>
                <w:jc w:val="center"/>
              </w:trPr>
              <w:tc>
                <w:tcPr>
                  <w:tcW w:w="1163" w:type="dxa"/>
                  <w:vMerge w:val="restart"/>
                  <w:tcBorders>
                    <w:tl2br w:val="nil"/>
                    <w:tr2bl w:val="nil"/>
                  </w:tcBorders>
                  <w:vAlign w:val="center"/>
                </w:tcPr>
                <w:p w14:paraId="72A895D3">
                  <w:pPr>
                    <w:jc w:val="center"/>
                  </w:pPr>
                  <w:r>
                    <w:t>环境保护对象</w:t>
                  </w:r>
                </w:p>
              </w:tc>
              <w:tc>
                <w:tcPr>
                  <w:tcW w:w="1923" w:type="dxa"/>
                  <w:gridSpan w:val="2"/>
                  <w:tcBorders>
                    <w:tl2br w:val="nil"/>
                    <w:tr2bl w:val="nil"/>
                  </w:tcBorders>
                  <w:vAlign w:val="center"/>
                </w:tcPr>
                <w:p w14:paraId="642737C7">
                  <w:pPr>
                    <w:jc w:val="center"/>
                  </w:pPr>
                  <w:r>
                    <w:t>坐标/°</w:t>
                  </w:r>
                </w:p>
              </w:tc>
              <w:tc>
                <w:tcPr>
                  <w:tcW w:w="764" w:type="dxa"/>
                  <w:vMerge w:val="restart"/>
                  <w:tcBorders>
                    <w:tl2br w:val="nil"/>
                    <w:tr2bl w:val="nil"/>
                  </w:tcBorders>
                  <w:vAlign w:val="center"/>
                </w:tcPr>
                <w:p w14:paraId="4473729D">
                  <w:pPr>
                    <w:jc w:val="center"/>
                  </w:pPr>
                  <w:r>
                    <w:t>保护</w:t>
                  </w:r>
                </w:p>
                <w:p w14:paraId="6AAF6517">
                  <w:pPr>
                    <w:jc w:val="center"/>
                  </w:pPr>
                  <w:r>
                    <w:t>对象</w:t>
                  </w:r>
                </w:p>
              </w:tc>
              <w:tc>
                <w:tcPr>
                  <w:tcW w:w="749" w:type="dxa"/>
                  <w:vMerge w:val="restart"/>
                  <w:tcBorders>
                    <w:tl2br w:val="nil"/>
                    <w:tr2bl w:val="nil"/>
                  </w:tcBorders>
                  <w:vAlign w:val="center"/>
                </w:tcPr>
                <w:p w14:paraId="4659B9AB">
                  <w:pPr>
                    <w:jc w:val="center"/>
                  </w:pPr>
                  <w:r>
                    <w:t>保护内容</w:t>
                  </w:r>
                </w:p>
              </w:tc>
              <w:tc>
                <w:tcPr>
                  <w:tcW w:w="1118" w:type="dxa"/>
                  <w:vMerge w:val="restart"/>
                  <w:tcBorders>
                    <w:tl2br w:val="nil"/>
                    <w:tr2bl w:val="nil"/>
                  </w:tcBorders>
                  <w:vAlign w:val="center"/>
                </w:tcPr>
                <w:p w14:paraId="05C3E9D7">
                  <w:pPr>
                    <w:jc w:val="center"/>
                  </w:pPr>
                  <w:r>
                    <w:t>保护功能区</w:t>
                  </w:r>
                </w:p>
              </w:tc>
              <w:tc>
                <w:tcPr>
                  <w:tcW w:w="1111" w:type="dxa"/>
                  <w:vMerge w:val="restart"/>
                  <w:tcBorders>
                    <w:tl2br w:val="nil"/>
                    <w:tr2bl w:val="nil"/>
                  </w:tcBorders>
                  <w:vAlign w:val="center"/>
                </w:tcPr>
                <w:p w14:paraId="286D14DB">
                  <w:pPr>
                    <w:jc w:val="center"/>
                  </w:pPr>
                  <w:r>
                    <w:t>相对厂址方位</w:t>
                  </w:r>
                </w:p>
                <w:p w14:paraId="43C35138">
                  <w:pPr>
                    <w:jc w:val="center"/>
                  </w:pPr>
                </w:p>
              </w:tc>
              <w:tc>
                <w:tcPr>
                  <w:tcW w:w="1142" w:type="dxa"/>
                  <w:vMerge w:val="restart"/>
                  <w:tcBorders>
                    <w:tl2br w:val="nil"/>
                    <w:tr2bl w:val="nil"/>
                  </w:tcBorders>
                  <w:vAlign w:val="center"/>
                </w:tcPr>
                <w:p w14:paraId="0B2E0DE8">
                  <w:pPr>
                    <w:pStyle w:val="46"/>
                    <w:rPr>
                      <w:rFonts w:ascii="Times New Roman" w:hAnsi="Times New Roman" w:cs="Times New Roman"/>
                      <w:color w:val="auto"/>
                    </w:rPr>
                  </w:pPr>
                  <w:r>
                    <w:rPr>
                      <w:rFonts w:ascii="Times New Roman" w:hAnsi="Times New Roman" w:cs="Times New Roman"/>
                      <w:color w:val="auto"/>
                      <w:sz w:val="21"/>
                      <w:szCs w:val="21"/>
                    </w:rPr>
                    <w:t>最近保护目标相对厂界距离</w:t>
                  </w:r>
                </w:p>
              </w:tc>
            </w:tr>
            <w:tr w14:paraId="70871C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428" w:hRule="exact"/>
                <w:jc w:val="center"/>
              </w:trPr>
              <w:tc>
                <w:tcPr>
                  <w:tcW w:w="1163" w:type="dxa"/>
                  <w:vMerge w:val="continue"/>
                  <w:tcBorders>
                    <w:tl2br w:val="nil"/>
                    <w:tr2bl w:val="nil"/>
                  </w:tcBorders>
                  <w:vAlign w:val="center"/>
                </w:tcPr>
                <w:p w14:paraId="4ACF1E77">
                  <w:pPr>
                    <w:jc w:val="center"/>
                  </w:pPr>
                </w:p>
              </w:tc>
              <w:tc>
                <w:tcPr>
                  <w:tcW w:w="941" w:type="dxa"/>
                  <w:tcBorders>
                    <w:tl2br w:val="nil"/>
                    <w:tr2bl w:val="nil"/>
                  </w:tcBorders>
                  <w:vAlign w:val="center"/>
                </w:tcPr>
                <w:p w14:paraId="7D56C62D">
                  <w:pPr>
                    <w:jc w:val="center"/>
                  </w:pPr>
                  <w:r>
                    <w:t>东经</w:t>
                  </w:r>
                </w:p>
              </w:tc>
              <w:tc>
                <w:tcPr>
                  <w:tcW w:w="982" w:type="dxa"/>
                  <w:tcBorders>
                    <w:tl2br w:val="nil"/>
                    <w:tr2bl w:val="nil"/>
                  </w:tcBorders>
                  <w:vAlign w:val="center"/>
                </w:tcPr>
                <w:p w14:paraId="1FBBEB9E">
                  <w:pPr>
                    <w:jc w:val="center"/>
                  </w:pPr>
                  <w:r>
                    <w:t xml:space="preserve">北纬 </w:t>
                  </w:r>
                </w:p>
              </w:tc>
              <w:tc>
                <w:tcPr>
                  <w:tcW w:w="764" w:type="dxa"/>
                  <w:vMerge w:val="continue"/>
                  <w:tcBorders>
                    <w:tl2br w:val="nil"/>
                    <w:tr2bl w:val="nil"/>
                  </w:tcBorders>
                  <w:vAlign w:val="center"/>
                </w:tcPr>
                <w:p w14:paraId="19E299C3">
                  <w:pPr>
                    <w:jc w:val="center"/>
                  </w:pPr>
                </w:p>
              </w:tc>
              <w:tc>
                <w:tcPr>
                  <w:tcW w:w="749" w:type="dxa"/>
                  <w:vMerge w:val="continue"/>
                  <w:tcBorders>
                    <w:tl2br w:val="nil"/>
                    <w:tr2bl w:val="nil"/>
                  </w:tcBorders>
                  <w:vAlign w:val="center"/>
                </w:tcPr>
                <w:p w14:paraId="00626965">
                  <w:pPr>
                    <w:jc w:val="center"/>
                  </w:pPr>
                </w:p>
              </w:tc>
              <w:tc>
                <w:tcPr>
                  <w:tcW w:w="1118" w:type="dxa"/>
                  <w:vMerge w:val="continue"/>
                  <w:tcBorders>
                    <w:tl2br w:val="nil"/>
                    <w:tr2bl w:val="nil"/>
                  </w:tcBorders>
                  <w:vAlign w:val="center"/>
                </w:tcPr>
                <w:p w14:paraId="4591593A">
                  <w:pPr>
                    <w:jc w:val="center"/>
                  </w:pPr>
                </w:p>
              </w:tc>
              <w:tc>
                <w:tcPr>
                  <w:tcW w:w="1111" w:type="dxa"/>
                  <w:vMerge w:val="continue"/>
                  <w:tcBorders>
                    <w:tl2br w:val="nil"/>
                    <w:tr2bl w:val="nil"/>
                  </w:tcBorders>
                  <w:vAlign w:val="center"/>
                </w:tcPr>
                <w:p w14:paraId="29B3647C">
                  <w:pPr>
                    <w:jc w:val="center"/>
                  </w:pPr>
                </w:p>
              </w:tc>
              <w:tc>
                <w:tcPr>
                  <w:tcW w:w="1142" w:type="dxa"/>
                  <w:vMerge w:val="continue"/>
                  <w:tcBorders>
                    <w:tl2br w:val="nil"/>
                    <w:tr2bl w:val="nil"/>
                  </w:tcBorders>
                  <w:vAlign w:val="center"/>
                </w:tcPr>
                <w:p w14:paraId="31ABBA98">
                  <w:pPr>
                    <w:pStyle w:val="46"/>
                    <w:rPr>
                      <w:rFonts w:ascii="Times New Roman" w:hAnsi="Times New Roman" w:cs="Times New Roman"/>
                      <w:color w:val="auto"/>
                    </w:rPr>
                  </w:pPr>
                </w:p>
              </w:tc>
            </w:tr>
            <w:tr w14:paraId="7D88D4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782" w:hRule="atLeast"/>
                <w:jc w:val="center"/>
              </w:trPr>
              <w:tc>
                <w:tcPr>
                  <w:tcW w:w="1163" w:type="dxa"/>
                  <w:tcBorders>
                    <w:tl2br w:val="nil"/>
                    <w:tr2bl w:val="nil"/>
                  </w:tcBorders>
                  <w:vAlign w:val="center"/>
                </w:tcPr>
                <w:p w14:paraId="79DE385B">
                  <w:pPr>
                    <w:jc w:val="center"/>
                    <w:rPr>
                      <w:rFonts w:hint="default" w:eastAsia="宋体"/>
                      <w:lang w:val="en-US" w:eastAsia="zh-CN"/>
                    </w:rPr>
                  </w:pPr>
                  <w:r>
                    <w:rPr>
                      <w:rFonts w:hint="eastAsia"/>
                      <w:color w:val="C00000"/>
                      <w:lang w:val="en-US" w:eastAsia="zh-CN"/>
                    </w:rPr>
                    <w:t>杨家围社区</w:t>
                  </w:r>
                </w:p>
              </w:tc>
              <w:tc>
                <w:tcPr>
                  <w:tcW w:w="941" w:type="dxa"/>
                  <w:tcBorders>
                    <w:tl2br w:val="nil"/>
                    <w:tr2bl w:val="nil"/>
                  </w:tcBorders>
                  <w:vAlign w:val="center"/>
                </w:tcPr>
                <w:p w14:paraId="26156A97">
                  <w:pPr>
                    <w:jc w:val="center"/>
                  </w:pPr>
                  <w:r>
                    <w:t>131.68636207</w:t>
                  </w:r>
                </w:p>
              </w:tc>
              <w:tc>
                <w:tcPr>
                  <w:tcW w:w="982" w:type="dxa"/>
                  <w:tcBorders>
                    <w:tl2br w:val="nil"/>
                    <w:tr2bl w:val="nil"/>
                  </w:tcBorders>
                  <w:vAlign w:val="center"/>
                </w:tcPr>
                <w:p w14:paraId="411C05D7">
                  <w:pPr>
                    <w:jc w:val="center"/>
                  </w:pPr>
                  <w:r>
                    <w:t>46.61538356</w:t>
                  </w:r>
                </w:p>
              </w:tc>
              <w:tc>
                <w:tcPr>
                  <w:tcW w:w="764" w:type="dxa"/>
                  <w:tcBorders>
                    <w:tl2br w:val="nil"/>
                    <w:tr2bl w:val="nil"/>
                  </w:tcBorders>
                  <w:vAlign w:val="center"/>
                </w:tcPr>
                <w:p w14:paraId="5CB10DE0">
                  <w:pPr>
                    <w:jc w:val="center"/>
                  </w:pPr>
                  <w:r>
                    <w:t>居民</w:t>
                  </w:r>
                </w:p>
              </w:tc>
              <w:tc>
                <w:tcPr>
                  <w:tcW w:w="749" w:type="dxa"/>
                  <w:tcBorders>
                    <w:tl2br w:val="nil"/>
                    <w:tr2bl w:val="nil"/>
                  </w:tcBorders>
                  <w:vAlign w:val="center"/>
                </w:tcPr>
                <w:p w14:paraId="315EC6D3">
                  <w:pPr>
                    <w:jc w:val="center"/>
                  </w:pPr>
                  <w:r>
                    <w:t>居民</w:t>
                  </w:r>
                  <w:r>
                    <w:rPr>
                      <w:rFonts w:hint="eastAsia"/>
                    </w:rPr>
                    <w:t>区</w:t>
                  </w:r>
                </w:p>
              </w:tc>
              <w:tc>
                <w:tcPr>
                  <w:tcW w:w="1118" w:type="dxa"/>
                  <w:vMerge w:val="restart"/>
                  <w:tcBorders>
                    <w:tl2br w:val="nil"/>
                    <w:tr2bl w:val="nil"/>
                  </w:tcBorders>
                  <w:vAlign w:val="center"/>
                </w:tcPr>
                <w:p w14:paraId="5494B83B">
                  <w:pPr>
                    <w:jc w:val="center"/>
                  </w:pPr>
                  <w:r>
                    <w:t>《环境空气质量标准》（GB3095-2012）二类区</w:t>
                  </w:r>
                </w:p>
              </w:tc>
              <w:tc>
                <w:tcPr>
                  <w:tcW w:w="1111" w:type="dxa"/>
                  <w:tcBorders>
                    <w:tl2br w:val="nil"/>
                    <w:tr2bl w:val="nil"/>
                  </w:tcBorders>
                  <w:vAlign w:val="center"/>
                </w:tcPr>
                <w:p w14:paraId="537E1729">
                  <w:pPr>
                    <w:jc w:val="center"/>
                  </w:pPr>
                  <w:r>
                    <w:rPr>
                      <w:rFonts w:hint="eastAsia"/>
                    </w:rPr>
                    <w:t>E</w:t>
                  </w:r>
                </w:p>
              </w:tc>
              <w:tc>
                <w:tcPr>
                  <w:tcW w:w="1142" w:type="dxa"/>
                  <w:tcBorders>
                    <w:tl2br w:val="nil"/>
                    <w:tr2bl w:val="nil"/>
                  </w:tcBorders>
                  <w:vAlign w:val="center"/>
                </w:tcPr>
                <w:p w14:paraId="41C8BC67">
                  <w:pPr>
                    <w:jc w:val="center"/>
                  </w:pPr>
                  <w:r>
                    <w:rPr>
                      <w:rFonts w:hint="eastAsia"/>
                    </w:rPr>
                    <w:t>38m</w:t>
                  </w:r>
                </w:p>
              </w:tc>
            </w:tr>
            <w:tr w14:paraId="026EE1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782" w:hRule="atLeast"/>
                <w:jc w:val="center"/>
              </w:trPr>
              <w:tc>
                <w:tcPr>
                  <w:tcW w:w="1163" w:type="dxa"/>
                  <w:tcBorders>
                    <w:tl2br w:val="nil"/>
                    <w:tr2bl w:val="nil"/>
                  </w:tcBorders>
                  <w:vAlign w:val="center"/>
                </w:tcPr>
                <w:p w14:paraId="6C2F26DA">
                  <w:pPr>
                    <w:jc w:val="center"/>
                    <w:rPr>
                      <w:rFonts w:hint="default"/>
                      <w:color w:val="C00000"/>
                      <w:lang w:val="en-US" w:eastAsia="zh-CN"/>
                    </w:rPr>
                  </w:pPr>
                  <w:r>
                    <w:rPr>
                      <w:rFonts w:hint="eastAsia"/>
                      <w:color w:val="C00000"/>
                      <w:lang w:val="en-US" w:eastAsia="zh-CN"/>
                    </w:rPr>
                    <w:t>新安矿厂居住区</w:t>
                  </w:r>
                </w:p>
              </w:tc>
              <w:tc>
                <w:tcPr>
                  <w:tcW w:w="941" w:type="dxa"/>
                  <w:tcBorders>
                    <w:tl2br w:val="nil"/>
                    <w:tr2bl w:val="nil"/>
                  </w:tcBorders>
                  <w:vAlign w:val="center"/>
                </w:tcPr>
                <w:p w14:paraId="62D5C77A">
                  <w:pPr>
                    <w:jc w:val="center"/>
                    <w:rPr>
                      <w:color w:val="C00000"/>
                    </w:rPr>
                  </w:pPr>
                  <w:r>
                    <w:rPr>
                      <w:rFonts w:hint="eastAsia"/>
                      <w:color w:val="C00000"/>
                    </w:rPr>
                    <w:t>131.68371688</w:t>
                  </w:r>
                </w:p>
              </w:tc>
              <w:tc>
                <w:tcPr>
                  <w:tcW w:w="982" w:type="dxa"/>
                  <w:tcBorders>
                    <w:tl2br w:val="nil"/>
                    <w:tr2bl w:val="nil"/>
                  </w:tcBorders>
                  <w:vAlign w:val="center"/>
                </w:tcPr>
                <w:p w14:paraId="56AEE05C">
                  <w:pPr>
                    <w:jc w:val="center"/>
                    <w:rPr>
                      <w:color w:val="C00000"/>
                    </w:rPr>
                  </w:pPr>
                  <w:r>
                    <w:rPr>
                      <w:rFonts w:hint="eastAsia"/>
                      <w:color w:val="C00000"/>
                    </w:rPr>
                    <w:t>46.61498780</w:t>
                  </w:r>
                </w:p>
              </w:tc>
              <w:tc>
                <w:tcPr>
                  <w:tcW w:w="764" w:type="dxa"/>
                  <w:tcBorders>
                    <w:tl2br w:val="nil"/>
                    <w:tr2bl w:val="nil"/>
                  </w:tcBorders>
                  <w:shd w:val="clear" w:color="auto" w:fill="auto"/>
                  <w:vAlign w:val="center"/>
                </w:tcPr>
                <w:p w14:paraId="5FC71B16">
                  <w:pPr>
                    <w:jc w:val="center"/>
                    <w:rPr>
                      <w:rFonts w:ascii="Times New Roman" w:hAnsi="Times New Roman" w:eastAsia="宋体" w:cs="Times New Roman"/>
                      <w:color w:val="C00000"/>
                      <w:kern w:val="2"/>
                      <w:sz w:val="21"/>
                      <w:szCs w:val="24"/>
                      <w:lang w:val="en-US" w:eastAsia="zh-CN" w:bidi="ar-SA"/>
                    </w:rPr>
                  </w:pPr>
                  <w:r>
                    <w:rPr>
                      <w:color w:val="C00000"/>
                    </w:rPr>
                    <w:t>居民</w:t>
                  </w:r>
                </w:p>
              </w:tc>
              <w:tc>
                <w:tcPr>
                  <w:tcW w:w="749" w:type="dxa"/>
                  <w:tcBorders>
                    <w:tl2br w:val="nil"/>
                    <w:tr2bl w:val="nil"/>
                  </w:tcBorders>
                  <w:shd w:val="clear" w:color="auto" w:fill="auto"/>
                  <w:vAlign w:val="center"/>
                </w:tcPr>
                <w:p w14:paraId="381E3BC2">
                  <w:pPr>
                    <w:jc w:val="center"/>
                    <w:rPr>
                      <w:rFonts w:ascii="Times New Roman" w:hAnsi="Times New Roman" w:eastAsia="宋体" w:cs="Times New Roman"/>
                      <w:color w:val="C00000"/>
                      <w:kern w:val="2"/>
                      <w:sz w:val="21"/>
                      <w:szCs w:val="24"/>
                      <w:lang w:val="en-US" w:eastAsia="zh-CN" w:bidi="ar-SA"/>
                    </w:rPr>
                  </w:pPr>
                  <w:r>
                    <w:rPr>
                      <w:color w:val="C00000"/>
                    </w:rPr>
                    <w:t>居民</w:t>
                  </w:r>
                  <w:r>
                    <w:rPr>
                      <w:rFonts w:hint="eastAsia"/>
                      <w:color w:val="C00000"/>
                    </w:rPr>
                    <w:t>区</w:t>
                  </w:r>
                </w:p>
              </w:tc>
              <w:tc>
                <w:tcPr>
                  <w:tcW w:w="1118" w:type="dxa"/>
                  <w:vMerge w:val="continue"/>
                  <w:tcBorders>
                    <w:tl2br w:val="nil"/>
                    <w:tr2bl w:val="nil"/>
                  </w:tcBorders>
                  <w:vAlign w:val="center"/>
                </w:tcPr>
                <w:p w14:paraId="6026EFF6">
                  <w:pPr>
                    <w:jc w:val="center"/>
                  </w:pPr>
                </w:p>
              </w:tc>
              <w:tc>
                <w:tcPr>
                  <w:tcW w:w="1111" w:type="dxa"/>
                  <w:tcBorders>
                    <w:tl2br w:val="nil"/>
                    <w:tr2bl w:val="nil"/>
                  </w:tcBorders>
                  <w:vAlign w:val="center"/>
                </w:tcPr>
                <w:p w14:paraId="13D456BF">
                  <w:pPr>
                    <w:jc w:val="center"/>
                    <w:rPr>
                      <w:rFonts w:hint="eastAsia" w:eastAsia="宋体"/>
                      <w:color w:val="C00000"/>
                      <w:lang w:val="en-US" w:eastAsia="zh-CN"/>
                    </w:rPr>
                  </w:pPr>
                  <w:r>
                    <w:rPr>
                      <w:rFonts w:hint="eastAsia"/>
                      <w:color w:val="C00000"/>
                      <w:lang w:val="en-US" w:eastAsia="zh-CN"/>
                    </w:rPr>
                    <w:t>W</w:t>
                  </w:r>
                </w:p>
              </w:tc>
              <w:tc>
                <w:tcPr>
                  <w:tcW w:w="1142" w:type="dxa"/>
                  <w:tcBorders>
                    <w:tl2br w:val="nil"/>
                    <w:tr2bl w:val="nil"/>
                  </w:tcBorders>
                  <w:vAlign w:val="center"/>
                </w:tcPr>
                <w:p w14:paraId="6C5ACD0A">
                  <w:pPr>
                    <w:jc w:val="center"/>
                    <w:rPr>
                      <w:rFonts w:hint="default" w:eastAsia="宋体"/>
                      <w:color w:val="C00000"/>
                      <w:lang w:val="en-US" w:eastAsia="zh-CN"/>
                    </w:rPr>
                  </w:pPr>
                  <w:r>
                    <w:rPr>
                      <w:rFonts w:hint="eastAsia"/>
                      <w:color w:val="C00000"/>
                      <w:lang w:val="en-US" w:eastAsia="zh-CN"/>
                    </w:rPr>
                    <w:t>17m</w:t>
                  </w:r>
                </w:p>
              </w:tc>
            </w:tr>
            <w:tr w14:paraId="4161CDF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782" w:hRule="atLeast"/>
                <w:jc w:val="center"/>
              </w:trPr>
              <w:tc>
                <w:tcPr>
                  <w:tcW w:w="1163" w:type="dxa"/>
                  <w:tcBorders>
                    <w:tl2br w:val="nil"/>
                    <w:tr2bl w:val="nil"/>
                  </w:tcBorders>
                  <w:vAlign w:val="center"/>
                </w:tcPr>
                <w:p w14:paraId="254358DA">
                  <w:pPr>
                    <w:jc w:val="center"/>
                    <w:rPr>
                      <w:rFonts w:hint="default"/>
                      <w:color w:val="C00000"/>
                      <w:lang w:val="en-US" w:eastAsia="zh-CN"/>
                    </w:rPr>
                  </w:pPr>
                  <w:r>
                    <w:rPr>
                      <w:rFonts w:hint="eastAsia"/>
                      <w:color w:val="C00000"/>
                      <w:lang w:val="en-US" w:eastAsia="zh-CN"/>
                    </w:rPr>
                    <w:t>宝山区育龙小学</w:t>
                  </w:r>
                </w:p>
              </w:tc>
              <w:tc>
                <w:tcPr>
                  <w:tcW w:w="941" w:type="dxa"/>
                  <w:tcBorders>
                    <w:tl2br w:val="nil"/>
                    <w:tr2bl w:val="nil"/>
                  </w:tcBorders>
                  <w:vAlign w:val="center"/>
                </w:tcPr>
                <w:p w14:paraId="2F8D7F92">
                  <w:pPr>
                    <w:jc w:val="center"/>
                    <w:rPr>
                      <w:rFonts w:hint="eastAsia"/>
                      <w:color w:val="C00000"/>
                    </w:rPr>
                  </w:pPr>
                  <w:r>
                    <w:rPr>
                      <w:rFonts w:hint="eastAsia"/>
                      <w:color w:val="C00000"/>
                    </w:rPr>
                    <w:t>131.69140514</w:t>
                  </w:r>
                </w:p>
              </w:tc>
              <w:tc>
                <w:tcPr>
                  <w:tcW w:w="982" w:type="dxa"/>
                  <w:tcBorders>
                    <w:tl2br w:val="nil"/>
                    <w:tr2bl w:val="nil"/>
                  </w:tcBorders>
                  <w:vAlign w:val="center"/>
                </w:tcPr>
                <w:p w14:paraId="6FC0F1FC">
                  <w:pPr>
                    <w:jc w:val="center"/>
                    <w:rPr>
                      <w:rFonts w:hint="eastAsia"/>
                      <w:color w:val="C00000"/>
                    </w:rPr>
                  </w:pPr>
                  <w:r>
                    <w:rPr>
                      <w:rFonts w:hint="eastAsia"/>
                      <w:color w:val="C00000"/>
                    </w:rPr>
                    <w:t>46.61714754</w:t>
                  </w:r>
                </w:p>
              </w:tc>
              <w:tc>
                <w:tcPr>
                  <w:tcW w:w="764" w:type="dxa"/>
                  <w:tcBorders>
                    <w:tl2br w:val="nil"/>
                    <w:tr2bl w:val="nil"/>
                  </w:tcBorders>
                  <w:shd w:val="clear" w:color="auto" w:fill="auto"/>
                  <w:vAlign w:val="center"/>
                </w:tcPr>
                <w:p w14:paraId="4DBA78B6">
                  <w:pPr>
                    <w:jc w:val="center"/>
                    <w:rPr>
                      <w:rFonts w:hint="eastAsia" w:eastAsia="宋体"/>
                      <w:color w:val="C00000"/>
                      <w:lang w:val="en-US" w:eastAsia="zh-CN"/>
                    </w:rPr>
                  </w:pPr>
                  <w:r>
                    <w:rPr>
                      <w:rFonts w:hint="eastAsia"/>
                      <w:color w:val="C00000"/>
                      <w:lang w:val="en-US" w:eastAsia="zh-CN"/>
                    </w:rPr>
                    <w:t>学生</w:t>
                  </w:r>
                </w:p>
              </w:tc>
              <w:tc>
                <w:tcPr>
                  <w:tcW w:w="749" w:type="dxa"/>
                  <w:tcBorders>
                    <w:tl2br w:val="nil"/>
                    <w:tr2bl w:val="nil"/>
                  </w:tcBorders>
                  <w:shd w:val="clear" w:color="auto" w:fill="auto"/>
                  <w:vAlign w:val="center"/>
                </w:tcPr>
                <w:p w14:paraId="2B7B42C5">
                  <w:pPr>
                    <w:jc w:val="center"/>
                    <w:rPr>
                      <w:rFonts w:hint="eastAsia" w:eastAsia="宋体"/>
                      <w:color w:val="C00000"/>
                      <w:lang w:val="en-US" w:eastAsia="zh-CN"/>
                    </w:rPr>
                  </w:pPr>
                  <w:r>
                    <w:rPr>
                      <w:rFonts w:hint="eastAsia"/>
                      <w:color w:val="C00000"/>
                      <w:lang w:val="en-US" w:eastAsia="zh-CN"/>
                    </w:rPr>
                    <w:t>文化区</w:t>
                  </w:r>
                </w:p>
              </w:tc>
              <w:tc>
                <w:tcPr>
                  <w:tcW w:w="1118" w:type="dxa"/>
                  <w:vMerge w:val="continue"/>
                  <w:tcBorders>
                    <w:tl2br w:val="nil"/>
                    <w:tr2bl w:val="nil"/>
                  </w:tcBorders>
                  <w:vAlign w:val="center"/>
                </w:tcPr>
                <w:p w14:paraId="42945FAB">
                  <w:pPr>
                    <w:jc w:val="center"/>
                  </w:pPr>
                </w:p>
              </w:tc>
              <w:tc>
                <w:tcPr>
                  <w:tcW w:w="1111" w:type="dxa"/>
                  <w:tcBorders>
                    <w:tl2br w:val="nil"/>
                    <w:tr2bl w:val="nil"/>
                  </w:tcBorders>
                  <w:vAlign w:val="center"/>
                </w:tcPr>
                <w:p w14:paraId="6F0B8260">
                  <w:pPr>
                    <w:jc w:val="center"/>
                    <w:rPr>
                      <w:rFonts w:hint="default"/>
                      <w:color w:val="C00000"/>
                      <w:lang w:val="en-US" w:eastAsia="zh-CN"/>
                    </w:rPr>
                  </w:pPr>
                  <w:r>
                    <w:rPr>
                      <w:rFonts w:hint="eastAsia"/>
                      <w:color w:val="C00000"/>
                      <w:lang w:val="en-US" w:eastAsia="zh-CN"/>
                    </w:rPr>
                    <w:t>E</w:t>
                  </w:r>
                </w:p>
              </w:tc>
              <w:tc>
                <w:tcPr>
                  <w:tcW w:w="1142" w:type="dxa"/>
                  <w:tcBorders>
                    <w:tl2br w:val="nil"/>
                    <w:tr2bl w:val="nil"/>
                  </w:tcBorders>
                  <w:vAlign w:val="center"/>
                </w:tcPr>
                <w:p w14:paraId="7521F9CD">
                  <w:pPr>
                    <w:jc w:val="center"/>
                    <w:rPr>
                      <w:rFonts w:hint="default"/>
                      <w:color w:val="C00000"/>
                      <w:lang w:val="en-US" w:eastAsia="zh-CN"/>
                    </w:rPr>
                  </w:pPr>
                  <w:r>
                    <w:rPr>
                      <w:rFonts w:hint="eastAsia"/>
                      <w:color w:val="C00000"/>
                      <w:lang w:val="en-US" w:eastAsia="zh-CN"/>
                    </w:rPr>
                    <w:t>460m</w:t>
                  </w:r>
                </w:p>
              </w:tc>
            </w:tr>
            <w:tr w14:paraId="70018DC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782" w:hRule="atLeast"/>
                <w:jc w:val="center"/>
              </w:trPr>
              <w:tc>
                <w:tcPr>
                  <w:tcW w:w="1163" w:type="dxa"/>
                  <w:tcBorders>
                    <w:tl2br w:val="nil"/>
                    <w:tr2bl w:val="nil"/>
                  </w:tcBorders>
                  <w:vAlign w:val="center"/>
                </w:tcPr>
                <w:p w14:paraId="2F4567E0">
                  <w:pPr>
                    <w:jc w:val="center"/>
                    <w:rPr>
                      <w:rFonts w:hint="default"/>
                      <w:color w:val="C00000"/>
                      <w:lang w:val="en-US" w:eastAsia="zh-CN"/>
                    </w:rPr>
                  </w:pPr>
                  <w:r>
                    <w:rPr>
                      <w:rFonts w:hint="eastAsia"/>
                      <w:color w:val="C00000"/>
                      <w:lang w:val="en-US" w:eastAsia="zh-CN"/>
                    </w:rPr>
                    <w:t>双鸭山市第四十中学</w:t>
                  </w:r>
                </w:p>
              </w:tc>
              <w:tc>
                <w:tcPr>
                  <w:tcW w:w="941" w:type="dxa"/>
                  <w:tcBorders>
                    <w:tl2br w:val="nil"/>
                    <w:tr2bl w:val="nil"/>
                  </w:tcBorders>
                  <w:vAlign w:val="center"/>
                </w:tcPr>
                <w:p w14:paraId="1D3392E4">
                  <w:pPr>
                    <w:jc w:val="center"/>
                    <w:rPr>
                      <w:rFonts w:hint="eastAsia"/>
                      <w:color w:val="C00000"/>
                    </w:rPr>
                  </w:pPr>
                  <w:r>
                    <w:rPr>
                      <w:rFonts w:hint="eastAsia"/>
                      <w:color w:val="C00000"/>
                    </w:rPr>
                    <w:t>131.69091076</w:t>
                  </w:r>
                </w:p>
              </w:tc>
              <w:tc>
                <w:tcPr>
                  <w:tcW w:w="982" w:type="dxa"/>
                  <w:tcBorders>
                    <w:tl2br w:val="nil"/>
                    <w:tr2bl w:val="nil"/>
                  </w:tcBorders>
                  <w:vAlign w:val="center"/>
                </w:tcPr>
                <w:p w14:paraId="52322BA4">
                  <w:pPr>
                    <w:jc w:val="center"/>
                    <w:rPr>
                      <w:rFonts w:hint="eastAsia"/>
                      <w:color w:val="C00000"/>
                    </w:rPr>
                  </w:pPr>
                  <w:r>
                    <w:rPr>
                      <w:rFonts w:hint="eastAsia"/>
                      <w:color w:val="C00000"/>
                    </w:rPr>
                    <w:t>46.61816389</w:t>
                  </w:r>
                </w:p>
              </w:tc>
              <w:tc>
                <w:tcPr>
                  <w:tcW w:w="764" w:type="dxa"/>
                  <w:tcBorders>
                    <w:tl2br w:val="nil"/>
                    <w:tr2bl w:val="nil"/>
                  </w:tcBorders>
                  <w:shd w:val="clear" w:color="auto" w:fill="auto"/>
                  <w:vAlign w:val="center"/>
                </w:tcPr>
                <w:p w14:paraId="02910363">
                  <w:pPr>
                    <w:jc w:val="center"/>
                    <w:rPr>
                      <w:rFonts w:hint="eastAsia" w:ascii="Times New Roman" w:hAnsi="Times New Roman" w:eastAsia="宋体" w:cs="Times New Roman"/>
                      <w:color w:val="C00000"/>
                      <w:kern w:val="2"/>
                      <w:sz w:val="21"/>
                      <w:szCs w:val="24"/>
                      <w:lang w:val="en-US" w:eastAsia="zh-CN" w:bidi="ar-SA"/>
                    </w:rPr>
                  </w:pPr>
                  <w:r>
                    <w:rPr>
                      <w:rFonts w:hint="eastAsia"/>
                      <w:color w:val="C00000"/>
                      <w:lang w:val="en-US" w:eastAsia="zh-CN"/>
                    </w:rPr>
                    <w:t>学生</w:t>
                  </w:r>
                </w:p>
              </w:tc>
              <w:tc>
                <w:tcPr>
                  <w:tcW w:w="749" w:type="dxa"/>
                  <w:tcBorders>
                    <w:tl2br w:val="nil"/>
                    <w:tr2bl w:val="nil"/>
                  </w:tcBorders>
                  <w:shd w:val="clear" w:color="auto" w:fill="auto"/>
                  <w:vAlign w:val="center"/>
                </w:tcPr>
                <w:p w14:paraId="356A75C1">
                  <w:pPr>
                    <w:jc w:val="center"/>
                    <w:rPr>
                      <w:rFonts w:hint="eastAsia" w:ascii="Times New Roman" w:hAnsi="Times New Roman" w:eastAsia="宋体" w:cs="Times New Roman"/>
                      <w:color w:val="C00000"/>
                      <w:kern w:val="2"/>
                      <w:sz w:val="21"/>
                      <w:szCs w:val="24"/>
                      <w:lang w:val="en-US" w:eastAsia="zh-CN" w:bidi="ar-SA"/>
                    </w:rPr>
                  </w:pPr>
                  <w:r>
                    <w:rPr>
                      <w:rFonts w:hint="eastAsia"/>
                      <w:color w:val="C00000"/>
                      <w:lang w:val="en-US" w:eastAsia="zh-CN"/>
                    </w:rPr>
                    <w:t>文化区</w:t>
                  </w:r>
                </w:p>
              </w:tc>
              <w:tc>
                <w:tcPr>
                  <w:tcW w:w="1118" w:type="dxa"/>
                  <w:vMerge w:val="continue"/>
                  <w:tcBorders>
                    <w:tl2br w:val="nil"/>
                    <w:tr2bl w:val="nil"/>
                  </w:tcBorders>
                  <w:vAlign w:val="center"/>
                </w:tcPr>
                <w:p w14:paraId="673D9E91">
                  <w:pPr>
                    <w:jc w:val="center"/>
                  </w:pPr>
                </w:p>
              </w:tc>
              <w:tc>
                <w:tcPr>
                  <w:tcW w:w="1111" w:type="dxa"/>
                  <w:tcBorders>
                    <w:tl2br w:val="nil"/>
                    <w:tr2bl w:val="nil"/>
                  </w:tcBorders>
                  <w:vAlign w:val="center"/>
                </w:tcPr>
                <w:p w14:paraId="73BF1F40">
                  <w:pPr>
                    <w:jc w:val="center"/>
                    <w:rPr>
                      <w:rFonts w:hint="default"/>
                      <w:color w:val="C00000"/>
                      <w:lang w:val="en-US" w:eastAsia="zh-CN"/>
                    </w:rPr>
                  </w:pPr>
                  <w:r>
                    <w:rPr>
                      <w:rFonts w:hint="eastAsia"/>
                      <w:color w:val="C00000"/>
                      <w:lang w:val="en-US" w:eastAsia="zh-CN"/>
                    </w:rPr>
                    <w:t>E</w:t>
                  </w:r>
                </w:p>
              </w:tc>
              <w:tc>
                <w:tcPr>
                  <w:tcW w:w="1142" w:type="dxa"/>
                  <w:tcBorders>
                    <w:tl2br w:val="nil"/>
                    <w:tr2bl w:val="nil"/>
                  </w:tcBorders>
                  <w:vAlign w:val="center"/>
                </w:tcPr>
                <w:p w14:paraId="275355D7">
                  <w:pPr>
                    <w:jc w:val="center"/>
                    <w:rPr>
                      <w:rFonts w:hint="default"/>
                      <w:color w:val="C00000"/>
                      <w:lang w:val="en-US" w:eastAsia="zh-CN"/>
                    </w:rPr>
                  </w:pPr>
                  <w:r>
                    <w:rPr>
                      <w:rFonts w:hint="eastAsia"/>
                      <w:color w:val="C00000"/>
                      <w:lang w:val="en-US" w:eastAsia="zh-CN"/>
                    </w:rPr>
                    <w:t>488m</w:t>
                  </w:r>
                </w:p>
              </w:tc>
            </w:tr>
          </w:tbl>
          <w:p w14:paraId="0A191A4D">
            <w:pPr>
              <w:widowControl/>
              <w:spacing w:line="360" w:lineRule="auto"/>
              <w:ind w:firstLine="482" w:firstLineChars="200"/>
              <w:jc w:val="left"/>
              <w:rPr>
                <w:kern w:val="0"/>
                <w:sz w:val="24"/>
                <w:highlight w:val="yellow"/>
              </w:rPr>
            </w:pPr>
            <w:r>
              <w:rPr>
                <w:b/>
                <w:sz w:val="24"/>
              </w:rPr>
              <w:t xml:space="preserve">2、声环境保护目标 </w:t>
            </w:r>
          </w:p>
          <w:p w14:paraId="7B40427C">
            <w:pPr>
              <w:widowControl/>
              <w:spacing w:line="360" w:lineRule="auto"/>
              <w:ind w:firstLine="480" w:firstLineChars="200"/>
              <w:rPr>
                <w:b/>
                <w:bCs/>
              </w:rPr>
            </w:pPr>
            <w:r>
              <w:rPr>
                <w:sz w:val="24"/>
              </w:rPr>
              <w:t>本项目声环境保护目标</w:t>
            </w:r>
            <w:r>
              <w:rPr>
                <w:rFonts w:hint="eastAsia"/>
                <w:sz w:val="24"/>
              </w:rPr>
              <w:t>见下表</w:t>
            </w:r>
            <w:r>
              <w:rPr>
                <w:sz w:val="24"/>
              </w:rPr>
              <w:t>。</w:t>
            </w:r>
          </w:p>
          <w:p w14:paraId="4D93B067">
            <w:pPr>
              <w:jc w:val="center"/>
              <w:textAlignment w:val="center"/>
              <w:rPr>
                <w:b/>
                <w:bCs/>
              </w:rPr>
            </w:pPr>
            <w:r>
              <w:rPr>
                <w:b/>
                <w:bCs/>
              </w:rPr>
              <w:t>表3</w:t>
            </w:r>
            <w:r>
              <w:rPr>
                <w:rFonts w:hint="eastAsia"/>
                <w:b/>
                <w:bCs/>
              </w:rPr>
              <w:t>-5</w:t>
            </w:r>
            <w:r>
              <w:rPr>
                <w:b/>
                <w:bCs/>
              </w:rPr>
              <w:t xml:space="preserve"> 本项目声环境保护目标</w:t>
            </w:r>
          </w:p>
          <w:tbl>
            <w:tblPr>
              <w:tblStyle w:val="32"/>
              <w:tblW w:w="80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2"/>
              <w:gridCol w:w="1104"/>
              <w:gridCol w:w="3"/>
              <w:gridCol w:w="504"/>
              <w:gridCol w:w="2"/>
              <w:gridCol w:w="505"/>
              <w:gridCol w:w="1"/>
              <w:gridCol w:w="506"/>
              <w:gridCol w:w="934"/>
              <w:gridCol w:w="716"/>
              <w:gridCol w:w="1709"/>
              <w:gridCol w:w="1526"/>
            </w:tblGrid>
            <w:tr w14:paraId="6D31BD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9" w:type="pct"/>
                  <w:vMerge w:val="restart"/>
                  <w:vAlign w:val="center"/>
                </w:tcPr>
                <w:p w14:paraId="2F254DEE">
                  <w:pPr>
                    <w:jc w:val="center"/>
                  </w:pPr>
                  <w:r>
                    <w:t>序号</w:t>
                  </w:r>
                </w:p>
              </w:tc>
              <w:tc>
                <w:tcPr>
                  <w:tcW w:w="689" w:type="pct"/>
                  <w:gridSpan w:val="2"/>
                  <w:vMerge w:val="restart"/>
                  <w:vAlign w:val="center"/>
                </w:tcPr>
                <w:p w14:paraId="162EE875">
                  <w:pPr>
                    <w:jc w:val="center"/>
                  </w:pPr>
                  <w:r>
                    <w:rPr>
                      <w:rFonts w:hint="eastAsia"/>
                    </w:rPr>
                    <w:t>声</w:t>
                  </w:r>
                  <w:r>
                    <w:t>环境保护目标名称</w:t>
                  </w:r>
                </w:p>
              </w:tc>
              <w:tc>
                <w:tcPr>
                  <w:tcW w:w="946" w:type="pct"/>
                  <w:gridSpan w:val="5"/>
                  <w:vAlign w:val="center"/>
                </w:tcPr>
                <w:p w14:paraId="5D713576">
                  <w:pPr>
                    <w:jc w:val="center"/>
                  </w:pPr>
                  <w:r>
                    <w:rPr>
                      <w:rFonts w:hint="eastAsia"/>
                    </w:rPr>
                    <w:t>空间相对位置/m</w:t>
                  </w:r>
                </w:p>
              </w:tc>
              <w:tc>
                <w:tcPr>
                  <w:tcW w:w="582" w:type="pct"/>
                  <w:vMerge w:val="restart"/>
                  <w:vAlign w:val="center"/>
                </w:tcPr>
                <w:p w14:paraId="7F0DE6CC">
                  <w:pPr>
                    <w:jc w:val="center"/>
                  </w:pPr>
                  <w:r>
                    <w:t>距离厂界最近距离</w:t>
                  </w:r>
                  <w:r>
                    <w:rPr>
                      <w:rFonts w:hint="eastAsia"/>
                    </w:rPr>
                    <w:t>/m</w:t>
                  </w:r>
                </w:p>
              </w:tc>
              <w:tc>
                <w:tcPr>
                  <w:tcW w:w="446" w:type="pct"/>
                  <w:vMerge w:val="restart"/>
                  <w:vAlign w:val="center"/>
                </w:tcPr>
                <w:p w14:paraId="49308B56">
                  <w:pPr>
                    <w:jc w:val="center"/>
                  </w:pPr>
                  <w:r>
                    <w:t>方位</w:t>
                  </w:r>
                </w:p>
              </w:tc>
              <w:tc>
                <w:tcPr>
                  <w:tcW w:w="1065" w:type="pct"/>
                  <w:vMerge w:val="restart"/>
                  <w:vAlign w:val="center"/>
                </w:tcPr>
                <w:p w14:paraId="230558C5">
                  <w:pPr>
                    <w:jc w:val="center"/>
                  </w:pPr>
                  <w:r>
                    <w:t xml:space="preserve">执行标准/功能区类别 </w:t>
                  </w:r>
                </w:p>
              </w:tc>
              <w:tc>
                <w:tcPr>
                  <w:tcW w:w="951" w:type="pct"/>
                  <w:vMerge w:val="restart"/>
                  <w:vAlign w:val="center"/>
                </w:tcPr>
                <w:p w14:paraId="03783190">
                  <w:pPr>
                    <w:jc w:val="center"/>
                  </w:pPr>
                  <w:r>
                    <w:rPr>
                      <w:rFonts w:hint="eastAsia"/>
                    </w:rPr>
                    <w:t>声环境保护目标情况说明</w:t>
                  </w:r>
                </w:p>
              </w:tc>
            </w:tr>
            <w:tr w14:paraId="26256D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9" w:type="pct"/>
                  <w:vMerge w:val="continue"/>
                  <w:vAlign w:val="center"/>
                </w:tcPr>
                <w:p w14:paraId="40E243B1">
                  <w:pPr>
                    <w:jc w:val="center"/>
                  </w:pPr>
                </w:p>
              </w:tc>
              <w:tc>
                <w:tcPr>
                  <w:tcW w:w="689" w:type="pct"/>
                  <w:gridSpan w:val="2"/>
                  <w:vMerge w:val="continue"/>
                  <w:vAlign w:val="center"/>
                </w:tcPr>
                <w:p w14:paraId="52399DBB">
                  <w:pPr>
                    <w:jc w:val="center"/>
                  </w:pPr>
                </w:p>
              </w:tc>
              <w:tc>
                <w:tcPr>
                  <w:tcW w:w="315" w:type="pct"/>
                  <w:gridSpan w:val="2"/>
                  <w:vAlign w:val="center"/>
                </w:tcPr>
                <w:p w14:paraId="11259B38">
                  <w:pPr>
                    <w:jc w:val="center"/>
                  </w:pPr>
                  <w:r>
                    <w:rPr>
                      <w:rFonts w:hint="eastAsia"/>
                    </w:rPr>
                    <w:t>X</w:t>
                  </w:r>
                </w:p>
              </w:tc>
              <w:tc>
                <w:tcPr>
                  <w:tcW w:w="315" w:type="pct"/>
                  <w:gridSpan w:val="2"/>
                  <w:vAlign w:val="center"/>
                </w:tcPr>
                <w:p w14:paraId="01F21A7F">
                  <w:pPr>
                    <w:jc w:val="center"/>
                  </w:pPr>
                  <w:r>
                    <w:rPr>
                      <w:rFonts w:hint="eastAsia"/>
                    </w:rPr>
                    <w:t>Y</w:t>
                  </w:r>
                </w:p>
              </w:tc>
              <w:tc>
                <w:tcPr>
                  <w:tcW w:w="315" w:type="pct"/>
                  <w:vAlign w:val="center"/>
                </w:tcPr>
                <w:p w14:paraId="336595A5">
                  <w:pPr>
                    <w:jc w:val="center"/>
                  </w:pPr>
                  <w:r>
                    <w:rPr>
                      <w:rFonts w:hint="eastAsia"/>
                    </w:rPr>
                    <w:t>Z</w:t>
                  </w:r>
                </w:p>
              </w:tc>
              <w:tc>
                <w:tcPr>
                  <w:tcW w:w="582" w:type="pct"/>
                  <w:vMerge w:val="continue"/>
                  <w:vAlign w:val="center"/>
                </w:tcPr>
                <w:p w14:paraId="06EFF562">
                  <w:pPr>
                    <w:jc w:val="center"/>
                  </w:pPr>
                </w:p>
              </w:tc>
              <w:tc>
                <w:tcPr>
                  <w:tcW w:w="446" w:type="pct"/>
                  <w:vMerge w:val="continue"/>
                  <w:vAlign w:val="center"/>
                </w:tcPr>
                <w:p w14:paraId="1F1804E8">
                  <w:pPr>
                    <w:jc w:val="center"/>
                  </w:pPr>
                </w:p>
              </w:tc>
              <w:tc>
                <w:tcPr>
                  <w:tcW w:w="1065" w:type="pct"/>
                  <w:vMerge w:val="continue"/>
                  <w:vAlign w:val="center"/>
                </w:tcPr>
                <w:p w14:paraId="01DD742D">
                  <w:pPr>
                    <w:jc w:val="center"/>
                  </w:pPr>
                </w:p>
              </w:tc>
              <w:tc>
                <w:tcPr>
                  <w:tcW w:w="951" w:type="pct"/>
                  <w:vMerge w:val="continue"/>
                  <w:vAlign w:val="center"/>
                </w:tcPr>
                <w:p w14:paraId="0C2DAAFE">
                  <w:pPr>
                    <w:jc w:val="center"/>
                  </w:pPr>
                </w:p>
              </w:tc>
            </w:tr>
            <w:tr w14:paraId="7DF8A6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9" w:type="pct"/>
                  <w:shd w:val="clear" w:color="auto" w:fill="auto"/>
                  <w:vAlign w:val="center"/>
                </w:tcPr>
                <w:p w14:paraId="4A7D4DAD">
                  <w:pPr>
                    <w:jc w:val="center"/>
                  </w:pPr>
                  <w:r>
                    <w:t>1</w:t>
                  </w:r>
                </w:p>
              </w:tc>
              <w:tc>
                <w:tcPr>
                  <w:tcW w:w="688" w:type="pct"/>
                  <w:shd w:val="clear" w:color="auto" w:fill="auto"/>
                  <w:vAlign w:val="center"/>
                </w:tcPr>
                <w:p w14:paraId="5361AA69">
                  <w:pPr>
                    <w:jc w:val="center"/>
                  </w:pPr>
                  <w:r>
                    <w:rPr>
                      <w:rFonts w:hint="eastAsia"/>
                      <w:color w:val="C00000"/>
                      <w:lang w:val="en-US" w:eastAsia="zh-CN"/>
                    </w:rPr>
                    <w:t>杨家围社区</w:t>
                  </w:r>
                </w:p>
              </w:tc>
              <w:tc>
                <w:tcPr>
                  <w:tcW w:w="316" w:type="pct"/>
                  <w:gridSpan w:val="2"/>
                  <w:shd w:val="clear" w:color="auto" w:fill="auto"/>
                  <w:vAlign w:val="center"/>
                </w:tcPr>
                <w:p w14:paraId="730F1381">
                  <w:pPr>
                    <w:jc w:val="center"/>
                  </w:pPr>
                  <w:r>
                    <w:rPr>
                      <w:rFonts w:hint="eastAsia"/>
                    </w:rPr>
                    <w:t>38</w:t>
                  </w:r>
                </w:p>
              </w:tc>
              <w:tc>
                <w:tcPr>
                  <w:tcW w:w="316" w:type="pct"/>
                  <w:gridSpan w:val="2"/>
                  <w:shd w:val="clear" w:color="auto" w:fill="auto"/>
                  <w:vAlign w:val="center"/>
                </w:tcPr>
                <w:p w14:paraId="6305E37B">
                  <w:pPr>
                    <w:jc w:val="center"/>
                  </w:pPr>
                  <w:r>
                    <w:rPr>
                      <w:rFonts w:hint="eastAsia"/>
                    </w:rPr>
                    <w:t>25</w:t>
                  </w:r>
                </w:p>
              </w:tc>
              <w:tc>
                <w:tcPr>
                  <w:tcW w:w="316" w:type="pct"/>
                  <w:gridSpan w:val="2"/>
                  <w:shd w:val="clear" w:color="auto" w:fill="auto"/>
                  <w:vAlign w:val="center"/>
                </w:tcPr>
                <w:p w14:paraId="30D421B5">
                  <w:pPr>
                    <w:jc w:val="center"/>
                    <w:rPr>
                      <w:rFonts w:hint="eastAsia" w:eastAsia="宋体"/>
                      <w:lang w:eastAsia="zh-CN"/>
                    </w:rPr>
                  </w:pPr>
                  <w:r>
                    <w:rPr>
                      <w:rFonts w:hint="eastAsia"/>
                      <w:color w:val="auto"/>
                      <w:lang w:val="en-US" w:eastAsia="zh-CN"/>
                    </w:rPr>
                    <w:t>1</w:t>
                  </w:r>
                </w:p>
              </w:tc>
              <w:tc>
                <w:tcPr>
                  <w:tcW w:w="582" w:type="pct"/>
                  <w:shd w:val="clear" w:color="auto" w:fill="auto"/>
                  <w:vAlign w:val="center"/>
                </w:tcPr>
                <w:p w14:paraId="4BAF28B3">
                  <w:pPr>
                    <w:jc w:val="center"/>
                  </w:pPr>
                  <w:r>
                    <w:rPr>
                      <w:rFonts w:hint="eastAsia"/>
                    </w:rPr>
                    <w:t>38</w:t>
                  </w:r>
                  <w:r>
                    <w:t>m</w:t>
                  </w:r>
                </w:p>
              </w:tc>
              <w:tc>
                <w:tcPr>
                  <w:tcW w:w="446" w:type="pct"/>
                  <w:vAlign w:val="center"/>
                </w:tcPr>
                <w:p w14:paraId="3A7DE7E5">
                  <w:pPr>
                    <w:jc w:val="center"/>
                  </w:pPr>
                  <w:r>
                    <w:rPr>
                      <w:rFonts w:hint="eastAsia"/>
                    </w:rPr>
                    <w:t>E</w:t>
                  </w:r>
                </w:p>
              </w:tc>
              <w:tc>
                <w:tcPr>
                  <w:tcW w:w="1065" w:type="pct"/>
                  <w:vMerge w:val="restart"/>
                  <w:vAlign w:val="center"/>
                </w:tcPr>
                <w:p w14:paraId="1E804593">
                  <w:pPr>
                    <w:jc w:val="center"/>
                  </w:pPr>
                  <w:r>
                    <w:t>《声环境质量标准》（GB3096-2008）2类标准</w:t>
                  </w:r>
                </w:p>
              </w:tc>
              <w:tc>
                <w:tcPr>
                  <w:tcW w:w="951" w:type="pct"/>
                  <w:vAlign w:val="center"/>
                </w:tcPr>
                <w:p w14:paraId="32A48389">
                  <w:pPr>
                    <w:jc w:val="center"/>
                  </w:pPr>
                  <w:r>
                    <w:rPr>
                      <w:rFonts w:hint="eastAsia"/>
                      <w:color w:val="C00000"/>
                      <w:lang w:val="en-US" w:eastAsia="zh-CN"/>
                    </w:rPr>
                    <w:t>2层建筑（约为5米），</w:t>
                  </w:r>
                  <w:r>
                    <w:rPr>
                      <w:color w:val="C00000"/>
                    </w:rPr>
                    <w:t>砖混结构</w:t>
                  </w:r>
                  <w:r>
                    <w:rPr>
                      <w:rFonts w:hint="eastAsia"/>
                      <w:color w:val="C00000"/>
                    </w:rPr>
                    <w:t>，东南</w:t>
                  </w:r>
                  <w:r>
                    <w:rPr>
                      <w:color w:val="C00000"/>
                    </w:rPr>
                    <w:t>朝向</w:t>
                  </w:r>
                </w:p>
              </w:tc>
            </w:tr>
            <w:tr w14:paraId="1D24B2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9" w:type="pct"/>
                  <w:shd w:val="clear" w:color="auto" w:fill="auto"/>
                  <w:vAlign w:val="center"/>
                </w:tcPr>
                <w:p w14:paraId="16D0B152">
                  <w:pPr>
                    <w:jc w:val="center"/>
                    <w:rPr>
                      <w:rFonts w:hint="eastAsia" w:eastAsia="宋体"/>
                      <w:color w:val="C00000"/>
                      <w:lang w:val="en-US" w:eastAsia="zh-CN"/>
                    </w:rPr>
                  </w:pPr>
                  <w:r>
                    <w:rPr>
                      <w:rFonts w:hint="eastAsia"/>
                      <w:color w:val="C00000"/>
                      <w:lang w:val="en-US" w:eastAsia="zh-CN"/>
                    </w:rPr>
                    <w:t>2</w:t>
                  </w:r>
                </w:p>
              </w:tc>
              <w:tc>
                <w:tcPr>
                  <w:tcW w:w="688" w:type="pct"/>
                  <w:shd w:val="clear" w:color="auto" w:fill="auto"/>
                  <w:vAlign w:val="center"/>
                </w:tcPr>
                <w:p w14:paraId="50112A8B">
                  <w:pPr>
                    <w:jc w:val="center"/>
                    <w:rPr>
                      <w:rFonts w:hint="default"/>
                      <w:color w:val="C00000"/>
                      <w:lang w:val="en-US" w:eastAsia="zh-CN"/>
                    </w:rPr>
                  </w:pPr>
                  <w:r>
                    <w:rPr>
                      <w:rFonts w:hint="eastAsia"/>
                      <w:color w:val="C00000"/>
                      <w:lang w:val="en-US" w:eastAsia="zh-CN"/>
                    </w:rPr>
                    <w:t>新安矿厂居住区</w:t>
                  </w:r>
                </w:p>
              </w:tc>
              <w:tc>
                <w:tcPr>
                  <w:tcW w:w="316" w:type="pct"/>
                  <w:gridSpan w:val="2"/>
                  <w:shd w:val="clear" w:color="auto" w:fill="auto"/>
                  <w:vAlign w:val="center"/>
                </w:tcPr>
                <w:p w14:paraId="42B08C61">
                  <w:pPr>
                    <w:jc w:val="center"/>
                    <w:rPr>
                      <w:rFonts w:hint="default" w:eastAsia="宋体"/>
                      <w:color w:val="C00000"/>
                      <w:lang w:val="en-US" w:eastAsia="zh-CN"/>
                    </w:rPr>
                  </w:pPr>
                  <w:r>
                    <w:rPr>
                      <w:rFonts w:hint="eastAsia"/>
                      <w:color w:val="C00000"/>
                      <w:lang w:val="en-US" w:eastAsia="zh-CN"/>
                    </w:rPr>
                    <w:t>18</w:t>
                  </w:r>
                </w:p>
              </w:tc>
              <w:tc>
                <w:tcPr>
                  <w:tcW w:w="316" w:type="pct"/>
                  <w:gridSpan w:val="2"/>
                  <w:shd w:val="clear" w:color="auto" w:fill="auto"/>
                  <w:vAlign w:val="center"/>
                </w:tcPr>
                <w:p w14:paraId="4C8B1948">
                  <w:pPr>
                    <w:jc w:val="center"/>
                    <w:rPr>
                      <w:rFonts w:hint="default" w:eastAsia="宋体"/>
                      <w:color w:val="C00000"/>
                      <w:lang w:val="en-US" w:eastAsia="zh-CN"/>
                    </w:rPr>
                  </w:pPr>
                  <w:r>
                    <w:rPr>
                      <w:rFonts w:hint="eastAsia"/>
                      <w:color w:val="C00000"/>
                      <w:lang w:val="en-US" w:eastAsia="zh-CN"/>
                    </w:rPr>
                    <w:t>-17</w:t>
                  </w:r>
                </w:p>
              </w:tc>
              <w:tc>
                <w:tcPr>
                  <w:tcW w:w="316" w:type="pct"/>
                  <w:gridSpan w:val="2"/>
                  <w:shd w:val="clear" w:color="auto" w:fill="auto"/>
                  <w:vAlign w:val="center"/>
                </w:tcPr>
                <w:p w14:paraId="65D5555B">
                  <w:pPr>
                    <w:jc w:val="center"/>
                    <w:rPr>
                      <w:rFonts w:hint="default"/>
                      <w:color w:val="C00000"/>
                      <w:lang w:val="en-US" w:eastAsia="zh-CN"/>
                    </w:rPr>
                  </w:pPr>
                  <w:r>
                    <w:rPr>
                      <w:rFonts w:hint="eastAsia"/>
                      <w:color w:val="C00000"/>
                      <w:lang w:val="en-US" w:eastAsia="zh-CN"/>
                    </w:rPr>
                    <w:t>1</w:t>
                  </w:r>
                </w:p>
              </w:tc>
              <w:tc>
                <w:tcPr>
                  <w:tcW w:w="582" w:type="pct"/>
                  <w:shd w:val="clear" w:color="auto" w:fill="auto"/>
                  <w:vAlign w:val="center"/>
                </w:tcPr>
                <w:p w14:paraId="7CEE7BDE">
                  <w:pPr>
                    <w:jc w:val="center"/>
                    <w:rPr>
                      <w:rFonts w:hint="default" w:eastAsia="宋体"/>
                      <w:color w:val="C00000"/>
                      <w:lang w:val="en-US" w:eastAsia="zh-CN"/>
                    </w:rPr>
                  </w:pPr>
                  <w:r>
                    <w:rPr>
                      <w:rFonts w:hint="eastAsia"/>
                      <w:color w:val="C00000"/>
                      <w:lang w:val="en-US" w:eastAsia="zh-CN"/>
                    </w:rPr>
                    <w:t>17m</w:t>
                  </w:r>
                </w:p>
              </w:tc>
              <w:tc>
                <w:tcPr>
                  <w:tcW w:w="446" w:type="pct"/>
                  <w:vAlign w:val="center"/>
                </w:tcPr>
                <w:p w14:paraId="1B2C573E">
                  <w:pPr>
                    <w:jc w:val="center"/>
                    <w:rPr>
                      <w:rFonts w:hint="eastAsia" w:eastAsia="宋体"/>
                      <w:color w:val="C00000"/>
                      <w:lang w:val="en-US" w:eastAsia="zh-CN"/>
                    </w:rPr>
                  </w:pPr>
                  <w:r>
                    <w:rPr>
                      <w:rFonts w:hint="eastAsia"/>
                      <w:color w:val="C00000"/>
                      <w:lang w:val="en-US" w:eastAsia="zh-CN"/>
                    </w:rPr>
                    <w:t>W</w:t>
                  </w:r>
                </w:p>
              </w:tc>
              <w:tc>
                <w:tcPr>
                  <w:tcW w:w="1065" w:type="pct"/>
                  <w:vMerge w:val="continue"/>
                  <w:vAlign w:val="center"/>
                </w:tcPr>
                <w:p w14:paraId="01D69A7F">
                  <w:pPr>
                    <w:jc w:val="center"/>
                    <w:rPr>
                      <w:color w:val="C00000"/>
                    </w:rPr>
                  </w:pPr>
                </w:p>
              </w:tc>
              <w:tc>
                <w:tcPr>
                  <w:tcW w:w="951" w:type="pct"/>
                  <w:vAlign w:val="center"/>
                </w:tcPr>
                <w:p w14:paraId="6C2F376E">
                  <w:pPr>
                    <w:jc w:val="center"/>
                    <w:rPr>
                      <w:rFonts w:hint="default"/>
                      <w:color w:val="C00000"/>
                      <w:lang w:val="en-US" w:eastAsia="zh-CN"/>
                    </w:rPr>
                  </w:pPr>
                  <w:r>
                    <w:rPr>
                      <w:rFonts w:hint="eastAsia"/>
                      <w:color w:val="C00000"/>
                      <w:lang w:val="en-US" w:eastAsia="zh-CN"/>
                    </w:rPr>
                    <w:t>1层建筑，砖混结构，南北朝向</w:t>
                  </w:r>
                </w:p>
              </w:tc>
            </w:tr>
          </w:tbl>
          <w:p w14:paraId="53200555">
            <w:pPr>
              <w:widowControl/>
              <w:spacing w:line="360" w:lineRule="auto"/>
              <w:ind w:firstLine="482" w:firstLineChars="200"/>
              <w:jc w:val="left"/>
              <w:rPr>
                <w:b/>
                <w:color w:val="C00000"/>
                <w:sz w:val="24"/>
              </w:rPr>
            </w:pPr>
            <w:r>
              <w:rPr>
                <w:b/>
                <w:color w:val="C00000"/>
                <w:sz w:val="24"/>
              </w:rPr>
              <w:t xml:space="preserve">3、地下水环境保护目标 </w:t>
            </w:r>
          </w:p>
          <w:p w14:paraId="34DB7EA1">
            <w:pPr>
              <w:keepNext w:val="0"/>
              <w:keepLines w:val="0"/>
              <w:pageBreakBefore w:val="0"/>
              <w:widowControl/>
              <w:kinsoku/>
              <w:wordWrap/>
              <w:overflowPunct/>
              <w:topLinePunct w:val="0"/>
              <w:autoSpaceDE/>
              <w:autoSpaceDN/>
              <w:bidi w:val="0"/>
              <w:snapToGrid w:val="0"/>
              <w:spacing w:line="360" w:lineRule="auto"/>
              <w:ind w:firstLine="480" w:firstLineChars="200"/>
              <w:rPr>
                <w:bCs/>
                <w:kern w:val="0"/>
                <w:sz w:val="24"/>
              </w:rPr>
            </w:pPr>
            <w:r>
              <w:rPr>
                <w:rFonts w:hint="eastAsia" w:ascii="Times New Roman" w:hAnsi="Times New Roman" w:eastAsia="宋体" w:cs="Times New Roman"/>
                <w:color w:val="C00000"/>
                <w:kern w:val="0"/>
                <w:sz w:val="24"/>
                <w:lang w:val="en-US" w:eastAsia="zh-CN"/>
              </w:rPr>
              <w:t>本项目</w:t>
            </w:r>
            <w:r>
              <w:rPr>
                <w:rFonts w:hint="eastAsia" w:cs="Times New Roman"/>
                <w:color w:val="C00000"/>
                <w:kern w:val="0"/>
                <w:sz w:val="24"/>
                <w:lang w:val="en-US" w:eastAsia="zh-CN"/>
              </w:rPr>
              <w:t>附近居住区</w:t>
            </w:r>
            <w:r>
              <w:rPr>
                <w:rFonts w:hint="default" w:ascii="Times New Roman" w:hAnsi="Times New Roman" w:cs="Times New Roman" w:eastAsiaTheme="minorEastAsia"/>
                <w:color w:val="C00000"/>
                <w:kern w:val="0"/>
                <w:sz w:val="24"/>
                <w:szCs w:val="24"/>
                <w:lang w:val="en-US" w:eastAsia="zh-CN"/>
              </w:rPr>
              <w:t>为新安矿</w:t>
            </w:r>
            <w:r>
              <w:rPr>
                <w:rFonts w:hint="eastAsia" w:ascii="Times New Roman" w:hAnsi="Times New Roman" w:cs="Times New Roman" w:eastAsiaTheme="minorEastAsia"/>
                <w:color w:val="C00000"/>
                <w:kern w:val="0"/>
                <w:sz w:val="24"/>
                <w:szCs w:val="24"/>
                <w:lang w:val="en-US" w:eastAsia="zh-CN"/>
              </w:rPr>
              <w:t>厂</w:t>
            </w:r>
            <w:r>
              <w:rPr>
                <w:rFonts w:hint="default" w:ascii="Times New Roman" w:hAnsi="Times New Roman" w:cs="Times New Roman" w:eastAsiaTheme="minorEastAsia"/>
                <w:color w:val="C00000"/>
                <w:kern w:val="0"/>
                <w:sz w:val="24"/>
                <w:szCs w:val="24"/>
                <w:lang w:val="en-US" w:eastAsia="zh-CN"/>
              </w:rPr>
              <w:t>居住区（17m）、</w:t>
            </w:r>
            <w:r>
              <w:rPr>
                <w:rFonts w:hint="default" w:ascii="Times New Roman" w:hAnsi="Times New Roman" w:cs="Times New Roman" w:eastAsiaTheme="minorEastAsia"/>
                <w:color w:val="C00000"/>
                <w:sz w:val="24"/>
                <w:szCs w:val="24"/>
                <w:lang w:val="en-US" w:eastAsia="zh-CN"/>
              </w:rPr>
              <w:t>杨家围社区</w:t>
            </w:r>
            <w:r>
              <w:rPr>
                <w:rFonts w:hint="default" w:ascii="Times New Roman" w:hAnsi="Times New Roman" w:cs="Times New Roman" w:eastAsiaTheme="minorEastAsia"/>
                <w:color w:val="C00000"/>
                <w:kern w:val="0"/>
                <w:sz w:val="24"/>
                <w:szCs w:val="24"/>
                <w:lang w:val="en-US" w:eastAsia="zh-CN"/>
              </w:rPr>
              <w:t>（38m），</w:t>
            </w:r>
            <w:r>
              <w:rPr>
                <w:rFonts w:hint="eastAsia" w:ascii="Times New Roman" w:hAnsi="Times New Roman" w:cs="Times New Roman" w:eastAsiaTheme="minorEastAsia"/>
                <w:color w:val="C00000"/>
                <w:kern w:val="0"/>
                <w:sz w:val="24"/>
                <w:szCs w:val="24"/>
                <w:lang w:val="en-US" w:eastAsia="zh-CN"/>
              </w:rPr>
              <w:t>居住区</w:t>
            </w:r>
            <w:r>
              <w:rPr>
                <w:rFonts w:hint="default" w:ascii="Times New Roman" w:hAnsi="Times New Roman" w:cs="Times New Roman" w:eastAsiaTheme="minorEastAsia"/>
                <w:color w:val="C00000"/>
                <w:kern w:val="0"/>
                <w:sz w:val="24"/>
                <w:szCs w:val="24"/>
                <w:lang w:val="en-US" w:eastAsia="zh-CN"/>
              </w:rPr>
              <w:t>采用集中供水，无地下水饮用水水源井，</w:t>
            </w:r>
            <w:r>
              <w:rPr>
                <w:rFonts w:hint="default" w:ascii="Times New Roman" w:hAnsi="Times New Roman" w:cs="Times New Roman" w:eastAsiaTheme="minorEastAsia"/>
                <w:color w:val="C00000"/>
                <w:kern w:val="0"/>
                <w:sz w:val="24"/>
                <w:szCs w:val="24"/>
              </w:rPr>
              <w:t>本项目厂界外500m范围内无地下水集中式饮用水水</w:t>
            </w:r>
            <w:r>
              <w:rPr>
                <w:color w:val="C00000"/>
                <w:kern w:val="0"/>
                <w:sz w:val="24"/>
              </w:rPr>
              <w:t>源和热水、矿泉水、温泉等特殊地下水资源</w:t>
            </w:r>
            <w:r>
              <w:rPr>
                <w:rFonts w:hint="eastAsia"/>
                <w:color w:val="C00000"/>
                <w:kern w:val="0"/>
                <w:sz w:val="24"/>
              </w:rPr>
              <w:t>，无地下水保护目标</w:t>
            </w:r>
            <w:r>
              <w:rPr>
                <w:bCs/>
                <w:color w:val="C00000"/>
                <w:kern w:val="0"/>
                <w:sz w:val="24"/>
              </w:rPr>
              <w:t>。厂区内区域采取</w:t>
            </w:r>
            <w:r>
              <w:rPr>
                <w:rFonts w:hint="eastAsia"/>
                <w:bCs/>
                <w:color w:val="C00000"/>
                <w:kern w:val="0"/>
                <w:sz w:val="24"/>
                <w:lang w:val="en-US" w:eastAsia="zh-CN"/>
              </w:rPr>
              <w:t>地面</w:t>
            </w:r>
            <w:r>
              <w:rPr>
                <w:bCs/>
                <w:color w:val="C00000"/>
                <w:kern w:val="0"/>
                <w:sz w:val="24"/>
              </w:rPr>
              <w:t>水泥硬化</w:t>
            </w:r>
            <w:r>
              <w:rPr>
                <w:color w:val="C00000"/>
                <w:sz w:val="24"/>
              </w:rPr>
              <w:t>，</w:t>
            </w:r>
            <w:r>
              <w:rPr>
                <w:rFonts w:hint="eastAsia"/>
                <w:color w:val="C00000"/>
                <w:sz w:val="24"/>
                <w:lang w:val="en-US" w:eastAsia="zh-CN"/>
              </w:rPr>
              <w:t>危险废物贮存点</w:t>
            </w:r>
            <w:r>
              <w:rPr>
                <w:rFonts w:hint="default" w:ascii="Times New Roman" w:hAnsi="Times New Roman" w:cs="Times New Roman" w:eastAsiaTheme="minorEastAsia"/>
                <w:color w:val="C00000"/>
                <w:sz w:val="24"/>
                <w:szCs w:val="24"/>
                <w:highlight w:val="none"/>
              </w:rPr>
              <w:t>防渗层为至少1米厚粘土层（渗透系数≤1×10</w:t>
            </w:r>
            <w:r>
              <w:rPr>
                <w:rFonts w:hint="default" w:ascii="Times New Roman" w:hAnsi="Times New Roman" w:cs="Times New Roman" w:eastAsiaTheme="minorEastAsia"/>
                <w:color w:val="C00000"/>
                <w:sz w:val="24"/>
                <w:szCs w:val="24"/>
                <w:highlight w:val="none"/>
                <w:vertAlign w:val="superscript"/>
              </w:rPr>
              <w:t>-7</w:t>
            </w:r>
            <w:r>
              <w:rPr>
                <w:rFonts w:hint="default" w:ascii="Times New Roman" w:hAnsi="Times New Roman" w:cs="Times New Roman" w:eastAsiaTheme="minorEastAsia"/>
                <w:color w:val="C00000"/>
                <w:sz w:val="24"/>
                <w:szCs w:val="24"/>
                <w:highlight w:val="none"/>
              </w:rPr>
              <w:t>cm/s），或2mm厚高密度聚乙烯或至少2mm厚的其它人工材料，渗透系数≤1×10</w:t>
            </w:r>
            <w:r>
              <w:rPr>
                <w:rFonts w:hint="default" w:ascii="Times New Roman" w:hAnsi="Times New Roman" w:cs="Times New Roman" w:eastAsiaTheme="minorEastAsia"/>
                <w:color w:val="C00000"/>
                <w:sz w:val="24"/>
                <w:szCs w:val="24"/>
                <w:highlight w:val="none"/>
                <w:vertAlign w:val="superscript"/>
              </w:rPr>
              <w:t>-10</w:t>
            </w:r>
            <w:r>
              <w:rPr>
                <w:rFonts w:hint="default" w:ascii="Times New Roman" w:hAnsi="Times New Roman" w:cs="Times New Roman" w:eastAsiaTheme="minorEastAsia"/>
                <w:color w:val="C00000"/>
                <w:sz w:val="24"/>
                <w:szCs w:val="24"/>
                <w:highlight w:val="none"/>
              </w:rPr>
              <w:t>cm/s</w:t>
            </w:r>
            <w:r>
              <w:rPr>
                <w:rFonts w:hint="default" w:ascii="Times New Roman" w:hAnsi="Times New Roman" w:cs="Times New Roman" w:eastAsiaTheme="minorEastAsia"/>
                <w:color w:val="C00000"/>
                <w:sz w:val="24"/>
                <w:szCs w:val="24"/>
                <w:highlight w:val="none"/>
                <w:lang w:eastAsia="zh-CN"/>
              </w:rPr>
              <w:t>，</w:t>
            </w:r>
            <w:r>
              <w:rPr>
                <w:bCs/>
                <w:color w:val="C00000"/>
                <w:kern w:val="0"/>
                <w:sz w:val="24"/>
              </w:rPr>
              <w:t>不存在土壤、地下水环境污染途径，因此，不进行土壤、地下水环境质量现状监测。</w:t>
            </w:r>
          </w:p>
          <w:p w14:paraId="2CEBB522">
            <w:pPr>
              <w:keepNext w:val="0"/>
              <w:keepLines w:val="0"/>
              <w:pageBreakBefore w:val="0"/>
              <w:widowControl/>
              <w:kinsoku/>
              <w:wordWrap/>
              <w:overflowPunct/>
              <w:topLinePunct w:val="0"/>
              <w:autoSpaceDE/>
              <w:autoSpaceDN/>
              <w:bidi w:val="0"/>
              <w:snapToGrid w:val="0"/>
              <w:spacing w:line="360" w:lineRule="auto"/>
              <w:ind w:firstLine="482" w:firstLineChars="200"/>
              <w:jc w:val="left"/>
              <w:rPr>
                <w:b/>
                <w:sz w:val="24"/>
              </w:rPr>
            </w:pPr>
            <w:r>
              <w:rPr>
                <w:b/>
                <w:sz w:val="24"/>
              </w:rPr>
              <w:t xml:space="preserve">4、生态环境保护目标 </w:t>
            </w:r>
          </w:p>
          <w:p w14:paraId="747404FF">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center"/>
              <w:rPr>
                <w:kern w:val="0"/>
                <w:szCs w:val="21"/>
              </w:rPr>
            </w:pPr>
            <w:r>
              <w:rPr>
                <w:kern w:val="0"/>
                <w:sz w:val="24"/>
              </w:rPr>
              <w:t>本项目不新增占地，企业占地范围内无特殊生态敏感区及重要生态敏感区等生态环境保护目标，项目所在地无国家级、省、市级自然保护区、风景名胜区、文物保护对象。</w:t>
            </w:r>
          </w:p>
        </w:tc>
      </w:tr>
      <w:tr w14:paraId="3C0AE6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47" w:hRule="atLeast"/>
          <w:jc w:val="center"/>
        </w:trPr>
        <w:tc>
          <w:tcPr>
            <w:tcW w:w="800" w:type="dxa"/>
            <w:tcMar>
              <w:left w:w="28" w:type="dxa"/>
              <w:right w:w="28" w:type="dxa"/>
            </w:tcMar>
            <w:vAlign w:val="center"/>
          </w:tcPr>
          <w:p w14:paraId="780CB7DE">
            <w:pPr>
              <w:adjustRightInd w:val="0"/>
              <w:snapToGrid w:val="0"/>
              <w:jc w:val="center"/>
              <w:rPr>
                <w:kern w:val="0"/>
                <w:szCs w:val="21"/>
              </w:rPr>
            </w:pPr>
            <w:r>
              <w:rPr>
                <w:kern w:val="0"/>
                <w:szCs w:val="21"/>
              </w:rPr>
              <w:t>污染</w:t>
            </w:r>
          </w:p>
          <w:p w14:paraId="4566B774">
            <w:pPr>
              <w:adjustRightInd w:val="0"/>
              <w:snapToGrid w:val="0"/>
              <w:jc w:val="center"/>
              <w:rPr>
                <w:kern w:val="0"/>
                <w:szCs w:val="21"/>
              </w:rPr>
            </w:pPr>
            <w:r>
              <w:rPr>
                <w:kern w:val="0"/>
                <w:szCs w:val="21"/>
              </w:rPr>
              <w:t>物排</w:t>
            </w:r>
          </w:p>
          <w:p w14:paraId="373FB135">
            <w:pPr>
              <w:adjustRightInd w:val="0"/>
              <w:snapToGrid w:val="0"/>
              <w:jc w:val="center"/>
              <w:rPr>
                <w:kern w:val="0"/>
                <w:szCs w:val="21"/>
              </w:rPr>
            </w:pPr>
            <w:r>
              <w:rPr>
                <w:kern w:val="0"/>
                <w:szCs w:val="21"/>
              </w:rPr>
              <w:t>放控</w:t>
            </w:r>
          </w:p>
          <w:p w14:paraId="22345808">
            <w:pPr>
              <w:adjustRightInd w:val="0"/>
              <w:snapToGrid w:val="0"/>
              <w:jc w:val="center"/>
              <w:rPr>
                <w:kern w:val="0"/>
                <w:szCs w:val="21"/>
              </w:rPr>
            </w:pPr>
            <w:r>
              <w:rPr>
                <w:kern w:val="0"/>
                <w:szCs w:val="21"/>
              </w:rPr>
              <w:t>制标</w:t>
            </w:r>
          </w:p>
          <w:p w14:paraId="3BF34D1B">
            <w:pPr>
              <w:adjustRightInd w:val="0"/>
              <w:snapToGrid w:val="0"/>
              <w:jc w:val="center"/>
              <w:rPr>
                <w:kern w:val="0"/>
                <w:szCs w:val="21"/>
              </w:rPr>
            </w:pPr>
            <w:r>
              <w:rPr>
                <w:kern w:val="0"/>
                <w:szCs w:val="21"/>
              </w:rPr>
              <w:t>准</w:t>
            </w:r>
          </w:p>
        </w:tc>
        <w:tc>
          <w:tcPr>
            <w:tcW w:w="8190" w:type="dxa"/>
            <w:vAlign w:val="center"/>
          </w:tcPr>
          <w:p w14:paraId="15411F90">
            <w:pPr>
              <w:adjustRightInd w:val="0"/>
              <w:snapToGrid w:val="0"/>
              <w:spacing w:line="360" w:lineRule="auto"/>
              <w:ind w:firstLine="482" w:firstLineChars="200"/>
              <w:rPr>
                <w:b/>
                <w:bCs/>
                <w:sz w:val="24"/>
              </w:rPr>
            </w:pPr>
            <w:r>
              <w:rPr>
                <w:b/>
                <w:bCs/>
                <w:sz w:val="24"/>
              </w:rPr>
              <w:t>1、废气</w:t>
            </w:r>
          </w:p>
          <w:p w14:paraId="5944FABE">
            <w:pPr>
              <w:spacing w:line="360" w:lineRule="auto"/>
              <w:ind w:firstLine="480" w:firstLineChars="200"/>
              <w:rPr>
                <w:kern w:val="0"/>
                <w:sz w:val="24"/>
                <w:lang w:bidi="ar"/>
              </w:rPr>
            </w:pPr>
            <w:r>
              <w:rPr>
                <w:sz w:val="24"/>
              </w:rPr>
              <w:t>施工期扬尘执行《大气污染物综合排放标准》（GB16297-1996）表2无组织排放限值标准。</w:t>
            </w:r>
          </w:p>
          <w:p w14:paraId="54F799C7">
            <w:pPr>
              <w:pStyle w:val="16"/>
              <w:adjustRightInd w:val="0"/>
              <w:snapToGrid w:val="0"/>
              <w:spacing w:line="360" w:lineRule="auto"/>
              <w:ind w:firstLine="480" w:firstLineChars="200"/>
              <w:rPr>
                <w:rFonts w:ascii="Times New Roman" w:hAnsi="Times New Roman"/>
                <w:snapToGrid w:val="0"/>
                <w:sz w:val="24"/>
              </w:rPr>
            </w:pPr>
            <w:r>
              <w:rPr>
                <w:rFonts w:ascii="Times New Roman" w:hAnsi="Times New Roman"/>
                <w:kern w:val="0"/>
                <w:sz w:val="24"/>
                <w:lang w:bidi="ar"/>
              </w:rPr>
              <w:t>运行期热风炉烟气中烟尘和烟气黑度执行《工业炉窑大气污染物排放标准》（GB9078-1996）表2标准，热风炉烟气中SO</w:t>
            </w:r>
            <w:r>
              <w:rPr>
                <w:rFonts w:ascii="Times New Roman" w:hAnsi="Times New Roman"/>
                <w:kern w:val="0"/>
                <w:sz w:val="16"/>
                <w:szCs w:val="16"/>
                <w:lang w:bidi="ar"/>
              </w:rPr>
              <w:t>2</w:t>
            </w:r>
            <w:r>
              <w:rPr>
                <w:rFonts w:ascii="Times New Roman" w:hAnsi="Times New Roman"/>
                <w:kern w:val="0"/>
                <w:sz w:val="24"/>
                <w:lang w:bidi="ar"/>
              </w:rPr>
              <w:t>执行《工业炉窑大气污染物排放标准》（GB9078-1996）表4中二级标准；生产过程中产生的粉尘执行《大气污染物综合排放标准》（GB16297-1996）表2无组织排放监控浓度限值</w:t>
            </w:r>
            <w:r>
              <w:rPr>
                <w:rFonts w:ascii="Times New Roman" w:hAnsi="Times New Roman"/>
                <w:sz w:val="24"/>
              </w:rPr>
              <w:t>标准，</w:t>
            </w:r>
            <w:r>
              <w:rPr>
                <w:rFonts w:hint="eastAsia" w:ascii="Times New Roman" w:hAnsi="Times New Roman"/>
                <w:sz w:val="24"/>
              </w:rPr>
              <w:t>热风炉</w:t>
            </w:r>
            <w:r>
              <w:rPr>
                <w:rFonts w:ascii="Times New Roman" w:hAnsi="Times New Roman"/>
                <w:sz w:val="24"/>
              </w:rPr>
              <w:t>厂房门窗处颗粒物执行《工业窑炉大气污染物排放标准》（GB9078-1996）表3中标准限值。</w:t>
            </w:r>
          </w:p>
          <w:p w14:paraId="54EE5FD0">
            <w:pPr>
              <w:spacing w:line="360" w:lineRule="auto"/>
              <w:ind w:firstLine="480" w:firstLineChars="200"/>
              <w:rPr>
                <w:sz w:val="24"/>
              </w:rPr>
            </w:pPr>
            <w:r>
              <w:rPr>
                <w:sz w:val="24"/>
              </w:rPr>
              <w:t>具体标准值见下表。</w:t>
            </w:r>
          </w:p>
          <w:p w14:paraId="4E42424B">
            <w:pPr>
              <w:pStyle w:val="64"/>
              <w:keepNext/>
              <w:keepLines/>
              <w:spacing w:line="240" w:lineRule="auto"/>
              <w:rPr>
                <w:rFonts w:eastAsia="宋体"/>
                <w:sz w:val="21"/>
                <w:szCs w:val="21"/>
              </w:rPr>
            </w:pPr>
            <w:bookmarkStart w:id="10" w:name="_Toc29061"/>
            <w:r>
              <w:rPr>
                <w:rFonts w:eastAsia="宋体"/>
                <w:b/>
                <w:bCs/>
                <w:sz w:val="21"/>
                <w:szCs w:val="21"/>
              </w:rPr>
              <w:t>表3-</w:t>
            </w:r>
            <w:r>
              <w:rPr>
                <w:rFonts w:hint="eastAsia" w:eastAsia="宋体"/>
                <w:b/>
                <w:bCs/>
                <w:sz w:val="21"/>
                <w:szCs w:val="21"/>
                <w:lang w:val="en-US" w:eastAsia="zh-CN"/>
              </w:rPr>
              <w:t>6</w:t>
            </w:r>
            <w:r>
              <w:rPr>
                <w:rFonts w:eastAsia="宋体"/>
                <w:b/>
                <w:bCs/>
                <w:sz w:val="21"/>
                <w:szCs w:val="21"/>
              </w:rPr>
              <w:t>《大气污染物综合排放标准》（GB16297-1996）  单位：mg/m</w:t>
            </w:r>
            <w:r>
              <w:rPr>
                <w:rFonts w:eastAsia="宋体"/>
                <w:b/>
                <w:bCs/>
                <w:sz w:val="21"/>
                <w:szCs w:val="21"/>
                <w:vertAlign w:val="superscript"/>
              </w:rPr>
              <w:t>3</w:t>
            </w:r>
            <w:bookmarkEnd w:id="10"/>
            <w:r>
              <w:rPr>
                <w:rFonts w:eastAsia="宋体"/>
                <w:b/>
                <w:bCs/>
                <w:sz w:val="21"/>
                <w:szCs w:val="21"/>
              </w:rPr>
              <w:t xml:space="preserve"> </w:t>
            </w:r>
          </w:p>
          <w:tbl>
            <w:tblPr>
              <w:tblStyle w:val="32"/>
              <w:tblW w:w="7959"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0" w:type="dxa"/>
                <w:bottom w:w="0" w:type="dxa"/>
                <w:right w:w="0" w:type="dxa"/>
              </w:tblCellMar>
            </w:tblPr>
            <w:tblGrid>
              <w:gridCol w:w="2555"/>
              <w:gridCol w:w="2722"/>
              <w:gridCol w:w="2682"/>
            </w:tblGrid>
            <w:tr w14:paraId="565FFCD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cantSplit/>
                <w:trHeight w:val="454" w:hRule="atLeast"/>
                <w:jc w:val="center"/>
              </w:trPr>
              <w:tc>
                <w:tcPr>
                  <w:tcW w:w="2555" w:type="dxa"/>
                  <w:vMerge w:val="restart"/>
                  <w:tcBorders>
                    <w:tl2br w:val="nil"/>
                    <w:tr2bl w:val="nil"/>
                  </w:tcBorders>
                  <w:vAlign w:val="center"/>
                </w:tcPr>
                <w:p w14:paraId="296AB64F">
                  <w:pPr>
                    <w:adjustRightInd w:val="0"/>
                    <w:snapToGrid w:val="0"/>
                    <w:jc w:val="center"/>
                    <w:rPr>
                      <w:szCs w:val="21"/>
                    </w:rPr>
                  </w:pPr>
                  <w:r>
                    <w:rPr>
                      <w:szCs w:val="21"/>
                    </w:rPr>
                    <w:t>污染物名称</w:t>
                  </w:r>
                </w:p>
              </w:tc>
              <w:tc>
                <w:tcPr>
                  <w:tcW w:w="5404" w:type="dxa"/>
                  <w:gridSpan w:val="2"/>
                  <w:tcBorders>
                    <w:tl2br w:val="nil"/>
                    <w:tr2bl w:val="nil"/>
                  </w:tcBorders>
                  <w:vAlign w:val="center"/>
                </w:tcPr>
                <w:p w14:paraId="4484F489">
                  <w:pPr>
                    <w:adjustRightInd w:val="0"/>
                    <w:snapToGrid w:val="0"/>
                    <w:jc w:val="center"/>
                    <w:rPr>
                      <w:szCs w:val="21"/>
                    </w:rPr>
                  </w:pPr>
                  <w:r>
                    <w:rPr>
                      <w:szCs w:val="21"/>
                    </w:rPr>
                    <w:t>无组织排放监控浓度限值</w:t>
                  </w:r>
                </w:p>
              </w:tc>
            </w:tr>
            <w:tr w14:paraId="35329CE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cantSplit/>
                <w:trHeight w:val="454" w:hRule="atLeast"/>
                <w:jc w:val="center"/>
              </w:trPr>
              <w:tc>
                <w:tcPr>
                  <w:tcW w:w="2555" w:type="dxa"/>
                  <w:vMerge w:val="continue"/>
                  <w:tcBorders>
                    <w:tl2br w:val="nil"/>
                    <w:tr2bl w:val="nil"/>
                  </w:tcBorders>
                  <w:vAlign w:val="center"/>
                </w:tcPr>
                <w:p w14:paraId="44A9309A">
                  <w:pPr>
                    <w:widowControl/>
                    <w:jc w:val="left"/>
                    <w:rPr>
                      <w:b/>
                      <w:bCs/>
                      <w:szCs w:val="21"/>
                    </w:rPr>
                  </w:pPr>
                </w:p>
              </w:tc>
              <w:tc>
                <w:tcPr>
                  <w:tcW w:w="2722" w:type="dxa"/>
                  <w:tcBorders>
                    <w:tl2br w:val="nil"/>
                    <w:tr2bl w:val="nil"/>
                  </w:tcBorders>
                  <w:vAlign w:val="center"/>
                </w:tcPr>
                <w:p w14:paraId="71640730">
                  <w:pPr>
                    <w:adjustRightInd w:val="0"/>
                    <w:snapToGrid w:val="0"/>
                    <w:jc w:val="center"/>
                    <w:rPr>
                      <w:szCs w:val="21"/>
                    </w:rPr>
                  </w:pPr>
                  <w:r>
                    <w:rPr>
                      <w:szCs w:val="21"/>
                    </w:rPr>
                    <w:t>监控点</w:t>
                  </w:r>
                </w:p>
              </w:tc>
              <w:tc>
                <w:tcPr>
                  <w:tcW w:w="2682" w:type="dxa"/>
                  <w:tcBorders>
                    <w:tl2br w:val="nil"/>
                    <w:tr2bl w:val="nil"/>
                  </w:tcBorders>
                  <w:vAlign w:val="center"/>
                </w:tcPr>
                <w:p w14:paraId="597EDBC8">
                  <w:pPr>
                    <w:adjustRightInd w:val="0"/>
                    <w:snapToGrid w:val="0"/>
                    <w:jc w:val="center"/>
                    <w:rPr>
                      <w:szCs w:val="21"/>
                    </w:rPr>
                  </w:pPr>
                  <w:r>
                    <w:rPr>
                      <w:szCs w:val="21"/>
                    </w:rPr>
                    <w:t>浓度mg/m</w:t>
                  </w:r>
                  <w:r>
                    <w:rPr>
                      <w:szCs w:val="21"/>
                      <w:vertAlign w:val="superscript"/>
                    </w:rPr>
                    <w:t>3</w:t>
                  </w:r>
                </w:p>
              </w:tc>
            </w:tr>
            <w:tr w14:paraId="274727C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cantSplit/>
                <w:trHeight w:val="454" w:hRule="atLeast"/>
                <w:jc w:val="center"/>
              </w:trPr>
              <w:tc>
                <w:tcPr>
                  <w:tcW w:w="2555" w:type="dxa"/>
                  <w:tcBorders>
                    <w:tl2br w:val="nil"/>
                    <w:tr2bl w:val="nil"/>
                  </w:tcBorders>
                  <w:vAlign w:val="center"/>
                </w:tcPr>
                <w:p w14:paraId="17C06E52">
                  <w:pPr>
                    <w:pStyle w:val="100"/>
                    <w:rPr>
                      <w:szCs w:val="21"/>
                    </w:rPr>
                  </w:pPr>
                  <w:r>
                    <w:rPr>
                      <w:szCs w:val="21"/>
                    </w:rPr>
                    <w:t>颗粒物</w:t>
                  </w:r>
                </w:p>
              </w:tc>
              <w:tc>
                <w:tcPr>
                  <w:tcW w:w="2722" w:type="dxa"/>
                  <w:tcBorders>
                    <w:tl2br w:val="nil"/>
                    <w:tr2bl w:val="nil"/>
                  </w:tcBorders>
                  <w:vAlign w:val="center"/>
                </w:tcPr>
                <w:p w14:paraId="5E682477">
                  <w:pPr>
                    <w:widowControl/>
                    <w:jc w:val="center"/>
                    <w:rPr>
                      <w:szCs w:val="21"/>
                    </w:rPr>
                  </w:pPr>
                  <w:r>
                    <w:rPr>
                      <w:szCs w:val="21"/>
                    </w:rPr>
                    <w:t>周界外浓度最高点</w:t>
                  </w:r>
                </w:p>
              </w:tc>
              <w:tc>
                <w:tcPr>
                  <w:tcW w:w="2682" w:type="dxa"/>
                  <w:tcBorders>
                    <w:tl2br w:val="nil"/>
                    <w:tr2bl w:val="nil"/>
                  </w:tcBorders>
                  <w:vAlign w:val="center"/>
                </w:tcPr>
                <w:p w14:paraId="5C92B913">
                  <w:pPr>
                    <w:adjustRightInd w:val="0"/>
                    <w:snapToGrid w:val="0"/>
                    <w:jc w:val="center"/>
                    <w:rPr>
                      <w:szCs w:val="21"/>
                    </w:rPr>
                  </w:pPr>
                  <w:r>
                    <w:rPr>
                      <w:szCs w:val="21"/>
                    </w:rPr>
                    <w:t>1.0</w:t>
                  </w:r>
                </w:p>
              </w:tc>
            </w:tr>
          </w:tbl>
          <w:p w14:paraId="2C0B08FB">
            <w:pPr>
              <w:pStyle w:val="46"/>
              <w:spacing w:line="360" w:lineRule="auto"/>
              <w:rPr>
                <w:rFonts w:ascii="Times New Roman" w:hAnsi="Times New Roman" w:cs="Times New Roman"/>
                <w:b/>
                <w:bCs/>
                <w:color w:val="auto"/>
                <w:sz w:val="21"/>
                <w:szCs w:val="21"/>
              </w:rPr>
            </w:pPr>
          </w:p>
          <w:p w14:paraId="3413FE40">
            <w:pPr>
              <w:pStyle w:val="46"/>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表3-</w:t>
            </w:r>
            <w:r>
              <w:rPr>
                <w:rFonts w:hint="eastAsia" w:ascii="Times New Roman" w:hAnsi="Times New Roman" w:cs="Times New Roman"/>
                <w:b/>
                <w:bCs/>
                <w:color w:val="auto"/>
                <w:sz w:val="21"/>
                <w:szCs w:val="21"/>
                <w:lang w:val="en-US" w:eastAsia="zh-CN"/>
              </w:rPr>
              <w:t>7</w:t>
            </w:r>
            <w:r>
              <w:rPr>
                <w:rFonts w:hint="default" w:ascii="Times New Roman" w:hAnsi="Times New Roman" w:cs="Times New Roman"/>
                <w:b/>
                <w:bCs/>
                <w:color w:val="auto"/>
                <w:sz w:val="21"/>
                <w:szCs w:val="21"/>
              </w:rPr>
              <w:t>《工业炉窑大气污染物排放标准》（GB9078-1996） 单位：mg/m</w:t>
            </w:r>
            <w:r>
              <w:rPr>
                <w:rFonts w:hint="default" w:ascii="Times New Roman" w:hAnsi="Times New Roman" w:cs="Times New Roman"/>
                <w:b/>
                <w:bCs/>
                <w:color w:val="auto"/>
                <w:sz w:val="21"/>
                <w:szCs w:val="21"/>
                <w:vertAlign w:val="superscript"/>
              </w:rPr>
              <w:t>3</w:t>
            </w:r>
          </w:p>
          <w:tbl>
            <w:tblPr>
              <w:tblStyle w:val="32"/>
              <w:tblW w:w="794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55"/>
              <w:gridCol w:w="2695"/>
              <w:gridCol w:w="2695"/>
            </w:tblGrid>
            <w:tr w14:paraId="5F5B40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555" w:type="dxa"/>
                  <w:vAlign w:val="center"/>
                </w:tcPr>
                <w:p w14:paraId="5557B2A6">
                  <w:pPr>
                    <w:jc w:val="center"/>
                    <w:rPr>
                      <w:color w:val="auto"/>
                      <w:szCs w:val="21"/>
                    </w:rPr>
                  </w:pPr>
                  <w:r>
                    <w:rPr>
                      <w:color w:val="auto"/>
                      <w:szCs w:val="21"/>
                    </w:rPr>
                    <w:t>污染物</w:t>
                  </w:r>
                </w:p>
              </w:tc>
              <w:tc>
                <w:tcPr>
                  <w:tcW w:w="2695" w:type="dxa"/>
                  <w:vAlign w:val="center"/>
                </w:tcPr>
                <w:p w14:paraId="523AB029">
                  <w:pPr>
                    <w:jc w:val="center"/>
                    <w:rPr>
                      <w:color w:val="auto"/>
                      <w:szCs w:val="21"/>
                    </w:rPr>
                  </w:pPr>
                  <w:r>
                    <w:rPr>
                      <w:color w:val="auto"/>
                      <w:szCs w:val="21"/>
                    </w:rPr>
                    <w:t>浓度限值</w:t>
                  </w:r>
                </w:p>
              </w:tc>
              <w:tc>
                <w:tcPr>
                  <w:tcW w:w="2695" w:type="dxa"/>
                  <w:vAlign w:val="center"/>
                </w:tcPr>
                <w:p w14:paraId="1ABA3DE9">
                  <w:pPr>
                    <w:jc w:val="center"/>
                    <w:rPr>
                      <w:color w:val="auto"/>
                      <w:szCs w:val="21"/>
                    </w:rPr>
                  </w:pPr>
                  <w:r>
                    <w:rPr>
                      <w:color w:val="auto"/>
                      <w:szCs w:val="21"/>
                    </w:rPr>
                    <w:t>备注</w:t>
                  </w:r>
                </w:p>
              </w:tc>
            </w:tr>
            <w:tr w14:paraId="4CCC81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555" w:type="dxa"/>
                  <w:vAlign w:val="center"/>
                </w:tcPr>
                <w:p w14:paraId="376E45D1">
                  <w:pPr>
                    <w:jc w:val="center"/>
                    <w:rPr>
                      <w:color w:val="auto"/>
                      <w:szCs w:val="21"/>
                    </w:rPr>
                  </w:pPr>
                  <w:r>
                    <w:rPr>
                      <w:color w:val="auto"/>
                      <w:szCs w:val="21"/>
                    </w:rPr>
                    <w:t xml:space="preserve">烟尘 </w:t>
                  </w:r>
                </w:p>
              </w:tc>
              <w:tc>
                <w:tcPr>
                  <w:tcW w:w="2695" w:type="dxa"/>
                  <w:vAlign w:val="center"/>
                </w:tcPr>
                <w:p w14:paraId="1DE91B55">
                  <w:pPr>
                    <w:jc w:val="center"/>
                    <w:rPr>
                      <w:color w:val="auto"/>
                      <w:szCs w:val="21"/>
                    </w:rPr>
                  </w:pPr>
                  <w:r>
                    <w:rPr>
                      <w:color w:val="auto"/>
                      <w:szCs w:val="21"/>
                    </w:rPr>
                    <w:t>200</w:t>
                  </w:r>
                </w:p>
              </w:tc>
              <w:tc>
                <w:tcPr>
                  <w:tcW w:w="2695" w:type="dxa"/>
                  <w:vAlign w:val="center"/>
                </w:tcPr>
                <w:p w14:paraId="5479E8A6">
                  <w:pPr>
                    <w:jc w:val="center"/>
                    <w:rPr>
                      <w:color w:val="auto"/>
                      <w:szCs w:val="21"/>
                    </w:rPr>
                  </w:pPr>
                  <w:r>
                    <w:rPr>
                      <w:color w:val="auto"/>
                      <w:szCs w:val="21"/>
                    </w:rPr>
                    <w:t>表2标准</w:t>
                  </w:r>
                </w:p>
              </w:tc>
            </w:tr>
            <w:tr w14:paraId="646A33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555" w:type="dxa"/>
                  <w:vAlign w:val="center"/>
                </w:tcPr>
                <w:p w14:paraId="721FDCE8">
                  <w:pPr>
                    <w:jc w:val="center"/>
                    <w:rPr>
                      <w:color w:val="auto"/>
                      <w:szCs w:val="21"/>
                    </w:rPr>
                  </w:pPr>
                  <w:r>
                    <w:rPr>
                      <w:color w:val="auto"/>
                      <w:szCs w:val="21"/>
                    </w:rPr>
                    <w:t>烟气黑度</w:t>
                  </w:r>
                </w:p>
              </w:tc>
              <w:tc>
                <w:tcPr>
                  <w:tcW w:w="2695" w:type="dxa"/>
                  <w:vAlign w:val="center"/>
                </w:tcPr>
                <w:p w14:paraId="3F3A0C49">
                  <w:pPr>
                    <w:jc w:val="center"/>
                    <w:rPr>
                      <w:color w:val="auto"/>
                      <w:szCs w:val="21"/>
                    </w:rPr>
                  </w:pPr>
                  <w:r>
                    <w:rPr>
                      <w:color w:val="auto"/>
                      <w:szCs w:val="21"/>
                    </w:rPr>
                    <w:t>1（林格曼级）</w:t>
                  </w:r>
                </w:p>
              </w:tc>
              <w:tc>
                <w:tcPr>
                  <w:tcW w:w="2695" w:type="dxa"/>
                  <w:vAlign w:val="center"/>
                </w:tcPr>
                <w:p w14:paraId="1C2849C0">
                  <w:pPr>
                    <w:jc w:val="center"/>
                    <w:rPr>
                      <w:color w:val="auto"/>
                      <w:szCs w:val="21"/>
                    </w:rPr>
                  </w:pPr>
                  <w:r>
                    <w:rPr>
                      <w:color w:val="auto"/>
                      <w:szCs w:val="21"/>
                    </w:rPr>
                    <w:t>表2标准</w:t>
                  </w:r>
                </w:p>
              </w:tc>
            </w:tr>
            <w:tr w14:paraId="127AA5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555" w:type="dxa"/>
                  <w:vAlign w:val="center"/>
                </w:tcPr>
                <w:p w14:paraId="676ECD31">
                  <w:pPr>
                    <w:jc w:val="center"/>
                    <w:rPr>
                      <w:color w:val="auto"/>
                      <w:szCs w:val="21"/>
                    </w:rPr>
                  </w:pPr>
                  <w:r>
                    <w:rPr>
                      <w:color w:val="auto"/>
                      <w:szCs w:val="21"/>
                    </w:rPr>
                    <w:t>SO</w:t>
                  </w:r>
                  <w:r>
                    <w:rPr>
                      <w:color w:val="auto"/>
                      <w:szCs w:val="21"/>
                      <w:vertAlign w:val="subscript"/>
                    </w:rPr>
                    <w:t>2</w:t>
                  </w:r>
                </w:p>
              </w:tc>
              <w:tc>
                <w:tcPr>
                  <w:tcW w:w="2695" w:type="dxa"/>
                  <w:vAlign w:val="center"/>
                </w:tcPr>
                <w:p w14:paraId="347AB1A1">
                  <w:pPr>
                    <w:jc w:val="center"/>
                    <w:rPr>
                      <w:color w:val="auto"/>
                      <w:szCs w:val="21"/>
                    </w:rPr>
                  </w:pPr>
                  <w:r>
                    <w:rPr>
                      <w:color w:val="auto"/>
                      <w:szCs w:val="21"/>
                    </w:rPr>
                    <w:t>850</w:t>
                  </w:r>
                </w:p>
              </w:tc>
              <w:tc>
                <w:tcPr>
                  <w:tcW w:w="2695" w:type="dxa"/>
                  <w:vAlign w:val="center"/>
                </w:tcPr>
                <w:p w14:paraId="524C1690">
                  <w:pPr>
                    <w:jc w:val="center"/>
                    <w:rPr>
                      <w:color w:val="auto"/>
                      <w:szCs w:val="21"/>
                    </w:rPr>
                  </w:pPr>
                  <w:r>
                    <w:rPr>
                      <w:color w:val="auto"/>
                      <w:szCs w:val="21"/>
                    </w:rPr>
                    <w:t>表4标准</w:t>
                  </w:r>
                </w:p>
              </w:tc>
            </w:tr>
            <w:tr w14:paraId="709699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555" w:type="dxa"/>
                  <w:vAlign w:val="center"/>
                </w:tcPr>
                <w:p w14:paraId="315E5FF1">
                  <w:pPr>
                    <w:jc w:val="center"/>
                    <w:rPr>
                      <w:color w:val="auto"/>
                      <w:szCs w:val="21"/>
                    </w:rPr>
                  </w:pPr>
                  <w:r>
                    <w:rPr>
                      <w:color w:val="auto"/>
                      <w:kern w:val="0"/>
                      <w:szCs w:val="21"/>
                      <w:lang w:bidi="ar"/>
                    </w:rPr>
                    <w:t>NOx</w:t>
                  </w:r>
                </w:p>
              </w:tc>
              <w:tc>
                <w:tcPr>
                  <w:tcW w:w="2695" w:type="dxa"/>
                  <w:vAlign w:val="center"/>
                </w:tcPr>
                <w:p w14:paraId="784233FD">
                  <w:pPr>
                    <w:jc w:val="center"/>
                    <w:rPr>
                      <w:color w:val="auto"/>
                      <w:szCs w:val="21"/>
                    </w:rPr>
                  </w:pPr>
                  <w:r>
                    <w:rPr>
                      <w:color w:val="auto"/>
                      <w:szCs w:val="21"/>
                    </w:rPr>
                    <w:t>/</w:t>
                  </w:r>
                </w:p>
              </w:tc>
              <w:tc>
                <w:tcPr>
                  <w:tcW w:w="2695" w:type="dxa"/>
                  <w:vAlign w:val="center"/>
                </w:tcPr>
                <w:p w14:paraId="19BC6684">
                  <w:pPr>
                    <w:jc w:val="center"/>
                    <w:rPr>
                      <w:color w:val="auto"/>
                      <w:szCs w:val="21"/>
                    </w:rPr>
                  </w:pPr>
                  <w:r>
                    <w:rPr>
                      <w:color w:val="auto"/>
                      <w:szCs w:val="21"/>
                    </w:rPr>
                    <w:t>/</w:t>
                  </w:r>
                </w:p>
              </w:tc>
            </w:tr>
            <w:tr w14:paraId="1BEC2A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555" w:type="dxa"/>
                  <w:vAlign w:val="center"/>
                </w:tcPr>
                <w:p w14:paraId="5386BAB5">
                  <w:pPr>
                    <w:jc w:val="center"/>
                    <w:rPr>
                      <w:rFonts w:hint="eastAsia" w:eastAsia="宋体"/>
                      <w:color w:val="auto"/>
                      <w:kern w:val="0"/>
                      <w:szCs w:val="21"/>
                      <w:lang w:val="en-US" w:eastAsia="zh-CN" w:bidi="ar"/>
                    </w:rPr>
                  </w:pPr>
                  <w:r>
                    <w:rPr>
                      <w:rFonts w:hint="eastAsia"/>
                      <w:color w:val="auto"/>
                      <w:kern w:val="0"/>
                      <w:szCs w:val="21"/>
                      <w:lang w:val="en-US" w:eastAsia="zh-CN" w:bidi="ar"/>
                    </w:rPr>
                    <w:t>汞</w:t>
                  </w:r>
                </w:p>
              </w:tc>
              <w:tc>
                <w:tcPr>
                  <w:tcW w:w="2695" w:type="dxa"/>
                  <w:vAlign w:val="center"/>
                </w:tcPr>
                <w:p w14:paraId="6FE5C560">
                  <w:pPr>
                    <w:jc w:val="center"/>
                    <w:rPr>
                      <w:rFonts w:hint="default" w:eastAsia="宋体"/>
                      <w:color w:val="auto"/>
                      <w:szCs w:val="21"/>
                      <w:lang w:val="en-US" w:eastAsia="zh-CN"/>
                    </w:rPr>
                  </w:pPr>
                  <w:r>
                    <w:rPr>
                      <w:rFonts w:hint="eastAsia"/>
                      <w:color w:val="auto"/>
                      <w:szCs w:val="21"/>
                      <w:lang w:val="en-US" w:eastAsia="zh-CN"/>
                    </w:rPr>
                    <w:t>0.010</w:t>
                  </w:r>
                </w:p>
              </w:tc>
              <w:tc>
                <w:tcPr>
                  <w:tcW w:w="2695" w:type="dxa"/>
                  <w:vAlign w:val="center"/>
                </w:tcPr>
                <w:p w14:paraId="399AFD0F">
                  <w:pPr>
                    <w:jc w:val="center"/>
                    <w:rPr>
                      <w:color w:val="auto"/>
                      <w:szCs w:val="21"/>
                    </w:rPr>
                  </w:pPr>
                  <w:r>
                    <w:rPr>
                      <w:color w:val="auto"/>
                      <w:szCs w:val="21"/>
                    </w:rPr>
                    <w:t>表4标准</w:t>
                  </w:r>
                </w:p>
              </w:tc>
            </w:tr>
          </w:tbl>
          <w:p w14:paraId="6F5638AB">
            <w:pPr>
              <w:ind w:firstLine="422" w:firstLineChars="200"/>
              <w:rPr>
                <w:b/>
                <w:szCs w:val="21"/>
              </w:rPr>
            </w:pPr>
          </w:p>
          <w:p w14:paraId="09B20583">
            <w:pPr>
              <w:adjustRightInd w:val="0"/>
              <w:snapToGrid w:val="0"/>
              <w:jc w:val="center"/>
              <w:rPr>
                <w:b/>
                <w:szCs w:val="21"/>
              </w:rPr>
            </w:pPr>
            <w:r>
              <w:rPr>
                <w:b/>
                <w:szCs w:val="21"/>
              </w:rPr>
              <w:t>表3-</w:t>
            </w:r>
            <w:r>
              <w:rPr>
                <w:rFonts w:hint="eastAsia"/>
                <w:b/>
                <w:szCs w:val="21"/>
                <w:lang w:val="en-US" w:eastAsia="zh-CN"/>
              </w:rPr>
              <w:t>8</w:t>
            </w:r>
            <w:r>
              <w:rPr>
                <w:b/>
                <w:szCs w:val="21"/>
              </w:rPr>
              <w:t>《工业窑炉大气污染物排放标准》（GB9078-1996）表3</w:t>
            </w:r>
          </w:p>
          <w:tbl>
            <w:tblPr>
              <w:tblStyle w:val="32"/>
              <w:tblW w:w="7959"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0" w:type="dxa"/>
                <w:bottom w:w="0" w:type="dxa"/>
                <w:right w:w="0" w:type="dxa"/>
              </w:tblCellMar>
            </w:tblPr>
            <w:tblGrid>
              <w:gridCol w:w="2555"/>
              <w:gridCol w:w="2962"/>
              <w:gridCol w:w="2442"/>
            </w:tblGrid>
            <w:tr w14:paraId="34AD874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PrEx>
              <w:trPr>
                <w:cantSplit/>
                <w:trHeight w:val="369" w:hRule="atLeast"/>
                <w:jc w:val="center"/>
              </w:trPr>
              <w:tc>
                <w:tcPr>
                  <w:tcW w:w="2555" w:type="dxa"/>
                  <w:tcBorders>
                    <w:tl2br w:val="nil"/>
                    <w:tr2bl w:val="nil"/>
                  </w:tcBorders>
                  <w:vAlign w:val="center"/>
                </w:tcPr>
                <w:p w14:paraId="3B111ACE">
                  <w:pPr>
                    <w:pStyle w:val="114"/>
                    <w:snapToGrid w:val="0"/>
                    <w:spacing w:line="240" w:lineRule="auto"/>
                    <w:ind w:firstLine="0" w:firstLineChars="0"/>
                    <w:jc w:val="center"/>
                    <w:rPr>
                      <w:rFonts w:ascii="Times New Roman" w:hAnsi="Times New Roman"/>
                      <w:kern w:val="2"/>
                      <w:sz w:val="21"/>
                      <w:szCs w:val="21"/>
                    </w:rPr>
                  </w:pPr>
                  <w:r>
                    <w:rPr>
                      <w:rFonts w:ascii="Times New Roman" w:hAnsi="Times New Roman"/>
                      <w:kern w:val="2"/>
                      <w:sz w:val="21"/>
                      <w:szCs w:val="21"/>
                    </w:rPr>
                    <w:t>设置方式</w:t>
                  </w:r>
                </w:p>
              </w:tc>
              <w:tc>
                <w:tcPr>
                  <w:tcW w:w="2962" w:type="dxa"/>
                  <w:tcBorders>
                    <w:tl2br w:val="nil"/>
                    <w:tr2bl w:val="nil"/>
                  </w:tcBorders>
                  <w:vAlign w:val="center"/>
                </w:tcPr>
                <w:p w14:paraId="0B3F6A58">
                  <w:pPr>
                    <w:pStyle w:val="114"/>
                    <w:snapToGrid w:val="0"/>
                    <w:spacing w:line="240" w:lineRule="auto"/>
                    <w:ind w:firstLine="315"/>
                    <w:jc w:val="center"/>
                    <w:rPr>
                      <w:rFonts w:ascii="Times New Roman" w:hAnsi="Times New Roman"/>
                      <w:kern w:val="2"/>
                      <w:sz w:val="21"/>
                      <w:szCs w:val="21"/>
                    </w:rPr>
                  </w:pPr>
                  <w:r>
                    <w:rPr>
                      <w:rFonts w:ascii="Times New Roman" w:hAnsi="Times New Roman"/>
                      <w:kern w:val="2"/>
                      <w:sz w:val="21"/>
                      <w:szCs w:val="21"/>
                    </w:rPr>
                    <w:t>炉窑类别</w:t>
                  </w:r>
                </w:p>
              </w:tc>
              <w:tc>
                <w:tcPr>
                  <w:tcW w:w="2442" w:type="dxa"/>
                  <w:tcBorders>
                    <w:tl2br w:val="nil"/>
                    <w:tr2bl w:val="nil"/>
                  </w:tcBorders>
                  <w:vAlign w:val="center"/>
                </w:tcPr>
                <w:p w14:paraId="380BDC62">
                  <w:pPr>
                    <w:pStyle w:val="114"/>
                    <w:snapToGrid w:val="0"/>
                    <w:spacing w:line="240" w:lineRule="auto"/>
                    <w:ind w:firstLine="315"/>
                    <w:jc w:val="center"/>
                    <w:rPr>
                      <w:rFonts w:ascii="Times New Roman" w:hAnsi="Times New Roman"/>
                      <w:kern w:val="2"/>
                      <w:sz w:val="21"/>
                      <w:szCs w:val="21"/>
                    </w:rPr>
                  </w:pPr>
                  <w:r>
                    <w:rPr>
                      <w:rFonts w:ascii="Times New Roman" w:hAnsi="Times New Roman"/>
                      <w:kern w:val="2"/>
                      <w:sz w:val="21"/>
                      <w:szCs w:val="21"/>
                    </w:rPr>
                    <w:t>无组织排放烟（粉）尘最高允许浓度（mg/m</w:t>
                  </w:r>
                  <w:r>
                    <w:rPr>
                      <w:rFonts w:ascii="Times New Roman" w:hAnsi="Times New Roman"/>
                      <w:kern w:val="2"/>
                      <w:sz w:val="21"/>
                      <w:szCs w:val="21"/>
                      <w:vertAlign w:val="superscript"/>
                    </w:rPr>
                    <w:t>3</w:t>
                  </w:r>
                  <w:r>
                    <w:rPr>
                      <w:rFonts w:ascii="Times New Roman" w:hAnsi="Times New Roman"/>
                      <w:kern w:val="2"/>
                      <w:sz w:val="21"/>
                      <w:szCs w:val="21"/>
                    </w:rPr>
                    <w:t>）</w:t>
                  </w:r>
                </w:p>
              </w:tc>
            </w:tr>
            <w:tr w14:paraId="1890756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cantSplit/>
                <w:trHeight w:val="369" w:hRule="atLeast"/>
                <w:jc w:val="center"/>
              </w:trPr>
              <w:tc>
                <w:tcPr>
                  <w:tcW w:w="2555" w:type="dxa"/>
                  <w:tcBorders>
                    <w:tl2br w:val="nil"/>
                    <w:tr2bl w:val="nil"/>
                  </w:tcBorders>
                  <w:vAlign w:val="center"/>
                </w:tcPr>
                <w:p w14:paraId="6E8C7EBD">
                  <w:pPr>
                    <w:pStyle w:val="114"/>
                    <w:snapToGrid w:val="0"/>
                    <w:spacing w:line="240" w:lineRule="auto"/>
                    <w:ind w:firstLine="0" w:firstLineChars="0"/>
                    <w:jc w:val="center"/>
                    <w:rPr>
                      <w:rFonts w:ascii="Times New Roman" w:hAnsi="Times New Roman"/>
                      <w:kern w:val="2"/>
                      <w:sz w:val="21"/>
                      <w:szCs w:val="21"/>
                    </w:rPr>
                  </w:pPr>
                  <w:r>
                    <w:rPr>
                      <w:rFonts w:hint="eastAsia" w:ascii="Times New Roman" w:hAnsi="Times New Roman"/>
                      <w:kern w:val="2"/>
                      <w:sz w:val="21"/>
                      <w:szCs w:val="21"/>
                    </w:rPr>
                    <w:t>有</w:t>
                  </w:r>
                  <w:r>
                    <w:rPr>
                      <w:rFonts w:ascii="Times New Roman" w:hAnsi="Times New Roman"/>
                      <w:kern w:val="2"/>
                      <w:sz w:val="21"/>
                      <w:szCs w:val="21"/>
                    </w:rPr>
                    <w:t>车间厂房</w:t>
                  </w:r>
                </w:p>
              </w:tc>
              <w:tc>
                <w:tcPr>
                  <w:tcW w:w="2962" w:type="dxa"/>
                  <w:tcBorders>
                    <w:tl2br w:val="nil"/>
                    <w:tr2bl w:val="nil"/>
                  </w:tcBorders>
                  <w:vAlign w:val="center"/>
                </w:tcPr>
                <w:p w14:paraId="700140C6">
                  <w:pPr>
                    <w:pStyle w:val="114"/>
                    <w:snapToGrid w:val="0"/>
                    <w:spacing w:line="240" w:lineRule="auto"/>
                    <w:ind w:firstLine="315"/>
                    <w:jc w:val="center"/>
                    <w:rPr>
                      <w:rFonts w:ascii="Times New Roman" w:hAnsi="Times New Roman"/>
                      <w:kern w:val="2"/>
                      <w:sz w:val="21"/>
                      <w:szCs w:val="21"/>
                    </w:rPr>
                  </w:pPr>
                  <w:r>
                    <w:rPr>
                      <w:rFonts w:ascii="Times New Roman" w:hAnsi="Times New Roman"/>
                      <w:kern w:val="2"/>
                      <w:sz w:val="21"/>
                      <w:szCs w:val="21"/>
                    </w:rPr>
                    <w:t>其他炉窑</w:t>
                  </w:r>
                </w:p>
              </w:tc>
              <w:tc>
                <w:tcPr>
                  <w:tcW w:w="2442" w:type="dxa"/>
                  <w:tcBorders>
                    <w:tl2br w:val="nil"/>
                    <w:tr2bl w:val="nil"/>
                  </w:tcBorders>
                  <w:vAlign w:val="center"/>
                </w:tcPr>
                <w:p w14:paraId="2503C9AD">
                  <w:pPr>
                    <w:pStyle w:val="114"/>
                    <w:snapToGrid w:val="0"/>
                    <w:spacing w:line="240" w:lineRule="auto"/>
                    <w:ind w:firstLine="315"/>
                    <w:jc w:val="center"/>
                    <w:rPr>
                      <w:rFonts w:ascii="Times New Roman" w:hAnsi="Times New Roman"/>
                      <w:kern w:val="2"/>
                      <w:sz w:val="21"/>
                      <w:szCs w:val="21"/>
                    </w:rPr>
                  </w:pPr>
                  <w:r>
                    <w:rPr>
                      <w:rFonts w:ascii="Times New Roman" w:hAnsi="Times New Roman"/>
                      <w:kern w:val="2"/>
                      <w:sz w:val="21"/>
                      <w:szCs w:val="21"/>
                    </w:rPr>
                    <w:t>5</w:t>
                  </w:r>
                </w:p>
              </w:tc>
            </w:tr>
          </w:tbl>
          <w:p w14:paraId="1B3C24C9">
            <w:pPr>
              <w:adjustRightInd w:val="0"/>
              <w:snapToGrid w:val="0"/>
              <w:spacing w:line="500" w:lineRule="exact"/>
              <w:ind w:firstLine="482" w:firstLineChars="200"/>
              <w:textAlignment w:val="center"/>
              <w:rPr>
                <w:b/>
                <w:bCs/>
                <w:sz w:val="24"/>
              </w:rPr>
            </w:pPr>
            <w:r>
              <w:rPr>
                <w:b/>
                <w:bCs/>
                <w:sz w:val="24"/>
              </w:rPr>
              <w:t>2、噪声</w:t>
            </w:r>
          </w:p>
          <w:p w14:paraId="55834247">
            <w:pPr>
              <w:adjustRightInd w:val="0"/>
              <w:snapToGrid w:val="0"/>
              <w:spacing w:line="360" w:lineRule="auto"/>
              <w:rPr>
                <w:sz w:val="24"/>
              </w:rPr>
            </w:pPr>
            <w:bookmarkStart w:id="11" w:name="OLE_LINK65"/>
            <w:r>
              <w:rPr>
                <w:sz w:val="24"/>
              </w:rPr>
              <w:t>　　本项目施工期场界噪声执行《建筑施工场界环境噪声排放标准》（GB12523-2011），等效声级LeqdB（A），昼间70dB（A），夜间55dB（A）。　</w:t>
            </w:r>
          </w:p>
          <w:p w14:paraId="0240B02B">
            <w:pPr>
              <w:adjustRightInd w:val="0"/>
              <w:snapToGrid w:val="0"/>
              <w:spacing w:line="360" w:lineRule="auto"/>
              <w:rPr>
                <w:sz w:val="24"/>
              </w:rPr>
            </w:pPr>
            <w:r>
              <w:rPr>
                <w:sz w:val="24"/>
              </w:rPr>
              <w:t>　　</w:t>
            </w:r>
            <w:bookmarkEnd w:id="11"/>
            <w:r>
              <w:rPr>
                <w:sz w:val="24"/>
              </w:rPr>
              <w:t>运营期厂界噪声执行《工业企业厂界环境噪声排放标准》（GB12348-2008）2类标准，标准值见下表。</w:t>
            </w:r>
          </w:p>
          <w:p w14:paraId="74966FE3">
            <w:pPr>
              <w:adjustRightInd w:val="0"/>
              <w:snapToGrid w:val="0"/>
              <w:jc w:val="center"/>
              <w:rPr>
                <w:b/>
                <w:bCs/>
                <w:szCs w:val="21"/>
              </w:rPr>
            </w:pPr>
            <w:bookmarkStart w:id="12" w:name="_Ref340733959"/>
            <w:bookmarkStart w:id="13" w:name="_Toc111800828"/>
            <w:r>
              <w:rPr>
                <w:b/>
                <w:bCs/>
                <w:szCs w:val="21"/>
              </w:rPr>
              <w:t>表</w:t>
            </w:r>
            <w:bookmarkEnd w:id="12"/>
            <w:r>
              <w:rPr>
                <w:b/>
                <w:bCs/>
                <w:szCs w:val="21"/>
              </w:rPr>
              <w:t>3-</w:t>
            </w:r>
            <w:r>
              <w:rPr>
                <w:rFonts w:hint="eastAsia"/>
                <w:b/>
                <w:bCs/>
                <w:szCs w:val="21"/>
                <w:lang w:val="en-US" w:eastAsia="zh-CN"/>
              </w:rPr>
              <w:t>9</w:t>
            </w:r>
            <w:r>
              <w:rPr>
                <w:b/>
                <w:bCs/>
                <w:szCs w:val="21"/>
              </w:rPr>
              <w:t>《工业企业厂界环境噪声排放标准》（GB12348-2008）</w:t>
            </w:r>
            <w:bookmarkEnd w:id="13"/>
          </w:p>
          <w:tbl>
            <w:tblPr>
              <w:tblStyle w:val="32"/>
              <w:tblW w:w="7919"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992"/>
              <w:gridCol w:w="1921"/>
              <w:gridCol w:w="3006"/>
            </w:tblGrid>
            <w:tr w14:paraId="3D93261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69" w:hRule="atLeast"/>
                <w:tblHeader/>
                <w:jc w:val="center"/>
              </w:trPr>
              <w:tc>
                <w:tcPr>
                  <w:tcW w:w="2992" w:type="dxa"/>
                  <w:vAlign w:val="center"/>
                </w:tcPr>
                <w:p w14:paraId="5C134EB0">
                  <w:pPr>
                    <w:jc w:val="center"/>
                    <w:rPr>
                      <w:szCs w:val="21"/>
                    </w:rPr>
                  </w:pPr>
                  <w:r>
                    <w:rPr>
                      <w:szCs w:val="21"/>
                    </w:rPr>
                    <w:t>项目</w:t>
                  </w:r>
                </w:p>
              </w:tc>
              <w:tc>
                <w:tcPr>
                  <w:tcW w:w="1921" w:type="dxa"/>
                  <w:vAlign w:val="center"/>
                </w:tcPr>
                <w:p w14:paraId="7D19CDE3">
                  <w:pPr>
                    <w:jc w:val="center"/>
                    <w:rPr>
                      <w:szCs w:val="21"/>
                    </w:rPr>
                  </w:pPr>
                  <w:r>
                    <w:rPr>
                      <w:szCs w:val="21"/>
                    </w:rPr>
                    <w:t>昼间</w:t>
                  </w:r>
                </w:p>
              </w:tc>
              <w:tc>
                <w:tcPr>
                  <w:tcW w:w="3006" w:type="dxa"/>
                  <w:vAlign w:val="center"/>
                </w:tcPr>
                <w:p w14:paraId="3C4B6026">
                  <w:pPr>
                    <w:jc w:val="center"/>
                    <w:rPr>
                      <w:szCs w:val="21"/>
                    </w:rPr>
                  </w:pPr>
                  <w:r>
                    <w:rPr>
                      <w:szCs w:val="21"/>
                    </w:rPr>
                    <w:t>夜间</w:t>
                  </w:r>
                </w:p>
              </w:tc>
            </w:tr>
            <w:tr w14:paraId="6EE4E6D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69" w:hRule="atLeast"/>
                <w:jc w:val="center"/>
              </w:trPr>
              <w:tc>
                <w:tcPr>
                  <w:tcW w:w="2992" w:type="dxa"/>
                  <w:vAlign w:val="center"/>
                </w:tcPr>
                <w:p w14:paraId="166A8458">
                  <w:pPr>
                    <w:jc w:val="center"/>
                    <w:rPr>
                      <w:szCs w:val="21"/>
                    </w:rPr>
                  </w:pPr>
                  <w:r>
                    <w:rPr>
                      <w:szCs w:val="21"/>
                    </w:rPr>
                    <w:t>2类标准</w:t>
                  </w:r>
                </w:p>
              </w:tc>
              <w:tc>
                <w:tcPr>
                  <w:tcW w:w="1921" w:type="dxa"/>
                  <w:vAlign w:val="center"/>
                </w:tcPr>
                <w:p w14:paraId="4928DCBD">
                  <w:pPr>
                    <w:jc w:val="center"/>
                    <w:rPr>
                      <w:szCs w:val="21"/>
                    </w:rPr>
                  </w:pPr>
                  <w:r>
                    <w:rPr>
                      <w:szCs w:val="21"/>
                    </w:rPr>
                    <w:t>60</w:t>
                  </w:r>
                </w:p>
              </w:tc>
              <w:tc>
                <w:tcPr>
                  <w:tcW w:w="3006" w:type="dxa"/>
                  <w:vAlign w:val="center"/>
                </w:tcPr>
                <w:p w14:paraId="0657A605">
                  <w:pPr>
                    <w:jc w:val="center"/>
                    <w:rPr>
                      <w:szCs w:val="21"/>
                    </w:rPr>
                  </w:pPr>
                  <w:r>
                    <w:rPr>
                      <w:szCs w:val="21"/>
                    </w:rPr>
                    <w:t>50</w:t>
                  </w:r>
                </w:p>
              </w:tc>
            </w:tr>
          </w:tbl>
          <w:p w14:paraId="00FC67B2">
            <w:pPr>
              <w:adjustRightInd w:val="0"/>
              <w:snapToGrid w:val="0"/>
              <w:spacing w:line="360" w:lineRule="auto"/>
              <w:ind w:firstLine="482" w:firstLineChars="200"/>
              <w:rPr>
                <w:b/>
                <w:bCs/>
                <w:sz w:val="24"/>
              </w:rPr>
            </w:pPr>
            <w:r>
              <w:rPr>
                <w:b/>
                <w:bCs/>
                <w:sz w:val="24"/>
              </w:rPr>
              <w:t>3、固体废物</w:t>
            </w:r>
          </w:p>
          <w:p w14:paraId="2D43100C">
            <w:pPr>
              <w:adjustRightInd w:val="0"/>
              <w:snapToGrid w:val="0"/>
              <w:spacing w:line="360" w:lineRule="auto"/>
              <w:ind w:firstLine="480" w:firstLineChars="200"/>
              <w:rPr>
                <w:rFonts w:hint="eastAsia"/>
                <w:sz w:val="24"/>
                <w:lang w:eastAsia="zh-CN"/>
              </w:rPr>
            </w:pPr>
            <w:r>
              <w:rPr>
                <w:rFonts w:hint="eastAsia" w:ascii="Times New Roman" w:hAnsi="Times New Roman" w:eastAsia="宋体" w:cs="Times New Roman"/>
                <w:color w:val="C00000"/>
                <w:sz w:val="24"/>
                <w:lang w:val="en-US" w:eastAsia="zh-CN"/>
              </w:rPr>
              <w:t>一般工业固体排放执行《一般工业固体废物贮存和填埋污染物控制标准》（</w:t>
            </w:r>
            <w:r>
              <w:rPr>
                <w:rFonts w:hint="default" w:ascii="Times New Roman" w:hAnsi="Times New Roman" w:eastAsia="宋体" w:cs="Times New Roman"/>
                <w:color w:val="C00000"/>
                <w:sz w:val="24"/>
                <w:lang w:val="en-US" w:eastAsia="zh-CN"/>
              </w:rPr>
              <w:t>GB18599-2020</w:t>
            </w:r>
            <w:r>
              <w:rPr>
                <w:rFonts w:hint="eastAsia" w:ascii="Times New Roman" w:hAnsi="Times New Roman" w:eastAsia="宋体" w:cs="Times New Roman"/>
                <w:color w:val="C00000"/>
                <w:sz w:val="24"/>
                <w:lang w:val="en-US" w:eastAsia="zh-CN"/>
              </w:rPr>
              <w:t>），危险废物执行《危险废物贮存污染控制标准》（</w:t>
            </w:r>
            <w:r>
              <w:rPr>
                <w:rFonts w:hint="default" w:ascii="Times New Roman" w:hAnsi="Times New Roman" w:eastAsia="宋体" w:cs="Times New Roman"/>
                <w:color w:val="C00000"/>
                <w:sz w:val="24"/>
                <w:lang w:val="en-US" w:eastAsia="zh-CN"/>
              </w:rPr>
              <w:t>GB18597-2001</w:t>
            </w:r>
            <w:r>
              <w:rPr>
                <w:rFonts w:hint="eastAsia" w:ascii="Times New Roman" w:hAnsi="Times New Roman" w:eastAsia="宋体" w:cs="Times New Roman"/>
                <w:color w:val="C00000"/>
                <w:sz w:val="24"/>
                <w:lang w:val="en-US" w:eastAsia="zh-CN"/>
              </w:rPr>
              <w:t>）及其修改单。</w:t>
            </w:r>
          </w:p>
        </w:tc>
      </w:tr>
      <w:tr w14:paraId="00E1C1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20" w:hRule="atLeast"/>
          <w:jc w:val="center"/>
        </w:trPr>
        <w:tc>
          <w:tcPr>
            <w:tcW w:w="800" w:type="dxa"/>
            <w:shd w:val="clear" w:color="auto" w:fill="auto"/>
            <w:tcMar>
              <w:left w:w="28" w:type="dxa"/>
              <w:right w:w="28" w:type="dxa"/>
            </w:tcMar>
            <w:vAlign w:val="center"/>
          </w:tcPr>
          <w:p w14:paraId="573AEB74">
            <w:pPr>
              <w:adjustRightInd w:val="0"/>
              <w:snapToGrid w:val="0"/>
              <w:jc w:val="center"/>
              <w:rPr>
                <w:kern w:val="0"/>
                <w:szCs w:val="21"/>
              </w:rPr>
            </w:pPr>
            <w:r>
              <w:rPr>
                <w:kern w:val="0"/>
                <w:szCs w:val="21"/>
              </w:rPr>
              <w:t>总量</w:t>
            </w:r>
          </w:p>
          <w:p w14:paraId="71DCF59A">
            <w:pPr>
              <w:adjustRightInd w:val="0"/>
              <w:snapToGrid w:val="0"/>
              <w:jc w:val="center"/>
              <w:rPr>
                <w:kern w:val="0"/>
                <w:szCs w:val="21"/>
              </w:rPr>
            </w:pPr>
            <w:r>
              <w:rPr>
                <w:kern w:val="0"/>
                <w:szCs w:val="21"/>
              </w:rPr>
              <w:t>控制</w:t>
            </w:r>
          </w:p>
          <w:p w14:paraId="03CD3EF9">
            <w:pPr>
              <w:adjustRightInd w:val="0"/>
              <w:snapToGrid w:val="0"/>
              <w:jc w:val="center"/>
              <w:rPr>
                <w:kern w:val="0"/>
                <w:szCs w:val="21"/>
                <w:highlight w:val="yellow"/>
              </w:rPr>
            </w:pPr>
            <w:r>
              <w:rPr>
                <w:kern w:val="0"/>
                <w:szCs w:val="21"/>
              </w:rPr>
              <w:t>指标</w:t>
            </w:r>
          </w:p>
        </w:tc>
        <w:tc>
          <w:tcPr>
            <w:tcW w:w="8190" w:type="dxa"/>
            <w:shd w:val="clear" w:color="auto" w:fill="auto"/>
          </w:tcPr>
          <w:p w14:paraId="3383ECE4">
            <w:pPr>
              <w:spacing w:line="360" w:lineRule="auto"/>
              <w:ind w:firstLine="480" w:firstLineChars="200"/>
              <w:rPr>
                <w:sz w:val="24"/>
              </w:rPr>
            </w:pPr>
            <w:r>
              <w:rPr>
                <w:sz w:val="24"/>
              </w:rPr>
              <w:t>本项目污染物排放总量如下表所示。</w:t>
            </w:r>
          </w:p>
          <w:p w14:paraId="37E858C1">
            <w:pPr>
              <w:adjustRightInd w:val="0"/>
              <w:snapToGrid w:val="0"/>
              <w:jc w:val="center"/>
            </w:pPr>
            <w:r>
              <w:rPr>
                <w:b/>
                <w:bCs/>
                <w:kern w:val="0"/>
                <w:szCs w:val="21"/>
              </w:rPr>
              <w:t>表3-</w:t>
            </w:r>
            <w:r>
              <w:rPr>
                <w:rFonts w:hint="eastAsia"/>
                <w:b/>
                <w:bCs/>
                <w:kern w:val="0"/>
                <w:szCs w:val="21"/>
                <w:lang w:val="en-US" w:eastAsia="zh-CN"/>
              </w:rPr>
              <w:t xml:space="preserve">10 </w:t>
            </w:r>
            <w:r>
              <w:rPr>
                <w:b/>
                <w:bCs/>
                <w:kern w:val="0"/>
                <w:szCs w:val="21"/>
              </w:rPr>
              <w:t xml:space="preserve">污染物预测排放量及“三本帐”一览表 单位：t/a </w:t>
            </w:r>
          </w:p>
          <w:tbl>
            <w:tblPr>
              <w:tblStyle w:val="32"/>
              <w:tblW w:w="796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79"/>
              <w:gridCol w:w="1417"/>
              <w:gridCol w:w="1417"/>
              <w:gridCol w:w="1417"/>
              <w:gridCol w:w="1417"/>
              <w:gridCol w:w="1421"/>
            </w:tblGrid>
            <w:tr w14:paraId="5D8A08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4" w:hRule="atLeast"/>
              </w:trPr>
              <w:tc>
                <w:tcPr>
                  <w:tcW w:w="879" w:type="dxa"/>
                  <w:vAlign w:val="center"/>
                </w:tcPr>
                <w:p w14:paraId="019C6820">
                  <w:pPr>
                    <w:pStyle w:val="58"/>
                    <w:spacing w:beforeLines="0" w:afterLines="0" w:line="240" w:lineRule="auto"/>
                    <w:rPr>
                      <w:rFonts w:ascii="Times New Roman"/>
                      <w:snapToGrid w:val="0"/>
                      <w:color w:val="C00000"/>
                      <w:kern w:val="21"/>
                      <w:szCs w:val="21"/>
                    </w:rPr>
                  </w:pPr>
                  <w:r>
                    <w:rPr>
                      <w:rFonts w:ascii="Times New Roman"/>
                      <w:snapToGrid w:val="0"/>
                      <w:color w:val="C00000"/>
                      <w:kern w:val="21"/>
                      <w:szCs w:val="21"/>
                    </w:rPr>
                    <w:t>名称</w:t>
                  </w:r>
                </w:p>
              </w:tc>
              <w:tc>
                <w:tcPr>
                  <w:tcW w:w="1417" w:type="dxa"/>
                  <w:vAlign w:val="center"/>
                </w:tcPr>
                <w:p w14:paraId="324DD8F5">
                  <w:pPr>
                    <w:pStyle w:val="58"/>
                    <w:spacing w:beforeLines="0" w:afterLines="0" w:line="240" w:lineRule="auto"/>
                    <w:rPr>
                      <w:rFonts w:ascii="Times New Roman"/>
                      <w:snapToGrid w:val="0"/>
                      <w:color w:val="C00000"/>
                      <w:kern w:val="21"/>
                      <w:szCs w:val="21"/>
                    </w:rPr>
                  </w:pPr>
                  <w:r>
                    <w:rPr>
                      <w:rFonts w:ascii="Times New Roman"/>
                      <w:snapToGrid w:val="0"/>
                      <w:color w:val="C00000"/>
                      <w:kern w:val="21"/>
                      <w:szCs w:val="21"/>
                    </w:rPr>
                    <w:t>现有工程实际排放量</w:t>
                  </w:r>
                </w:p>
              </w:tc>
              <w:tc>
                <w:tcPr>
                  <w:tcW w:w="1417" w:type="dxa"/>
                  <w:vAlign w:val="center"/>
                </w:tcPr>
                <w:p w14:paraId="591D6F3B">
                  <w:pPr>
                    <w:pStyle w:val="58"/>
                    <w:spacing w:beforeLines="0" w:afterLines="0" w:line="240" w:lineRule="auto"/>
                    <w:rPr>
                      <w:rFonts w:ascii="Times New Roman"/>
                      <w:snapToGrid w:val="0"/>
                      <w:color w:val="C00000"/>
                      <w:kern w:val="21"/>
                      <w:szCs w:val="21"/>
                    </w:rPr>
                  </w:pPr>
                  <w:r>
                    <w:rPr>
                      <w:rFonts w:ascii="Times New Roman"/>
                      <w:snapToGrid w:val="0"/>
                      <w:color w:val="C00000"/>
                      <w:kern w:val="21"/>
                      <w:szCs w:val="21"/>
                    </w:rPr>
                    <w:t>本工程预测排放量</w:t>
                  </w:r>
                </w:p>
              </w:tc>
              <w:tc>
                <w:tcPr>
                  <w:tcW w:w="1417" w:type="dxa"/>
                  <w:vAlign w:val="center"/>
                </w:tcPr>
                <w:p w14:paraId="598D46EF">
                  <w:pPr>
                    <w:pStyle w:val="58"/>
                    <w:spacing w:beforeLines="0" w:afterLines="0" w:line="240" w:lineRule="auto"/>
                    <w:rPr>
                      <w:rFonts w:ascii="Times New Roman"/>
                      <w:snapToGrid w:val="0"/>
                      <w:color w:val="C00000"/>
                      <w:kern w:val="21"/>
                      <w:szCs w:val="21"/>
                    </w:rPr>
                  </w:pPr>
                  <w:r>
                    <w:rPr>
                      <w:rFonts w:ascii="Times New Roman"/>
                      <w:snapToGrid w:val="0"/>
                      <w:color w:val="C00000"/>
                      <w:kern w:val="21"/>
                      <w:szCs w:val="21"/>
                    </w:rPr>
                    <w:t>以新带老削减量</w:t>
                  </w:r>
                </w:p>
              </w:tc>
              <w:tc>
                <w:tcPr>
                  <w:tcW w:w="1417" w:type="dxa"/>
                  <w:vAlign w:val="center"/>
                </w:tcPr>
                <w:p w14:paraId="50158876">
                  <w:pPr>
                    <w:pStyle w:val="58"/>
                    <w:spacing w:beforeLines="0" w:afterLines="0" w:line="240" w:lineRule="auto"/>
                    <w:rPr>
                      <w:rFonts w:ascii="Times New Roman"/>
                      <w:snapToGrid w:val="0"/>
                      <w:color w:val="C00000"/>
                      <w:kern w:val="21"/>
                      <w:szCs w:val="21"/>
                    </w:rPr>
                  </w:pPr>
                  <w:r>
                    <w:rPr>
                      <w:rFonts w:ascii="Times New Roman"/>
                      <w:snapToGrid w:val="0"/>
                      <w:color w:val="C00000"/>
                      <w:kern w:val="21"/>
                      <w:szCs w:val="21"/>
                    </w:rPr>
                    <w:t>总体工程预测排放总量</w:t>
                  </w:r>
                </w:p>
              </w:tc>
              <w:tc>
                <w:tcPr>
                  <w:tcW w:w="1421" w:type="dxa"/>
                  <w:vAlign w:val="center"/>
                </w:tcPr>
                <w:p w14:paraId="15BE806D">
                  <w:pPr>
                    <w:jc w:val="center"/>
                    <w:rPr>
                      <w:snapToGrid w:val="0"/>
                      <w:color w:val="C00000"/>
                      <w:kern w:val="21"/>
                      <w:szCs w:val="21"/>
                    </w:rPr>
                  </w:pPr>
                  <w:r>
                    <w:rPr>
                      <w:color w:val="C00000"/>
                      <w:szCs w:val="21"/>
                    </w:rPr>
                    <w:t>总体工程排放增减量</w:t>
                  </w:r>
                </w:p>
              </w:tc>
            </w:tr>
            <w:tr w14:paraId="5E8ACF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7" w:hRule="atLeast"/>
              </w:trPr>
              <w:tc>
                <w:tcPr>
                  <w:tcW w:w="879" w:type="dxa"/>
                  <w:vAlign w:val="center"/>
                </w:tcPr>
                <w:p w14:paraId="741D7C29">
                  <w:pPr>
                    <w:pStyle w:val="58"/>
                    <w:spacing w:beforeLines="0" w:afterLines="0" w:line="240" w:lineRule="auto"/>
                    <w:rPr>
                      <w:rFonts w:ascii="Times New Roman"/>
                      <w:snapToGrid w:val="0"/>
                      <w:color w:val="C00000"/>
                      <w:kern w:val="21"/>
                      <w:szCs w:val="21"/>
                    </w:rPr>
                  </w:pPr>
                  <w:r>
                    <w:rPr>
                      <w:rFonts w:ascii="Times New Roman"/>
                      <w:snapToGrid w:val="0"/>
                      <w:color w:val="C00000"/>
                      <w:kern w:val="21"/>
                      <w:szCs w:val="21"/>
                    </w:rPr>
                    <w:t>颗粒物</w:t>
                  </w:r>
                </w:p>
              </w:tc>
              <w:tc>
                <w:tcPr>
                  <w:tcW w:w="1417" w:type="dxa"/>
                  <w:shd w:val="clear" w:color="auto" w:fill="auto"/>
                  <w:vAlign w:val="center"/>
                </w:tcPr>
                <w:p w14:paraId="7BFDA021">
                  <w:pPr>
                    <w:keepNext w:val="0"/>
                    <w:keepLines w:val="0"/>
                    <w:widowControl/>
                    <w:suppressLineNumbers w:val="0"/>
                    <w:jc w:val="center"/>
                    <w:textAlignment w:val="center"/>
                    <w:rPr>
                      <w:rFonts w:hint="default" w:ascii="Times New Roman" w:hAnsi="Times New Roman" w:eastAsia="宋体" w:cs="Times New Roman"/>
                      <w:color w:val="C00000"/>
                      <w:kern w:val="2"/>
                      <w:sz w:val="21"/>
                      <w:szCs w:val="21"/>
                      <w:highlight w:val="none"/>
                      <w:lang w:val="en-US" w:eastAsia="zh-CN" w:bidi="ar-SA"/>
                    </w:rPr>
                  </w:pPr>
                  <w:r>
                    <w:rPr>
                      <w:rFonts w:hint="default" w:ascii="Times New Roman" w:hAnsi="Times New Roman" w:eastAsia="宋体" w:cs="Times New Roman"/>
                      <w:i w:val="0"/>
                      <w:iCs w:val="0"/>
                      <w:color w:val="C00000"/>
                      <w:kern w:val="0"/>
                      <w:sz w:val="21"/>
                      <w:szCs w:val="21"/>
                      <w:u w:val="none"/>
                      <w:lang w:val="en-US" w:eastAsia="zh-CN" w:bidi="ar"/>
                    </w:rPr>
                    <w:t>0.908</w:t>
                  </w:r>
                </w:p>
              </w:tc>
              <w:tc>
                <w:tcPr>
                  <w:tcW w:w="1417" w:type="dxa"/>
                  <w:vAlign w:val="center"/>
                </w:tcPr>
                <w:p w14:paraId="774B21DA">
                  <w:pPr>
                    <w:widowControl/>
                    <w:jc w:val="center"/>
                    <w:textAlignment w:val="center"/>
                    <w:rPr>
                      <w:rFonts w:hint="default" w:eastAsia="宋体"/>
                      <w:snapToGrid w:val="0"/>
                      <w:color w:val="C00000"/>
                      <w:kern w:val="21"/>
                      <w:szCs w:val="21"/>
                      <w:lang w:val="en-US" w:eastAsia="zh-CN"/>
                    </w:rPr>
                  </w:pPr>
                  <w:r>
                    <w:rPr>
                      <w:rFonts w:hint="eastAsia"/>
                      <w:snapToGrid w:val="0"/>
                      <w:color w:val="C00000"/>
                      <w:kern w:val="21"/>
                      <w:szCs w:val="21"/>
                      <w:lang w:val="en-US" w:eastAsia="zh-CN"/>
                    </w:rPr>
                    <w:t>0.259</w:t>
                  </w:r>
                </w:p>
              </w:tc>
              <w:tc>
                <w:tcPr>
                  <w:tcW w:w="1417" w:type="dxa"/>
                  <w:shd w:val="clear" w:color="auto" w:fill="auto"/>
                  <w:vAlign w:val="center"/>
                </w:tcPr>
                <w:p w14:paraId="16279FC4">
                  <w:pPr>
                    <w:keepNext w:val="0"/>
                    <w:keepLines w:val="0"/>
                    <w:widowControl/>
                    <w:suppressLineNumbers w:val="0"/>
                    <w:jc w:val="center"/>
                    <w:textAlignment w:val="center"/>
                    <w:rPr>
                      <w:color w:val="C00000"/>
                      <w:spacing w:val="-1"/>
                      <w:szCs w:val="21"/>
                    </w:rPr>
                  </w:pPr>
                  <w:r>
                    <w:rPr>
                      <w:rFonts w:hint="default" w:ascii="Times New Roman" w:hAnsi="Times New Roman" w:eastAsia="宋体" w:cs="Times New Roman"/>
                      <w:i w:val="0"/>
                      <w:iCs w:val="0"/>
                      <w:color w:val="C00000"/>
                      <w:kern w:val="0"/>
                      <w:sz w:val="21"/>
                      <w:szCs w:val="21"/>
                      <w:u w:val="none"/>
                      <w:lang w:val="en-US" w:eastAsia="zh-CN" w:bidi="ar"/>
                    </w:rPr>
                    <w:t>0.908</w:t>
                  </w:r>
                </w:p>
              </w:tc>
              <w:tc>
                <w:tcPr>
                  <w:tcW w:w="1417" w:type="dxa"/>
                  <w:shd w:val="clear" w:color="auto" w:fill="auto"/>
                  <w:vAlign w:val="center"/>
                </w:tcPr>
                <w:p w14:paraId="252EB4D5">
                  <w:pPr>
                    <w:widowControl/>
                    <w:jc w:val="center"/>
                    <w:textAlignment w:val="center"/>
                    <w:rPr>
                      <w:snapToGrid w:val="0"/>
                      <w:color w:val="C00000"/>
                      <w:kern w:val="21"/>
                      <w:szCs w:val="21"/>
                    </w:rPr>
                  </w:pPr>
                  <w:r>
                    <w:rPr>
                      <w:rFonts w:hint="eastAsia"/>
                      <w:snapToGrid w:val="0"/>
                      <w:color w:val="C00000"/>
                      <w:kern w:val="21"/>
                      <w:szCs w:val="21"/>
                      <w:lang w:val="en-US" w:eastAsia="zh-CN"/>
                    </w:rPr>
                    <w:t>0.259</w:t>
                  </w:r>
                </w:p>
              </w:tc>
              <w:tc>
                <w:tcPr>
                  <w:tcW w:w="1421" w:type="dxa"/>
                  <w:vAlign w:val="center"/>
                </w:tcPr>
                <w:p w14:paraId="44CCAD68">
                  <w:pPr>
                    <w:keepNext w:val="0"/>
                    <w:keepLines w:val="0"/>
                    <w:widowControl/>
                    <w:suppressLineNumbers w:val="0"/>
                    <w:jc w:val="center"/>
                    <w:textAlignment w:val="center"/>
                    <w:rPr>
                      <w:rFonts w:hint="eastAsia"/>
                      <w:snapToGrid w:val="0"/>
                      <w:color w:val="C00000"/>
                      <w:kern w:val="21"/>
                      <w:szCs w:val="21"/>
                      <w:lang w:val="en-US" w:eastAsia="zh-CN"/>
                    </w:rPr>
                  </w:pPr>
                  <w:r>
                    <w:rPr>
                      <w:rFonts w:hint="default" w:ascii="Times New Roman" w:hAnsi="Times New Roman" w:eastAsia="宋体" w:cs="Times New Roman"/>
                      <w:i w:val="0"/>
                      <w:iCs w:val="0"/>
                      <w:color w:val="C00000"/>
                      <w:kern w:val="0"/>
                      <w:sz w:val="21"/>
                      <w:szCs w:val="21"/>
                      <w:u w:val="none"/>
                      <w:lang w:val="en-US" w:eastAsia="zh-CN" w:bidi="ar"/>
                    </w:rPr>
                    <w:t>-0.649</w:t>
                  </w:r>
                </w:p>
              </w:tc>
            </w:tr>
            <w:tr w14:paraId="0A2B55B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879" w:type="dxa"/>
                  <w:vAlign w:val="center"/>
                </w:tcPr>
                <w:p w14:paraId="04FEEF51">
                  <w:pPr>
                    <w:pStyle w:val="58"/>
                    <w:spacing w:beforeLines="0" w:afterLines="0" w:line="240" w:lineRule="auto"/>
                    <w:rPr>
                      <w:rFonts w:ascii="Times New Roman"/>
                      <w:snapToGrid w:val="0"/>
                      <w:color w:val="C00000"/>
                      <w:kern w:val="21"/>
                      <w:szCs w:val="21"/>
                    </w:rPr>
                  </w:pPr>
                  <w:r>
                    <w:rPr>
                      <w:rFonts w:ascii="Times New Roman"/>
                      <w:color w:val="C00000"/>
                      <w:szCs w:val="21"/>
                      <w:lang w:bidi="ar"/>
                    </w:rPr>
                    <w:t>SO</w:t>
                  </w:r>
                  <w:r>
                    <w:rPr>
                      <w:rFonts w:ascii="Times New Roman"/>
                      <w:color w:val="C00000"/>
                      <w:szCs w:val="21"/>
                      <w:vertAlign w:val="subscript"/>
                      <w:lang w:bidi="ar"/>
                    </w:rPr>
                    <w:t>2</w:t>
                  </w:r>
                </w:p>
              </w:tc>
              <w:tc>
                <w:tcPr>
                  <w:tcW w:w="1417" w:type="dxa"/>
                  <w:shd w:val="clear" w:color="auto" w:fill="auto"/>
                  <w:vAlign w:val="center"/>
                </w:tcPr>
                <w:p w14:paraId="2F20B709">
                  <w:pPr>
                    <w:keepNext w:val="0"/>
                    <w:keepLines w:val="0"/>
                    <w:widowControl/>
                    <w:suppressLineNumbers w:val="0"/>
                    <w:jc w:val="center"/>
                    <w:textAlignment w:val="center"/>
                    <w:rPr>
                      <w:rFonts w:hint="default" w:ascii="Times New Roman" w:hAnsi="Times New Roman" w:eastAsia="宋体" w:cs="Times New Roman"/>
                      <w:color w:val="C00000"/>
                      <w:kern w:val="2"/>
                      <w:sz w:val="21"/>
                      <w:szCs w:val="21"/>
                      <w:highlight w:val="none"/>
                      <w:lang w:val="en-US" w:eastAsia="zh-CN" w:bidi="ar-SA"/>
                    </w:rPr>
                  </w:pPr>
                  <w:r>
                    <w:rPr>
                      <w:rFonts w:hint="default" w:ascii="Times New Roman" w:hAnsi="Times New Roman" w:eastAsia="宋体" w:cs="Times New Roman"/>
                      <w:i w:val="0"/>
                      <w:iCs w:val="0"/>
                      <w:color w:val="C00000"/>
                      <w:kern w:val="0"/>
                      <w:sz w:val="21"/>
                      <w:szCs w:val="21"/>
                      <w:u w:val="none"/>
                      <w:lang w:val="en-US" w:eastAsia="zh-CN" w:bidi="ar"/>
                    </w:rPr>
                    <w:t>0.615</w:t>
                  </w:r>
                </w:p>
              </w:tc>
              <w:tc>
                <w:tcPr>
                  <w:tcW w:w="1417" w:type="dxa"/>
                  <w:vAlign w:val="center"/>
                </w:tcPr>
                <w:p w14:paraId="426ECC62">
                  <w:pPr>
                    <w:widowControl/>
                    <w:jc w:val="center"/>
                    <w:textAlignment w:val="center"/>
                    <w:rPr>
                      <w:rFonts w:hint="default" w:eastAsia="宋体"/>
                      <w:snapToGrid w:val="0"/>
                      <w:color w:val="C00000"/>
                      <w:kern w:val="21"/>
                      <w:szCs w:val="21"/>
                      <w:lang w:val="en-US" w:eastAsia="zh-CN"/>
                    </w:rPr>
                  </w:pPr>
                  <w:r>
                    <w:rPr>
                      <w:rFonts w:hint="eastAsia"/>
                      <w:snapToGrid w:val="0"/>
                      <w:color w:val="C00000"/>
                      <w:kern w:val="21"/>
                      <w:szCs w:val="21"/>
                      <w:lang w:val="en-US" w:eastAsia="zh-CN"/>
                    </w:rPr>
                    <w:t>0.776</w:t>
                  </w:r>
                </w:p>
              </w:tc>
              <w:tc>
                <w:tcPr>
                  <w:tcW w:w="1417" w:type="dxa"/>
                  <w:shd w:val="clear" w:color="auto" w:fill="auto"/>
                  <w:vAlign w:val="center"/>
                </w:tcPr>
                <w:p w14:paraId="3CDFF6D9">
                  <w:pPr>
                    <w:keepNext w:val="0"/>
                    <w:keepLines w:val="0"/>
                    <w:widowControl/>
                    <w:suppressLineNumbers w:val="0"/>
                    <w:jc w:val="center"/>
                    <w:textAlignment w:val="center"/>
                    <w:rPr>
                      <w:color w:val="C00000"/>
                      <w:spacing w:val="-1"/>
                      <w:szCs w:val="21"/>
                    </w:rPr>
                  </w:pPr>
                  <w:r>
                    <w:rPr>
                      <w:rFonts w:hint="default" w:ascii="Times New Roman" w:hAnsi="Times New Roman" w:eastAsia="宋体" w:cs="Times New Roman"/>
                      <w:i w:val="0"/>
                      <w:iCs w:val="0"/>
                      <w:color w:val="C00000"/>
                      <w:kern w:val="0"/>
                      <w:sz w:val="21"/>
                      <w:szCs w:val="21"/>
                      <w:u w:val="none"/>
                      <w:lang w:val="en-US" w:eastAsia="zh-CN" w:bidi="ar"/>
                    </w:rPr>
                    <w:t>0.615</w:t>
                  </w:r>
                </w:p>
              </w:tc>
              <w:tc>
                <w:tcPr>
                  <w:tcW w:w="1417" w:type="dxa"/>
                  <w:shd w:val="clear" w:color="auto" w:fill="auto"/>
                  <w:vAlign w:val="center"/>
                </w:tcPr>
                <w:p w14:paraId="280EC3D3">
                  <w:pPr>
                    <w:widowControl/>
                    <w:jc w:val="center"/>
                    <w:textAlignment w:val="center"/>
                    <w:rPr>
                      <w:snapToGrid w:val="0"/>
                      <w:color w:val="C00000"/>
                      <w:kern w:val="21"/>
                      <w:szCs w:val="21"/>
                    </w:rPr>
                  </w:pPr>
                  <w:r>
                    <w:rPr>
                      <w:rFonts w:hint="eastAsia"/>
                      <w:snapToGrid w:val="0"/>
                      <w:color w:val="C00000"/>
                      <w:kern w:val="21"/>
                      <w:szCs w:val="21"/>
                      <w:lang w:val="en-US" w:eastAsia="zh-CN"/>
                    </w:rPr>
                    <w:t>0.776</w:t>
                  </w:r>
                </w:p>
              </w:tc>
              <w:tc>
                <w:tcPr>
                  <w:tcW w:w="1421" w:type="dxa"/>
                  <w:vAlign w:val="center"/>
                </w:tcPr>
                <w:p w14:paraId="627D5110">
                  <w:pPr>
                    <w:keepNext w:val="0"/>
                    <w:keepLines w:val="0"/>
                    <w:widowControl/>
                    <w:suppressLineNumbers w:val="0"/>
                    <w:jc w:val="center"/>
                    <w:textAlignment w:val="center"/>
                    <w:rPr>
                      <w:rFonts w:hint="eastAsia"/>
                      <w:snapToGrid w:val="0"/>
                      <w:color w:val="C00000"/>
                      <w:kern w:val="21"/>
                      <w:szCs w:val="21"/>
                      <w:lang w:val="en-US" w:eastAsia="zh-CN"/>
                    </w:rPr>
                  </w:pPr>
                  <w:r>
                    <w:rPr>
                      <w:rFonts w:hint="eastAsia" w:cs="Times New Roman"/>
                      <w:i w:val="0"/>
                      <w:iCs w:val="0"/>
                      <w:color w:val="C00000"/>
                      <w:kern w:val="0"/>
                      <w:sz w:val="21"/>
                      <w:szCs w:val="21"/>
                      <w:u w:val="none"/>
                      <w:lang w:val="en-US" w:eastAsia="zh-CN" w:bidi="ar"/>
                    </w:rPr>
                    <w:t>+</w:t>
                  </w:r>
                  <w:r>
                    <w:rPr>
                      <w:rFonts w:hint="default" w:ascii="Times New Roman" w:hAnsi="Times New Roman" w:eastAsia="宋体" w:cs="Times New Roman"/>
                      <w:i w:val="0"/>
                      <w:iCs w:val="0"/>
                      <w:color w:val="C00000"/>
                      <w:kern w:val="0"/>
                      <w:sz w:val="21"/>
                      <w:szCs w:val="21"/>
                      <w:u w:val="none"/>
                      <w:lang w:val="en-US" w:eastAsia="zh-CN" w:bidi="ar"/>
                    </w:rPr>
                    <w:t>0.161</w:t>
                  </w:r>
                </w:p>
              </w:tc>
            </w:tr>
            <w:tr w14:paraId="7C9997E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879" w:type="dxa"/>
                  <w:vAlign w:val="center"/>
                </w:tcPr>
                <w:p w14:paraId="2930CA6F">
                  <w:pPr>
                    <w:pStyle w:val="58"/>
                    <w:spacing w:beforeLines="0" w:afterLines="0" w:line="240" w:lineRule="auto"/>
                    <w:rPr>
                      <w:rFonts w:ascii="Times New Roman"/>
                      <w:snapToGrid w:val="0"/>
                      <w:color w:val="C00000"/>
                      <w:kern w:val="21"/>
                      <w:szCs w:val="21"/>
                    </w:rPr>
                  </w:pPr>
                  <w:r>
                    <w:rPr>
                      <w:rFonts w:ascii="Times New Roman"/>
                      <w:color w:val="C00000"/>
                      <w:szCs w:val="21"/>
                      <w:lang w:bidi="ar"/>
                    </w:rPr>
                    <w:t>NO</w:t>
                  </w:r>
                  <w:r>
                    <w:rPr>
                      <w:rFonts w:ascii="Times New Roman"/>
                      <w:color w:val="C00000"/>
                      <w:szCs w:val="21"/>
                      <w:vertAlign w:val="subscript"/>
                      <w:lang w:bidi="ar"/>
                    </w:rPr>
                    <w:t>X</w:t>
                  </w:r>
                </w:p>
              </w:tc>
              <w:tc>
                <w:tcPr>
                  <w:tcW w:w="1417" w:type="dxa"/>
                  <w:shd w:val="clear" w:color="auto" w:fill="auto"/>
                  <w:vAlign w:val="center"/>
                </w:tcPr>
                <w:p w14:paraId="756D14EC">
                  <w:pPr>
                    <w:keepNext w:val="0"/>
                    <w:keepLines w:val="0"/>
                    <w:widowControl/>
                    <w:suppressLineNumbers w:val="0"/>
                    <w:jc w:val="center"/>
                    <w:textAlignment w:val="center"/>
                    <w:rPr>
                      <w:rFonts w:hint="default" w:ascii="Times New Roman" w:hAnsi="Times New Roman" w:eastAsia="宋体" w:cs="Times New Roman"/>
                      <w:color w:val="C00000"/>
                      <w:kern w:val="2"/>
                      <w:sz w:val="21"/>
                      <w:szCs w:val="21"/>
                      <w:highlight w:val="none"/>
                      <w:lang w:val="en-US" w:eastAsia="zh-CN" w:bidi="ar-SA"/>
                    </w:rPr>
                  </w:pPr>
                  <w:r>
                    <w:rPr>
                      <w:rFonts w:hint="default" w:ascii="Times New Roman" w:hAnsi="Times New Roman" w:eastAsia="宋体" w:cs="Times New Roman"/>
                      <w:i w:val="0"/>
                      <w:iCs w:val="0"/>
                      <w:color w:val="C00000"/>
                      <w:kern w:val="0"/>
                      <w:sz w:val="21"/>
                      <w:szCs w:val="21"/>
                      <w:u w:val="none"/>
                      <w:lang w:val="en-US" w:eastAsia="zh-CN" w:bidi="ar"/>
                    </w:rPr>
                    <w:t>1.037</w:t>
                  </w:r>
                </w:p>
              </w:tc>
              <w:tc>
                <w:tcPr>
                  <w:tcW w:w="1417" w:type="dxa"/>
                  <w:vAlign w:val="center"/>
                </w:tcPr>
                <w:p w14:paraId="03072D92">
                  <w:pPr>
                    <w:widowControl/>
                    <w:jc w:val="center"/>
                    <w:textAlignment w:val="center"/>
                    <w:rPr>
                      <w:rFonts w:hint="default" w:eastAsia="宋体"/>
                      <w:snapToGrid w:val="0"/>
                      <w:color w:val="C00000"/>
                      <w:kern w:val="21"/>
                      <w:szCs w:val="21"/>
                      <w:lang w:val="en-US" w:eastAsia="zh-CN"/>
                    </w:rPr>
                  </w:pPr>
                  <w:r>
                    <w:rPr>
                      <w:rFonts w:hint="eastAsia"/>
                      <w:snapToGrid w:val="0"/>
                      <w:color w:val="C00000"/>
                      <w:kern w:val="21"/>
                      <w:szCs w:val="21"/>
                      <w:lang w:val="en-US" w:eastAsia="zh-CN"/>
                    </w:rPr>
                    <w:t>2.347</w:t>
                  </w:r>
                </w:p>
              </w:tc>
              <w:tc>
                <w:tcPr>
                  <w:tcW w:w="1417" w:type="dxa"/>
                  <w:shd w:val="clear" w:color="auto" w:fill="auto"/>
                  <w:vAlign w:val="center"/>
                </w:tcPr>
                <w:p w14:paraId="73DE3EC2">
                  <w:pPr>
                    <w:keepNext w:val="0"/>
                    <w:keepLines w:val="0"/>
                    <w:widowControl/>
                    <w:suppressLineNumbers w:val="0"/>
                    <w:jc w:val="center"/>
                    <w:textAlignment w:val="center"/>
                    <w:rPr>
                      <w:color w:val="C00000"/>
                      <w:spacing w:val="-1"/>
                      <w:szCs w:val="21"/>
                    </w:rPr>
                  </w:pPr>
                  <w:r>
                    <w:rPr>
                      <w:rFonts w:hint="default" w:ascii="Times New Roman" w:hAnsi="Times New Roman" w:eastAsia="宋体" w:cs="Times New Roman"/>
                      <w:i w:val="0"/>
                      <w:iCs w:val="0"/>
                      <w:color w:val="C00000"/>
                      <w:kern w:val="0"/>
                      <w:sz w:val="21"/>
                      <w:szCs w:val="21"/>
                      <w:u w:val="none"/>
                      <w:lang w:val="en-US" w:eastAsia="zh-CN" w:bidi="ar"/>
                    </w:rPr>
                    <w:t>1.037</w:t>
                  </w:r>
                </w:p>
              </w:tc>
              <w:tc>
                <w:tcPr>
                  <w:tcW w:w="1417" w:type="dxa"/>
                  <w:shd w:val="clear" w:color="auto" w:fill="auto"/>
                  <w:vAlign w:val="center"/>
                </w:tcPr>
                <w:p w14:paraId="1CF4C90B">
                  <w:pPr>
                    <w:widowControl/>
                    <w:jc w:val="center"/>
                    <w:textAlignment w:val="center"/>
                    <w:rPr>
                      <w:rFonts w:hint="default"/>
                      <w:snapToGrid w:val="0"/>
                      <w:color w:val="C00000"/>
                      <w:kern w:val="21"/>
                      <w:szCs w:val="21"/>
                      <w:lang w:val="en-US"/>
                    </w:rPr>
                  </w:pPr>
                  <w:r>
                    <w:rPr>
                      <w:rFonts w:hint="eastAsia"/>
                      <w:snapToGrid w:val="0"/>
                      <w:color w:val="C00000"/>
                      <w:kern w:val="21"/>
                      <w:szCs w:val="21"/>
                      <w:lang w:val="en-US" w:eastAsia="zh-CN"/>
                    </w:rPr>
                    <w:t>2.347</w:t>
                  </w:r>
                </w:p>
              </w:tc>
              <w:tc>
                <w:tcPr>
                  <w:tcW w:w="1421" w:type="dxa"/>
                  <w:vAlign w:val="center"/>
                </w:tcPr>
                <w:p w14:paraId="617D0239">
                  <w:pPr>
                    <w:keepNext w:val="0"/>
                    <w:keepLines w:val="0"/>
                    <w:widowControl/>
                    <w:suppressLineNumbers w:val="0"/>
                    <w:jc w:val="center"/>
                    <w:textAlignment w:val="center"/>
                    <w:rPr>
                      <w:rFonts w:hint="default"/>
                      <w:snapToGrid w:val="0"/>
                      <w:color w:val="C00000"/>
                      <w:kern w:val="21"/>
                      <w:szCs w:val="21"/>
                      <w:lang w:val="en-US" w:eastAsia="zh-CN"/>
                    </w:rPr>
                  </w:pPr>
                  <w:r>
                    <w:rPr>
                      <w:rFonts w:hint="eastAsia" w:cs="Times New Roman"/>
                      <w:i w:val="0"/>
                      <w:iCs w:val="0"/>
                      <w:color w:val="C00000"/>
                      <w:kern w:val="0"/>
                      <w:sz w:val="21"/>
                      <w:szCs w:val="21"/>
                      <w:u w:val="none"/>
                      <w:lang w:val="en-US" w:eastAsia="zh-CN" w:bidi="ar"/>
                    </w:rPr>
                    <w:t>+</w:t>
                  </w:r>
                  <w:r>
                    <w:rPr>
                      <w:rFonts w:hint="default" w:ascii="Times New Roman" w:hAnsi="Times New Roman" w:eastAsia="宋体" w:cs="Times New Roman"/>
                      <w:i w:val="0"/>
                      <w:iCs w:val="0"/>
                      <w:color w:val="C00000"/>
                      <w:kern w:val="0"/>
                      <w:sz w:val="21"/>
                      <w:szCs w:val="21"/>
                      <w:u w:val="none"/>
                      <w:lang w:val="en-US" w:eastAsia="zh-CN" w:bidi="ar"/>
                    </w:rPr>
                    <w:t>1.31</w:t>
                  </w:r>
                </w:p>
              </w:tc>
            </w:tr>
          </w:tbl>
          <w:p w14:paraId="42CA3498">
            <w:pPr>
              <w:keepNext w:val="0"/>
              <w:keepLines w:val="0"/>
              <w:suppressLineNumbers w:val="0"/>
              <w:adjustRightInd w:val="0"/>
              <w:snapToGrid w:val="0"/>
              <w:spacing w:before="0" w:beforeAutospacing="0" w:after="0" w:afterAutospacing="0" w:line="240" w:lineRule="auto"/>
              <w:ind w:left="0" w:right="0"/>
              <w:jc w:val="both"/>
              <w:rPr>
                <w:rFonts w:hint="default" w:ascii="Times New Roman" w:hAnsi="Times New Roman" w:cs="Times New Roman"/>
                <w:b/>
                <w:bCs/>
                <w:color w:val="auto"/>
                <w:kern w:val="0"/>
                <w:szCs w:val="21"/>
                <w:highlight w:val="yellow"/>
              </w:rPr>
            </w:pPr>
          </w:p>
          <w:p w14:paraId="3415F686">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color w:val="C00000"/>
                <w:highlight w:val="none"/>
              </w:rPr>
            </w:pPr>
            <w:r>
              <w:rPr>
                <w:rFonts w:hint="default" w:ascii="Times New Roman" w:hAnsi="Times New Roman" w:cs="Times New Roman"/>
                <w:b/>
                <w:bCs/>
                <w:color w:val="C00000"/>
                <w:kern w:val="0"/>
                <w:szCs w:val="21"/>
                <w:highlight w:val="none"/>
              </w:rPr>
              <w:t>表3-</w:t>
            </w:r>
            <w:r>
              <w:rPr>
                <w:rFonts w:hint="eastAsia" w:ascii="Times New Roman" w:hAnsi="Times New Roman" w:cs="Times New Roman"/>
                <w:b/>
                <w:bCs/>
                <w:color w:val="C00000"/>
                <w:kern w:val="0"/>
                <w:szCs w:val="21"/>
                <w:highlight w:val="none"/>
                <w:lang w:val="en-US" w:eastAsia="zh-CN"/>
              </w:rPr>
              <w:t>11</w:t>
            </w:r>
            <w:r>
              <w:rPr>
                <w:rFonts w:hint="default" w:ascii="Times New Roman" w:hAnsi="Times New Roman" w:cs="Times New Roman"/>
                <w:b/>
                <w:bCs/>
                <w:color w:val="C00000"/>
                <w:kern w:val="0"/>
                <w:szCs w:val="21"/>
                <w:highlight w:val="none"/>
              </w:rPr>
              <w:t xml:space="preserve"> 污染物核定排放量及“三本帐”一览表 单位：t/a </w:t>
            </w:r>
          </w:p>
          <w:tbl>
            <w:tblPr>
              <w:tblStyle w:val="32"/>
              <w:tblW w:w="796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98"/>
              <w:gridCol w:w="1282"/>
              <w:gridCol w:w="1469"/>
              <w:gridCol w:w="1185"/>
              <w:gridCol w:w="1479"/>
              <w:gridCol w:w="1655"/>
            </w:tblGrid>
            <w:tr w14:paraId="4F62663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4" w:hRule="atLeast"/>
              </w:trPr>
              <w:tc>
                <w:tcPr>
                  <w:tcW w:w="898" w:type="dxa"/>
                  <w:vAlign w:val="center"/>
                </w:tcPr>
                <w:p w14:paraId="499F43AD">
                  <w:pPr>
                    <w:pStyle w:val="58"/>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C00000"/>
                      <w:kern w:val="21"/>
                      <w:szCs w:val="21"/>
                      <w:highlight w:val="none"/>
                    </w:rPr>
                  </w:pPr>
                  <w:r>
                    <w:rPr>
                      <w:rFonts w:hint="default" w:ascii="Times New Roman" w:hAnsi="Times New Roman" w:cs="Times New Roman"/>
                      <w:snapToGrid w:val="0"/>
                      <w:color w:val="C00000"/>
                      <w:kern w:val="21"/>
                      <w:szCs w:val="21"/>
                      <w:highlight w:val="none"/>
                    </w:rPr>
                    <w:t>名称</w:t>
                  </w:r>
                </w:p>
              </w:tc>
              <w:tc>
                <w:tcPr>
                  <w:tcW w:w="1282" w:type="dxa"/>
                  <w:vAlign w:val="center"/>
                </w:tcPr>
                <w:p w14:paraId="7DF42B3F">
                  <w:pPr>
                    <w:pStyle w:val="58"/>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C00000"/>
                      <w:kern w:val="21"/>
                      <w:szCs w:val="21"/>
                      <w:highlight w:val="none"/>
                    </w:rPr>
                  </w:pPr>
                  <w:r>
                    <w:rPr>
                      <w:rFonts w:hint="default" w:ascii="Times New Roman" w:hAnsi="Times New Roman" w:cs="Times New Roman"/>
                      <w:snapToGrid w:val="0"/>
                      <w:color w:val="C00000"/>
                      <w:kern w:val="21"/>
                      <w:szCs w:val="21"/>
                      <w:highlight w:val="none"/>
                    </w:rPr>
                    <w:t>现有工程核定排放量</w:t>
                  </w:r>
                </w:p>
              </w:tc>
              <w:tc>
                <w:tcPr>
                  <w:tcW w:w="1469" w:type="dxa"/>
                  <w:vAlign w:val="center"/>
                </w:tcPr>
                <w:p w14:paraId="1B2C0334">
                  <w:pPr>
                    <w:pStyle w:val="58"/>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C00000"/>
                      <w:kern w:val="21"/>
                      <w:szCs w:val="21"/>
                      <w:highlight w:val="none"/>
                    </w:rPr>
                  </w:pPr>
                  <w:r>
                    <w:rPr>
                      <w:rFonts w:hint="default" w:ascii="Times New Roman" w:hAnsi="Times New Roman" w:cs="Times New Roman"/>
                      <w:snapToGrid w:val="0"/>
                      <w:color w:val="C00000"/>
                      <w:kern w:val="21"/>
                      <w:szCs w:val="21"/>
                      <w:highlight w:val="none"/>
                    </w:rPr>
                    <w:t>本工程核定排放量</w:t>
                  </w:r>
                </w:p>
              </w:tc>
              <w:tc>
                <w:tcPr>
                  <w:tcW w:w="1185" w:type="dxa"/>
                  <w:vAlign w:val="center"/>
                </w:tcPr>
                <w:p w14:paraId="0283AA5A">
                  <w:pPr>
                    <w:pStyle w:val="58"/>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C00000"/>
                      <w:kern w:val="21"/>
                      <w:szCs w:val="21"/>
                      <w:highlight w:val="none"/>
                    </w:rPr>
                  </w:pPr>
                  <w:r>
                    <w:rPr>
                      <w:rFonts w:hint="default" w:ascii="Times New Roman" w:hAnsi="Times New Roman" w:cs="Times New Roman"/>
                      <w:snapToGrid w:val="0"/>
                      <w:color w:val="C00000"/>
                      <w:kern w:val="21"/>
                      <w:szCs w:val="21"/>
                      <w:highlight w:val="none"/>
                    </w:rPr>
                    <w:t>以新带老削减量</w:t>
                  </w:r>
                </w:p>
              </w:tc>
              <w:tc>
                <w:tcPr>
                  <w:tcW w:w="1479" w:type="dxa"/>
                  <w:vAlign w:val="center"/>
                </w:tcPr>
                <w:p w14:paraId="102AE49D">
                  <w:pPr>
                    <w:pStyle w:val="58"/>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C00000"/>
                      <w:kern w:val="21"/>
                      <w:szCs w:val="21"/>
                      <w:highlight w:val="none"/>
                    </w:rPr>
                  </w:pPr>
                  <w:r>
                    <w:rPr>
                      <w:rFonts w:hint="default" w:ascii="Times New Roman" w:hAnsi="Times New Roman" w:cs="Times New Roman"/>
                      <w:snapToGrid w:val="0"/>
                      <w:color w:val="C00000"/>
                      <w:kern w:val="21"/>
                      <w:szCs w:val="21"/>
                      <w:highlight w:val="none"/>
                    </w:rPr>
                    <w:t>总体工程核定排放总量</w:t>
                  </w:r>
                </w:p>
              </w:tc>
              <w:tc>
                <w:tcPr>
                  <w:tcW w:w="1655" w:type="dxa"/>
                  <w:vAlign w:val="center"/>
                </w:tcPr>
                <w:p w14:paraId="58910B11">
                  <w:pPr>
                    <w:keepNext w:val="0"/>
                    <w:keepLines w:val="0"/>
                    <w:suppressLineNumbers w:val="0"/>
                    <w:spacing w:before="0" w:beforeAutospacing="0" w:after="0" w:afterAutospacing="0"/>
                    <w:ind w:left="0" w:right="0"/>
                    <w:jc w:val="center"/>
                    <w:rPr>
                      <w:rFonts w:hint="default" w:ascii="Times New Roman" w:hAnsi="Times New Roman" w:cs="Times New Roman"/>
                      <w:snapToGrid w:val="0"/>
                      <w:color w:val="C00000"/>
                      <w:kern w:val="21"/>
                      <w:szCs w:val="21"/>
                      <w:highlight w:val="none"/>
                    </w:rPr>
                  </w:pPr>
                  <w:r>
                    <w:rPr>
                      <w:rFonts w:hint="default" w:ascii="Times New Roman" w:hAnsi="Times New Roman" w:cs="Times New Roman"/>
                      <w:color w:val="C00000"/>
                      <w:szCs w:val="21"/>
                      <w:highlight w:val="none"/>
                    </w:rPr>
                    <w:t>总体工程核定排放增减量</w:t>
                  </w:r>
                </w:p>
              </w:tc>
            </w:tr>
            <w:tr w14:paraId="112F41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7" w:hRule="atLeast"/>
              </w:trPr>
              <w:tc>
                <w:tcPr>
                  <w:tcW w:w="898" w:type="dxa"/>
                  <w:vAlign w:val="center"/>
                </w:tcPr>
                <w:p w14:paraId="0CF81A0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snapToGrid w:val="0"/>
                      <w:color w:val="C00000"/>
                      <w:kern w:val="21"/>
                      <w:szCs w:val="21"/>
                      <w:highlight w:val="none"/>
                    </w:rPr>
                  </w:pPr>
                  <w:r>
                    <w:rPr>
                      <w:rFonts w:hint="default" w:ascii="Times New Roman" w:hAnsi="Times New Roman" w:cs="Times New Roman"/>
                      <w:color w:val="C00000"/>
                      <w:kern w:val="0"/>
                      <w:szCs w:val="21"/>
                      <w:highlight w:val="none"/>
                      <w:lang w:bidi="ar"/>
                    </w:rPr>
                    <w:t>颗粒物</w:t>
                  </w:r>
                </w:p>
              </w:tc>
              <w:tc>
                <w:tcPr>
                  <w:tcW w:w="1282" w:type="dxa"/>
                  <w:vAlign w:val="center"/>
                </w:tcPr>
                <w:p w14:paraId="250C6F44">
                  <w:pPr>
                    <w:adjustRightInd w:val="0"/>
                    <w:snapToGrid w:val="0"/>
                    <w:jc w:val="center"/>
                    <w:rPr>
                      <w:rFonts w:hint="default" w:ascii="Times New Roman" w:hAnsi="Times New Roman" w:cs="Times New Roman"/>
                      <w:snapToGrid w:val="0"/>
                      <w:color w:val="C00000"/>
                      <w:kern w:val="21"/>
                      <w:sz w:val="21"/>
                      <w:szCs w:val="21"/>
                      <w:highlight w:val="none"/>
                      <w:lang w:val="en-US" w:eastAsia="zh-CN"/>
                    </w:rPr>
                  </w:pPr>
                  <w:r>
                    <w:rPr>
                      <w:rFonts w:hint="eastAsia"/>
                      <w:color w:val="C00000"/>
                      <w:szCs w:val="21"/>
                      <w:lang w:val="en-US" w:eastAsia="zh-CN"/>
                    </w:rPr>
                    <w:t>1.00</w:t>
                  </w:r>
                </w:p>
              </w:tc>
              <w:tc>
                <w:tcPr>
                  <w:tcW w:w="1469" w:type="dxa"/>
                  <w:vAlign w:val="center"/>
                </w:tcPr>
                <w:p w14:paraId="691557EC">
                  <w:pPr>
                    <w:adjustRightInd w:val="0"/>
                    <w:snapToGrid w:val="0"/>
                    <w:jc w:val="center"/>
                    <w:rPr>
                      <w:rFonts w:hint="default" w:ascii="Times New Roman" w:hAnsi="Times New Roman" w:eastAsia="宋体" w:cs="Times New Roman"/>
                      <w:color w:val="C00000"/>
                      <w:szCs w:val="21"/>
                      <w:lang w:val="en-US" w:eastAsia="zh-CN"/>
                    </w:rPr>
                  </w:pPr>
                  <w:r>
                    <w:rPr>
                      <w:rFonts w:hint="eastAsia" w:ascii="Times New Roman" w:hAnsi="Times New Roman" w:eastAsia="宋体" w:cs="Times New Roman"/>
                      <w:color w:val="C00000"/>
                      <w:szCs w:val="21"/>
                      <w:lang w:val="en-US" w:eastAsia="zh-CN"/>
                    </w:rPr>
                    <w:t>0.288</w:t>
                  </w:r>
                </w:p>
              </w:tc>
              <w:tc>
                <w:tcPr>
                  <w:tcW w:w="1185" w:type="dxa"/>
                  <w:vAlign w:val="center"/>
                </w:tcPr>
                <w:p w14:paraId="72DAD8DD">
                  <w:pPr>
                    <w:adjustRightInd w:val="0"/>
                    <w:snapToGrid w:val="0"/>
                    <w:jc w:val="center"/>
                    <w:rPr>
                      <w:rFonts w:hint="default" w:ascii="Times New Roman" w:hAnsi="Times New Roman" w:eastAsia="宋体" w:cs="Times New Roman"/>
                      <w:color w:val="C00000"/>
                      <w:szCs w:val="21"/>
                      <w:lang w:val="en-US" w:eastAsia="zh-CN"/>
                    </w:rPr>
                  </w:pPr>
                  <w:r>
                    <w:rPr>
                      <w:rFonts w:hint="eastAsia" w:ascii="Times New Roman" w:hAnsi="Times New Roman" w:eastAsia="宋体" w:cs="Times New Roman"/>
                      <w:color w:val="C00000"/>
                      <w:szCs w:val="21"/>
                      <w:lang w:val="en-US" w:eastAsia="zh-CN"/>
                    </w:rPr>
                    <w:t>1.00</w:t>
                  </w:r>
                </w:p>
              </w:tc>
              <w:tc>
                <w:tcPr>
                  <w:tcW w:w="1479" w:type="dxa"/>
                  <w:vAlign w:val="center"/>
                </w:tcPr>
                <w:p w14:paraId="50BE9836">
                  <w:pPr>
                    <w:adjustRightInd w:val="0"/>
                    <w:snapToGrid w:val="0"/>
                    <w:jc w:val="center"/>
                    <w:rPr>
                      <w:rFonts w:hint="default" w:ascii="Times New Roman" w:hAnsi="Times New Roman" w:eastAsia="宋体" w:cs="Times New Roman"/>
                      <w:color w:val="C00000"/>
                      <w:szCs w:val="21"/>
                      <w:lang w:val="en-US" w:eastAsia="zh-CN"/>
                    </w:rPr>
                  </w:pPr>
                  <w:r>
                    <w:rPr>
                      <w:rFonts w:hint="eastAsia" w:ascii="Times New Roman" w:hAnsi="Times New Roman" w:eastAsia="宋体" w:cs="Times New Roman"/>
                      <w:color w:val="C00000"/>
                      <w:szCs w:val="21"/>
                      <w:lang w:val="en-US" w:eastAsia="zh-CN"/>
                    </w:rPr>
                    <w:t>0.288</w:t>
                  </w:r>
                </w:p>
              </w:tc>
              <w:tc>
                <w:tcPr>
                  <w:tcW w:w="1655" w:type="dxa"/>
                  <w:vAlign w:val="center"/>
                </w:tcPr>
                <w:p w14:paraId="3AE22842">
                  <w:pPr>
                    <w:keepNext w:val="0"/>
                    <w:keepLines w:val="0"/>
                    <w:widowControl/>
                    <w:suppressLineNumbers w:val="0"/>
                    <w:jc w:val="center"/>
                    <w:textAlignment w:val="center"/>
                    <w:rPr>
                      <w:rFonts w:hint="default" w:ascii="Times New Roman" w:hAnsi="Times New Roman" w:eastAsia="宋体" w:cs="Times New Roman"/>
                      <w:color w:val="C00000"/>
                      <w:szCs w:val="21"/>
                      <w:lang w:val="en-US" w:eastAsia="zh-CN"/>
                    </w:rPr>
                  </w:pPr>
                  <w:r>
                    <w:rPr>
                      <w:rFonts w:hint="default" w:ascii="Times New Roman" w:hAnsi="Times New Roman" w:eastAsia="宋体" w:cs="Times New Roman"/>
                      <w:i w:val="0"/>
                      <w:iCs w:val="0"/>
                      <w:color w:val="C00000"/>
                      <w:kern w:val="0"/>
                      <w:sz w:val="21"/>
                      <w:szCs w:val="21"/>
                      <w:u w:val="none"/>
                      <w:lang w:val="en-US" w:eastAsia="zh-CN" w:bidi="ar"/>
                    </w:rPr>
                    <w:t>-0.712</w:t>
                  </w:r>
                </w:p>
              </w:tc>
            </w:tr>
            <w:tr w14:paraId="5820323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898" w:type="dxa"/>
                  <w:vAlign w:val="center"/>
                </w:tcPr>
                <w:p w14:paraId="5CE6DC7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snapToGrid w:val="0"/>
                      <w:color w:val="C00000"/>
                      <w:kern w:val="21"/>
                      <w:szCs w:val="21"/>
                      <w:highlight w:val="none"/>
                    </w:rPr>
                  </w:pPr>
                  <w:r>
                    <w:rPr>
                      <w:rFonts w:hint="default" w:ascii="Times New Roman" w:hAnsi="Times New Roman" w:cs="Times New Roman"/>
                      <w:color w:val="C00000"/>
                      <w:kern w:val="0"/>
                      <w:szCs w:val="21"/>
                      <w:highlight w:val="none"/>
                      <w:lang w:bidi="ar"/>
                    </w:rPr>
                    <w:t>SO</w:t>
                  </w:r>
                  <w:r>
                    <w:rPr>
                      <w:rStyle w:val="127"/>
                      <w:rFonts w:hint="default" w:ascii="Times New Roman" w:hAnsi="Times New Roman" w:cs="Times New Roman"/>
                      <w:color w:val="C00000"/>
                      <w:highlight w:val="none"/>
                      <w:lang w:bidi="ar"/>
                    </w:rPr>
                    <w:t>2</w:t>
                  </w:r>
                </w:p>
              </w:tc>
              <w:tc>
                <w:tcPr>
                  <w:tcW w:w="1282" w:type="dxa"/>
                  <w:vAlign w:val="center"/>
                </w:tcPr>
                <w:p w14:paraId="1FA56FA5">
                  <w:pPr>
                    <w:adjustRightInd w:val="0"/>
                    <w:snapToGrid w:val="0"/>
                    <w:jc w:val="center"/>
                    <w:rPr>
                      <w:rFonts w:hint="default" w:ascii="Times New Roman" w:hAnsi="Times New Roman" w:cs="Times New Roman"/>
                      <w:snapToGrid w:val="0"/>
                      <w:color w:val="C00000"/>
                      <w:kern w:val="21"/>
                      <w:sz w:val="21"/>
                      <w:szCs w:val="21"/>
                      <w:highlight w:val="none"/>
                      <w:lang w:val="en-US" w:eastAsia="zh-CN"/>
                    </w:rPr>
                  </w:pPr>
                  <w:r>
                    <w:rPr>
                      <w:rFonts w:hint="eastAsia"/>
                      <w:color w:val="C00000"/>
                      <w:szCs w:val="21"/>
                      <w:lang w:val="en-US" w:eastAsia="zh-CN"/>
                    </w:rPr>
                    <w:t>3.84</w:t>
                  </w:r>
                </w:p>
              </w:tc>
              <w:tc>
                <w:tcPr>
                  <w:tcW w:w="1469" w:type="dxa"/>
                  <w:vAlign w:val="center"/>
                </w:tcPr>
                <w:p w14:paraId="28B8C451">
                  <w:pPr>
                    <w:adjustRightInd w:val="0"/>
                    <w:snapToGrid w:val="0"/>
                    <w:jc w:val="center"/>
                    <w:rPr>
                      <w:rFonts w:hint="default" w:ascii="Times New Roman" w:hAnsi="Times New Roman" w:eastAsia="宋体" w:cs="Times New Roman"/>
                      <w:color w:val="C00000"/>
                      <w:szCs w:val="21"/>
                      <w:lang w:val="en-US" w:eastAsia="zh-CN"/>
                    </w:rPr>
                  </w:pPr>
                  <w:r>
                    <w:rPr>
                      <w:rFonts w:hint="eastAsia" w:ascii="Times New Roman" w:hAnsi="Times New Roman" w:eastAsia="宋体" w:cs="Times New Roman"/>
                      <w:color w:val="C00000"/>
                      <w:szCs w:val="21"/>
                      <w:lang w:val="en-US" w:eastAsia="zh-CN"/>
                    </w:rPr>
                    <w:t>0.961</w:t>
                  </w:r>
                </w:p>
              </w:tc>
              <w:tc>
                <w:tcPr>
                  <w:tcW w:w="1185" w:type="dxa"/>
                  <w:vAlign w:val="center"/>
                </w:tcPr>
                <w:p w14:paraId="535013D1">
                  <w:pPr>
                    <w:adjustRightInd w:val="0"/>
                    <w:snapToGrid w:val="0"/>
                    <w:jc w:val="center"/>
                    <w:rPr>
                      <w:rFonts w:hint="default" w:ascii="Times New Roman" w:hAnsi="Times New Roman" w:eastAsia="宋体" w:cs="Times New Roman"/>
                      <w:color w:val="C00000"/>
                      <w:szCs w:val="21"/>
                      <w:lang w:val="en-US" w:eastAsia="zh-CN"/>
                    </w:rPr>
                  </w:pPr>
                  <w:r>
                    <w:rPr>
                      <w:rFonts w:hint="eastAsia" w:ascii="Times New Roman" w:hAnsi="Times New Roman" w:eastAsia="宋体" w:cs="Times New Roman"/>
                      <w:color w:val="C00000"/>
                      <w:szCs w:val="21"/>
                      <w:lang w:val="en-US" w:eastAsia="zh-CN"/>
                    </w:rPr>
                    <w:t>3.84</w:t>
                  </w:r>
                </w:p>
              </w:tc>
              <w:tc>
                <w:tcPr>
                  <w:tcW w:w="1479" w:type="dxa"/>
                  <w:vAlign w:val="center"/>
                </w:tcPr>
                <w:p w14:paraId="42152233">
                  <w:pPr>
                    <w:adjustRightInd w:val="0"/>
                    <w:snapToGrid w:val="0"/>
                    <w:jc w:val="center"/>
                    <w:rPr>
                      <w:rFonts w:hint="default" w:ascii="Times New Roman" w:hAnsi="Times New Roman" w:eastAsia="宋体" w:cs="Times New Roman"/>
                      <w:color w:val="C00000"/>
                      <w:szCs w:val="21"/>
                      <w:lang w:val="en-US" w:eastAsia="zh-CN"/>
                    </w:rPr>
                  </w:pPr>
                  <w:r>
                    <w:rPr>
                      <w:rFonts w:hint="eastAsia" w:ascii="Times New Roman" w:hAnsi="Times New Roman" w:eastAsia="宋体" w:cs="Times New Roman"/>
                      <w:color w:val="C00000"/>
                      <w:szCs w:val="21"/>
                      <w:lang w:val="en-US" w:eastAsia="zh-CN"/>
                    </w:rPr>
                    <w:t>0.961</w:t>
                  </w:r>
                </w:p>
              </w:tc>
              <w:tc>
                <w:tcPr>
                  <w:tcW w:w="1655" w:type="dxa"/>
                  <w:vAlign w:val="center"/>
                </w:tcPr>
                <w:p w14:paraId="3FCDE03C">
                  <w:pPr>
                    <w:keepNext w:val="0"/>
                    <w:keepLines w:val="0"/>
                    <w:widowControl/>
                    <w:suppressLineNumbers w:val="0"/>
                    <w:jc w:val="center"/>
                    <w:textAlignment w:val="center"/>
                    <w:rPr>
                      <w:rFonts w:hint="default" w:ascii="Times New Roman" w:hAnsi="Times New Roman" w:eastAsia="宋体" w:cs="Times New Roman"/>
                      <w:color w:val="C00000"/>
                      <w:szCs w:val="21"/>
                      <w:lang w:val="en-US" w:eastAsia="zh-CN"/>
                    </w:rPr>
                  </w:pPr>
                  <w:r>
                    <w:rPr>
                      <w:rFonts w:hint="default" w:ascii="Times New Roman" w:hAnsi="Times New Roman" w:eastAsia="宋体" w:cs="Times New Roman"/>
                      <w:i w:val="0"/>
                      <w:iCs w:val="0"/>
                      <w:color w:val="C00000"/>
                      <w:kern w:val="0"/>
                      <w:sz w:val="21"/>
                      <w:szCs w:val="21"/>
                      <w:u w:val="none"/>
                      <w:lang w:val="en-US" w:eastAsia="zh-CN" w:bidi="ar"/>
                    </w:rPr>
                    <w:t>-2.879</w:t>
                  </w:r>
                </w:p>
              </w:tc>
            </w:tr>
            <w:tr w14:paraId="55D768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1" w:hRule="atLeast"/>
              </w:trPr>
              <w:tc>
                <w:tcPr>
                  <w:tcW w:w="898" w:type="dxa"/>
                  <w:vAlign w:val="center"/>
                </w:tcPr>
                <w:p w14:paraId="6634433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snapToGrid w:val="0"/>
                      <w:color w:val="C00000"/>
                      <w:kern w:val="21"/>
                      <w:szCs w:val="21"/>
                      <w:highlight w:val="none"/>
                    </w:rPr>
                  </w:pPr>
                  <w:r>
                    <w:rPr>
                      <w:rFonts w:hint="default" w:ascii="Times New Roman" w:hAnsi="Times New Roman" w:cs="Times New Roman"/>
                      <w:color w:val="C00000"/>
                      <w:kern w:val="0"/>
                      <w:szCs w:val="21"/>
                      <w:highlight w:val="none"/>
                      <w:lang w:bidi="ar"/>
                    </w:rPr>
                    <w:t>NO</w:t>
                  </w:r>
                  <w:r>
                    <w:rPr>
                      <w:rStyle w:val="127"/>
                      <w:rFonts w:hint="default" w:ascii="Times New Roman" w:hAnsi="Times New Roman" w:cs="Times New Roman"/>
                      <w:color w:val="C00000"/>
                      <w:highlight w:val="none"/>
                      <w:lang w:bidi="ar"/>
                    </w:rPr>
                    <w:t>X</w:t>
                  </w:r>
                </w:p>
              </w:tc>
              <w:tc>
                <w:tcPr>
                  <w:tcW w:w="1282" w:type="dxa"/>
                  <w:vAlign w:val="center"/>
                </w:tcPr>
                <w:p w14:paraId="7E02CAB9">
                  <w:pPr>
                    <w:adjustRightInd w:val="0"/>
                    <w:snapToGrid w:val="0"/>
                    <w:jc w:val="center"/>
                    <w:rPr>
                      <w:rFonts w:hint="default" w:ascii="Times New Roman" w:hAnsi="Times New Roman" w:cs="Times New Roman"/>
                      <w:snapToGrid w:val="0"/>
                      <w:color w:val="C00000"/>
                      <w:kern w:val="21"/>
                      <w:sz w:val="21"/>
                      <w:szCs w:val="21"/>
                      <w:highlight w:val="none"/>
                      <w:lang w:val="en-US" w:eastAsia="zh-CN"/>
                    </w:rPr>
                  </w:pPr>
                  <w:r>
                    <w:rPr>
                      <w:rFonts w:hint="eastAsia"/>
                      <w:color w:val="C00000"/>
                      <w:szCs w:val="21"/>
                      <w:lang w:val="en-US" w:eastAsia="zh-CN"/>
                    </w:rPr>
                    <w:t>2.352</w:t>
                  </w:r>
                </w:p>
              </w:tc>
              <w:tc>
                <w:tcPr>
                  <w:tcW w:w="1469" w:type="dxa"/>
                  <w:vAlign w:val="center"/>
                </w:tcPr>
                <w:p w14:paraId="4C281B2F">
                  <w:pPr>
                    <w:adjustRightInd w:val="0"/>
                    <w:snapToGrid w:val="0"/>
                    <w:jc w:val="center"/>
                    <w:rPr>
                      <w:rFonts w:hint="default" w:ascii="Times New Roman" w:hAnsi="Times New Roman" w:eastAsia="宋体" w:cs="Times New Roman"/>
                      <w:color w:val="C00000"/>
                      <w:szCs w:val="21"/>
                      <w:lang w:val="en-US" w:eastAsia="zh-CN"/>
                    </w:rPr>
                  </w:pPr>
                  <w:r>
                    <w:rPr>
                      <w:rFonts w:hint="eastAsia" w:ascii="Times New Roman" w:hAnsi="Times New Roman" w:eastAsia="宋体" w:cs="Times New Roman"/>
                      <w:color w:val="C00000"/>
                      <w:szCs w:val="21"/>
                      <w:lang w:val="en-US" w:eastAsia="zh-CN"/>
                    </w:rPr>
                    <w:t>2.883</w:t>
                  </w:r>
                </w:p>
              </w:tc>
              <w:tc>
                <w:tcPr>
                  <w:tcW w:w="1185" w:type="dxa"/>
                  <w:vAlign w:val="center"/>
                </w:tcPr>
                <w:p w14:paraId="39A7BD34">
                  <w:pPr>
                    <w:adjustRightInd w:val="0"/>
                    <w:snapToGrid w:val="0"/>
                    <w:jc w:val="center"/>
                    <w:rPr>
                      <w:rFonts w:hint="default" w:ascii="Times New Roman" w:hAnsi="Times New Roman" w:eastAsia="宋体" w:cs="Times New Roman"/>
                      <w:color w:val="C00000"/>
                      <w:szCs w:val="21"/>
                      <w:lang w:val="en-US" w:eastAsia="zh-CN"/>
                    </w:rPr>
                  </w:pPr>
                  <w:r>
                    <w:rPr>
                      <w:rFonts w:hint="eastAsia" w:ascii="Times New Roman" w:hAnsi="Times New Roman" w:eastAsia="宋体" w:cs="Times New Roman"/>
                      <w:color w:val="C00000"/>
                      <w:szCs w:val="21"/>
                      <w:lang w:val="en-US" w:eastAsia="zh-CN"/>
                    </w:rPr>
                    <w:t>2.352</w:t>
                  </w:r>
                </w:p>
              </w:tc>
              <w:tc>
                <w:tcPr>
                  <w:tcW w:w="1479" w:type="dxa"/>
                  <w:vAlign w:val="center"/>
                </w:tcPr>
                <w:p w14:paraId="731259A4">
                  <w:pPr>
                    <w:adjustRightInd w:val="0"/>
                    <w:snapToGrid w:val="0"/>
                    <w:jc w:val="center"/>
                    <w:rPr>
                      <w:rFonts w:hint="default" w:ascii="Times New Roman" w:hAnsi="Times New Roman" w:eastAsia="宋体" w:cs="Times New Roman"/>
                      <w:color w:val="C00000"/>
                      <w:szCs w:val="21"/>
                      <w:lang w:val="en-US" w:eastAsia="zh-CN"/>
                    </w:rPr>
                  </w:pPr>
                  <w:r>
                    <w:rPr>
                      <w:rFonts w:hint="eastAsia" w:ascii="Times New Roman" w:hAnsi="Times New Roman" w:eastAsia="宋体" w:cs="Times New Roman"/>
                      <w:color w:val="C00000"/>
                      <w:szCs w:val="21"/>
                      <w:lang w:val="en-US" w:eastAsia="zh-CN"/>
                    </w:rPr>
                    <w:t>2.883</w:t>
                  </w:r>
                </w:p>
              </w:tc>
              <w:tc>
                <w:tcPr>
                  <w:tcW w:w="1655" w:type="dxa"/>
                  <w:vAlign w:val="center"/>
                </w:tcPr>
                <w:p w14:paraId="2205DC0B">
                  <w:pPr>
                    <w:keepNext w:val="0"/>
                    <w:keepLines w:val="0"/>
                    <w:widowControl/>
                    <w:suppressLineNumbers w:val="0"/>
                    <w:jc w:val="center"/>
                    <w:textAlignment w:val="center"/>
                    <w:rPr>
                      <w:rFonts w:hint="default" w:ascii="Times New Roman" w:hAnsi="Times New Roman" w:eastAsia="宋体" w:cs="Times New Roman"/>
                      <w:color w:val="C00000"/>
                      <w:szCs w:val="21"/>
                      <w:lang w:val="en-US" w:eastAsia="zh-CN"/>
                    </w:rPr>
                  </w:pPr>
                  <w:r>
                    <w:rPr>
                      <w:rFonts w:hint="eastAsia" w:cs="Times New Roman"/>
                      <w:i w:val="0"/>
                      <w:iCs w:val="0"/>
                      <w:color w:val="C00000"/>
                      <w:kern w:val="0"/>
                      <w:sz w:val="21"/>
                      <w:szCs w:val="21"/>
                      <w:u w:val="none"/>
                      <w:lang w:val="en-US" w:eastAsia="zh-CN" w:bidi="ar"/>
                    </w:rPr>
                    <w:t>+</w:t>
                  </w:r>
                  <w:r>
                    <w:rPr>
                      <w:rFonts w:hint="default" w:ascii="Times New Roman" w:hAnsi="Times New Roman" w:eastAsia="宋体" w:cs="Times New Roman"/>
                      <w:i w:val="0"/>
                      <w:iCs w:val="0"/>
                      <w:color w:val="C00000"/>
                      <w:kern w:val="0"/>
                      <w:sz w:val="21"/>
                      <w:szCs w:val="21"/>
                      <w:u w:val="none"/>
                      <w:lang w:val="en-US" w:eastAsia="zh-CN" w:bidi="ar"/>
                    </w:rPr>
                    <w:t>0.531</w:t>
                  </w:r>
                </w:p>
              </w:tc>
            </w:tr>
          </w:tbl>
          <w:p w14:paraId="607987CA">
            <w:pPr>
              <w:tabs>
                <w:tab w:val="left" w:pos="1238"/>
              </w:tabs>
              <w:jc w:val="left"/>
              <w:rPr>
                <w:rFonts w:hint="default" w:eastAsia="宋体"/>
                <w:color w:val="C00000"/>
                <w:highlight w:val="none"/>
                <w:lang w:val="en-US" w:eastAsia="zh-CN"/>
              </w:rPr>
            </w:pPr>
            <w:r>
              <w:rPr>
                <w:rFonts w:hint="eastAsia"/>
                <w:color w:val="C00000"/>
                <w:highlight w:val="none"/>
                <w:lang w:val="en-US" w:eastAsia="zh-CN"/>
              </w:rPr>
              <w:t>注：本项目增加总量由双鸭山市生态环境局统一调配。</w:t>
            </w:r>
          </w:p>
          <w:p w14:paraId="27DF79D8">
            <w:pPr>
              <w:pStyle w:val="48"/>
              <w:rPr>
                <w:highlight w:val="yellow"/>
              </w:rPr>
            </w:pPr>
          </w:p>
          <w:p w14:paraId="7712FC15">
            <w:pPr>
              <w:rPr>
                <w:highlight w:val="yellow"/>
              </w:rPr>
            </w:pPr>
          </w:p>
        </w:tc>
      </w:tr>
    </w:tbl>
    <w:p w14:paraId="1DBE1FCC">
      <w:pPr>
        <w:pStyle w:val="27"/>
        <w:jc w:val="center"/>
        <w:outlineLvl w:val="0"/>
        <w:rPr>
          <w:rFonts w:ascii="Times New Roman" w:hAnsi="Times New Roman"/>
          <w:snapToGrid w:val="0"/>
          <w:sz w:val="30"/>
          <w:szCs w:val="30"/>
          <w:highlight w:val="yellow"/>
        </w:rPr>
      </w:pPr>
      <w:r>
        <w:rPr>
          <w:rFonts w:ascii="Times New Roman" w:hAnsi="Times New Roman"/>
          <w:snapToGrid w:val="0"/>
          <w:sz w:val="36"/>
          <w:szCs w:val="36"/>
        </w:rPr>
        <w:br w:type="page"/>
      </w:r>
      <w:bookmarkStart w:id="14" w:name="_Toc13576"/>
      <w:bookmarkStart w:id="15" w:name="_Toc17402"/>
      <w:r>
        <w:rPr>
          <w:rFonts w:ascii="Times New Roman" w:hAnsi="Times New Roman"/>
          <w:snapToGrid w:val="0"/>
          <w:sz w:val="30"/>
          <w:szCs w:val="30"/>
        </w:rPr>
        <w:t>四、主要环境影响和保护措施</w:t>
      </w:r>
      <w:bookmarkEnd w:id="14"/>
      <w:bookmarkEnd w:id="15"/>
    </w:p>
    <w:tbl>
      <w:tblPr>
        <w:tblStyle w:val="32"/>
        <w:tblW w:w="891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70"/>
      </w:tblGrid>
      <w:tr w14:paraId="623A4A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15" w:hRule="atLeast"/>
          <w:jc w:val="center"/>
        </w:trPr>
        <w:tc>
          <w:tcPr>
            <w:tcW w:w="746" w:type="dxa"/>
            <w:tcMar>
              <w:left w:w="28" w:type="dxa"/>
              <w:right w:w="28" w:type="dxa"/>
            </w:tcMar>
            <w:vAlign w:val="center"/>
          </w:tcPr>
          <w:p w14:paraId="1BDD706B">
            <w:pPr>
              <w:pStyle w:val="27"/>
              <w:adjustRightInd w:val="0"/>
              <w:snapToGrid w:val="0"/>
              <w:spacing w:before="0" w:beforeAutospacing="0" w:after="0" w:afterAutospacing="0" w:line="360" w:lineRule="auto"/>
              <w:jc w:val="center"/>
              <w:rPr>
                <w:rFonts w:ascii="Times New Roman" w:hAnsi="Times New Roman"/>
                <w:kern w:val="2"/>
                <w:szCs w:val="24"/>
              </w:rPr>
            </w:pPr>
            <w:r>
              <w:rPr>
                <w:rFonts w:ascii="Times New Roman" w:hAnsi="Times New Roman"/>
                <w:kern w:val="2"/>
                <w:szCs w:val="24"/>
              </w:rPr>
              <w:t>施工</w:t>
            </w:r>
          </w:p>
          <w:p w14:paraId="4F32905D">
            <w:pPr>
              <w:pStyle w:val="27"/>
              <w:adjustRightInd w:val="0"/>
              <w:snapToGrid w:val="0"/>
              <w:spacing w:before="0" w:beforeAutospacing="0" w:after="0" w:afterAutospacing="0" w:line="360" w:lineRule="auto"/>
              <w:jc w:val="center"/>
              <w:rPr>
                <w:rFonts w:ascii="Times New Roman" w:hAnsi="Times New Roman"/>
                <w:kern w:val="2"/>
                <w:szCs w:val="24"/>
              </w:rPr>
            </w:pPr>
            <w:r>
              <w:rPr>
                <w:rFonts w:ascii="Times New Roman" w:hAnsi="Times New Roman"/>
                <w:kern w:val="2"/>
                <w:szCs w:val="24"/>
              </w:rPr>
              <w:t>期环</w:t>
            </w:r>
          </w:p>
          <w:p w14:paraId="25B8CB4C">
            <w:pPr>
              <w:pStyle w:val="27"/>
              <w:adjustRightInd w:val="0"/>
              <w:snapToGrid w:val="0"/>
              <w:spacing w:before="0" w:beforeAutospacing="0" w:after="0" w:afterAutospacing="0" w:line="360" w:lineRule="auto"/>
              <w:jc w:val="center"/>
              <w:rPr>
                <w:rFonts w:ascii="Times New Roman" w:hAnsi="Times New Roman"/>
                <w:kern w:val="2"/>
                <w:szCs w:val="24"/>
              </w:rPr>
            </w:pPr>
            <w:r>
              <w:rPr>
                <w:rFonts w:ascii="Times New Roman" w:hAnsi="Times New Roman"/>
                <w:kern w:val="2"/>
                <w:szCs w:val="24"/>
              </w:rPr>
              <w:t>境保</w:t>
            </w:r>
          </w:p>
          <w:p w14:paraId="3B8BA6CB">
            <w:pPr>
              <w:pStyle w:val="27"/>
              <w:adjustRightInd w:val="0"/>
              <w:snapToGrid w:val="0"/>
              <w:spacing w:before="0" w:beforeAutospacing="0" w:after="0" w:afterAutospacing="0" w:line="360" w:lineRule="auto"/>
              <w:jc w:val="center"/>
              <w:rPr>
                <w:rFonts w:ascii="Times New Roman" w:hAnsi="Times New Roman"/>
                <w:kern w:val="2"/>
                <w:szCs w:val="24"/>
              </w:rPr>
            </w:pPr>
            <w:r>
              <w:rPr>
                <w:rFonts w:ascii="Times New Roman" w:hAnsi="Times New Roman"/>
                <w:kern w:val="2"/>
                <w:szCs w:val="24"/>
              </w:rPr>
              <w:t>护措</w:t>
            </w:r>
          </w:p>
          <w:p w14:paraId="2BACA697">
            <w:pPr>
              <w:pStyle w:val="27"/>
              <w:adjustRightInd w:val="0"/>
              <w:snapToGrid w:val="0"/>
              <w:spacing w:before="0" w:beforeAutospacing="0" w:after="0" w:afterAutospacing="0" w:line="360" w:lineRule="auto"/>
              <w:jc w:val="center"/>
              <w:rPr>
                <w:rFonts w:ascii="Times New Roman" w:hAnsi="Times New Roman"/>
                <w:bCs/>
                <w:kern w:val="2"/>
                <w:szCs w:val="24"/>
              </w:rPr>
            </w:pPr>
            <w:r>
              <w:rPr>
                <w:rFonts w:ascii="Times New Roman" w:hAnsi="Times New Roman"/>
                <w:kern w:val="2"/>
                <w:szCs w:val="24"/>
              </w:rPr>
              <w:t>施</w:t>
            </w:r>
          </w:p>
        </w:tc>
        <w:tc>
          <w:tcPr>
            <w:tcW w:w="8170" w:type="dxa"/>
            <w:vAlign w:val="center"/>
          </w:tcPr>
          <w:p w14:paraId="39B39893">
            <w:pPr>
              <w:adjustRightInd w:val="0"/>
              <w:snapToGrid w:val="0"/>
              <w:spacing w:line="360" w:lineRule="auto"/>
              <w:ind w:firstLine="480" w:firstLineChars="200"/>
              <w:rPr>
                <w:bCs/>
                <w:spacing w:val="-10"/>
                <w:sz w:val="24"/>
              </w:rPr>
            </w:pPr>
            <w:r>
              <w:rPr>
                <w:rFonts w:hint="eastAsia"/>
                <w:bCs/>
                <w:sz w:val="24"/>
              </w:rPr>
              <w:t>本项目施工在原有锅炉房内进行，</w:t>
            </w:r>
            <w:r>
              <w:rPr>
                <w:rFonts w:hint="eastAsia"/>
                <w:bCs/>
                <w:sz w:val="24"/>
                <w:lang w:val="en-US" w:eastAsia="zh-CN"/>
              </w:rPr>
              <w:t>将</w:t>
            </w:r>
            <w:r>
              <w:rPr>
                <w:rFonts w:hint="eastAsia"/>
                <w:bCs/>
                <w:sz w:val="24"/>
              </w:rPr>
              <w:t>现有1台</w:t>
            </w:r>
            <w:r>
              <w:rPr>
                <w:rFonts w:hint="eastAsia"/>
                <w:bCs/>
                <w:sz w:val="24"/>
                <w:lang w:eastAsia="zh-CN"/>
              </w:rPr>
              <w:t>6t/h</w:t>
            </w:r>
            <w:r>
              <w:rPr>
                <w:rFonts w:hint="eastAsia"/>
                <w:bCs/>
                <w:sz w:val="24"/>
              </w:rPr>
              <w:t>燃煤锅炉</w:t>
            </w:r>
            <w:r>
              <w:rPr>
                <w:rFonts w:hint="eastAsia"/>
                <w:bCs/>
                <w:sz w:val="24"/>
                <w:lang w:val="en-US" w:eastAsia="zh-CN"/>
              </w:rPr>
              <w:t>改为1台6t/h燃生物质锅炉</w:t>
            </w:r>
            <w:r>
              <w:rPr>
                <w:rFonts w:hint="eastAsia"/>
                <w:bCs/>
                <w:sz w:val="24"/>
              </w:rPr>
              <w:t>。</w:t>
            </w:r>
            <w:r>
              <w:rPr>
                <w:bCs/>
                <w:sz w:val="24"/>
              </w:rPr>
              <w:t>本项目</w:t>
            </w:r>
            <w:r>
              <w:rPr>
                <w:rFonts w:hint="eastAsia"/>
                <w:bCs/>
                <w:sz w:val="24"/>
              </w:rPr>
              <w:t>施工期</w:t>
            </w:r>
            <w:r>
              <w:rPr>
                <w:bCs/>
                <w:sz w:val="24"/>
              </w:rPr>
              <w:t>主要为设备安装，不进行土建施工</w:t>
            </w:r>
            <w:r>
              <w:rPr>
                <w:rFonts w:hint="eastAsia"/>
                <w:bCs/>
                <w:sz w:val="24"/>
              </w:rPr>
              <w:t>，</w:t>
            </w:r>
            <w:r>
              <w:rPr>
                <w:bCs/>
                <w:sz w:val="24"/>
              </w:rPr>
              <w:t>对</w:t>
            </w:r>
            <w:r>
              <w:rPr>
                <w:rFonts w:hint="eastAsia"/>
                <w:bCs/>
                <w:sz w:val="24"/>
              </w:rPr>
              <w:t>周围环境影响较小，并且随设备安装结束影响消失</w:t>
            </w:r>
            <w:r>
              <w:rPr>
                <w:bCs/>
                <w:sz w:val="24"/>
              </w:rPr>
              <w:t>，故不对施工期展开具体分析</w:t>
            </w:r>
            <w:r>
              <w:rPr>
                <w:rFonts w:hint="eastAsia"/>
                <w:bCs/>
                <w:sz w:val="24"/>
              </w:rPr>
              <w:t>。</w:t>
            </w:r>
          </w:p>
        </w:tc>
      </w:tr>
      <w:tr w14:paraId="3D0381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tcMar>
              <w:left w:w="28" w:type="dxa"/>
              <w:right w:w="28" w:type="dxa"/>
            </w:tcMar>
            <w:vAlign w:val="center"/>
          </w:tcPr>
          <w:p w14:paraId="741228D9">
            <w:pPr>
              <w:adjustRightInd w:val="0"/>
              <w:snapToGrid w:val="0"/>
              <w:spacing w:line="360" w:lineRule="auto"/>
              <w:jc w:val="center"/>
              <w:rPr>
                <w:bCs/>
                <w:sz w:val="24"/>
              </w:rPr>
            </w:pPr>
            <w:r>
              <w:rPr>
                <w:bCs/>
                <w:sz w:val="24"/>
              </w:rPr>
              <w:t>运营</w:t>
            </w:r>
          </w:p>
          <w:p w14:paraId="4099714D">
            <w:pPr>
              <w:adjustRightInd w:val="0"/>
              <w:snapToGrid w:val="0"/>
              <w:spacing w:line="360" w:lineRule="auto"/>
              <w:jc w:val="center"/>
              <w:rPr>
                <w:bCs/>
                <w:sz w:val="24"/>
              </w:rPr>
            </w:pPr>
            <w:r>
              <w:rPr>
                <w:bCs/>
                <w:sz w:val="24"/>
              </w:rPr>
              <w:t>期环</w:t>
            </w:r>
          </w:p>
          <w:p w14:paraId="73BCFC3C">
            <w:pPr>
              <w:adjustRightInd w:val="0"/>
              <w:snapToGrid w:val="0"/>
              <w:spacing w:line="360" w:lineRule="auto"/>
              <w:jc w:val="center"/>
              <w:rPr>
                <w:bCs/>
                <w:sz w:val="24"/>
              </w:rPr>
            </w:pPr>
            <w:r>
              <w:rPr>
                <w:bCs/>
                <w:sz w:val="24"/>
              </w:rPr>
              <w:t>境影</w:t>
            </w:r>
          </w:p>
          <w:p w14:paraId="132C6742">
            <w:pPr>
              <w:adjustRightInd w:val="0"/>
              <w:snapToGrid w:val="0"/>
              <w:spacing w:line="360" w:lineRule="auto"/>
              <w:jc w:val="center"/>
              <w:rPr>
                <w:bCs/>
                <w:sz w:val="24"/>
              </w:rPr>
            </w:pPr>
            <w:r>
              <w:rPr>
                <w:bCs/>
                <w:sz w:val="24"/>
              </w:rPr>
              <w:t>响和</w:t>
            </w:r>
          </w:p>
          <w:p w14:paraId="32960195">
            <w:pPr>
              <w:adjustRightInd w:val="0"/>
              <w:snapToGrid w:val="0"/>
              <w:spacing w:line="360" w:lineRule="auto"/>
              <w:jc w:val="center"/>
              <w:rPr>
                <w:bCs/>
                <w:sz w:val="24"/>
              </w:rPr>
            </w:pPr>
            <w:r>
              <w:rPr>
                <w:bCs/>
                <w:sz w:val="24"/>
              </w:rPr>
              <w:t>保护</w:t>
            </w:r>
          </w:p>
          <w:p w14:paraId="34093B76">
            <w:pPr>
              <w:adjustRightInd w:val="0"/>
              <w:snapToGrid w:val="0"/>
              <w:spacing w:line="360" w:lineRule="auto"/>
              <w:jc w:val="center"/>
              <w:rPr>
                <w:bCs/>
                <w:sz w:val="24"/>
                <w:highlight w:val="yellow"/>
              </w:rPr>
            </w:pPr>
            <w:r>
              <w:rPr>
                <w:bCs/>
                <w:sz w:val="24"/>
              </w:rPr>
              <w:t>措施</w:t>
            </w:r>
          </w:p>
        </w:tc>
        <w:tc>
          <w:tcPr>
            <w:tcW w:w="8170" w:type="dxa"/>
            <w:vAlign w:val="center"/>
          </w:tcPr>
          <w:p w14:paraId="0751AE00">
            <w:pPr>
              <w:pStyle w:val="59"/>
              <w:spacing w:line="360" w:lineRule="auto"/>
              <w:ind w:firstLine="482"/>
              <w:rPr>
                <w:b/>
                <w:bCs/>
                <w:szCs w:val="24"/>
              </w:rPr>
            </w:pPr>
            <w:r>
              <w:rPr>
                <w:b/>
                <w:bCs/>
                <w:szCs w:val="24"/>
              </w:rPr>
              <w:t>1、废气</w:t>
            </w:r>
          </w:p>
          <w:p w14:paraId="718A7192">
            <w:pPr>
              <w:pStyle w:val="70"/>
              <w:spacing w:beforeLines="0" w:afterLines="0" w:line="360" w:lineRule="auto"/>
              <w:ind w:firstLine="480"/>
              <w:rPr>
                <w:color w:val="auto"/>
              </w:rPr>
            </w:pPr>
            <w:r>
              <w:rPr>
                <w:color w:val="C00000"/>
              </w:rPr>
              <w:t>本项目</w:t>
            </w:r>
            <w:r>
              <w:rPr>
                <w:rFonts w:hint="eastAsia"/>
                <w:color w:val="C00000"/>
                <w:lang w:val="en-US" w:eastAsia="zh-CN"/>
              </w:rPr>
              <w:t>热风炉炉渣暂存</w:t>
            </w:r>
            <w:r>
              <w:rPr>
                <w:color w:val="C00000"/>
              </w:rPr>
              <w:t>在灰渣仓内，袋装封闭存放，及时清运处理，</w:t>
            </w:r>
            <w:r>
              <w:rPr>
                <w:rFonts w:hint="eastAsia"/>
                <w:color w:val="C00000"/>
                <w:lang w:val="en-US" w:eastAsia="zh-CN"/>
              </w:rPr>
              <w:t>灰渣仓为密闭设施，定期洒水降尘，</w:t>
            </w:r>
            <w:r>
              <w:rPr>
                <w:color w:val="C00000"/>
              </w:rPr>
              <w:t>不会产生污染；</w:t>
            </w:r>
            <w:r>
              <w:rPr>
                <w:rFonts w:hint="eastAsia"/>
                <w:color w:val="C00000"/>
                <w:lang w:val="en-US" w:eastAsia="zh-CN"/>
              </w:rPr>
              <w:t>本项目原粮储存不产生粉尘，卸粮</w:t>
            </w:r>
            <w:r>
              <w:rPr>
                <w:color w:val="C00000"/>
                <w:szCs w:val="21"/>
              </w:rPr>
              <w:t>设置临时围挡，减小装卸高度等措施进行降尘</w:t>
            </w:r>
            <w:r>
              <w:rPr>
                <w:rFonts w:hint="eastAsia"/>
                <w:color w:val="C00000"/>
                <w:szCs w:val="21"/>
                <w:lang w:eastAsia="zh-CN"/>
              </w:rPr>
              <w:t>；</w:t>
            </w:r>
            <w:r>
              <w:rPr>
                <w:color w:val="auto"/>
              </w:rPr>
              <w:t>本项目所用</w:t>
            </w:r>
            <w:r>
              <w:rPr>
                <w:rFonts w:hint="eastAsia"/>
                <w:color w:val="auto"/>
              </w:rPr>
              <w:t>筛选</w:t>
            </w:r>
            <w:r>
              <w:rPr>
                <w:color w:val="auto"/>
              </w:rPr>
              <w:t>、输送为密闭设备，原粮及烘干后的玉米采用密闭输送设备输送，运行过</w:t>
            </w:r>
            <w:r>
              <w:rPr>
                <w:rFonts w:hint="eastAsia"/>
                <w:color w:val="auto"/>
                <w:lang w:eastAsia="zh-CN"/>
              </w:rPr>
              <w:t>程中</w:t>
            </w:r>
            <w:r>
              <w:rPr>
                <w:color w:val="auto"/>
              </w:rPr>
              <w:t>需加强输送设备的管理，做好设备密封工作，定期检修，输送粉尘产生量少，本次不做具体分析。运行期废气污染源主要为卸粮</w:t>
            </w:r>
            <w:r>
              <w:rPr>
                <w:rFonts w:hint="eastAsia"/>
                <w:color w:val="auto"/>
              </w:rPr>
              <w:t>筛分</w:t>
            </w:r>
            <w:r>
              <w:rPr>
                <w:color w:val="auto"/>
              </w:rPr>
              <w:t>工序产生的</w:t>
            </w:r>
            <w:r>
              <w:rPr>
                <w:rFonts w:hint="eastAsia"/>
                <w:color w:val="auto"/>
              </w:rPr>
              <w:t>粉尘</w:t>
            </w:r>
            <w:r>
              <w:rPr>
                <w:color w:val="auto"/>
              </w:rPr>
              <w:t>，烘干塔废气和热风炉烟气。</w:t>
            </w:r>
          </w:p>
          <w:p w14:paraId="425BD312">
            <w:pPr>
              <w:pStyle w:val="70"/>
              <w:spacing w:beforeLines="0" w:afterLines="0" w:line="360" w:lineRule="auto"/>
              <w:ind w:firstLine="480"/>
              <w:jc w:val="left"/>
              <w:rPr>
                <w:color w:val="auto"/>
              </w:rPr>
            </w:pPr>
            <w:r>
              <w:rPr>
                <w:color w:val="auto"/>
              </w:rPr>
              <w:t>（一）源强核算及达标排放情况</w:t>
            </w:r>
          </w:p>
          <w:p w14:paraId="2ED73664">
            <w:pPr>
              <w:pStyle w:val="70"/>
              <w:spacing w:beforeLines="0" w:afterLines="0" w:line="360" w:lineRule="auto"/>
              <w:ind w:firstLine="480"/>
              <w:jc w:val="left"/>
              <w:rPr>
                <w:color w:val="auto"/>
              </w:rPr>
            </w:pPr>
            <w:r>
              <w:rPr>
                <w:color w:val="auto"/>
              </w:rPr>
              <w:t>（1）运输废气</w:t>
            </w:r>
          </w:p>
          <w:p w14:paraId="7AE90140">
            <w:pPr>
              <w:pStyle w:val="70"/>
              <w:spacing w:beforeLines="0" w:afterLines="0" w:line="360" w:lineRule="auto"/>
              <w:ind w:firstLine="480"/>
              <w:jc w:val="left"/>
              <w:rPr>
                <w:color w:val="auto"/>
                <w:highlight w:val="yellow"/>
              </w:rPr>
            </w:pPr>
            <w:r>
              <w:rPr>
                <w:color w:val="auto"/>
              </w:rPr>
              <w:t>项目运行期间原料及燃料量较大，运输过程中可能会产生扬尘本</w:t>
            </w:r>
            <w:r>
              <w:rPr>
                <w:rFonts w:hint="eastAsia"/>
                <w:color w:val="auto"/>
              </w:rPr>
              <w:t>项目</w:t>
            </w:r>
            <w:r>
              <w:rPr>
                <w:color w:val="auto"/>
              </w:rPr>
              <w:t>要求：生物质燃料和原料运输过程中用毡布覆盖，装卸过程中严格遵守在封闭仓库内进行；运输车辆严格控制车速减速慢行，车辆进厂后及时洒水降尘</w:t>
            </w:r>
            <w:r>
              <w:rPr>
                <w:rFonts w:hint="eastAsia"/>
                <w:color w:val="auto"/>
              </w:rPr>
              <w:t>。</w:t>
            </w:r>
          </w:p>
          <w:p w14:paraId="05F3EE9E">
            <w:pPr>
              <w:spacing w:line="360" w:lineRule="auto"/>
              <w:ind w:firstLine="480" w:firstLineChars="200"/>
              <w:rPr>
                <w:color w:val="C00000"/>
                <w:sz w:val="24"/>
              </w:rPr>
            </w:pPr>
            <w:r>
              <w:rPr>
                <w:color w:val="C00000"/>
                <w:kern w:val="0"/>
                <w:sz w:val="24"/>
                <w:lang w:bidi="ar"/>
              </w:rPr>
              <w:t>（2）</w:t>
            </w:r>
            <w:r>
              <w:rPr>
                <w:color w:val="C00000"/>
                <w:sz w:val="24"/>
              </w:rPr>
              <w:t>卸粮废气</w:t>
            </w:r>
          </w:p>
          <w:p w14:paraId="116BB049">
            <w:pPr>
              <w:pStyle w:val="70"/>
              <w:spacing w:beforeLines="0" w:afterLines="0" w:line="360" w:lineRule="auto"/>
              <w:ind w:firstLine="480"/>
              <w:rPr>
                <w:color w:val="C00000"/>
              </w:rPr>
            </w:pPr>
            <w:r>
              <w:rPr>
                <w:color w:val="C00000"/>
              </w:rPr>
              <w:t>本项目原粮卸粮过程中会产生废气，主要污染物为颗粒物，根据《逸散性工业粉尘控制技术》中谷物贮仓，卡车卸料粉尘系数为0.16kg/t（卸料），本项目原粮卸料总量为</w:t>
            </w:r>
            <w:r>
              <w:rPr>
                <w:rFonts w:hint="eastAsia"/>
                <w:color w:val="C00000"/>
              </w:rPr>
              <w:t>15000</w:t>
            </w:r>
            <w:r>
              <w:rPr>
                <w:color w:val="C00000"/>
              </w:rPr>
              <w:t>吨，粉尘产生量为</w:t>
            </w:r>
            <w:r>
              <w:rPr>
                <w:rFonts w:hint="eastAsia"/>
                <w:color w:val="C00000"/>
              </w:rPr>
              <w:t>2.4</w:t>
            </w:r>
            <w:r>
              <w:rPr>
                <w:color w:val="C00000"/>
              </w:rPr>
              <w:t>t/a，卸粮时间按每天6h，年工作</w:t>
            </w:r>
            <w:r>
              <w:rPr>
                <w:rFonts w:hint="eastAsia"/>
                <w:color w:val="C00000"/>
              </w:rPr>
              <w:t>50</w:t>
            </w:r>
            <w:r>
              <w:rPr>
                <w:color w:val="C00000"/>
              </w:rPr>
              <w:t>天计，产生速率为</w:t>
            </w:r>
            <w:r>
              <w:rPr>
                <w:rFonts w:hint="eastAsia"/>
                <w:color w:val="C00000"/>
              </w:rPr>
              <w:t>8</w:t>
            </w:r>
            <w:r>
              <w:rPr>
                <w:color w:val="C00000"/>
              </w:rPr>
              <w:t>kg/h，粮食装卸粉尘绝大多数将受到重力的作用回落到地面，根据企业现有工程对比数据及查阅相关资料，采取减小装卸高度、密闭输送等降尘措施，可使粉尘降低约80%，粉尘排放量为</w:t>
            </w:r>
            <w:r>
              <w:rPr>
                <w:rFonts w:hint="eastAsia"/>
                <w:color w:val="C00000"/>
              </w:rPr>
              <w:t>1.6</w:t>
            </w:r>
            <w:r>
              <w:rPr>
                <w:color w:val="C00000"/>
              </w:rPr>
              <w:t>kg/h、</w:t>
            </w:r>
            <w:r>
              <w:rPr>
                <w:rFonts w:hint="eastAsia"/>
                <w:color w:val="C00000"/>
              </w:rPr>
              <w:t>0.48</w:t>
            </w:r>
            <w:r>
              <w:rPr>
                <w:color w:val="C00000"/>
              </w:rPr>
              <w:t>t/a。</w:t>
            </w:r>
          </w:p>
          <w:p w14:paraId="78E556EB">
            <w:pPr>
              <w:pStyle w:val="70"/>
              <w:spacing w:beforeLines="0" w:afterLines="0" w:line="360" w:lineRule="auto"/>
              <w:ind w:firstLine="480"/>
              <w:jc w:val="left"/>
              <w:rPr>
                <w:color w:val="FF0000"/>
              </w:rPr>
            </w:pPr>
            <w:r>
              <w:rPr>
                <w:color w:val="FF0000"/>
              </w:rPr>
              <w:t>（3）烘干塔废气</w:t>
            </w:r>
          </w:p>
          <w:p w14:paraId="207E1CC4">
            <w:pPr>
              <w:spacing w:line="360" w:lineRule="auto"/>
              <w:ind w:firstLine="480" w:firstLineChars="200"/>
              <w:rPr>
                <w:color w:val="FF0000"/>
                <w:sz w:val="24"/>
              </w:rPr>
            </w:pPr>
            <w:r>
              <w:rPr>
                <w:color w:val="FF0000"/>
                <w:sz w:val="24"/>
              </w:rPr>
              <w:t>本项目原粮烘干过程中会有粉尘产生，参考《逸散性工业粉尘控制技术》（中国环境科学出版社）谷物贮仓章节中，对谷物烘干过程中产尘系数的分析，本次产尘系数</w:t>
            </w:r>
            <w:r>
              <w:rPr>
                <w:color w:val="FF0000"/>
                <w:sz w:val="24"/>
                <w:highlight w:val="none"/>
              </w:rPr>
              <w:t>按照0.</w:t>
            </w:r>
            <w:r>
              <w:rPr>
                <w:rFonts w:hint="eastAsia"/>
                <w:color w:val="FF0000"/>
                <w:sz w:val="24"/>
                <w:highlight w:val="none"/>
                <w:lang w:val="en-US" w:eastAsia="zh-CN"/>
              </w:rPr>
              <w:t>25</w:t>
            </w:r>
            <w:r>
              <w:rPr>
                <w:color w:val="FF0000"/>
                <w:sz w:val="24"/>
                <w:highlight w:val="none"/>
              </w:rPr>
              <w:t>千克/吨-原</w:t>
            </w:r>
            <w:r>
              <w:rPr>
                <w:color w:val="FF0000"/>
                <w:sz w:val="24"/>
              </w:rPr>
              <w:t>料进行核算，根据物料平衡，进入烘干塔原粮量为</w:t>
            </w:r>
            <w:r>
              <w:rPr>
                <w:rFonts w:hint="eastAsia"/>
                <w:color w:val="FF0000"/>
                <w:sz w:val="24"/>
              </w:rPr>
              <w:t>15000</w:t>
            </w:r>
            <w:r>
              <w:rPr>
                <w:color w:val="FF0000"/>
                <w:sz w:val="24"/>
              </w:rPr>
              <w:t>t/a，则产生粉尘量</w:t>
            </w:r>
            <w:r>
              <w:rPr>
                <w:rFonts w:hint="eastAsia"/>
                <w:color w:val="FF0000"/>
                <w:sz w:val="24"/>
                <w:lang w:val="en-US" w:eastAsia="zh-CN"/>
              </w:rPr>
              <w:t>3.75</w:t>
            </w:r>
            <w:r>
              <w:rPr>
                <w:color w:val="FF0000"/>
                <w:sz w:val="24"/>
              </w:rPr>
              <w:t>t/a，烘干塔工作时间按每天24h，年工作</w:t>
            </w:r>
            <w:r>
              <w:rPr>
                <w:rFonts w:hint="eastAsia"/>
                <w:color w:val="FF0000"/>
                <w:sz w:val="24"/>
              </w:rPr>
              <w:t>50</w:t>
            </w:r>
            <w:r>
              <w:rPr>
                <w:color w:val="FF0000"/>
                <w:sz w:val="24"/>
              </w:rPr>
              <w:t>天计，产生速率</w:t>
            </w:r>
            <w:r>
              <w:rPr>
                <w:rFonts w:hint="eastAsia"/>
                <w:color w:val="FF0000"/>
                <w:sz w:val="24"/>
                <w:lang w:val="en-US" w:eastAsia="zh-CN"/>
              </w:rPr>
              <w:t>3.125</w:t>
            </w:r>
            <w:r>
              <w:rPr>
                <w:color w:val="FF0000"/>
                <w:sz w:val="24"/>
              </w:rPr>
              <w:t>kg/h，</w:t>
            </w:r>
            <w:r>
              <w:rPr>
                <w:rFonts w:hint="eastAsia"/>
                <w:color w:val="FF0000"/>
                <w:sz w:val="24"/>
                <w:lang w:val="en-US" w:eastAsia="zh-CN"/>
              </w:rPr>
              <w:t>筛分</w:t>
            </w:r>
            <w:r>
              <w:rPr>
                <w:color w:val="FF0000"/>
                <w:sz w:val="24"/>
              </w:rPr>
              <w:t>采用密闭式</w:t>
            </w:r>
            <w:r>
              <w:rPr>
                <w:rFonts w:hint="eastAsia"/>
                <w:color w:val="FF0000"/>
                <w:sz w:val="24"/>
                <w:lang w:val="en-US" w:eastAsia="zh-CN"/>
              </w:rPr>
              <w:t>设施</w:t>
            </w:r>
            <w:r>
              <w:rPr>
                <w:rFonts w:hint="eastAsia"/>
                <w:color w:val="FF0000"/>
                <w:sz w:val="24"/>
                <w:lang w:eastAsia="zh-CN"/>
              </w:rPr>
              <w:t>；</w:t>
            </w:r>
            <w:r>
              <w:rPr>
                <w:color w:val="FF0000"/>
                <w:sz w:val="24"/>
              </w:rPr>
              <w:t>烘干塔</w:t>
            </w:r>
            <w:r>
              <w:rPr>
                <w:rFonts w:hint="eastAsia"/>
                <w:color w:val="FF0000"/>
                <w:sz w:val="24"/>
                <w:lang w:val="en-US" w:eastAsia="zh-CN"/>
              </w:rPr>
              <w:t>塔体外设置铁皮塔衣，塔顶设置抑尘网，</w:t>
            </w:r>
            <w:r>
              <w:rPr>
                <w:color w:val="FF0000"/>
                <w:sz w:val="24"/>
              </w:rPr>
              <w:t>能有效控制大粒径粉尘的排放，根据企业提供数据，除尘效率可达70%，烘干塔废气经塔体两侧排气孔排出，排放速率为</w:t>
            </w:r>
            <w:r>
              <w:rPr>
                <w:rFonts w:hint="eastAsia"/>
                <w:color w:val="FF0000"/>
                <w:sz w:val="24"/>
              </w:rPr>
              <w:t>0.</w:t>
            </w:r>
            <w:r>
              <w:rPr>
                <w:rFonts w:hint="eastAsia"/>
                <w:color w:val="FF0000"/>
                <w:sz w:val="24"/>
                <w:lang w:val="en-US" w:eastAsia="zh-CN"/>
              </w:rPr>
              <w:t>938</w:t>
            </w:r>
            <w:r>
              <w:rPr>
                <w:color w:val="FF0000"/>
                <w:sz w:val="24"/>
              </w:rPr>
              <w:t>kg/h，排放量为</w:t>
            </w:r>
            <w:r>
              <w:rPr>
                <w:rFonts w:hint="eastAsia"/>
                <w:color w:val="FF0000"/>
                <w:sz w:val="24"/>
                <w:lang w:val="en-US" w:eastAsia="zh-CN"/>
              </w:rPr>
              <w:t>1.125</w:t>
            </w:r>
            <w:r>
              <w:rPr>
                <w:color w:val="FF0000"/>
                <w:sz w:val="24"/>
              </w:rPr>
              <w:t>t/a。</w:t>
            </w:r>
          </w:p>
          <w:p w14:paraId="4C22443E">
            <w:pPr>
              <w:pStyle w:val="70"/>
              <w:spacing w:beforeLines="0" w:afterLines="0" w:line="360" w:lineRule="auto"/>
              <w:ind w:firstLine="480"/>
              <w:jc w:val="left"/>
              <w:rPr>
                <w:color w:val="auto"/>
              </w:rPr>
            </w:pPr>
            <w:r>
              <w:rPr>
                <w:color w:val="auto"/>
              </w:rPr>
              <w:t>（4）</w:t>
            </w:r>
            <w:r>
              <w:rPr>
                <w:rFonts w:hint="eastAsia"/>
                <w:color w:val="auto"/>
              </w:rPr>
              <w:t>筛分</w:t>
            </w:r>
            <w:r>
              <w:rPr>
                <w:color w:val="auto"/>
              </w:rPr>
              <w:t>废气</w:t>
            </w:r>
          </w:p>
          <w:p w14:paraId="1F6D9043">
            <w:pPr>
              <w:pStyle w:val="25"/>
              <w:ind w:firstLine="480"/>
            </w:pPr>
            <w:r>
              <w:rPr>
                <w:sz w:val="24"/>
                <w:szCs w:val="24"/>
              </w:rPr>
              <w:t>本项目原粮</w:t>
            </w:r>
            <w:r>
              <w:rPr>
                <w:rFonts w:hint="eastAsia"/>
                <w:sz w:val="24"/>
                <w:szCs w:val="24"/>
              </w:rPr>
              <w:t>筛分</w:t>
            </w:r>
            <w:r>
              <w:rPr>
                <w:sz w:val="24"/>
                <w:szCs w:val="24"/>
              </w:rPr>
              <w:t>过程中会产生废气，主要污染物为颗粒物，根据《逸散性工业粉尘控制技术》中谷物贮仓，筛分粉尘系数为0.1kg/t（过筛和清理），本项目筛分原粮量</w:t>
            </w:r>
            <w:r>
              <w:rPr>
                <w:rFonts w:hint="eastAsia"/>
                <w:sz w:val="24"/>
                <w:szCs w:val="24"/>
              </w:rPr>
              <w:t>15000</w:t>
            </w:r>
            <w:r>
              <w:rPr>
                <w:sz w:val="24"/>
                <w:szCs w:val="24"/>
              </w:rPr>
              <w:t>吨，则粉尘产生量为</w:t>
            </w:r>
            <w:r>
              <w:rPr>
                <w:rFonts w:hint="eastAsia"/>
                <w:sz w:val="24"/>
                <w:szCs w:val="24"/>
              </w:rPr>
              <w:t>1.5</w:t>
            </w:r>
            <w:r>
              <w:rPr>
                <w:sz w:val="24"/>
                <w:szCs w:val="24"/>
              </w:rPr>
              <w:t>t/a，原粮</w:t>
            </w:r>
            <w:r>
              <w:rPr>
                <w:rFonts w:hint="eastAsia"/>
                <w:sz w:val="24"/>
                <w:szCs w:val="24"/>
              </w:rPr>
              <w:t>筛分</w:t>
            </w:r>
            <w:r>
              <w:rPr>
                <w:sz w:val="24"/>
                <w:szCs w:val="24"/>
              </w:rPr>
              <w:t>时间按每天6h，年工作</w:t>
            </w:r>
            <w:r>
              <w:rPr>
                <w:rFonts w:hint="eastAsia"/>
                <w:sz w:val="24"/>
                <w:szCs w:val="24"/>
              </w:rPr>
              <w:t>50</w:t>
            </w:r>
            <w:r>
              <w:rPr>
                <w:sz w:val="24"/>
                <w:szCs w:val="24"/>
              </w:rPr>
              <w:t>天计，产生速率为</w:t>
            </w:r>
            <w:r>
              <w:rPr>
                <w:rFonts w:hint="eastAsia"/>
                <w:sz w:val="24"/>
                <w:szCs w:val="24"/>
              </w:rPr>
              <w:t>5</w:t>
            </w:r>
            <w:r>
              <w:rPr>
                <w:sz w:val="24"/>
                <w:szCs w:val="24"/>
              </w:rPr>
              <w:t>kg/h，采用密闭式环保设备，</w:t>
            </w:r>
            <w:r>
              <w:rPr>
                <w:rFonts w:hint="eastAsia"/>
                <w:sz w:val="24"/>
                <w:szCs w:val="24"/>
              </w:rPr>
              <w:t>清选机</w:t>
            </w:r>
            <w:r>
              <w:rPr>
                <w:sz w:val="24"/>
                <w:szCs w:val="24"/>
              </w:rPr>
              <w:t>外部被密封隔离罩所密封，根据企业提供数据，原粮</w:t>
            </w:r>
            <w:r>
              <w:rPr>
                <w:rFonts w:hint="eastAsia"/>
                <w:sz w:val="24"/>
                <w:szCs w:val="24"/>
              </w:rPr>
              <w:t>筛分</w:t>
            </w:r>
            <w:r>
              <w:rPr>
                <w:sz w:val="24"/>
                <w:szCs w:val="24"/>
              </w:rPr>
              <w:t>粉尘排放量约为产生量的</w:t>
            </w:r>
            <w:r>
              <w:rPr>
                <w:rFonts w:hint="eastAsia"/>
                <w:sz w:val="24"/>
                <w:szCs w:val="24"/>
              </w:rPr>
              <w:t>2</w:t>
            </w:r>
            <w:r>
              <w:rPr>
                <w:sz w:val="24"/>
                <w:szCs w:val="24"/>
              </w:rPr>
              <w:t>0%，则</w:t>
            </w:r>
            <w:r>
              <w:rPr>
                <w:rFonts w:hint="eastAsia"/>
                <w:sz w:val="24"/>
                <w:szCs w:val="24"/>
              </w:rPr>
              <w:t>筛分</w:t>
            </w:r>
            <w:r>
              <w:rPr>
                <w:sz w:val="24"/>
                <w:szCs w:val="24"/>
              </w:rPr>
              <w:t>粉尘排放量为</w:t>
            </w:r>
            <w:r>
              <w:rPr>
                <w:rFonts w:hint="eastAsia"/>
                <w:sz w:val="24"/>
                <w:szCs w:val="24"/>
              </w:rPr>
              <w:t>1</w:t>
            </w:r>
            <w:r>
              <w:rPr>
                <w:sz w:val="24"/>
                <w:szCs w:val="24"/>
              </w:rPr>
              <w:t>kg/h、</w:t>
            </w:r>
            <w:r>
              <w:rPr>
                <w:rFonts w:hint="eastAsia"/>
                <w:sz w:val="24"/>
                <w:szCs w:val="24"/>
              </w:rPr>
              <w:t>0.3</w:t>
            </w:r>
            <w:r>
              <w:rPr>
                <w:sz w:val="24"/>
                <w:szCs w:val="24"/>
              </w:rPr>
              <w:t>t/a</w:t>
            </w:r>
            <w:r>
              <w:rPr>
                <w:rFonts w:hint="eastAsia"/>
                <w:sz w:val="24"/>
                <w:szCs w:val="24"/>
              </w:rPr>
              <w:t>。</w:t>
            </w:r>
          </w:p>
          <w:p w14:paraId="1E00A444">
            <w:pPr>
              <w:widowControl/>
              <w:spacing w:line="360" w:lineRule="auto"/>
              <w:ind w:firstLine="480" w:firstLineChars="200"/>
              <w:jc w:val="left"/>
              <w:rPr>
                <w:sz w:val="24"/>
              </w:rPr>
            </w:pPr>
            <w:r>
              <w:rPr>
                <w:kern w:val="0"/>
                <w:sz w:val="24"/>
                <w:lang w:bidi="ar"/>
              </w:rPr>
              <w:t xml:space="preserve">（5）热风炉烟气 </w:t>
            </w:r>
          </w:p>
          <w:p w14:paraId="002DD15A">
            <w:pPr>
              <w:spacing w:line="360" w:lineRule="auto"/>
              <w:ind w:firstLine="480" w:firstLineChars="200"/>
              <w:rPr>
                <w:kern w:val="0"/>
                <w:sz w:val="24"/>
                <w:lang w:bidi="ar"/>
              </w:rPr>
            </w:pPr>
            <w:r>
              <w:rPr>
                <w:kern w:val="0"/>
                <w:sz w:val="24"/>
                <w:lang w:bidi="ar"/>
              </w:rPr>
              <w:t>本项目烘干塔烘干用热由生物质热风炉提供，</w:t>
            </w:r>
            <w:r>
              <w:rPr>
                <w:sz w:val="24"/>
              </w:rPr>
              <w:t>根据物料平衡，烘干原粮量为</w:t>
            </w:r>
            <w:r>
              <w:rPr>
                <w:rFonts w:hint="eastAsia"/>
                <w:sz w:val="24"/>
              </w:rPr>
              <w:t>15000</w:t>
            </w:r>
            <w:r>
              <w:rPr>
                <w:sz w:val="24"/>
              </w:rPr>
              <w:t>t/a，</w:t>
            </w:r>
            <w:r>
              <w:rPr>
                <w:kern w:val="0"/>
                <w:sz w:val="24"/>
                <w:lang w:bidi="ar"/>
              </w:rPr>
              <w:t>年烘干时间</w:t>
            </w:r>
            <w:r>
              <w:rPr>
                <w:rFonts w:hint="eastAsia"/>
                <w:kern w:val="0"/>
                <w:sz w:val="24"/>
                <w:lang w:bidi="ar"/>
              </w:rPr>
              <w:t>50</w:t>
            </w:r>
            <w:r>
              <w:rPr>
                <w:kern w:val="0"/>
                <w:sz w:val="24"/>
                <w:lang w:bidi="ar"/>
              </w:rPr>
              <w:t>天（每天24h），热风炉烟气经过布袋除尘器处理后排放。热风炉的燃料为生物质</w:t>
            </w:r>
            <w:r>
              <w:rPr>
                <w:rFonts w:hint="eastAsia"/>
                <w:kern w:val="0"/>
                <w:sz w:val="24"/>
                <w:lang w:bidi="ar"/>
              </w:rPr>
              <w:t>压块</w:t>
            </w:r>
            <w:r>
              <w:rPr>
                <w:kern w:val="0"/>
                <w:sz w:val="24"/>
                <w:lang w:bidi="ar"/>
              </w:rPr>
              <w:t>，生物质燃料热值取</w:t>
            </w:r>
            <w:r>
              <w:rPr>
                <w:rFonts w:hint="eastAsia"/>
                <w:kern w:val="0"/>
                <w:sz w:val="24"/>
                <w:lang w:bidi="ar"/>
              </w:rPr>
              <w:t>3368</w:t>
            </w:r>
            <w:r>
              <w:rPr>
                <w:kern w:val="0"/>
                <w:sz w:val="24"/>
                <w:lang w:bidi="ar"/>
              </w:rPr>
              <w:t>cal/g（</w:t>
            </w:r>
            <w:r>
              <w:rPr>
                <w:rFonts w:hint="eastAsia"/>
                <w:kern w:val="0"/>
                <w:sz w:val="24"/>
                <w:lang w:bidi="ar"/>
              </w:rPr>
              <w:t>14.083</w:t>
            </w:r>
            <w:r>
              <w:rPr>
                <w:kern w:val="0"/>
                <w:sz w:val="24"/>
                <w:lang w:bidi="ar"/>
              </w:rPr>
              <w:t>MJ/kg</w:t>
            </w:r>
            <w:r>
              <w:rPr>
                <w:kern w:val="0"/>
                <w:sz w:val="24"/>
                <w:highlight w:val="none"/>
                <w:lang w:bidi="ar"/>
              </w:rPr>
              <w:t>）（见附件</w:t>
            </w:r>
            <w:r>
              <w:rPr>
                <w:rFonts w:hint="eastAsia"/>
                <w:kern w:val="0"/>
                <w:sz w:val="24"/>
                <w:highlight w:val="none"/>
                <w:lang w:bidi="ar"/>
              </w:rPr>
              <w:t>7</w:t>
            </w:r>
            <w:r>
              <w:rPr>
                <w:kern w:val="0"/>
                <w:sz w:val="24"/>
                <w:highlight w:val="none"/>
                <w:lang w:bidi="ar"/>
              </w:rPr>
              <w:t>）</w:t>
            </w:r>
            <w:r>
              <w:rPr>
                <w:kern w:val="0"/>
                <w:sz w:val="24"/>
                <w:lang w:bidi="ar"/>
              </w:rPr>
              <w:t>，热风炉热效率为</w:t>
            </w:r>
            <w:r>
              <w:rPr>
                <w:rFonts w:hint="eastAsia"/>
                <w:kern w:val="0"/>
                <w:sz w:val="24"/>
                <w:lang w:bidi="ar"/>
              </w:rPr>
              <w:t>80</w:t>
            </w:r>
            <w:r>
              <w:rPr>
                <w:kern w:val="0"/>
                <w:sz w:val="24"/>
                <w:lang w:bidi="ar"/>
              </w:rPr>
              <w:t>%，本项目设计燃料使用量为</w:t>
            </w:r>
            <w:r>
              <w:rPr>
                <w:rFonts w:hint="eastAsia"/>
                <w:kern w:val="0"/>
                <w:sz w:val="24"/>
                <w:lang w:eastAsia="zh-CN" w:bidi="ar"/>
              </w:rPr>
              <w:t>1303</w:t>
            </w:r>
            <w:r>
              <w:rPr>
                <w:kern w:val="0"/>
                <w:sz w:val="24"/>
                <w:lang w:bidi="ar"/>
              </w:rPr>
              <w:t>t/a。</w:t>
            </w:r>
          </w:p>
          <w:p w14:paraId="51172A3F">
            <w:pPr>
              <w:spacing w:line="360" w:lineRule="auto"/>
              <w:ind w:firstLine="480" w:firstLineChars="200"/>
              <w:rPr>
                <w:kern w:val="0"/>
                <w:sz w:val="24"/>
                <w:lang w:bidi="ar"/>
              </w:rPr>
            </w:pPr>
            <w:r>
              <w:rPr>
                <w:sz w:val="24"/>
                <w:lang w:bidi="ar"/>
              </w:rPr>
              <w:t>本项目生物质分析报告中未体现汞含量，根据《直接法测定固体生物质燃料中汞的试验研究》（煤质技术，2020年）可知，生物质燃料汞含量极低。由于生物质汞含量极低的特点，本项目暂不开展汞及其化合物分析。因此，本项目不涉及大气专项设置原则中提及的有毒有害物质。</w:t>
            </w:r>
          </w:p>
          <w:p w14:paraId="5FAA3091">
            <w:pPr>
              <w:spacing w:line="360" w:lineRule="auto"/>
              <w:ind w:firstLine="480" w:firstLineChars="200"/>
              <w:rPr>
                <w:kern w:val="0"/>
                <w:sz w:val="24"/>
              </w:rPr>
            </w:pPr>
            <w:r>
              <w:rPr>
                <w:kern w:val="0"/>
                <w:sz w:val="24"/>
              </w:rPr>
              <w:t>热风炉燃烧产生的大气污染物有SO</w:t>
            </w:r>
            <w:r>
              <w:rPr>
                <w:kern w:val="0"/>
                <w:sz w:val="24"/>
                <w:vertAlign w:val="subscript"/>
              </w:rPr>
              <w:t>2</w:t>
            </w:r>
            <w:r>
              <w:rPr>
                <w:kern w:val="0"/>
                <w:sz w:val="24"/>
              </w:rPr>
              <w:t>、烟尘及NO</w:t>
            </w:r>
            <w:r>
              <w:rPr>
                <w:kern w:val="0"/>
                <w:sz w:val="24"/>
                <w:vertAlign w:val="subscript"/>
              </w:rPr>
              <w:t>X</w:t>
            </w:r>
            <w:r>
              <w:rPr>
                <w:kern w:val="0"/>
                <w:sz w:val="24"/>
              </w:rPr>
              <w:t>。根据《污染源源强核算技术指南锅炉》(HJ991-2018)</w:t>
            </w:r>
            <w:r>
              <w:rPr>
                <w:rFonts w:hint="eastAsia"/>
                <w:kern w:val="0"/>
                <w:sz w:val="24"/>
              </w:rPr>
              <w:t>计算如下：</w:t>
            </w:r>
          </w:p>
          <w:p w14:paraId="391A9E1D">
            <w:pPr>
              <w:snapToGrid w:val="0"/>
              <w:spacing w:line="360" w:lineRule="auto"/>
              <w:ind w:firstLine="480" w:firstLineChars="200"/>
            </w:pPr>
            <w:r>
              <w:rPr>
                <w:sz w:val="24"/>
              </w:rPr>
              <w:t>①烟气量</w:t>
            </w:r>
          </w:p>
          <w:p w14:paraId="258C24FA">
            <w:pPr>
              <w:pStyle w:val="121"/>
              <w:adjustRightInd w:val="0"/>
              <w:ind w:firstLine="480"/>
              <w:rPr>
                <w:sz w:val="24"/>
              </w:rPr>
            </w:pPr>
            <w:r>
              <w:rPr>
                <w:sz w:val="24"/>
              </w:rPr>
              <w:t>本项目理论空气量采用《污染源源强核算技术指南 锅炉》（HJ991-2018）附录C中C.2有元素成分分析时理论空气量进行计算，公式如下：</w:t>
            </w:r>
          </w:p>
          <w:p w14:paraId="4A6AB20B">
            <w:pPr>
              <w:pStyle w:val="121"/>
              <w:adjustRightInd w:val="0"/>
              <w:ind w:firstLine="480"/>
              <w:rPr>
                <w:sz w:val="24"/>
              </w:rPr>
            </w:pPr>
            <w:r>
              <w:rPr>
                <w:sz w:val="24"/>
              </w:rPr>
              <w:fldChar w:fldCharType="begin"/>
            </w:r>
            <w:r>
              <w:rPr>
                <w:sz w:val="24"/>
              </w:rPr>
              <w:instrText xml:space="preserve"> INCLUDEPICTURE "C:\\Users\\admin\\AppData\\Local\\Temp\\ksohtml23920\\wps1.png" \* MERGEFORMATINET </w:instrText>
            </w:r>
            <w:r>
              <w:rPr>
                <w:sz w:val="24"/>
              </w:rPr>
              <w:fldChar w:fldCharType="separate"/>
            </w:r>
            <w:r>
              <w:rPr>
                <w:sz w:val="24"/>
              </w:rPr>
              <w:drawing>
                <wp:inline distT="0" distB="0" distL="114300" distR="114300">
                  <wp:extent cx="3448050" cy="323850"/>
                  <wp:effectExtent l="0" t="0" r="0" b="0"/>
                  <wp:docPr id="5" name="图片 7" descr="w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descr="wps1"/>
                          <pic:cNvPicPr>
                            <a:picLocks noChangeAspect="1"/>
                          </pic:cNvPicPr>
                        </pic:nvPicPr>
                        <pic:blipFill>
                          <a:blip r:embed="rId19"/>
                          <a:stretch>
                            <a:fillRect/>
                          </a:stretch>
                        </pic:blipFill>
                        <pic:spPr>
                          <a:xfrm>
                            <a:off x="0" y="0"/>
                            <a:ext cx="3448050" cy="323850"/>
                          </a:xfrm>
                          <a:prstGeom prst="rect">
                            <a:avLst/>
                          </a:prstGeom>
                          <a:noFill/>
                          <a:ln>
                            <a:noFill/>
                          </a:ln>
                        </pic:spPr>
                      </pic:pic>
                    </a:graphicData>
                  </a:graphic>
                </wp:inline>
              </w:drawing>
            </w:r>
            <w:r>
              <w:rPr>
                <w:sz w:val="24"/>
              </w:rPr>
              <w:fldChar w:fldCharType="end"/>
            </w:r>
          </w:p>
          <w:p w14:paraId="4918123F">
            <w:pPr>
              <w:pStyle w:val="121"/>
              <w:adjustRightInd w:val="0"/>
              <w:ind w:firstLine="480"/>
              <w:rPr>
                <w:sz w:val="24"/>
              </w:rPr>
            </w:pPr>
            <w:r>
              <w:rPr>
                <w:sz w:val="24"/>
              </w:rPr>
              <w:t>式中：</w:t>
            </w:r>
          </w:p>
          <w:p w14:paraId="341D0E72">
            <w:pPr>
              <w:pStyle w:val="121"/>
              <w:adjustRightInd w:val="0"/>
              <w:ind w:firstLine="480"/>
              <w:rPr>
                <w:sz w:val="24"/>
              </w:rPr>
            </w:pPr>
            <w:r>
              <w:rPr>
                <w:sz w:val="24"/>
              </w:rPr>
              <w:t>V</w:t>
            </w:r>
            <w:r>
              <w:rPr>
                <w:sz w:val="24"/>
                <w:vertAlign w:val="subscript"/>
              </w:rPr>
              <w:t>0</w:t>
            </w:r>
            <w:r>
              <w:rPr>
                <w:sz w:val="24"/>
              </w:rPr>
              <w:t>——理论空气量，m</w:t>
            </w:r>
            <w:r>
              <w:rPr>
                <w:sz w:val="24"/>
                <w:vertAlign w:val="superscript"/>
              </w:rPr>
              <w:t>3</w:t>
            </w:r>
            <w:r>
              <w:rPr>
                <w:sz w:val="24"/>
              </w:rPr>
              <w:t>/kg；</w:t>
            </w:r>
          </w:p>
          <w:p w14:paraId="6DFCFB01">
            <w:pPr>
              <w:pStyle w:val="121"/>
              <w:adjustRightInd w:val="0"/>
              <w:ind w:firstLine="480"/>
              <w:rPr>
                <w:sz w:val="24"/>
              </w:rPr>
            </w:pPr>
            <w:r>
              <w:rPr>
                <w:sz w:val="24"/>
              </w:rPr>
              <w:t>Car——收到基碳的质量分数，%，本次评价取值</w:t>
            </w:r>
            <w:r>
              <w:rPr>
                <w:rFonts w:hint="eastAsia"/>
                <w:sz w:val="24"/>
              </w:rPr>
              <w:t>39.79</w:t>
            </w:r>
            <w:r>
              <w:rPr>
                <w:sz w:val="24"/>
              </w:rPr>
              <w:t>；</w:t>
            </w:r>
          </w:p>
          <w:p w14:paraId="3882F211">
            <w:pPr>
              <w:pStyle w:val="121"/>
              <w:adjustRightInd w:val="0"/>
              <w:ind w:firstLine="480"/>
              <w:rPr>
                <w:sz w:val="24"/>
              </w:rPr>
            </w:pPr>
            <w:r>
              <w:rPr>
                <w:sz w:val="24"/>
              </w:rPr>
              <w:t>Sar——收到基硫的质量分数，%，本次评价取值</w:t>
            </w:r>
            <w:r>
              <w:rPr>
                <w:rFonts w:hint="eastAsia"/>
                <w:sz w:val="24"/>
              </w:rPr>
              <w:t>0.07</w:t>
            </w:r>
            <w:r>
              <w:rPr>
                <w:sz w:val="24"/>
              </w:rPr>
              <w:t>；</w:t>
            </w:r>
          </w:p>
          <w:p w14:paraId="1AEA261E">
            <w:pPr>
              <w:pStyle w:val="121"/>
              <w:adjustRightInd w:val="0"/>
              <w:ind w:firstLine="480"/>
              <w:rPr>
                <w:sz w:val="24"/>
              </w:rPr>
            </w:pPr>
            <w:r>
              <w:rPr>
                <w:sz w:val="24"/>
              </w:rPr>
              <w:t>Har——收到基氢的质量分数，%，本次评价取值</w:t>
            </w:r>
            <w:r>
              <w:rPr>
                <w:rFonts w:hint="eastAsia"/>
                <w:sz w:val="24"/>
              </w:rPr>
              <w:t>4.42</w:t>
            </w:r>
            <w:r>
              <w:rPr>
                <w:sz w:val="24"/>
              </w:rPr>
              <w:t>；</w:t>
            </w:r>
          </w:p>
          <w:p w14:paraId="6DC6C685">
            <w:pPr>
              <w:pStyle w:val="121"/>
              <w:adjustRightInd w:val="0"/>
              <w:ind w:firstLine="480"/>
              <w:rPr>
                <w:sz w:val="24"/>
              </w:rPr>
            </w:pPr>
            <w:r>
              <w:rPr>
                <w:sz w:val="24"/>
              </w:rPr>
              <w:t>Oar——收到基氧的质量分数，%，本次评价取值</w:t>
            </w:r>
            <w:r>
              <w:rPr>
                <w:rFonts w:hint="eastAsia"/>
                <w:sz w:val="24"/>
              </w:rPr>
              <w:t>35.54</w:t>
            </w:r>
            <w:r>
              <w:rPr>
                <w:sz w:val="24"/>
              </w:rPr>
              <w:t>。</w:t>
            </w:r>
          </w:p>
          <w:p w14:paraId="33A4DFFF">
            <w:pPr>
              <w:pStyle w:val="121"/>
              <w:adjustRightInd w:val="0"/>
              <w:ind w:firstLine="480"/>
              <w:rPr>
                <w:sz w:val="24"/>
              </w:rPr>
            </w:pPr>
            <w:r>
              <w:rPr>
                <w:sz w:val="24"/>
              </w:rPr>
              <w:t>热风炉烟气排放量采用《污染源源强核算技术指南 锅炉》（HJ991-2018）附录C中C.3锅炉中实际燃烧过程是在过量空气系数α＞1的条件下进行的，1kg固体或液体燃料产生的烟气排放量可用下式计算：</w:t>
            </w:r>
          </w:p>
          <w:p w14:paraId="02ACB55A">
            <w:pPr>
              <w:pStyle w:val="121"/>
              <w:adjustRightInd w:val="0"/>
              <w:ind w:firstLine="480"/>
              <w:rPr>
                <w:sz w:val="24"/>
              </w:rPr>
            </w:pPr>
            <w:r>
              <w:rPr>
                <w:sz w:val="24"/>
              </w:rPr>
              <w:fldChar w:fldCharType="begin"/>
            </w:r>
            <w:r>
              <w:rPr>
                <w:sz w:val="24"/>
              </w:rPr>
              <w:instrText xml:space="preserve"> INCLUDEPICTURE "C:\\Users\\admin\\AppData\\Local\\Temp\\ksohtml23920\\wps2.png" \* MERGEFORMATINET </w:instrText>
            </w:r>
            <w:r>
              <w:rPr>
                <w:sz w:val="24"/>
              </w:rPr>
              <w:fldChar w:fldCharType="separate"/>
            </w:r>
            <w:r>
              <w:rPr>
                <w:sz w:val="24"/>
              </w:rPr>
              <w:drawing>
                <wp:inline distT="0" distB="0" distL="114300" distR="114300">
                  <wp:extent cx="1876425" cy="323850"/>
                  <wp:effectExtent l="0" t="0" r="9525" b="0"/>
                  <wp:docPr id="8" name="图片 8" descr="wp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wps2"/>
                          <pic:cNvPicPr>
                            <a:picLocks noChangeAspect="1"/>
                          </pic:cNvPicPr>
                        </pic:nvPicPr>
                        <pic:blipFill>
                          <a:blip r:embed="rId20"/>
                          <a:stretch>
                            <a:fillRect/>
                          </a:stretch>
                        </pic:blipFill>
                        <pic:spPr>
                          <a:xfrm>
                            <a:off x="0" y="0"/>
                            <a:ext cx="1876425" cy="323850"/>
                          </a:xfrm>
                          <a:prstGeom prst="rect">
                            <a:avLst/>
                          </a:prstGeom>
                          <a:noFill/>
                          <a:ln>
                            <a:noFill/>
                          </a:ln>
                        </pic:spPr>
                      </pic:pic>
                    </a:graphicData>
                  </a:graphic>
                </wp:inline>
              </w:drawing>
            </w:r>
            <w:r>
              <w:rPr>
                <w:sz w:val="24"/>
              </w:rPr>
              <w:fldChar w:fldCharType="end"/>
            </w:r>
          </w:p>
          <w:p w14:paraId="5F50CE65">
            <w:pPr>
              <w:pStyle w:val="121"/>
              <w:adjustRightInd w:val="0"/>
              <w:ind w:firstLine="480"/>
              <w:rPr>
                <w:sz w:val="24"/>
              </w:rPr>
            </w:pPr>
            <w:r>
              <w:rPr>
                <w:sz w:val="24"/>
              </w:rPr>
              <w:fldChar w:fldCharType="begin"/>
            </w:r>
            <w:r>
              <w:rPr>
                <w:sz w:val="24"/>
              </w:rPr>
              <w:instrText xml:space="preserve"> INCLUDEPICTURE "C:\\Users\\admin\\AppData\\Local\\Temp\\ksohtml23920\\wps3.png" \* MERGEFORMATINET </w:instrText>
            </w:r>
            <w:r>
              <w:rPr>
                <w:sz w:val="24"/>
              </w:rPr>
              <w:fldChar w:fldCharType="separate"/>
            </w:r>
            <w:r>
              <w:rPr>
                <w:sz w:val="24"/>
              </w:rPr>
              <w:drawing>
                <wp:inline distT="0" distB="0" distL="114300" distR="114300">
                  <wp:extent cx="2685415" cy="466090"/>
                  <wp:effectExtent l="0" t="0" r="635" b="10160"/>
                  <wp:docPr id="10" name="图片 9" descr="wp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wps3"/>
                          <pic:cNvPicPr>
                            <a:picLocks noChangeAspect="1"/>
                          </pic:cNvPicPr>
                        </pic:nvPicPr>
                        <pic:blipFill>
                          <a:blip r:embed="rId21"/>
                          <a:stretch>
                            <a:fillRect/>
                          </a:stretch>
                        </pic:blipFill>
                        <pic:spPr>
                          <a:xfrm>
                            <a:off x="0" y="0"/>
                            <a:ext cx="2685415" cy="466090"/>
                          </a:xfrm>
                          <a:prstGeom prst="rect">
                            <a:avLst/>
                          </a:prstGeom>
                          <a:noFill/>
                          <a:ln>
                            <a:noFill/>
                          </a:ln>
                        </pic:spPr>
                      </pic:pic>
                    </a:graphicData>
                  </a:graphic>
                </wp:inline>
              </w:drawing>
            </w:r>
            <w:r>
              <w:rPr>
                <w:sz w:val="24"/>
              </w:rPr>
              <w:fldChar w:fldCharType="end"/>
            </w:r>
          </w:p>
          <w:p w14:paraId="05304255">
            <w:pPr>
              <w:pStyle w:val="121"/>
              <w:adjustRightInd w:val="0"/>
              <w:ind w:firstLine="480"/>
              <w:rPr>
                <w:sz w:val="24"/>
              </w:rPr>
            </w:pPr>
            <w:r>
              <w:rPr>
                <w:sz w:val="24"/>
              </w:rPr>
              <w:fldChar w:fldCharType="begin"/>
            </w:r>
            <w:r>
              <w:rPr>
                <w:sz w:val="24"/>
              </w:rPr>
              <w:instrText xml:space="preserve"> INCLUDEPICTURE "C:\\Users\\admin\\AppData\\Local\\Temp\\ksohtml23920\\wps4.png" \* MERGEFORMATINET </w:instrText>
            </w:r>
            <w:r>
              <w:rPr>
                <w:sz w:val="24"/>
              </w:rPr>
              <w:fldChar w:fldCharType="separate"/>
            </w:r>
            <w:r>
              <w:rPr>
                <w:sz w:val="24"/>
              </w:rPr>
              <w:drawing>
                <wp:inline distT="0" distB="0" distL="114300" distR="114300">
                  <wp:extent cx="1618615" cy="427990"/>
                  <wp:effectExtent l="0" t="0" r="635" b="10160"/>
                  <wp:docPr id="14" name="图片 10" descr="wp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descr="wps4"/>
                          <pic:cNvPicPr>
                            <a:picLocks noChangeAspect="1"/>
                          </pic:cNvPicPr>
                        </pic:nvPicPr>
                        <pic:blipFill>
                          <a:blip r:embed="rId22"/>
                          <a:stretch>
                            <a:fillRect/>
                          </a:stretch>
                        </pic:blipFill>
                        <pic:spPr>
                          <a:xfrm>
                            <a:off x="0" y="0"/>
                            <a:ext cx="1618615" cy="427990"/>
                          </a:xfrm>
                          <a:prstGeom prst="rect">
                            <a:avLst/>
                          </a:prstGeom>
                          <a:noFill/>
                          <a:ln>
                            <a:noFill/>
                          </a:ln>
                        </pic:spPr>
                      </pic:pic>
                    </a:graphicData>
                  </a:graphic>
                </wp:inline>
              </w:drawing>
            </w:r>
            <w:r>
              <w:rPr>
                <w:sz w:val="24"/>
              </w:rPr>
              <w:fldChar w:fldCharType="end"/>
            </w:r>
          </w:p>
          <w:p w14:paraId="7F7D58D2">
            <w:pPr>
              <w:pStyle w:val="121"/>
              <w:adjustRightInd w:val="0"/>
              <w:ind w:firstLine="480"/>
              <w:rPr>
                <w:sz w:val="24"/>
              </w:rPr>
            </w:pPr>
            <w:r>
              <w:rPr>
                <w:sz w:val="24"/>
              </w:rPr>
              <w:t>式中：</w:t>
            </w:r>
          </w:p>
          <w:p w14:paraId="2FD612DF">
            <w:pPr>
              <w:pStyle w:val="121"/>
              <w:adjustRightInd w:val="0"/>
              <w:ind w:firstLine="480"/>
              <w:rPr>
                <w:sz w:val="24"/>
              </w:rPr>
            </w:pPr>
            <w:r>
              <w:rPr>
                <w:sz w:val="24"/>
              </w:rPr>
              <w:t>Vg——干烟气排放量，m</w:t>
            </w:r>
            <w:r>
              <w:rPr>
                <w:sz w:val="24"/>
                <w:vertAlign w:val="superscript"/>
              </w:rPr>
              <w:t>3</w:t>
            </w:r>
            <w:r>
              <w:rPr>
                <w:sz w:val="24"/>
              </w:rPr>
              <w:t>/kg；</w:t>
            </w:r>
          </w:p>
          <w:p w14:paraId="23EA6D21">
            <w:pPr>
              <w:pStyle w:val="121"/>
              <w:adjustRightInd w:val="0"/>
              <w:ind w:firstLine="480"/>
              <w:rPr>
                <w:sz w:val="24"/>
              </w:rPr>
            </w:pPr>
            <w:r>
              <w:rPr>
                <w:sz w:val="24"/>
              </w:rPr>
              <w:t>V</w:t>
            </w:r>
            <w:r>
              <w:rPr>
                <w:sz w:val="24"/>
                <w:vertAlign w:val="subscript"/>
              </w:rPr>
              <w:t>RO2</w:t>
            </w:r>
            <w:r>
              <w:rPr>
                <w:sz w:val="24"/>
              </w:rPr>
              <w:t>——烟气中二氧化碳和二氧化硫容积之和，m</w:t>
            </w:r>
            <w:r>
              <w:rPr>
                <w:sz w:val="24"/>
                <w:vertAlign w:val="superscript"/>
              </w:rPr>
              <w:t>3</w:t>
            </w:r>
            <w:r>
              <w:rPr>
                <w:sz w:val="24"/>
              </w:rPr>
              <w:t>/kg；</w:t>
            </w:r>
          </w:p>
          <w:p w14:paraId="6234AF61">
            <w:pPr>
              <w:pStyle w:val="121"/>
              <w:adjustRightInd w:val="0"/>
              <w:ind w:firstLine="480"/>
              <w:rPr>
                <w:sz w:val="24"/>
              </w:rPr>
            </w:pPr>
            <w:r>
              <w:rPr>
                <w:sz w:val="24"/>
              </w:rPr>
              <w:t>Car——收到基碳的质量分数，%，根据燃料成分分析为</w:t>
            </w:r>
            <w:r>
              <w:rPr>
                <w:rFonts w:hint="eastAsia"/>
                <w:sz w:val="24"/>
              </w:rPr>
              <w:t>39.79</w:t>
            </w:r>
            <w:r>
              <w:rPr>
                <w:sz w:val="24"/>
              </w:rPr>
              <w:t>%；</w:t>
            </w:r>
          </w:p>
          <w:p w14:paraId="67D028FB">
            <w:pPr>
              <w:pStyle w:val="121"/>
              <w:adjustRightInd w:val="0"/>
              <w:ind w:firstLine="480"/>
              <w:rPr>
                <w:sz w:val="24"/>
              </w:rPr>
            </w:pPr>
            <w:r>
              <w:rPr>
                <w:sz w:val="24"/>
              </w:rPr>
              <w:t>Sar——收到基硫的质量分数，%，根据燃料成分分析为</w:t>
            </w:r>
            <w:r>
              <w:rPr>
                <w:rFonts w:hint="eastAsia"/>
                <w:sz w:val="24"/>
              </w:rPr>
              <w:t>0.07</w:t>
            </w:r>
            <w:r>
              <w:rPr>
                <w:sz w:val="24"/>
              </w:rPr>
              <w:t>%；</w:t>
            </w:r>
          </w:p>
          <w:p w14:paraId="5B920CBA">
            <w:pPr>
              <w:pStyle w:val="121"/>
              <w:adjustRightInd w:val="0"/>
              <w:ind w:firstLine="480"/>
              <w:rPr>
                <w:sz w:val="24"/>
              </w:rPr>
            </w:pPr>
            <w:r>
              <w:rPr>
                <w:sz w:val="24"/>
              </w:rPr>
              <w:t>V</w:t>
            </w:r>
            <w:r>
              <w:rPr>
                <w:sz w:val="24"/>
                <w:vertAlign w:val="subscript"/>
              </w:rPr>
              <w:t>N2</w:t>
            </w:r>
            <w:r>
              <w:rPr>
                <w:sz w:val="24"/>
              </w:rPr>
              <w:t>——烟气中氮气，m</w:t>
            </w:r>
            <w:r>
              <w:rPr>
                <w:sz w:val="24"/>
                <w:vertAlign w:val="superscript"/>
              </w:rPr>
              <w:t>3</w:t>
            </w:r>
            <w:r>
              <w:rPr>
                <w:sz w:val="24"/>
              </w:rPr>
              <w:t>/kg；</w:t>
            </w:r>
          </w:p>
          <w:p w14:paraId="68D6060A">
            <w:pPr>
              <w:pStyle w:val="121"/>
              <w:adjustRightInd w:val="0"/>
              <w:ind w:firstLine="480"/>
              <w:rPr>
                <w:color w:val="C00000"/>
                <w:sz w:val="24"/>
              </w:rPr>
            </w:pPr>
            <w:r>
              <w:rPr>
                <w:color w:val="C00000"/>
                <w:sz w:val="24"/>
              </w:rPr>
              <w:t>α——过量空气系数，燃料燃烧时实际空气供给量与理论空气需要量之比值，本项目取1.7；</w:t>
            </w:r>
          </w:p>
          <w:p w14:paraId="63CE678B">
            <w:pPr>
              <w:pStyle w:val="121"/>
              <w:adjustRightInd w:val="0"/>
              <w:ind w:firstLine="480"/>
              <w:rPr>
                <w:sz w:val="24"/>
              </w:rPr>
            </w:pPr>
            <w:r>
              <w:rPr>
                <w:sz w:val="24"/>
              </w:rPr>
              <w:t>Nar——收到基氮的质量分数，%，根据燃料成分分析为</w:t>
            </w:r>
            <w:r>
              <w:rPr>
                <w:rFonts w:hint="eastAsia"/>
                <w:sz w:val="24"/>
              </w:rPr>
              <w:t>0.35</w:t>
            </w:r>
            <w:r>
              <w:rPr>
                <w:sz w:val="24"/>
              </w:rPr>
              <w:t>%。</w:t>
            </w:r>
          </w:p>
          <w:p w14:paraId="38B7D552">
            <w:pPr>
              <w:pStyle w:val="121"/>
              <w:adjustRightInd w:val="0"/>
              <w:ind w:firstLine="480"/>
              <w:rPr>
                <w:color w:val="C00000"/>
                <w:sz w:val="24"/>
                <w:highlight w:val="none"/>
              </w:rPr>
            </w:pPr>
            <w:r>
              <w:rPr>
                <w:color w:val="C00000"/>
                <w:sz w:val="24"/>
                <w:highlight w:val="none"/>
              </w:rPr>
              <w:t>经计算，则烟气量为</w:t>
            </w:r>
            <w:r>
              <w:rPr>
                <w:rFonts w:hint="eastAsia"/>
                <w:color w:val="C00000"/>
                <w:sz w:val="24"/>
                <w:highlight w:val="none"/>
                <w:lang w:val="en-US" w:eastAsia="zh-CN"/>
              </w:rPr>
              <w:t>7822421.09</w:t>
            </w:r>
            <w:r>
              <w:rPr>
                <w:color w:val="C00000"/>
                <w:sz w:val="24"/>
                <w:highlight w:val="none"/>
              </w:rPr>
              <w:t>m</w:t>
            </w:r>
            <w:r>
              <w:rPr>
                <w:color w:val="C00000"/>
                <w:sz w:val="24"/>
                <w:highlight w:val="none"/>
                <w:vertAlign w:val="superscript"/>
              </w:rPr>
              <w:t>3</w:t>
            </w:r>
            <w:r>
              <w:rPr>
                <w:color w:val="C00000"/>
                <w:sz w:val="24"/>
                <w:highlight w:val="none"/>
              </w:rPr>
              <w:t>/a。</w:t>
            </w:r>
          </w:p>
          <w:p w14:paraId="2D66B596">
            <w:pPr>
              <w:pStyle w:val="18"/>
              <w:spacing w:after="0" w:line="360" w:lineRule="auto"/>
              <w:ind w:left="0" w:leftChars="0" w:firstLine="480" w:firstLineChars="200"/>
              <w:contextualSpacing/>
              <w:rPr>
                <w:rFonts w:hint="default"/>
                <w:sz w:val="24"/>
              </w:rPr>
            </w:pPr>
            <w:r>
              <w:rPr>
                <w:rFonts w:hint="default"/>
                <w:sz w:val="24"/>
              </w:rPr>
              <w:t>②颗粒物（烟尘）</w:t>
            </w:r>
          </w:p>
          <w:p w14:paraId="29590712">
            <w:pPr>
              <w:pStyle w:val="18"/>
              <w:spacing w:line="360" w:lineRule="auto"/>
              <w:jc w:val="center"/>
              <w:rPr>
                <w:rFonts w:hint="default"/>
                <w:szCs w:val="32"/>
              </w:rPr>
            </w:pPr>
            <w:r>
              <w:rPr>
                <w:rFonts w:hint="default"/>
                <w:kern w:val="0"/>
                <w:sz w:val="28"/>
                <w:szCs w:val="32"/>
              </w:rPr>
              <w:drawing>
                <wp:inline distT="0" distB="0" distL="114300" distR="114300">
                  <wp:extent cx="2149475" cy="749300"/>
                  <wp:effectExtent l="0" t="0" r="9525" b="0"/>
                  <wp:docPr id="11" name="图片 9" descr="155471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descr="1554715046"/>
                          <pic:cNvPicPr>
                            <a:picLocks noChangeAspect="1"/>
                          </pic:cNvPicPr>
                        </pic:nvPicPr>
                        <pic:blipFill>
                          <a:blip r:embed="rId23">
                            <a:lum/>
                          </a:blip>
                          <a:stretch>
                            <a:fillRect/>
                          </a:stretch>
                        </pic:blipFill>
                        <pic:spPr>
                          <a:xfrm>
                            <a:off x="0" y="0"/>
                            <a:ext cx="2149475" cy="749300"/>
                          </a:xfrm>
                          <a:prstGeom prst="rect">
                            <a:avLst/>
                          </a:prstGeom>
                          <a:noFill/>
                          <a:ln>
                            <a:noFill/>
                          </a:ln>
                        </pic:spPr>
                      </pic:pic>
                    </a:graphicData>
                  </a:graphic>
                </wp:inline>
              </w:drawing>
            </w:r>
          </w:p>
          <w:p w14:paraId="617FA3E0">
            <w:pPr>
              <w:pStyle w:val="18"/>
              <w:spacing w:after="0" w:line="360" w:lineRule="auto"/>
              <w:ind w:left="0" w:leftChars="0" w:firstLine="480" w:firstLineChars="200"/>
              <w:rPr>
                <w:rFonts w:hint="default"/>
                <w:sz w:val="24"/>
              </w:rPr>
            </w:pPr>
            <w:r>
              <w:rPr>
                <w:rFonts w:hint="default"/>
                <w:sz w:val="24"/>
              </w:rPr>
              <w:t>式中：</w:t>
            </w:r>
          </w:p>
          <w:p w14:paraId="1273D933">
            <w:pPr>
              <w:pStyle w:val="18"/>
              <w:spacing w:after="0" w:line="360" w:lineRule="auto"/>
              <w:ind w:left="0" w:leftChars="0" w:firstLine="480" w:firstLineChars="200"/>
              <w:rPr>
                <w:rFonts w:hint="default"/>
                <w:sz w:val="24"/>
              </w:rPr>
            </w:pPr>
            <w:r>
              <w:rPr>
                <w:rFonts w:hint="default"/>
                <w:sz w:val="24"/>
              </w:rPr>
              <w:t>E</w:t>
            </w:r>
            <w:r>
              <w:rPr>
                <w:rFonts w:hint="default"/>
                <w:sz w:val="24"/>
                <w:vertAlign w:val="subscript"/>
              </w:rPr>
              <w:t>A</w:t>
            </w:r>
            <w:r>
              <w:rPr>
                <w:rFonts w:hint="default"/>
                <w:sz w:val="24"/>
              </w:rPr>
              <w:t>—核算时段内颗粒物（烟尘）排放量，t；</w:t>
            </w:r>
          </w:p>
          <w:p w14:paraId="62DDBE6B">
            <w:pPr>
              <w:pStyle w:val="18"/>
              <w:spacing w:after="0" w:line="360" w:lineRule="auto"/>
              <w:ind w:left="0" w:leftChars="0" w:firstLine="480" w:firstLineChars="200"/>
              <w:rPr>
                <w:rFonts w:hint="default"/>
                <w:sz w:val="24"/>
              </w:rPr>
            </w:pPr>
            <w:r>
              <w:rPr>
                <w:rFonts w:hint="default"/>
                <w:sz w:val="24"/>
              </w:rPr>
              <w:t>R—核算时段内燃料耗量，t；为</w:t>
            </w:r>
            <w:r>
              <w:rPr>
                <w:rFonts w:hint="eastAsia"/>
                <w:sz w:val="24"/>
                <w:lang w:eastAsia="zh-CN"/>
              </w:rPr>
              <w:t>1303</w:t>
            </w:r>
            <w:r>
              <w:rPr>
                <w:rFonts w:hint="default"/>
                <w:sz w:val="24"/>
              </w:rPr>
              <w:t>t/a；</w:t>
            </w:r>
          </w:p>
          <w:p w14:paraId="5952898F">
            <w:pPr>
              <w:pStyle w:val="18"/>
              <w:spacing w:after="0" w:line="360" w:lineRule="auto"/>
              <w:rPr>
                <w:rFonts w:hint="default"/>
                <w:sz w:val="24"/>
              </w:rPr>
            </w:pPr>
            <w:r>
              <w:rPr>
                <w:rFonts w:hint="default"/>
                <w:sz w:val="24"/>
              </w:rPr>
              <w:t xml:space="preserve"> Aar—收到基灰分的质量分数，</w:t>
            </w:r>
            <w:r>
              <w:rPr>
                <w:sz w:val="24"/>
              </w:rPr>
              <w:t>8.83</w:t>
            </w:r>
            <w:r>
              <w:rPr>
                <w:rFonts w:hint="default"/>
                <w:sz w:val="24"/>
              </w:rPr>
              <w:t>%；</w:t>
            </w:r>
          </w:p>
          <w:p w14:paraId="1C94E256">
            <w:pPr>
              <w:pStyle w:val="18"/>
              <w:spacing w:after="0" w:line="360" w:lineRule="auto"/>
              <w:ind w:left="0" w:leftChars="0" w:firstLine="480" w:firstLineChars="200"/>
              <w:rPr>
                <w:rFonts w:hint="default"/>
                <w:sz w:val="24"/>
              </w:rPr>
            </w:pPr>
            <w:r>
              <w:rPr>
                <w:rFonts w:hint="default"/>
                <w:sz w:val="24"/>
              </w:rPr>
              <w:t>d</w:t>
            </w:r>
            <w:r>
              <w:rPr>
                <w:rFonts w:hint="default"/>
                <w:sz w:val="24"/>
                <w:vertAlign w:val="subscript"/>
              </w:rPr>
              <w:t>fh</w:t>
            </w:r>
            <w:r>
              <w:rPr>
                <w:rFonts w:hint="default"/>
                <w:sz w:val="24"/>
              </w:rPr>
              <w:t>—锅炉烟气带出的除尘灰份额，%；燃用生物质燃料飞灰份额加30%，故取45%；</w:t>
            </w:r>
          </w:p>
          <w:p w14:paraId="2D2BB88D">
            <w:pPr>
              <w:pStyle w:val="18"/>
              <w:spacing w:after="0" w:line="360" w:lineRule="auto"/>
              <w:ind w:left="0" w:leftChars="0" w:firstLine="480" w:firstLineChars="200"/>
              <w:rPr>
                <w:rFonts w:hint="default"/>
                <w:sz w:val="24"/>
              </w:rPr>
            </w:pPr>
            <w:r>
              <w:rPr>
                <w:rFonts w:hint="default"/>
                <w:sz w:val="24"/>
              </w:rPr>
              <w:t>ηc—综合除尘效率，%；本项目除尘效率为</w:t>
            </w:r>
            <w:r>
              <w:rPr>
                <w:rFonts w:hint="eastAsia"/>
                <w:sz w:val="24"/>
                <w:lang w:eastAsia="zh-CN"/>
              </w:rPr>
              <w:t>99.6</w:t>
            </w:r>
            <w:r>
              <w:rPr>
                <w:sz w:val="24"/>
              </w:rPr>
              <w:t>%</w:t>
            </w:r>
            <w:r>
              <w:rPr>
                <w:rFonts w:hint="default"/>
                <w:sz w:val="24"/>
              </w:rPr>
              <w:t>；</w:t>
            </w:r>
          </w:p>
          <w:p w14:paraId="5ADF286E">
            <w:pPr>
              <w:pStyle w:val="18"/>
              <w:spacing w:after="0" w:line="360" w:lineRule="auto"/>
              <w:ind w:left="0" w:leftChars="0" w:firstLine="480" w:firstLineChars="200"/>
              <w:rPr>
                <w:rFonts w:hint="default"/>
                <w:color w:val="auto"/>
                <w:sz w:val="24"/>
                <w:highlight w:val="yellow"/>
              </w:rPr>
            </w:pPr>
            <w:r>
              <w:rPr>
                <w:rFonts w:hint="default"/>
                <w:sz w:val="24"/>
              </w:rPr>
              <w:t>C</w:t>
            </w:r>
            <w:r>
              <w:rPr>
                <w:rFonts w:hint="default"/>
                <w:sz w:val="24"/>
                <w:vertAlign w:val="subscript"/>
              </w:rPr>
              <w:t>fh</w:t>
            </w:r>
            <w:r>
              <w:rPr>
                <w:rFonts w:hint="default"/>
                <w:sz w:val="24"/>
              </w:rPr>
              <w:t>—飞灰中的可燃物含量，%；即由烟道经除尘器排出的细灰的含碳量。参照《燃煤工业锅炉节能监测》（GB/T15317-2009）表5中炉渣含碳量考核指标，故C</w:t>
            </w:r>
            <w:r>
              <w:rPr>
                <w:rFonts w:hint="default"/>
                <w:sz w:val="24"/>
                <w:vertAlign w:val="subscript"/>
              </w:rPr>
              <w:t>f</w:t>
            </w:r>
            <w:r>
              <w:rPr>
                <w:rFonts w:hint="default"/>
                <w:color w:val="auto"/>
                <w:sz w:val="24"/>
                <w:vertAlign w:val="subscript"/>
              </w:rPr>
              <w:t>h</w:t>
            </w:r>
            <w:r>
              <w:rPr>
                <w:rFonts w:hint="default"/>
                <w:color w:val="auto"/>
                <w:sz w:val="24"/>
              </w:rPr>
              <w:t>选取推荐指标为20。</w:t>
            </w:r>
          </w:p>
          <w:p w14:paraId="23BC24A8">
            <w:pPr>
              <w:pStyle w:val="18"/>
              <w:spacing w:after="0" w:line="360" w:lineRule="auto"/>
              <w:ind w:left="0" w:leftChars="0" w:firstLine="480" w:firstLineChars="200"/>
              <w:rPr>
                <w:rFonts w:hint="default"/>
                <w:color w:val="C00000"/>
                <w:sz w:val="24"/>
                <w:highlight w:val="yellow"/>
              </w:rPr>
            </w:pPr>
            <w:r>
              <w:rPr>
                <w:rFonts w:hint="default"/>
                <w:color w:val="C00000"/>
                <w:sz w:val="24"/>
              </w:rPr>
              <w:t>经计算，E</w:t>
            </w:r>
            <w:r>
              <w:rPr>
                <w:rFonts w:hint="default"/>
                <w:color w:val="C00000"/>
                <w:sz w:val="24"/>
                <w:vertAlign w:val="subscript"/>
              </w:rPr>
              <w:t>A</w:t>
            </w:r>
            <w:r>
              <w:rPr>
                <w:rFonts w:hint="default"/>
                <w:color w:val="C00000"/>
                <w:sz w:val="24"/>
              </w:rPr>
              <w:t>=</w:t>
            </w:r>
            <w:r>
              <w:rPr>
                <w:color w:val="C00000"/>
                <w:sz w:val="24"/>
              </w:rPr>
              <w:t>0</w:t>
            </w:r>
            <w:r>
              <w:rPr>
                <w:rFonts w:hint="eastAsia"/>
                <w:color w:val="C00000"/>
                <w:sz w:val="24"/>
                <w:lang w:val="en-US" w:eastAsia="zh-CN"/>
              </w:rPr>
              <w:t>.259</w:t>
            </w:r>
            <w:r>
              <w:rPr>
                <w:rFonts w:hint="default"/>
                <w:color w:val="C00000"/>
                <w:sz w:val="24"/>
              </w:rPr>
              <w:t>t，即热风炉烟尘排放量为</w:t>
            </w:r>
            <w:r>
              <w:rPr>
                <w:rFonts w:hint="eastAsia"/>
                <w:color w:val="C00000"/>
                <w:sz w:val="24"/>
                <w:lang w:val="en-US" w:eastAsia="zh-CN"/>
              </w:rPr>
              <w:t>0.259</w:t>
            </w:r>
            <w:r>
              <w:rPr>
                <w:rFonts w:hint="default"/>
                <w:color w:val="C00000"/>
                <w:sz w:val="24"/>
              </w:rPr>
              <w:t>t/a，排放速率为</w:t>
            </w:r>
            <w:r>
              <w:rPr>
                <w:color w:val="C00000"/>
                <w:sz w:val="24"/>
              </w:rPr>
              <w:t>0.</w:t>
            </w:r>
            <w:r>
              <w:rPr>
                <w:rFonts w:hint="eastAsia"/>
                <w:color w:val="C00000"/>
                <w:sz w:val="24"/>
                <w:lang w:val="en-US" w:eastAsia="zh-CN"/>
              </w:rPr>
              <w:t>216</w:t>
            </w:r>
            <w:r>
              <w:rPr>
                <w:rFonts w:hint="default"/>
                <w:color w:val="C00000"/>
                <w:sz w:val="24"/>
              </w:rPr>
              <w:t>kg/h，排放浓度为</w:t>
            </w:r>
            <w:r>
              <w:rPr>
                <w:rFonts w:hint="eastAsia"/>
                <w:color w:val="C00000"/>
                <w:sz w:val="24"/>
                <w:lang w:val="en-US" w:eastAsia="zh-CN"/>
              </w:rPr>
              <w:t>33.103</w:t>
            </w:r>
            <w:r>
              <w:rPr>
                <w:rFonts w:hint="default"/>
                <w:color w:val="C00000"/>
                <w:sz w:val="24"/>
              </w:rPr>
              <w:t>mg/m</w:t>
            </w:r>
            <w:r>
              <w:rPr>
                <w:rFonts w:hint="default"/>
                <w:color w:val="C00000"/>
                <w:sz w:val="24"/>
                <w:vertAlign w:val="superscript"/>
              </w:rPr>
              <w:t>3</w:t>
            </w:r>
            <w:r>
              <w:rPr>
                <w:rFonts w:hint="default"/>
                <w:color w:val="C00000"/>
                <w:sz w:val="24"/>
              </w:rPr>
              <w:t>。</w:t>
            </w:r>
          </w:p>
          <w:p w14:paraId="2BBAFA20">
            <w:pPr>
              <w:pStyle w:val="18"/>
              <w:spacing w:after="0" w:line="360" w:lineRule="auto"/>
              <w:ind w:left="0" w:leftChars="0" w:firstLine="480" w:firstLineChars="200"/>
              <w:rPr>
                <w:rFonts w:hint="default"/>
                <w:kern w:val="0"/>
                <w:sz w:val="24"/>
                <w:vertAlign w:val="subscript"/>
              </w:rPr>
            </w:pPr>
            <w:r>
              <w:rPr>
                <w:rFonts w:hint="default"/>
                <w:kern w:val="0"/>
                <w:sz w:val="24"/>
              </w:rPr>
              <w:t>②SO</w:t>
            </w:r>
            <w:r>
              <w:rPr>
                <w:rFonts w:hint="default"/>
                <w:kern w:val="0"/>
                <w:sz w:val="24"/>
                <w:vertAlign w:val="subscript"/>
              </w:rPr>
              <w:t>2</w:t>
            </w:r>
          </w:p>
          <w:p w14:paraId="7C4D817C">
            <w:pPr>
              <w:autoSpaceDE w:val="0"/>
              <w:autoSpaceDN w:val="0"/>
              <w:adjustRightInd w:val="0"/>
              <w:ind w:left="523"/>
              <w:jc w:val="center"/>
              <w:textAlignment w:val="baseline"/>
              <w:rPr>
                <w:kern w:val="0"/>
                <w:sz w:val="24"/>
                <w:szCs w:val="32"/>
                <w:vertAlign w:val="subscript"/>
              </w:rPr>
            </w:pPr>
            <w:r>
              <w:rPr>
                <w:kern w:val="0"/>
                <w:sz w:val="24"/>
                <w:szCs w:val="32"/>
                <w:vertAlign w:val="subscript"/>
              </w:rPr>
              <w:drawing>
                <wp:inline distT="0" distB="0" distL="114300" distR="114300">
                  <wp:extent cx="2519045" cy="492125"/>
                  <wp:effectExtent l="0" t="0" r="8255" b="3175"/>
                  <wp:docPr id="13" name="图片 10" descr="15547184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descr="1554718402(1)"/>
                          <pic:cNvPicPr>
                            <a:picLocks noChangeAspect="1"/>
                          </pic:cNvPicPr>
                        </pic:nvPicPr>
                        <pic:blipFill>
                          <a:blip r:embed="rId24">
                            <a:lum/>
                          </a:blip>
                          <a:stretch>
                            <a:fillRect/>
                          </a:stretch>
                        </pic:blipFill>
                        <pic:spPr>
                          <a:xfrm>
                            <a:off x="0" y="0"/>
                            <a:ext cx="2519045" cy="492125"/>
                          </a:xfrm>
                          <a:prstGeom prst="rect">
                            <a:avLst/>
                          </a:prstGeom>
                          <a:noFill/>
                          <a:ln>
                            <a:noFill/>
                          </a:ln>
                        </pic:spPr>
                      </pic:pic>
                    </a:graphicData>
                  </a:graphic>
                </wp:inline>
              </w:drawing>
            </w:r>
          </w:p>
          <w:p w14:paraId="571964DF">
            <w:pPr>
              <w:autoSpaceDE w:val="0"/>
              <w:autoSpaceDN w:val="0"/>
              <w:adjustRightInd w:val="0"/>
              <w:spacing w:line="360" w:lineRule="auto"/>
              <w:ind w:firstLine="480" w:firstLineChars="200"/>
              <w:textAlignment w:val="baseline"/>
              <w:rPr>
                <w:kern w:val="0"/>
                <w:sz w:val="24"/>
                <w:szCs w:val="32"/>
              </w:rPr>
            </w:pPr>
            <w:r>
              <w:rPr>
                <w:kern w:val="0"/>
                <w:sz w:val="24"/>
                <w:szCs w:val="32"/>
              </w:rPr>
              <w:t>式中：</w:t>
            </w:r>
          </w:p>
          <w:p w14:paraId="7CFF0F3F">
            <w:pPr>
              <w:autoSpaceDE w:val="0"/>
              <w:autoSpaceDN w:val="0"/>
              <w:adjustRightInd w:val="0"/>
              <w:spacing w:line="360" w:lineRule="auto"/>
              <w:ind w:firstLine="480" w:firstLineChars="200"/>
              <w:textAlignment w:val="baseline"/>
              <w:rPr>
                <w:kern w:val="0"/>
                <w:sz w:val="24"/>
                <w:szCs w:val="32"/>
              </w:rPr>
            </w:pPr>
            <w:r>
              <w:rPr>
                <w:kern w:val="0"/>
                <w:sz w:val="24"/>
                <w:szCs w:val="32"/>
              </w:rPr>
              <w:t>E</w:t>
            </w:r>
            <w:r>
              <w:rPr>
                <w:kern w:val="0"/>
                <w:sz w:val="24"/>
                <w:szCs w:val="32"/>
                <w:vertAlign w:val="subscript"/>
              </w:rPr>
              <w:t xml:space="preserve">SO2 </w:t>
            </w:r>
            <w:r>
              <w:rPr>
                <w:kern w:val="0"/>
                <w:sz w:val="24"/>
                <w:szCs w:val="32"/>
              </w:rPr>
              <w:t>—核算时段内SO</w:t>
            </w:r>
            <w:r>
              <w:rPr>
                <w:kern w:val="0"/>
                <w:sz w:val="24"/>
                <w:szCs w:val="32"/>
                <w:vertAlign w:val="subscript"/>
              </w:rPr>
              <w:t>2</w:t>
            </w:r>
            <w:r>
              <w:rPr>
                <w:kern w:val="0"/>
                <w:sz w:val="24"/>
                <w:szCs w:val="32"/>
              </w:rPr>
              <w:t>排放量，t；</w:t>
            </w:r>
          </w:p>
          <w:p w14:paraId="0C5617DB">
            <w:pPr>
              <w:autoSpaceDE w:val="0"/>
              <w:autoSpaceDN w:val="0"/>
              <w:adjustRightInd w:val="0"/>
              <w:spacing w:line="360" w:lineRule="auto"/>
              <w:textAlignment w:val="baseline"/>
              <w:rPr>
                <w:kern w:val="0"/>
                <w:sz w:val="24"/>
                <w:szCs w:val="32"/>
              </w:rPr>
            </w:pPr>
            <w:r>
              <w:rPr>
                <w:kern w:val="0"/>
                <w:sz w:val="24"/>
                <w:szCs w:val="32"/>
              </w:rPr>
              <w:t xml:space="preserve">    R—核算时段内锅炉燃料耗量，t；</w:t>
            </w:r>
            <w:r>
              <w:rPr>
                <w:sz w:val="24"/>
              </w:rPr>
              <w:t>为</w:t>
            </w:r>
            <w:r>
              <w:rPr>
                <w:rFonts w:hint="eastAsia"/>
                <w:sz w:val="24"/>
                <w:lang w:eastAsia="zh-CN"/>
              </w:rPr>
              <w:t>1303</w:t>
            </w:r>
            <w:r>
              <w:rPr>
                <w:sz w:val="24"/>
              </w:rPr>
              <w:t>t/a</w:t>
            </w:r>
            <w:r>
              <w:rPr>
                <w:kern w:val="0"/>
                <w:sz w:val="24"/>
                <w:szCs w:val="32"/>
              </w:rPr>
              <w:t>；</w:t>
            </w:r>
          </w:p>
          <w:p w14:paraId="7FD56CC9">
            <w:pPr>
              <w:autoSpaceDE w:val="0"/>
              <w:autoSpaceDN w:val="0"/>
              <w:adjustRightInd w:val="0"/>
              <w:spacing w:line="360" w:lineRule="auto"/>
              <w:textAlignment w:val="baseline"/>
              <w:rPr>
                <w:kern w:val="0"/>
                <w:sz w:val="24"/>
                <w:szCs w:val="32"/>
              </w:rPr>
            </w:pPr>
            <w:r>
              <w:rPr>
                <w:kern w:val="0"/>
                <w:sz w:val="24"/>
                <w:szCs w:val="32"/>
              </w:rPr>
              <w:t xml:space="preserve">    S</w:t>
            </w:r>
            <w:r>
              <w:rPr>
                <w:kern w:val="0"/>
                <w:sz w:val="24"/>
                <w:szCs w:val="32"/>
                <w:vertAlign w:val="subscript"/>
              </w:rPr>
              <w:t>ar</w:t>
            </w:r>
            <w:r>
              <w:rPr>
                <w:kern w:val="0"/>
                <w:sz w:val="24"/>
                <w:szCs w:val="32"/>
              </w:rPr>
              <w:t>—收到基硫分的质量分数，</w:t>
            </w:r>
            <w:r>
              <w:rPr>
                <w:rFonts w:hint="eastAsia"/>
                <w:kern w:val="0"/>
                <w:sz w:val="24"/>
                <w:szCs w:val="32"/>
              </w:rPr>
              <w:t>0.07</w:t>
            </w:r>
            <w:r>
              <w:rPr>
                <w:kern w:val="0"/>
                <w:sz w:val="24"/>
                <w:szCs w:val="32"/>
              </w:rPr>
              <w:t>%；</w:t>
            </w:r>
          </w:p>
          <w:p w14:paraId="1B402B9B">
            <w:pPr>
              <w:autoSpaceDE w:val="0"/>
              <w:autoSpaceDN w:val="0"/>
              <w:adjustRightInd w:val="0"/>
              <w:spacing w:line="360" w:lineRule="auto"/>
              <w:ind w:firstLine="480" w:firstLineChars="200"/>
              <w:textAlignment w:val="baseline"/>
              <w:rPr>
                <w:kern w:val="0"/>
                <w:sz w:val="24"/>
                <w:szCs w:val="32"/>
              </w:rPr>
            </w:pPr>
            <w:r>
              <w:rPr>
                <w:kern w:val="0"/>
                <w:sz w:val="24"/>
                <w:szCs w:val="32"/>
              </w:rPr>
              <w:t>q</w:t>
            </w:r>
            <w:r>
              <w:rPr>
                <w:kern w:val="0"/>
                <w:sz w:val="24"/>
                <w:szCs w:val="32"/>
                <w:vertAlign w:val="subscript"/>
              </w:rPr>
              <w:t>4</w:t>
            </w:r>
            <w:r>
              <w:rPr>
                <w:kern w:val="0"/>
                <w:sz w:val="24"/>
                <w:szCs w:val="32"/>
              </w:rPr>
              <w:t>—锅炉机械不完全燃烧热损失，对照本项目生物质热风炉机械不完全燃烧热损失取值为</w:t>
            </w:r>
            <w:r>
              <w:rPr>
                <w:rFonts w:hint="eastAsia"/>
                <w:kern w:val="0"/>
                <w:sz w:val="24"/>
                <w:szCs w:val="32"/>
              </w:rPr>
              <w:t>15</w:t>
            </w:r>
            <w:r>
              <w:rPr>
                <w:kern w:val="0"/>
                <w:sz w:val="24"/>
                <w:szCs w:val="32"/>
              </w:rPr>
              <w:t>%；</w:t>
            </w:r>
          </w:p>
          <w:p w14:paraId="43B2F92B">
            <w:pPr>
              <w:autoSpaceDE w:val="0"/>
              <w:autoSpaceDN w:val="0"/>
              <w:adjustRightInd w:val="0"/>
              <w:spacing w:line="360" w:lineRule="auto"/>
              <w:ind w:firstLine="480" w:firstLineChars="200"/>
              <w:textAlignment w:val="baseline"/>
              <w:rPr>
                <w:kern w:val="0"/>
                <w:sz w:val="24"/>
                <w:szCs w:val="32"/>
              </w:rPr>
            </w:pPr>
            <w:r>
              <w:rPr>
                <w:kern w:val="0"/>
                <w:sz w:val="24"/>
                <w:szCs w:val="32"/>
              </w:rPr>
              <w:t>η</w:t>
            </w:r>
            <w:r>
              <w:rPr>
                <w:kern w:val="0"/>
                <w:sz w:val="24"/>
                <w:szCs w:val="32"/>
                <w:vertAlign w:val="subscript"/>
              </w:rPr>
              <w:t>s</w:t>
            </w:r>
            <w:r>
              <w:rPr>
                <w:kern w:val="0"/>
                <w:sz w:val="24"/>
                <w:szCs w:val="32"/>
              </w:rPr>
              <w:t>—脱硫效率，%；本项目为0%；</w:t>
            </w:r>
          </w:p>
          <w:p w14:paraId="0744CA30">
            <w:pPr>
              <w:autoSpaceDE w:val="0"/>
              <w:autoSpaceDN w:val="0"/>
              <w:adjustRightInd w:val="0"/>
              <w:spacing w:line="360" w:lineRule="auto"/>
              <w:textAlignment w:val="baseline"/>
              <w:rPr>
                <w:kern w:val="0"/>
                <w:sz w:val="24"/>
                <w:szCs w:val="32"/>
                <w:highlight w:val="yellow"/>
              </w:rPr>
            </w:pPr>
            <w:r>
              <w:rPr>
                <w:kern w:val="0"/>
                <w:sz w:val="24"/>
                <w:szCs w:val="32"/>
              </w:rPr>
              <w:t xml:space="preserve">    K—燃料中硫燃烧后氧化成SO</w:t>
            </w:r>
            <w:r>
              <w:rPr>
                <w:kern w:val="0"/>
                <w:sz w:val="24"/>
                <w:szCs w:val="32"/>
                <w:vertAlign w:val="subscript"/>
              </w:rPr>
              <w:t>2</w:t>
            </w:r>
            <w:r>
              <w:rPr>
                <w:kern w:val="0"/>
                <w:sz w:val="24"/>
                <w:szCs w:val="32"/>
              </w:rPr>
              <w:t>的份额，K取最大值0.5。</w:t>
            </w:r>
          </w:p>
          <w:p w14:paraId="495E61E2">
            <w:pPr>
              <w:spacing w:line="360" w:lineRule="auto"/>
              <w:ind w:firstLine="480" w:firstLineChars="200"/>
              <w:rPr>
                <w:b/>
                <w:color w:val="C00000"/>
              </w:rPr>
            </w:pPr>
            <w:r>
              <w:rPr>
                <w:color w:val="C00000"/>
                <w:sz w:val="24"/>
                <w:szCs w:val="32"/>
              </w:rPr>
              <w:t>经计算，E</w:t>
            </w:r>
            <w:r>
              <w:rPr>
                <w:color w:val="C00000"/>
                <w:sz w:val="24"/>
                <w:szCs w:val="32"/>
                <w:vertAlign w:val="subscript"/>
              </w:rPr>
              <w:t>SO2</w:t>
            </w:r>
            <w:r>
              <w:rPr>
                <w:color w:val="C00000"/>
                <w:sz w:val="24"/>
                <w:szCs w:val="32"/>
              </w:rPr>
              <w:t>=</w:t>
            </w:r>
            <w:r>
              <w:rPr>
                <w:rFonts w:hint="eastAsia"/>
                <w:color w:val="C00000"/>
                <w:sz w:val="24"/>
                <w:szCs w:val="32"/>
              </w:rPr>
              <w:t>0.</w:t>
            </w:r>
            <w:r>
              <w:rPr>
                <w:rFonts w:hint="eastAsia"/>
                <w:color w:val="C00000"/>
                <w:sz w:val="24"/>
                <w:szCs w:val="32"/>
                <w:lang w:val="en-US" w:eastAsia="zh-CN"/>
              </w:rPr>
              <w:t>776</w:t>
            </w:r>
            <w:r>
              <w:rPr>
                <w:color w:val="C00000"/>
                <w:sz w:val="24"/>
              </w:rPr>
              <w:t>t，即热风炉</w:t>
            </w:r>
            <w:r>
              <w:rPr>
                <w:color w:val="C00000"/>
                <w:kern w:val="0"/>
                <w:sz w:val="24"/>
              </w:rPr>
              <w:t>SO</w:t>
            </w:r>
            <w:r>
              <w:rPr>
                <w:color w:val="C00000"/>
                <w:kern w:val="0"/>
                <w:sz w:val="24"/>
                <w:vertAlign w:val="subscript"/>
              </w:rPr>
              <w:t>2</w:t>
            </w:r>
            <w:r>
              <w:rPr>
                <w:color w:val="C00000"/>
                <w:sz w:val="24"/>
              </w:rPr>
              <w:t>排放量为</w:t>
            </w:r>
            <w:r>
              <w:rPr>
                <w:rFonts w:hint="eastAsia"/>
                <w:color w:val="C00000"/>
                <w:sz w:val="24"/>
              </w:rPr>
              <w:t>0.</w:t>
            </w:r>
            <w:r>
              <w:rPr>
                <w:rFonts w:hint="eastAsia"/>
                <w:color w:val="C00000"/>
                <w:sz w:val="24"/>
                <w:lang w:val="en-US" w:eastAsia="zh-CN"/>
              </w:rPr>
              <w:t>776</w:t>
            </w:r>
            <w:r>
              <w:rPr>
                <w:color w:val="C00000"/>
                <w:sz w:val="24"/>
              </w:rPr>
              <w:t>t/a，排放速率为</w:t>
            </w:r>
            <w:r>
              <w:rPr>
                <w:rFonts w:hint="eastAsia"/>
                <w:color w:val="C00000"/>
                <w:sz w:val="24"/>
              </w:rPr>
              <w:t>0.</w:t>
            </w:r>
            <w:r>
              <w:rPr>
                <w:rFonts w:hint="eastAsia"/>
                <w:color w:val="C00000"/>
                <w:sz w:val="24"/>
                <w:lang w:val="en-US" w:eastAsia="zh-CN"/>
              </w:rPr>
              <w:t>646</w:t>
            </w:r>
            <w:r>
              <w:rPr>
                <w:color w:val="C00000"/>
                <w:sz w:val="24"/>
              </w:rPr>
              <w:t>kg/h，排放浓度为</w:t>
            </w:r>
            <w:r>
              <w:rPr>
                <w:rFonts w:hint="eastAsia"/>
                <w:color w:val="C00000"/>
                <w:sz w:val="24"/>
              </w:rPr>
              <w:t>9</w:t>
            </w:r>
            <w:r>
              <w:rPr>
                <w:rFonts w:hint="eastAsia"/>
                <w:color w:val="C00000"/>
                <w:sz w:val="24"/>
                <w:lang w:val="en-US" w:eastAsia="zh-CN"/>
              </w:rPr>
              <w:t>9</w:t>
            </w:r>
            <w:r>
              <w:rPr>
                <w:rFonts w:hint="eastAsia"/>
                <w:color w:val="C00000"/>
                <w:sz w:val="24"/>
              </w:rPr>
              <w:t>.</w:t>
            </w:r>
            <w:r>
              <w:rPr>
                <w:rFonts w:hint="eastAsia"/>
                <w:color w:val="C00000"/>
                <w:sz w:val="24"/>
                <w:lang w:val="en-US" w:eastAsia="zh-CN"/>
              </w:rPr>
              <w:t>138</w:t>
            </w:r>
            <w:r>
              <w:rPr>
                <w:color w:val="C00000"/>
                <w:sz w:val="24"/>
              </w:rPr>
              <w:t>mg/m</w:t>
            </w:r>
            <w:r>
              <w:rPr>
                <w:color w:val="C00000"/>
                <w:sz w:val="24"/>
                <w:vertAlign w:val="superscript"/>
              </w:rPr>
              <w:t>3</w:t>
            </w:r>
            <w:r>
              <w:rPr>
                <w:rFonts w:hint="eastAsia"/>
                <w:color w:val="C00000"/>
                <w:sz w:val="24"/>
              </w:rPr>
              <w:t>。</w:t>
            </w:r>
          </w:p>
          <w:p w14:paraId="6EDFF59B">
            <w:pPr>
              <w:spacing w:line="360" w:lineRule="auto"/>
              <w:ind w:firstLine="480" w:firstLineChars="200"/>
              <w:rPr>
                <w:color w:val="auto"/>
                <w:sz w:val="24"/>
                <w:highlight w:val="none"/>
              </w:rPr>
            </w:pPr>
            <w:r>
              <w:rPr>
                <w:color w:val="auto"/>
                <w:sz w:val="24"/>
                <w:highlight w:val="none"/>
              </w:rPr>
              <w:t>③NO</w:t>
            </w:r>
            <w:r>
              <w:rPr>
                <w:color w:val="auto"/>
                <w:sz w:val="24"/>
                <w:highlight w:val="none"/>
                <w:vertAlign w:val="subscript"/>
              </w:rPr>
              <w:t>X</w:t>
            </w:r>
            <w:r>
              <w:rPr>
                <w:color w:val="auto"/>
                <w:sz w:val="24"/>
                <w:highlight w:val="none"/>
              </w:rPr>
              <w:t xml:space="preserve"> </w:t>
            </w:r>
          </w:p>
          <w:p w14:paraId="2A288BE1">
            <w:pPr>
              <w:keepNext w:val="0"/>
              <w:keepLines w:val="0"/>
              <w:suppressLineNumbers w:val="0"/>
              <w:adjustRightInd w:val="0"/>
              <w:snapToGrid w:val="0"/>
              <w:spacing w:before="0" w:beforeAutospacing="0" w:after="0" w:afterAutospacing="0" w:line="360" w:lineRule="auto"/>
              <w:ind w:left="0" w:leftChars="0" w:right="0" w:firstLine="0" w:firstLine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
                <w:bCs w:val="0"/>
                <w:color w:val="auto"/>
                <w:szCs w:val="21"/>
                <w:highlight w:val="none"/>
              </w:rPr>
              <w:drawing>
                <wp:inline distT="0" distB="0" distL="114300" distR="114300">
                  <wp:extent cx="2401570" cy="572770"/>
                  <wp:effectExtent l="0" t="0" r="0" b="17780"/>
                  <wp:docPr id="6" name="图片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descr="1"/>
                          <pic:cNvPicPr>
                            <a:picLocks noChangeAspect="1"/>
                          </pic:cNvPicPr>
                        </pic:nvPicPr>
                        <pic:blipFill>
                          <a:blip r:embed="rId25">
                            <a:clrChange>
                              <a:clrFrom>
                                <a:srgbClr val="FFFFFF"/>
                              </a:clrFrom>
                              <a:clrTo>
                                <a:srgbClr val="FFFFFF">
                                  <a:alpha val="0"/>
                                </a:srgbClr>
                              </a:clrTo>
                            </a:clrChange>
                          </a:blip>
                          <a:stretch>
                            <a:fillRect/>
                          </a:stretch>
                        </pic:blipFill>
                        <pic:spPr>
                          <a:xfrm>
                            <a:off x="0" y="0"/>
                            <a:ext cx="2401570" cy="572770"/>
                          </a:xfrm>
                          <a:prstGeom prst="rect">
                            <a:avLst/>
                          </a:prstGeom>
                          <a:noFill/>
                          <a:ln>
                            <a:noFill/>
                          </a:ln>
                        </pic:spPr>
                      </pic:pic>
                    </a:graphicData>
                  </a:graphic>
                </wp:inline>
              </w:drawing>
            </w:r>
          </w:p>
          <w:p w14:paraId="17582A57">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式中：</w:t>
            </w:r>
            <w:r>
              <w:rPr>
                <w:rFonts w:hint="default" w:ascii="Times New Roman" w:hAnsi="Times New Roman" w:eastAsia="宋体" w:cs="Times New Roman"/>
                <w:bCs/>
                <w:i/>
                <w:iCs/>
                <w:color w:val="auto"/>
                <w:sz w:val="24"/>
                <w:highlight w:val="none"/>
              </w:rPr>
              <w:t>E</w:t>
            </w:r>
            <w:r>
              <w:rPr>
                <w:rFonts w:hint="default" w:ascii="Times New Roman" w:hAnsi="Times New Roman" w:eastAsia="宋体" w:cs="Times New Roman"/>
                <w:bCs/>
                <w:i/>
                <w:iCs/>
                <w:color w:val="auto"/>
                <w:sz w:val="24"/>
                <w:highlight w:val="none"/>
                <w:vertAlign w:val="subscript"/>
              </w:rPr>
              <w:t>NO</w:t>
            </w:r>
            <w:r>
              <w:rPr>
                <w:rFonts w:hint="default" w:ascii="Times New Roman" w:hAnsi="Times New Roman" w:eastAsia="宋体" w:cs="Times New Roman"/>
                <w:bCs/>
                <w:i/>
                <w:iCs/>
                <w:color w:val="auto"/>
                <w:sz w:val="15"/>
                <w:szCs w:val="15"/>
                <w:highlight w:val="none"/>
                <w:vertAlign w:val="subscript"/>
              </w:rPr>
              <w:t>x</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bCs/>
                <w:color w:val="auto"/>
                <w:sz w:val="24"/>
                <w:highlight w:val="none"/>
              </w:rPr>
              <w:t>核算时段内氮氧化物排放量，t；</w:t>
            </w:r>
          </w:p>
          <w:p w14:paraId="6889D89E">
            <w:pPr>
              <w:keepNext w:val="0"/>
              <w:keepLines w:val="0"/>
              <w:suppressLineNumbers w:val="0"/>
              <w:adjustRightInd w:val="0"/>
              <w:snapToGrid w:val="0"/>
              <w:spacing w:before="0" w:beforeAutospacing="0" w:after="0" w:afterAutospacing="0" w:line="360" w:lineRule="auto"/>
              <w:ind w:left="0" w:right="0" w:firstLine="1200" w:firstLineChars="50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i/>
                <w:iCs/>
                <w:color w:val="auto"/>
                <w:sz w:val="24"/>
                <w:highlight w:val="none"/>
              </w:rPr>
              <w:t>ρ</w:t>
            </w:r>
            <w:r>
              <w:rPr>
                <w:rFonts w:hint="default" w:ascii="Times New Roman" w:hAnsi="Times New Roman" w:eastAsia="宋体" w:cs="Times New Roman"/>
                <w:bCs/>
                <w:i/>
                <w:iCs/>
                <w:color w:val="auto"/>
                <w:sz w:val="24"/>
                <w:highlight w:val="none"/>
                <w:vertAlign w:val="subscript"/>
              </w:rPr>
              <w:t>NO</w:t>
            </w:r>
            <w:r>
              <w:rPr>
                <w:rFonts w:hint="default" w:ascii="Times New Roman" w:hAnsi="Times New Roman" w:eastAsia="宋体" w:cs="Times New Roman"/>
                <w:bCs/>
                <w:i/>
                <w:iCs/>
                <w:color w:val="auto"/>
                <w:sz w:val="15"/>
                <w:szCs w:val="15"/>
                <w:highlight w:val="none"/>
                <w:vertAlign w:val="subscript"/>
              </w:rPr>
              <w:t>X</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bCs/>
                <w:color w:val="auto"/>
                <w:sz w:val="24"/>
                <w:highlight w:val="none"/>
              </w:rPr>
              <w:t>锅炉炉膛出口氮氧化物质量浓度，mg/m</w:t>
            </w:r>
            <w:r>
              <w:rPr>
                <w:rFonts w:hint="default" w:ascii="Times New Roman" w:hAnsi="Times New Roman" w:eastAsia="宋体" w:cs="Times New Roman"/>
                <w:bCs/>
                <w:color w:val="auto"/>
                <w:sz w:val="24"/>
                <w:highlight w:val="none"/>
                <w:vertAlign w:val="superscript"/>
              </w:rPr>
              <w:t>3</w:t>
            </w:r>
            <w:r>
              <w:rPr>
                <w:rFonts w:hint="default" w:ascii="Times New Roman" w:hAnsi="Times New Roman" w:eastAsia="宋体" w:cs="Times New Roman"/>
                <w:bCs/>
                <w:color w:val="auto"/>
                <w:sz w:val="24"/>
                <w:highlight w:val="none"/>
              </w:rPr>
              <w:t>；本项目取</w:t>
            </w:r>
            <w:r>
              <w:rPr>
                <w:rFonts w:hint="eastAsia" w:cs="Times New Roman"/>
                <w:bCs/>
                <w:color w:val="auto"/>
                <w:sz w:val="24"/>
                <w:highlight w:val="none"/>
                <w:lang w:val="en-US" w:eastAsia="zh-CN"/>
              </w:rPr>
              <w:t>300</w:t>
            </w:r>
            <w:r>
              <w:rPr>
                <w:rFonts w:hint="default" w:ascii="Times New Roman" w:hAnsi="Times New Roman" w:eastAsia="宋体" w:cs="Times New Roman"/>
                <w:bCs/>
                <w:color w:val="auto"/>
                <w:sz w:val="24"/>
                <w:highlight w:val="none"/>
              </w:rPr>
              <w:t>mg/m</w:t>
            </w:r>
            <w:r>
              <w:rPr>
                <w:rFonts w:hint="default" w:ascii="Times New Roman" w:hAnsi="Times New Roman" w:eastAsia="宋体" w:cs="Times New Roman"/>
                <w:bCs/>
                <w:color w:val="auto"/>
                <w:sz w:val="24"/>
                <w:highlight w:val="none"/>
                <w:vertAlign w:val="superscript"/>
              </w:rPr>
              <w:t>3</w:t>
            </w:r>
            <w:r>
              <w:rPr>
                <w:rFonts w:hint="default" w:ascii="Times New Roman" w:hAnsi="Times New Roman" w:eastAsia="宋体" w:cs="Times New Roman"/>
                <w:bCs/>
                <w:color w:val="auto"/>
                <w:sz w:val="24"/>
                <w:highlight w:val="none"/>
              </w:rPr>
              <w:t>；</w:t>
            </w:r>
          </w:p>
          <w:p w14:paraId="6BE0E735">
            <w:pPr>
              <w:keepNext w:val="0"/>
              <w:keepLines w:val="0"/>
              <w:suppressLineNumbers w:val="0"/>
              <w:adjustRightInd w:val="0"/>
              <w:snapToGrid w:val="0"/>
              <w:spacing w:before="0" w:beforeAutospacing="0" w:after="0" w:afterAutospacing="0" w:line="360" w:lineRule="auto"/>
              <w:ind w:left="0" w:right="0" w:firstLine="1200" w:firstLineChars="50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i/>
                <w:iCs/>
                <w:color w:val="auto"/>
                <w:sz w:val="24"/>
                <w:highlight w:val="none"/>
              </w:rPr>
              <w:t>Q</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bCs/>
                <w:color w:val="auto"/>
                <w:sz w:val="24"/>
                <w:highlight w:val="none"/>
              </w:rPr>
              <w:t>核算时段内标态干烟气排放量，m</w:t>
            </w:r>
            <w:r>
              <w:rPr>
                <w:rFonts w:hint="default" w:ascii="Times New Roman" w:hAnsi="Times New Roman" w:eastAsia="宋体" w:cs="Times New Roman"/>
                <w:bCs/>
                <w:color w:val="auto"/>
                <w:sz w:val="24"/>
                <w:highlight w:val="none"/>
                <w:vertAlign w:val="superscript"/>
              </w:rPr>
              <w:t>3</w:t>
            </w:r>
            <w:r>
              <w:rPr>
                <w:rFonts w:hint="default" w:ascii="Times New Roman" w:hAnsi="Times New Roman" w:eastAsia="宋体" w:cs="Times New Roman"/>
                <w:bCs/>
                <w:color w:val="auto"/>
                <w:sz w:val="24"/>
                <w:highlight w:val="none"/>
              </w:rPr>
              <w:t>，</w:t>
            </w:r>
            <w:r>
              <w:rPr>
                <w:rFonts w:hint="default" w:ascii="Times New Roman" w:hAnsi="Times New Roman" w:eastAsia="宋体" w:cs="Times New Roman"/>
                <w:bCs/>
                <w:color w:val="C00000"/>
                <w:sz w:val="24"/>
                <w:highlight w:val="none"/>
              </w:rPr>
              <w:t>取</w:t>
            </w:r>
            <w:r>
              <w:rPr>
                <w:rFonts w:hint="eastAsia" w:cs="Times New Roman"/>
                <w:bCs/>
                <w:color w:val="C00000"/>
                <w:sz w:val="24"/>
                <w:highlight w:val="none"/>
                <w:lang w:val="en-US" w:eastAsia="zh-CN"/>
              </w:rPr>
              <w:t>7822421.09</w:t>
            </w:r>
            <w:r>
              <w:rPr>
                <w:rFonts w:hint="default" w:ascii="Times New Roman" w:hAnsi="Times New Roman" w:eastAsia="宋体" w:cs="Times New Roman"/>
                <w:bCs/>
                <w:color w:val="C00000"/>
                <w:sz w:val="24"/>
                <w:highlight w:val="none"/>
              </w:rPr>
              <w:t>；</w:t>
            </w:r>
          </w:p>
          <w:p w14:paraId="55CC946C">
            <w:pPr>
              <w:keepNext w:val="0"/>
              <w:keepLines w:val="0"/>
              <w:suppressLineNumbers w:val="0"/>
              <w:adjustRightInd w:val="0"/>
              <w:snapToGrid w:val="0"/>
              <w:spacing w:before="0" w:beforeAutospacing="0" w:after="0" w:afterAutospacing="0" w:line="360" w:lineRule="auto"/>
              <w:ind w:left="0" w:right="0" w:firstLine="1200" w:firstLineChars="50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i/>
                <w:iCs/>
                <w:color w:val="auto"/>
                <w:sz w:val="24"/>
                <w:highlight w:val="none"/>
              </w:rPr>
              <w:t>η</w:t>
            </w:r>
            <w:r>
              <w:rPr>
                <w:rFonts w:hint="default" w:ascii="Times New Roman" w:hAnsi="Times New Roman" w:eastAsia="宋体" w:cs="Times New Roman"/>
                <w:bCs/>
                <w:i/>
                <w:iCs/>
                <w:color w:val="auto"/>
                <w:sz w:val="24"/>
                <w:highlight w:val="none"/>
                <w:vertAlign w:val="subscript"/>
              </w:rPr>
              <w:t>NO</w:t>
            </w:r>
            <w:r>
              <w:rPr>
                <w:rFonts w:hint="default" w:ascii="Times New Roman" w:hAnsi="Times New Roman" w:eastAsia="宋体" w:cs="Times New Roman"/>
                <w:bCs/>
                <w:i/>
                <w:iCs/>
                <w:color w:val="auto"/>
                <w:sz w:val="15"/>
                <w:szCs w:val="15"/>
                <w:highlight w:val="none"/>
                <w:vertAlign w:val="subscript"/>
              </w:rPr>
              <w:t>X</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bCs/>
                <w:color w:val="auto"/>
                <w:sz w:val="24"/>
                <w:highlight w:val="none"/>
              </w:rPr>
              <w:t>脱硝效率，%，</w:t>
            </w:r>
            <w:r>
              <w:rPr>
                <w:rFonts w:hint="default" w:ascii="Times New Roman" w:hAnsi="Times New Roman" w:eastAsia="宋体" w:cs="Times New Roman"/>
                <w:color w:val="auto"/>
                <w:sz w:val="24"/>
                <w:highlight w:val="none"/>
              </w:rPr>
              <w:t>本次取</w:t>
            </w:r>
            <w:r>
              <w:rPr>
                <w:rFonts w:hint="default" w:ascii="Times New Roman" w:hAnsi="Times New Roman" w:eastAsia="宋体" w:cs="Times New Roman"/>
                <w:color w:val="auto"/>
                <w:sz w:val="24"/>
                <w:highlight w:val="none"/>
                <w:lang w:val="en-US" w:eastAsia="zh-CN"/>
              </w:rPr>
              <w:t>0</w:t>
            </w:r>
            <w:r>
              <w:rPr>
                <w:rFonts w:hint="default" w:ascii="Times New Roman" w:hAnsi="Times New Roman" w:eastAsia="宋体" w:cs="Times New Roman"/>
                <w:bCs/>
                <w:color w:val="auto"/>
                <w:sz w:val="24"/>
                <w:highlight w:val="none"/>
              </w:rPr>
              <w:t>；</w:t>
            </w:r>
          </w:p>
          <w:p w14:paraId="0AF576BD">
            <w:pPr>
              <w:spacing w:line="360" w:lineRule="auto"/>
              <w:ind w:firstLine="480" w:firstLineChars="200"/>
              <w:contextualSpacing/>
              <w:rPr>
                <w:color w:val="C00000"/>
                <w:sz w:val="24"/>
                <w:highlight w:val="none"/>
              </w:rPr>
            </w:pPr>
            <w:r>
              <w:rPr>
                <w:rFonts w:hint="default" w:ascii="Times New Roman" w:hAnsi="Times New Roman" w:eastAsia="宋体" w:cs="Times New Roman"/>
                <w:bCs/>
                <w:color w:val="C00000"/>
                <w:sz w:val="24"/>
                <w:highlight w:val="none"/>
              </w:rPr>
              <w:t>由计算可得出NO</w:t>
            </w:r>
            <w:r>
              <w:rPr>
                <w:rFonts w:hint="default" w:ascii="Times New Roman" w:hAnsi="Times New Roman" w:eastAsia="宋体" w:cs="Times New Roman"/>
                <w:bCs/>
                <w:color w:val="C00000"/>
                <w:sz w:val="24"/>
                <w:highlight w:val="none"/>
                <w:vertAlign w:val="subscript"/>
              </w:rPr>
              <w:t>X</w:t>
            </w:r>
            <w:r>
              <w:rPr>
                <w:rFonts w:hint="default" w:ascii="Times New Roman" w:hAnsi="Times New Roman" w:eastAsia="宋体" w:cs="Times New Roman"/>
                <w:bCs/>
                <w:color w:val="C00000"/>
                <w:sz w:val="24"/>
                <w:highlight w:val="none"/>
              </w:rPr>
              <w:t>排放量为</w:t>
            </w:r>
            <w:r>
              <w:rPr>
                <w:rFonts w:hint="eastAsia" w:cs="Times New Roman"/>
                <w:bCs/>
                <w:color w:val="C00000"/>
                <w:sz w:val="24"/>
                <w:highlight w:val="none"/>
                <w:lang w:val="en-US" w:eastAsia="zh-CN"/>
              </w:rPr>
              <w:t>2.347</w:t>
            </w:r>
            <w:r>
              <w:rPr>
                <w:rFonts w:hint="default" w:ascii="Times New Roman" w:hAnsi="Times New Roman" w:eastAsia="宋体" w:cs="Times New Roman"/>
                <w:bCs/>
                <w:color w:val="C00000"/>
                <w:sz w:val="24"/>
                <w:highlight w:val="none"/>
              </w:rPr>
              <w:t>t/a，</w:t>
            </w:r>
            <w:r>
              <w:rPr>
                <w:rFonts w:hint="eastAsia" w:cs="Times New Roman"/>
                <w:bCs/>
                <w:color w:val="C00000"/>
                <w:sz w:val="24"/>
                <w:highlight w:val="none"/>
                <w:lang w:val="en-US" w:eastAsia="zh-CN"/>
              </w:rPr>
              <w:t>排放速率为1.956</w:t>
            </w:r>
            <w:r>
              <w:rPr>
                <w:rFonts w:hint="default" w:ascii="Times New Roman" w:hAnsi="Times New Roman" w:eastAsia="宋体" w:cs="Times New Roman"/>
                <w:bCs/>
                <w:color w:val="C00000"/>
                <w:sz w:val="24"/>
                <w:highlight w:val="none"/>
              </w:rPr>
              <w:t>kg/h，排放浓度</w:t>
            </w:r>
            <w:r>
              <w:rPr>
                <w:rFonts w:hint="eastAsia" w:cs="Times New Roman"/>
                <w:bCs/>
                <w:color w:val="C00000"/>
                <w:sz w:val="24"/>
                <w:highlight w:val="none"/>
                <w:lang w:val="en-US" w:eastAsia="zh-CN"/>
              </w:rPr>
              <w:t>为</w:t>
            </w:r>
            <w:r>
              <w:rPr>
                <w:rFonts w:hint="eastAsia" w:ascii="Times New Roman" w:hAnsi="Times New Roman" w:eastAsia="宋体" w:cs="Times New Roman"/>
                <w:bCs/>
                <w:color w:val="C00000"/>
                <w:sz w:val="24"/>
                <w:highlight w:val="none"/>
                <w:lang w:val="en-US" w:eastAsia="zh-CN"/>
              </w:rPr>
              <w:t>300</w:t>
            </w:r>
            <w:r>
              <w:rPr>
                <w:rFonts w:hint="default" w:ascii="Times New Roman" w:hAnsi="Times New Roman" w:eastAsia="宋体" w:cs="Times New Roman"/>
                <w:bCs/>
                <w:color w:val="C00000"/>
                <w:sz w:val="24"/>
                <w:highlight w:val="none"/>
              </w:rPr>
              <w:t>mg/m</w:t>
            </w:r>
            <w:r>
              <w:rPr>
                <w:rFonts w:hint="default" w:ascii="Times New Roman" w:hAnsi="Times New Roman" w:eastAsia="宋体" w:cs="Times New Roman"/>
                <w:bCs/>
                <w:color w:val="C00000"/>
                <w:sz w:val="24"/>
                <w:highlight w:val="none"/>
                <w:vertAlign w:val="superscript"/>
              </w:rPr>
              <w:t>3</w:t>
            </w:r>
            <w:r>
              <w:rPr>
                <w:bCs/>
                <w:color w:val="C00000"/>
                <w:sz w:val="24"/>
                <w:highlight w:val="none"/>
              </w:rPr>
              <w:t>。</w:t>
            </w:r>
          </w:p>
          <w:p w14:paraId="1E4B22A9">
            <w:pPr>
              <w:pStyle w:val="70"/>
              <w:spacing w:beforeLines="0" w:afterLines="0" w:line="360" w:lineRule="auto"/>
              <w:ind w:firstLine="480"/>
              <w:jc w:val="left"/>
              <w:rPr>
                <w:color w:val="auto"/>
              </w:rPr>
            </w:pPr>
            <w:r>
              <w:rPr>
                <w:color w:val="auto"/>
              </w:rPr>
              <w:t>正常工况下废气源强核算结果见表4-1</w:t>
            </w:r>
            <w:r>
              <w:rPr>
                <w:bCs/>
                <w:color w:val="auto"/>
              </w:rPr>
              <w:t>。</w:t>
            </w:r>
          </w:p>
          <w:p w14:paraId="6BBD76DB">
            <w:pPr>
              <w:pStyle w:val="69"/>
              <w:spacing w:line="240" w:lineRule="auto"/>
              <w:rPr>
                <w:color w:val="C00000"/>
                <w:sz w:val="21"/>
                <w:szCs w:val="21"/>
                <w:highlight w:val="yellow"/>
              </w:rPr>
            </w:pPr>
            <w:r>
              <w:rPr>
                <w:color w:val="C00000"/>
                <w:sz w:val="21"/>
                <w:szCs w:val="21"/>
              </w:rPr>
              <w:t>表4-1正常工况下废气源强核算表</w:t>
            </w:r>
          </w:p>
          <w:tbl>
            <w:tblPr>
              <w:tblStyle w:val="32"/>
              <w:tblW w:w="795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68"/>
              <w:gridCol w:w="480"/>
              <w:gridCol w:w="613"/>
              <w:gridCol w:w="538"/>
              <w:gridCol w:w="612"/>
              <w:gridCol w:w="650"/>
              <w:gridCol w:w="567"/>
              <w:gridCol w:w="767"/>
              <w:gridCol w:w="633"/>
              <w:gridCol w:w="533"/>
              <w:gridCol w:w="650"/>
              <w:gridCol w:w="575"/>
              <w:gridCol w:w="550"/>
              <w:gridCol w:w="420"/>
            </w:tblGrid>
            <w:tr w14:paraId="1E921D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68" w:type="dxa"/>
                  <w:vMerge w:val="restart"/>
                  <w:vAlign w:val="center"/>
                </w:tcPr>
                <w:p w14:paraId="6357AE66">
                  <w:pPr>
                    <w:pStyle w:val="73"/>
                    <w:spacing w:line="240" w:lineRule="auto"/>
                    <w:rPr>
                      <w:rFonts w:eastAsia="宋体"/>
                      <w:color w:val="C00000"/>
                      <w:sz w:val="18"/>
                      <w:szCs w:val="18"/>
                    </w:rPr>
                  </w:pPr>
                  <w:r>
                    <w:rPr>
                      <w:rFonts w:eastAsia="宋体"/>
                      <w:color w:val="C00000"/>
                      <w:sz w:val="18"/>
                      <w:szCs w:val="18"/>
                    </w:rPr>
                    <w:t>类型</w:t>
                  </w:r>
                </w:p>
              </w:tc>
              <w:tc>
                <w:tcPr>
                  <w:tcW w:w="480" w:type="dxa"/>
                  <w:vMerge w:val="restart"/>
                  <w:vAlign w:val="center"/>
                </w:tcPr>
                <w:p w14:paraId="161ED0E7">
                  <w:pPr>
                    <w:pStyle w:val="73"/>
                    <w:spacing w:line="240" w:lineRule="auto"/>
                    <w:rPr>
                      <w:rFonts w:eastAsia="宋体"/>
                      <w:color w:val="C00000"/>
                      <w:sz w:val="18"/>
                      <w:szCs w:val="18"/>
                    </w:rPr>
                  </w:pPr>
                  <w:r>
                    <w:rPr>
                      <w:rFonts w:eastAsia="宋体"/>
                      <w:color w:val="C00000"/>
                      <w:sz w:val="18"/>
                      <w:szCs w:val="18"/>
                    </w:rPr>
                    <w:t>排放源</w:t>
                  </w:r>
                </w:p>
              </w:tc>
              <w:tc>
                <w:tcPr>
                  <w:tcW w:w="613" w:type="dxa"/>
                  <w:vMerge w:val="restart"/>
                  <w:vAlign w:val="center"/>
                </w:tcPr>
                <w:p w14:paraId="7CDD3DE6">
                  <w:pPr>
                    <w:pStyle w:val="73"/>
                    <w:spacing w:line="240" w:lineRule="auto"/>
                    <w:rPr>
                      <w:rFonts w:eastAsia="宋体"/>
                      <w:color w:val="C00000"/>
                      <w:sz w:val="18"/>
                      <w:szCs w:val="18"/>
                    </w:rPr>
                  </w:pPr>
                  <w:r>
                    <w:rPr>
                      <w:rFonts w:eastAsia="宋体"/>
                      <w:color w:val="C00000"/>
                      <w:sz w:val="18"/>
                      <w:szCs w:val="18"/>
                    </w:rPr>
                    <w:t>污染物</w:t>
                  </w:r>
                </w:p>
              </w:tc>
              <w:tc>
                <w:tcPr>
                  <w:tcW w:w="2367" w:type="dxa"/>
                  <w:gridSpan w:val="4"/>
                  <w:vAlign w:val="center"/>
                </w:tcPr>
                <w:p w14:paraId="7BE60931">
                  <w:pPr>
                    <w:pStyle w:val="73"/>
                    <w:spacing w:line="240" w:lineRule="auto"/>
                    <w:rPr>
                      <w:rFonts w:eastAsia="宋体"/>
                      <w:color w:val="C00000"/>
                      <w:sz w:val="18"/>
                      <w:szCs w:val="18"/>
                    </w:rPr>
                  </w:pPr>
                  <w:r>
                    <w:rPr>
                      <w:rFonts w:eastAsia="宋体"/>
                      <w:color w:val="C00000"/>
                      <w:sz w:val="18"/>
                      <w:szCs w:val="18"/>
                    </w:rPr>
                    <w:t>污染物产生</w:t>
                  </w:r>
                </w:p>
              </w:tc>
              <w:tc>
                <w:tcPr>
                  <w:tcW w:w="1400" w:type="dxa"/>
                  <w:gridSpan w:val="2"/>
                  <w:vAlign w:val="center"/>
                </w:tcPr>
                <w:p w14:paraId="0D192AE5">
                  <w:pPr>
                    <w:pStyle w:val="73"/>
                    <w:spacing w:line="240" w:lineRule="auto"/>
                    <w:rPr>
                      <w:rFonts w:eastAsia="宋体"/>
                      <w:color w:val="C00000"/>
                      <w:sz w:val="18"/>
                      <w:szCs w:val="18"/>
                    </w:rPr>
                  </w:pPr>
                  <w:r>
                    <w:rPr>
                      <w:rFonts w:eastAsia="宋体"/>
                      <w:color w:val="C00000"/>
                      <w:sz w:val="18"/>
                      <w:szCs w:val="18"/>
                    </w:rPr>
                    <w:t>治理措施</w:t>
                  </w:r>
                </w:p>
              </w:tc>
              <w:tc>
                <w:tcPr>
                  <w:tcW w:w="2308" w:type="dxa"/>
                  <w:gridSpan w:val="4"/>
                  <w:vAlign w:val="center"/>
                </w:tcPr>
                <w:p w14:paraId="21FAC5F4">
                  <w:pPr>
                    <w:pStyle w:val="73"/>
                    <w:spacing w:line="240" w:lineRule="auto"/>
                    <w:rPr>
                      <w:rFonts w:eastAsia="宋体"/>
                      <w:color w:val="C00000"/>
                      <w:sz w:val="18"/>
                      <w:szCs w:val="18"/>
                    </w:rPr>
                  </w:pPr>
                  <w:r>
                    <w:rPr>
                      <w:rFonts w:eastAsia="宋体"/>
                      <w:color w:val="C00000"/>
                      <w:sz w:val="18"/>
                      <w:szCs w:val="18"/>
                    </w:rPr>
                    <w:t>污染物排放</w:t>
                  </w:r>
                </w:p>
              </w:tc>
              <w:tc>
                <w:tcPr>
                  <w:tcW w:w="420" w:type="dxa"/>
                  <w:vMerge w:val="restart"/>
                  <w:vAlign w:val="center"/>
                </w:tcPr>
                <w:p w14:paraId="777376FC">
                  <w:pPr>
                    <w:pStyle w:val="73"/>
                    <w:spacing w:line="240" w:lineRule="auto"/>
                    <w:rPr>
                      <w:rFonts w:eastAsia="宋体"/>
                      <w:color w:val="C00000"/>
                      <w:sz w:val="18"/>
                      <w:szCs w:val="18"/>
                    </w:rPr>
                  </w:pPr>
                  <w:r>
                    <w:rPr>
                      <w:rFonts w:eastAsia="宋体"/>
                      <w:color w:val="C00000"/>
                      <w:sz w:val="18"/>
                      <w:szCs w:val="18"/>
                    </w:rPr>
                    <w:t>排放</w:t>
                  </w:r>
                </w:p>
                <w:p w14:paraId="08F755A4">
                  <w:pPr>
                    <w:pStyle w:val="73"/>
                    <w:spacing w:line="240" w:lineRule="auto"/>
                    <w:rPr>
                      <w:rFonts w:eastAsia="宋体"/>
                      <w:color w:val="C00000"/>
                      <w:sz w:val="18"/>
                      <w:szCs w:val="18"/>
                    </w:rPr>
                  </w:pPr>
                  <w:r>
                    <w:rPr>
                      <w:rFonts w:eastAsia="宋体"/>
                      <w:color w:val="C00000"/>
                      <w:sz w:val="18"/>
                      <w:szCs w:val="18"/>
                    </w:rPr>
                    <w:t>时间</w:t>
                  </w:r>
                </w:p>
                <w:p w14:paraId="3B48FF10">
                  <w:pPr>
                    <w:pStyle w:val="73"/>
                    <w:spacing w:line="240" w:lineRule="auto"/>
                    <w:rPr>
                      <w:rFonts w:eastAsia="宋体"/>
                      <w:color w:val="C00000"/>
                      <w:sz w:val="18"/>
                      <w:szCs w:val="18"/>
                    </w:rPr>
                  </w:pPr>
                  <w:r>
                    <w:rPr>
                      <w:rFonts w:eastAsia="宋体"/>
                      <w:color w:val="C00000"/>
                      <w:sz w:val="18"/>
                      <w:szCs w:val="18"/>
                    </w:rPr>
                    <w:t>h/a</w:t>
                  </w:r>
                </w:p>
              </w:tc>
            </w:tr>
            <w:tr w14:paraId="0E718D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68" w:type="dxa"/>
                  <w:vMerge w:val="continue"/>
                  <w:vAlign w:val="center"/>
                </w:tcPr>
                <w:p w14:paraId="6C89CE2B">
                  <w:pPr>
                    <w:pStyle w:val="73"/>
                    <w:spacing w:line="240" w:lineRule="auto"/>
                    <w:rPr>
                      <w:rFonts w:eastAsia="宋体"/>
                      <w:color w:val="C00000"/>
                      <w:sz w:val="18"/>
                      <w:szCs w:val="18"/>
                    </w:rPr>
                  </w:pPr>
                </w:p>
              </w:tc>
              <w:tc>
                <w:tcPr>
                  <w:tcW w:w="480" w:type="dxa"/>
                  <w:vMerge w:val="continue"/>
                  <w:vAlign w:val="center"/>
                </w:tcPr>
                <w:p w14:paraId="2CA3210E">
                  <w:pPr>
                    <w:pStyle w:val="73"/>
                    <w:spacing w:line="240" w:lineRule="auto"/>
                    <w:rPr>
                      <w:rFonts w:eastAsia="宋体"/>
                      <w:color w:val="C00000"/>
                      <w:sz w:val="18"/>
                      <w:szCs w:val="18"/>
                    </w:rPr>
                  </w:pPr>
                </w:p>
              </w:tc>
              <w:tc>
                <w:tcPr>
                  <w:tcW w:w="613" w:type="dxa"/>
                  <w:vMerge w:val="continue"/>
                  <w:vAlign w:val="center"/>
                </w:tcPr>
                <w:p w14:paraId="1992AEF4">
                  <w:pPr>
                    <w:pStyle w:val="73"/>
                    <w:spacing w:line="240" w:lineRule="auto"/>
                    <w:rPr>
                      <w:rFonts w:eastAsia="宋体"/>
                      <w:color w:val="C00000"/>
                      <w:sz w:val="18"/>
                      <w:szCs w:val="18"/>
                    </w:rPr>
                  </w:pPr>
                </w:p>
              </w:tc>
              <w:tc>
                <w:tcPr>
                  <w:tcW w:w="538" w:type="dxa"/>
                  <w:vAlign w:val="center"/>
                </w:tcPr>
                <w:p w14:paraId="05B2010B">
                  <w:pPr>
                    <w:pStyle w:val="73"/>
                    <w:spacing w:line="240" w:lineRule="auto"/>
                    <w:rPr>
                      <w:rFonts w:eastAsia="宋体"/>
                      <w:color w:val="C00000"/>
                      <w:sz w:val="18"/>
                      <w:szCs w:val="18"/>
                    </w:rPr>
                  </w:pPr>
                  <w:r>
                    <w:rPr>
                      <w:rFonts w:eastAsia="宋体"/>
                      <w:color w:val="C00000"/>
                      <w:sz w:val="18"/>
                      <w:szCs w:val="18"/>
                    </w:rPr>
                    <w:t>核算</w:t>
                  </w:r>
                </w:p>
                <w:p w14:paraId="34F93FE5">
                  <w:pPr>
                    <w:pStyle w:val="73"/>
                    <w:spacing w:line="240" w:lineRule="auto"/>
                    <w:rPr>
                      <w:rFonts w:eastAsia="宋体"/>
                      <w:color w:val="C00000"/>
                      <w:sz w:val="18"/>
                      <w:szCs w:val="18"/>
                    </w:rPr>
                  </w:pPr>
                  <w:r>
                    <w:rPr>
                      <w:rFonts w:eastAsia="宋体"/>
                      <w:color w:val="C00000"/>
                      <w:sz w:val="18"/>
                      <w:szCs w:val="18"/>
                    </w:rPr>
                    <w:t>方法</w:t>
                  </w:r>
                </w:p>
              </w:tc>
              <w:tc>
                <w:tcPr>
                  <w:tcW w:w="612" w:type="dxa"/>
                  <w:vAlign w:val="center"/>
                </w:tcPr>
                <w:p w14:paraId="5B87A0B9">
                  <w:pPr>
                    <w:pStyle w:val="73"/>
                    <w:spacing w:line="240" w:lineRule="auto"/>
                    <w:rPr>
                      <w:rFonts w:eastAsia="宋体"/>
                      <w:color w:val="C00000"/>
                      <w:sz w:val="18"/>
                      <w:szCs w:val="18"/>
                    </w:rPr>
                  </w:pPr>
                  <w:r>
                    <w:rPr>
                      <w:rFonts w:hint="eastAsia" w:eastAsia="宋体"/>
                      <w:color w:val="C00000"/>
                      <w:sz w:val="18"/>
                      <w:szCs w:val="18"/>
                    </w:rPr>
                    <w:t>废气量</w:t>
                  </w:r>
                </w:p>
                <w:p w14:paraId="4E296A98">
                  <w:pPr>
                    <w:pStyle w:val="73"/>
                    <w:spacing w:line="240" w:lineRule="auto"/>
                    <w:rPr>
                      <w:rFonts w:eastAsia="宋体"/>
                      <w:color w:val="C00000"/>
                      <w:sz w:val="18"/>
                      <w:szCs w:val="18"/>
                    </w:rPr>
                  </w:pPr>
                  <w:r>
                    <w:rPr>
                      <w:rFonts w:hint="eastAsia" w:eastAsia="宋体"/>
                      <w:color w:val="C00000"/>
                      <w:sz w:val="18"/>
                      <w:szCs w:val="18"/>
                    </w:rPr>
                    <w:t>m</w:t>
                  </w:r>
                  <w:r>
                    <w:rPr>
                      <w:rFonts w:hint="eastAsia" w:eastAsia="宋体"/>
                      <w:color w:val="C00000"/>
                      <w:sz w:val="18"/>
                      <w:szCs w:val="18"/>
                      <w:vertAlign w:val="superscript"/>
                    </w:rPr>
                    <w:t>3</w:t>
                  </w:r>
                  <w:r>
                    <w:rPr>
                      <w:rFonts w:hint="eastAsia" w:eastAsia="宋体"/>
                      <w:color w:val="C00000"/>
                      <w:sz w:val="18"/>
                      <w:szCs w:val="18"/>
                    </w:rPr>
                    <w:t>/h</w:t>
                  </w:r>
                </w:p>
              </w:tc>
              <w:tc>
                <w:tcPr>
                  <w:tcW w:w="650" w:type="dxa"/>
                  <w:vAlign w:val="center"/>
                </w:tcPr>
                <w:p w14:paraId="6792F1B8">
                  <w:pPr>
                    <w:pStyle w:val="73"/>
                    <w:spacing w:line="240" w:lineRule="auto"/>
                    <w:rPr>
                      <w:rFonts w:eastAsia="宋体"/>
                      <w:color w:val="C00000"/>
                      <w:sz w:val="18"/>
                      <w:szCs w:val="18"/>
                    </w:rPr>
                  </w:pPr>
                  <w:r>
                    <w:rPr>
                      <w:rFonts w:eastAsia="宋体"/>
                      <w:color w:val="C00000"/>
                      <w:sz w:val="18"/>
                      <w:szCs w:val="18"/>
                    </w:rPr>
                    <w:t>产生浓度</w:t>
                  </w:r>
                </w:p>
                <w:p w14:paraId="6E0D733F">
                  <w:pPr>
                    <w:pStyle w:val="73"/>
                    <w:spacing w:line="240" w:lineRule="auto"/>
                    <w:rPr>
                      <w:rFonts w:eastAsia="宋体"/>
                      <w:color w:val="C00000"/>
                      <w:sz w:val="18"/>
                      <w:szCs w:val="18"/>
                    </w:rPr>
                  </w:pPr>
                  <w:r>
                    <w:rPr>
                      <w:rFonts w:eastAsia="宋体"/>
                      <w:color w:val="C00000"/>
                      <w:sz w:val="18"/>
                      <w:szCs w:val="18"/>
                    </w:rPr>
                    <w:t>mg/m</w:t>
                  </w:r>
                  <w:r>
                    <w:rPr>
                      <w:rFonts w:eastAsia="宋体"/>
                      <w:color w:val="C00000"/>
                      <w:sz w:val="18"/>
                      <w:szCs w:val="18"/>
                      <w:vertAlign w:val="superscript"/>
                    </w:rPr>
                    <w:t>3</w:t>
                  </w:r>
                </w:p>
              </w:tc>
              <w:tc>
                <w:tcPr>
                  <w:tcW w:w="567" w:type="dxa"/>
                  <w:vAlign w:val="center"/>
                </w:tcPr>
                <w:p w14:paraId="08FE7D21">
                  <w:pPr>
                    <w:pStyle w:val="73"/>
                    <w:spacing w:line="240" w:lineRule="auto"/>
                    <w:rPr>
                      <w:rFonts w:eastAsia="宋体"/>
                      <w:color w:val="C00000"/>
                      <w:sz w:val="18"/>
                      <w:szCs w:val="18"/>
                    </w:rPr>
                  </w:pPr>
                  <w:r>
                    <w:rPr>
                      <w:rFonts w:eastAsia="宋体"/>
                      <w:color w:val="C00000"/>
                      <w:sz w:val="18"/>
                      <w:szCs w:val="18"/>
                    </w:rPr>
                    <w:t>产生量</w:t>
                  </w:r>
                </w:p>
                <w:p w14:paraId="64D93D09">
                  <w:pPr>
                    <w:pStyle w:val="73"/>
                    <w:spacing w:line="240" w:lineRule="auto"/>
                    <w:rPr>
                      <w:rFonts w:eastAsia="宋体"/>
                      <w:color w:val="C00000"/>
                      <w:sz w:val="18"/>
                      <w:szCs w:val="18"/>
                    </w:rPr>
                  </w:pPr>
                  <w:r>
                    <w:rPr>
                      <w:rFonts w:eastAsia="宋体"/>
                      <w:color w:val="C00000"/>
                      <w:sz w:val="18"/>
                      <w:szCs w:val="18"/>
                    </w:rPr>
                    <w:t>kg/h</w:t>
                  </w:r>
                </w:p>
              </w:tc>
              <w:tc>
                <w:tcPr>
                  <w:tcW w:w="767" w:type="dxa"/>
                  <w:vAlign w:val="center"/>
                </w:tcPr>
                <w:p w14:paraId="4C3D1D08">
                  <w:pPr>
                    <w:pStyle w:val="73"/>
                    <w:spacing w:line="240" w:lineRule="auto"/>
                    <w:rPr>
                      <w:rFonts w:eastAsia="宋体"/>
                      <w:color w:val="C00000"/>
                      <w:sz w:val="18"/>
                      <w:szCs w:val="18"/>
                    </w:rPr>
                  </w:pPr>
                  <w:r>
                    <w:rPr>
                      <w:rFonts w:eastAsia="宋体"/>
                      <w:color w:val="C00000"/>
                      <w:sz w:val="18"/>
                      <w:szCs w:val="18"/>
                    </w:rPr>
                    <w:t>工艺</w:t>
                  </w:r>
                </w:p>
              </w:tc>
              <w:tc>
                <w:tcPr>
                  <w:tcW w:w="633" w:type="dxa"/>
                  <w:vAlign w:val="center"/>
                </w:tcPr>
                <w:p w14:paraId="15A8CB91">
                  <w:pPr>
                    <w:pStyle w:val="73"/>
                    <w:spacing w:line="240" w:lineRule="auto"/>
                    <w:rPr>
                      <w:rFonts w:eastAsia="宋体"/>
                      <w:color w:val="C00000"/>
                      <w:sz w:val="18"/>
                      <w:szCs w:val="18"/>
                    </w:rPr>
                  </w:pPr>
                  <w:r>
                    <w:rPr>
                      <w:rFonts w:eastAsia="宋体"/>
                      <w:color w:val="C00000"/>
                      <w:sz w:val="18"/>
                      <w:szCs w:val="18"/>
                    </w:rPr>
                    <w:t>效率</w:t>
                  </w:r>
                </w:p>
                <w:p w14:paraId="337CA6BE">
                  <w:pPr>
                    <w:pStyle w:val="73"/>
                    <w:spacing w:line="240" w:lineRule="auto"/>
                    <w:rPr>
                      <w:rFonts w:eastAsia="宋体"/>
                      <w:color w:val="C00000"/>
                      <w:sz w:val="18"/>
                      <w:szCs w:val="18"/>
                    </w:rPr>
                  </w:pPr>
                  <w:r>
                    <w:rPr>
                      <w:rFonts w:eastAsia="宋体"/>
                      <w:color w:val="C00000"/>
                      <w:sz w:val="18"/>
                      <w:szCs w:val="18"/>
                    </w:rPr>
                    <w:t>%</w:t>
                  </w:r>
                </w:p>
              </w:tc>
              <w:tc>
                <w:tcPr>
                  <w:tcW w:w="533" w:type="dxa"/>
                  <w:vAlign w:val="center"/>
                </w:tcPr>
                <w:p w14:paraId="12623E3F">
                  <w:pPr>
                    <w:pStyle w:val="73"/>
                    <w:spacing w:line="240" w:lineRule="auto"/>
                    <w:rPr>
                      <w:rFonts w:eastAsia="宋体"/>
                      <w:color w:val="C00000"/>
                      <w:sz w:val="18"/>
                      <w:szCs w:val="18"/>
                    </w:rPr>
                  </w:pPr>
                  <w:r>
                    <w:rPr>
                      <w:rFonts w:eastAsia="宋体"/>
                      <w:color w:val="C00000"/>
                      <w:sz w:val="18"/>
                      <w:szCs w:val="18"/>
                    </w:rPr>
                    <w:t>核算</w:t>
                  </w:r>
                </w:p>
                <w:p w14:paraId="09EDCEE1">
                  <w:pPr>
                    <w:pStyle w:val="73"/>
                    <w:spacing w:line="240" w:lineRule="auto"/>
                    <w:rPr>
                      <w:rFonts w:eastAsia="宋体"/>
                      <w:color w:val="C00000"/>
                      <w:sz w:val="18"/>
                      <w:szCs w:val="18"/>
                    </w:rPr>
                  </w:pPr>
                  <w:r>
                    <w:rPr>
                      <w:rFonts w:eastAsia="宋体"/>
                      <w:color w:val="C00000"/>
                      <w:sz w:val="18"/>
                      <w:szCs w:val="18"/>
                    </w:rPr>
                    <w:t>方法</w:t>
                  </w:r>
                </w:p>
              </w:tc>
              <w:tc>
                <w:tcPr>
                  <w:tcW w:w="650" w:type="dxa"/>
                  <w:vAlign w:val="center"/>
                </w:tcPr>
                <w:p w14:paraId="5B7BD66C">
                  <w:pPr>
                    <w:pStyle w:val="73"/>
                    <w:spacing w:line="240" w:lineRule="auto"/>
                    <w:rPr>
                      <w:rFonts w:eastAsia="宋体"/>
                      <w:color w:val="C00000"/>
                      <w:sz w:val="18"/>
                      <w:szCs w:val="18"/>
                    </w:rPr>
                  </w:pPr>
                  <w:r>
                    <w:rPr>
                      <w:rFonts w:hint="eastAsia" w:eastAsia="宋体"/>
                      <w:color w:val="C00000"/>
                      <w:sz w:val="18"/>
                      <w:szCs w:val="18"/>
                    </w:rPr>
                    <w:t>废气量</w:t>
                  </w:r>
                </w:p>
                <w:p w14:paraId="3BC05D21">
                  <w:pPr>
                    <w:pStyle w:val="73"/>
                    <w:spacing w:line="240" w:lineRule="auto"/>
                    <w:rPr>
                      <w:rFonts w:eastAsia="宋体"/>
                      <w:color w:val="C00000"/>
                      <w:sz w:val="18"/>
                      <w:szCs w:val="18"/>
                    </w:rPr>
                  </w:pPr>
                  <w:r>
                    <w:rPr>
                      <w:rFonts w:hint="eastAsia" w:eastAsia="宋体"/>
                      <w:color w:val="C00000"/>
                      <w:sz w:val="18"/>
                      <w:szCs w:val="18"/>
                    </w:rPr>
                    <w:t>m</w:t>
                  </w:r>
                  <w:r>
                    <w:rPr>
                      <w:rFonts w:hint="eastAsia" w:eastAsia="宋体"/>
                      <w:color w:val="C00000"/>
                      <w:sz w:val="18"/>
                      <w:szCs w:val="18"/>
                      <w:vertAlign w:val="superscript"/>
                    </w:rPr>
                    <w:t>3</w:t>
                  </w:r>
                  <w:r>
                    <w:rPr>
                      <w:rFonts w:hint="eastAsia" w:eastAsia="宋体"/>
                      <w:color w:val="C00000"/>
                      <w:sz w:val="18"/>
                      <w:szCs w:val="18"/>
                    </w:rPr>
                    <w:t>/h</w:t>
                  </w:r>
                </w:p>
              </w:tc>
              <w:tc>
                <w:tcPr>
                  <w:tcW w:w="575" w:type="dxa"/>
                  <w:vAlign w:val="center"/>
                </w:tcPr>
                <w:p w14:paraId="55CB5331">
                  <w:pPr>
                    <w:pStyle w:val="73"/>
                    <w:spacing w:line="240" w:lineRule="auto"/>
                    <w:rPr>
                      <w:rFonts w:eastAsia="宋体"/>
                      <w:color w:val="C00000"/>
                      <w:sz w:val="18"/>
                      <w:szCs w:val="18"/>
                    </w:rPr>
                  </w:pPr>
                  <w:r>
                    <w:rPr>
                      <w:rFonts w:eastAsia="宋体"/>
                      <w:color w:val="C00000"/>
                      <w:sz w:val="18"/>
                      <w:szCs w:val="18"/>
                    </w:rPr>
                    <w:t>排放浓度</w:t>
                  </w:r>
                </w:p>
                <w:p w14:paraId="4CE56D4A">
                  <w:pPr>
                    <w:pStyle w:val="73"/>
                    <w:spacing w:line="240" w:lineRule="auto"/>
                    <w:rPr>
                      <w:rFonts w:eastAsia="宋体"/>
                      <w:color w:val="C00000"/>
                      <w:sz w:val="18"/>
                      <w:szCs w:val="18"/>
                    </w:rPr>
                  </w:pPr>
                  <w:r>
                    <w:rPr>
                      <w:rFonts w:eastAsia="宋体"/>
                      <w:color w:val="C00000"/>
                      <w:sz w:val="18"/>
                      <w:szCs w:val="18"/>
                    </w:rPr>
                    <w:t>mg/m</w:t>
                  </w:r>
                  <w:r>
                    <w:rPr>
                      <w:rFonts w:eastAsia="宋体"/>
                      <w:color w:val="C00000"/>
                      <w:sz w:val="18"/>
                      <w:szCs w:val="18"/>
                      <w:vertAlign w:val="superscript"/>
                    </w:rPr>
                    <w:t>3</w:t>
                  </w:r>
                </w:p>
              </w:tc>
              <w:tc>
                <w:tcPr>
                  <w:tcW w:w="550" w:type="dxa"/>
                  <w:vAlign w:val="center"/>
                </w:tcPr>
                <w:p w14:paraId="3A5CC5CA">
                  <w:pPr>
                    <w:pStyle w:val="73"/>
                    <w:spacing w:line="240" w:lineRule="auto"/>
                    <w:rPr>
                      <w:rFonts w:eastAsia="宋体"/>
                      <w:color w:val="C00000"/>
                      <w:sz w:val="18"/>
                      <w:szCs w:val="18"/>
                    </w:rPr>
                  </w:pPr>
                  <w:r>
                    <w:rPr>
                      <w:rFonts w:eastAsia="宋体"/>
                      <w:color w:val="C00000"/>
                      <w:sz w:val="18"/>
                      <w:szCs w:val="18"/>
                    </w:rPr>
                    <w:t>排放量</w:t>
                  </w:r>
                </w:p>
                <w:p w14:paraId="699CB017">
                  <w:pPr>
                    <w:pStyle w:val="73"/>
                    <w:spacing w:line="240" w:lineRule="auto"/>
                    <w:rPr>
                      <w:rFonts w:eastAsia="宋体"/>
                      <w:color w:val="C00000"/>
                      <w:sz w:val="18"/>
                      <w:szCs w:val="18"/>
                    </w:rPr>
                  </w:pPr>
                  <w:r>
                    <w:rPr>
                      <w:rFonts w:eastAsia="宋体"/>
                      <w:color w:val="C00000"/>
                      <w:sz w:val="18"/>
                      <w:szCs w:val="18"/>
                    </w:rPr>
                    <w:t>kg/h</w:t>
                  </w:r>
                </w:p>
              </w:tc>
              <w:tc>
                <w:tcPr>
                  <w:tcW w:w="420" w:type="dxa"/>
                  <w:vMerge w:val="continue"/>
                  <w:vAlign w:val="center"/>
                </w:tcPr>
                <w:p w14:paraId="36E0D43C">
                  <w:pPr>
                    <w:pStyle w:val="73"/>
                    <w:spacing w:line="240" w:lineRule="auto"/>
                    <w:rPr>
                      <w:rFonts w:eastAsia="宋体"/>
                      <w:color w:val="C00000"/>
                      <w:sz w:val="18"/>
                      <w:szCs w:val="18"/>
                    </w:rPr>
                  </w:pPr>
                </w:p>
              </w:tc>
            </w:tr>
            <w:tr w14:paraId="0DD7D7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68" w:type="dxa"/>
                  <w:vMerge w:val="restart"/>
                  <w:vAlign w:val="center"/>
                </w:tcPr>
                <w:p w14:paraId="3DDA08B5">
                  <w:pPr>
                    <w:pStyle w:val="73"/>
                    <w:spacing w:line="240" w:lineRule="auto"/>
                    <w:rPr>
                      <w:rFonts w:eastAsia="宋体"/>
                      <w:color w:val="C00000"/>
                      <w:sz w:val="18"/>
                      <w:szCs w:val="18"/>
                    </w:rPr>
                  </w:pPr>
                  <w:r>
                    <w:rPr>
                      <w:rFonts w:eastAsia="宋体"/>
                      <w:color w:val="C00000"/>
                      <w:sz w:val="18"/>
                      <w:szCs w:val="18"/>
                    </w:rPr>
                    <w:t>有组织排放</w:t>
                  </w:r>
                </w:p>
              </w:tc>
              <w:tc>
                <w:tcPr>
                  <w:tcW w:w="480" w:type="dxa"/>
                  <w:vMerge w:val="restart"/>
                  <w:vAlign w:val="center"/>
                </w:tcPr>
                <w:p w14:paraId="5DF29E97">
                  <w:pPr>
                    <w:pStyle w:val="73"/>
                    <w:spacing w:line="240" w:lineRule="auto"/>
                    <w:rPr>
                      <w:rFonts w:eastAsia="宋体"/>
                      <w:color w:val="C00000"/>
                      <w:sz w:val="18"/>
                      <w:szCs w:val="18"/>
                    </w:rPr>
                  </w:pPr>
                  <w:r>
                    <w:rPr>
                      <w:rFonts w:eastAsia="宋体"/>
                      <w:color w:val="C00000"/>
                      <w:sz w:val="18"/>
                      <w:szCs w:val="18"/>
                    </w:rPr>
                    <w:t>热风炉</w:t>
                  </w:r>
                  <w:r>
                    <w:rPr>
                      <w:rFonts w:hint="eastAsia" w:eastAsia="宋体"/>
                      <w:color w:val="C00000"/>
                      <w:sz w:val="18"/>
                      <w:szCs w:val="18"/>
                    </w:rPr>
                    <w:t>（DA001)</w:t>
                  </w:r>
                </w:p>
              </w:tc>
              <w:tc>
                <w:tcPr>
                  <w:tcW w:w="613" w:type="dxa"/>
                  <w:shd w:val="clear" w:color="auto" w:fill="auto"/>
                  <w:vAlign w:val="center"/>
                </w:tcPr>
                <w:p w14:paraId="1D700371">
                  <w:pPr>
                    <w:pStyle w:val="63"/>
                    <w:spacing w:before="31" w:after="31" w:line="240" w:lineRule="auto"/>
                    <w:rPr>
                      <w:rFonts w:ascii="Times New Roman" w:hAnsi="Times New Roman" w:eastAsia="宋体" w:cs="Times New Roman"/>
                      <w:color w:val="C00000"/>
                      <w:sz w:val="18"/>
                      <w:szCs w:val="18"/>
                    </w:rPr>
                  </w:pPr>
                  <w:bookmarkStart w:id="16" w:name="_Toc5519"/>
                  <w:r>
                    <w:rPr>
                      <w:rFonts w:ascii="Times New Roman" w:hAnsi="Times New Roman" w:eastAsia="宋体" w:cs="Times New Roman"/>
                      <w:color w:val="C00000"/>
                      <w:sz w:val="18"/>
                      <w:szCs w:val="18"/>
                    </w:rPr>
                    <w:t>烟尘</w:t>
                  </w:r>
                  <w:bookmarkEnd w:id="16"/>
                </w:p>
              </w:tc>
              <w:tc>
                <w:tcPr>
                  <w:tcW w:w="538" w:type="dxa"/>
                  <w:shd w:val="clear" w:color="auto" w:fill="auto"/>
                  <w:vAlign w:val="center"/>
                </w:tcPr>
                <w:p w14:paraId="2B27A0FC">
                  <w:pPr>
                    <w:pStyle w:val="73"/>
                    <w:spacing w:line="240" w:lineRule="auto"/>
                    <w:rPr>
                      <w:rFonts w:eastAsia="宋体"/>
                      <w:color w:val="C00000"/>
                      <w:sz w:val="18"/>
                      <w:szCs w:val="18"/>
                    </w:rPr>
                  </w:pPr>
                  <w:r>
                    <w:rPr>
                      <w:rFonts w:eastAsia="宋体"/>
                      <w:color w:val="C00000"/>
                      <w:sz w:val="18"/>
                      <w:szCs w:val="18"/>
                    </w:rPr>
                    <w:t>物料恒算法</w:t>
                  </w:r>
                </w:p>
              </w:tc>
              <w:tc>
                <w:tcPr>
                  <w:tcW w:w="612" w:type="dxa"/>
                  <w:vMerge w:val="restart"/>
                  <w:shd w:val="clear" w:color="auto" w:fill="auto"/>
                  <w:vAlign w:val="center"/>
                </w:tcPr>
                <w:p w14:paraId="5A4387CF">
                  <w:pPr>
                    <w:jc w:val="center"/>
                    <w:rPr>
                      <w:rFonts w:hint="default" w:eastAsia="宋体"/>
                      <w:color w:val="C00000"/>
                      <w:sz w:val="18"/>
                      <w:szCs w:val="18"/>
                      <w:lang w:val="en-US" w:eastAsia="zh-CN"/>
                    </w:rPr>
                  </w:pPr>
                  <w:r>
                    <w:rPr>
                      <w:rFonts w:hint="eastAsia"/>
                      <w:color w:val="C00000"/>
                      <w:sz w:val="18"/>
                      <w:szCs w:val="18"/>
                      <w:lang w:val="en-US" w:eastAsia="zh-CN"/>
                    </w:rPr>
                    <w:t>6518.68</w:t>
                  </w:r>
                </w:p>
              </w:tc>
              <w:tc>
                <w:tcPr>
                  <w:tcW w:w="650" w:type="dxa"/>
                  <w:shd w:val="clear" w:color="auto" w:fill="auto"/>
                  <w:vAlign w:val="center"/>
                </w:tcPr>
                <w:p w14:paraId="102D5C22">
                  <w:pPr>
                    <w:jc w:val="center"/>
                    <w:rPr>
                      <w:rFonts w:hint="default" w:eastAsia="宋体"/>
                      <w:color w:val="C00000"/>
                      <w:sz w:val="18"/>
                      <w:szCs w:val="18"/>
                      <w:lang w:val="en-US" w:eastAsia="zh-CN"/>
                    </w:rPr>
                  </w:pPr>
                  <w:r>
                    <w:rPr>
                      <w:rFonts w:hint="eastAsia"/>
                      <w:color w:val="C00000"/>
                      <w:sz w:val="18"/>
                      <w:szCs w:val="18"/>
                      <w:lang w:val="en-US" w:eastAsia="zh-CN"/>
                    </w:rPr>
                    <w:t>8275.75</w:t>
                  </w:r>
                </w:p>
              </w:tc>
              <w:tc>
                <w:tcPr>
                  <w:tcW w:w="567" w:type="dxa"/>
                  <w:shd w:val="clear" w:color="auto" w:fill="auto"/>
                  <w:vAlign w:val="center"/>
                </w:tcPr>
                <w:p w14:paraId="32C8D3B3">
                  <w:pPr>
                    <w:pStyle w:val="73"/>
                    <w:spacing w:line="240" w:lineRule="auto"/>
                    <w:rPr>
                      <w:rFonts w:hint="default" w:eastAsia="宋体"/>
                      <w:color w:val="C00000"/>
                      <w:sz w:val="18"/>
                      <w:szCs w:val="18"/>
                      <w:lang w:val="en-US" w:eastAsia="zh-CN"/>
                    </w:rPr>
                  </w:pPr>
                  <w:r>
                    <w:rPr>
                      <w:rFonts w:hint="eastAsia" w:eastAsia="宋体"/>
                      <w:color w:val="C00000"/>
                      <w:sz w:val="18"/>
                      <w:szCs w:val="18"/>
                      <w:lang w:val="en-US" w:eastAsia="zh-CN"/>
                    </w:rPr>
                    <w:t>53.947</w:t>
                  </w:r>
                </w:p>
              </w:tc>
              <w:tc>
                <w:tcPr>
                  <w:tcW w:w="767" w:type="dxa"/>
                  <w:vMerge w:val="restart"/>
                  <w:vAlign w:val="center"/>
                </w:tcPr>
                <w:p w14:paraId="5BF10024">
                  <w:pPr>
                    <w:pStyle w:val="73"/>
                    <w:spacing w:line="240" w:lineRule="auto"/>
                    <w:rPr>
                      <w:rFonts w:eastAsia="宋体"/>
                      <w:color w:val="C00000"/>
                      <w:sz w:val="18"/>
                      <w:szCs w:val="18"/>
                    </w:rPr>
                  </w:pPr>
                  <w:r>
                    <w:rPr>
                      <w:rFonts w:eastAsia="宋体"/>
                      <w:color w:val="C00000"/>
                      <w:sz w:val="18"/>
                      <w:szCs w:val="18"/>
                    </w:rPr>
                    <w:t>布袋除尘器+</w:t>
                  </w:r>
                  <w:r>
                    <w:rPr>
                      <w:rFonts w:hint="eastAsia" w:eastAsia="宋体"/>
                      <w:color w:val="C00000"/>
                      <w:sz w:val="18"/>
                      <w:szCs w:val="18"/>
                      <w:lang w:eastAsia="zh-CN"/>
                    </w:rPr>
                    <w:t>20m</w:t>
                  </w:r>
                  <w:r>
                    <w:rPr>
                      <w:rFonts w:eastAsia="宋体"/>
                      <w:color w:val="C00000"/>
                      <w:sz w:val="18"/>
                      <w:szCs w:val="18"/>
                    </w:rPr>
                    <w:t>烟囱</w:t>
                  </w:r>
                </w:p>
                <w:p w14:paraId="6AE56353">
                  <w:pPr>
                    <w:pStyle w:val="73"/>
                    <w:spacing w:line="240" w:lineRule="auto"/>
                    <w:rPr>
                      <w:rFonts w:eastAsia="宋体"/>
                      <w:color w:val="C00000"/>
                      <w:sz w:val="18"/>
                      <w:szCs w:val="18"/>
                    </w:rPr>
                  </w:pPr>
                </w:p>
              </w:tc>
              <w:tc>
                <w:tcPr>
                  <w:tcW w:w="633" w:type="dxa"/>
                  <w:vAlign w:val="center"/>
                </w:tcPr>
                <w:p w14:paraId="0B2227BF">
                  <w:pPr>
                    <w:pStyle w:val="73"/>
                    <w:spacing w:line="240" w:lineRule="auto"/>
                    <w:rPr>
                      <w:rFonts w:hint="eastAsia" w:eastAsia="宋体"/>
                      <w:color w:val="C00000"/>
                      <w:sz w:val="18"/>
                      <w:szCs w:val="18"/>
                      <w:lang w:eastAsia="zh-CN"/>
                    </w:rPr>
                  </w:pPr>
                  <w:r>
                    <w:rPr>
                      <w:rFonts w:hint="eastAsia" w:eastAsia="宋体"/>
                      <w:color w:val="C00000"/>
                      <w:sz w:val="18"/>
                      <w:szCs w:val="18"/>
                      <w:lang w:eastAsia="zh-CN"/>
                    </w:rPr>
                    <w:t>99.6</w:t>
                  </w:r>
                </w:p>
              </w:tc>
              <w:tc>
                <w:tcPr>
                  <w:tcW w:w="533" w:type="dxa"/>
                  <w:vAlign w:val="center"/>
                </w:tcPr>
                <w:p w14:paraId="08395627">
                  <w:pPr>
                    <w:pStyle w:val="73"/>
                    <w:spacing w:line="240" w:lineRule="auto"/>
                    <w:rPr>
                      <w:rFonts w:eastAsia="宋体"/>
                      <w:color w:val="C00000"/>
                      <w:sz w:val="18"/>
                      <w:szCs w:val="18"/>
                    </w:rPr>
                  </w:pPr>
                  <w:r>
                    <w:rPr>
                      <w:rFonts w:eastAsia="宋体"/>
                      <w:color w:val="C00000"/>
                      <w:sz w:val="18"/>
                      <w:szCs w:val="18"/>
                    </w:rPr>
                    <w:t>物料恒算法</w:t>
                  </w:r>
                </w:p>
              </w:tc>
              <w:tc>
                <w:tcPr>
                  <w:tcW w:w="650" w:type="dxa"/>
                  <w:vMerge w:val="restart"/>
                  <w:vAlign w:val="center"/>
                </w:tcPr>
                <w:p w14:paraId="2033793C">
                  <w:pPr>
                    <w:jc w:val="center"/>
                    <w:rPr>
                      <w:rFonts w:hint="default" w:eastAsia="宋体"/>
                      <w:color w:val="C00000"/>
                      <w:sz w:val="18"/>
                      <w:szCs w:val="18"/>
                      <w:lang w:val="en-US" w:eastAsia="zh-CN"/>
                    </w:rPr>
                  </w:pPr>
                  <w:r>
                    <w:rPr>
                      <w:rFonts w:hint="eastAsia"/>
                      <w:color w:val="C00000"/>
                      <w:sz w:val="18"/>
                      <w:szCs w:val="18"/>
                      <w:lang w:val="en-US" w:eastAsia="zh-CN"/>
                    </w:rPr>
                    <w:t>6518.68</w:t>
                  </w:r>
                </w:p>
              </w:tc>
              <w:tc>
                <w:tcPr>
                  <w:tcW w:w="575" w:type="dxa"/>
                  <w:vAlign w:val="center"/>
                </w:tcPr>
                <w:p w14:paraId="26E86E3F">
                  <w:pPr>
                    <w:jc w:val="center"/>
                    <w:rPr>
                      <w:rFonts w:hint="default" w:eastAsia="宋体"/>
                      <w:color w:val="C00000"/>
                      <w:sz w:val="18"/>
                      <w:szCs w:val="18"/>
                      <w:lang w:val="en-US" w:eastAsia="zh-CN"/>
                    </w:rPr>
                  </w:pPr>
                  <w:r>
                    <w:rPr>
                      <w:rFonts w:hint="eastAsia"/>
                      <w:color w:val="C00000"/>
                      <w:sz w:val="18"/>
                      <w:szCs w:val="18"/>
                      <w:lang w:val="en-US" w:eastAsia="zh-CN"/>
                    </w:rPr>
                    <w:t>33.103</w:t>
                  </w:r>
                </w:p>
              </w:tc>
              <w:tc>
                <w:tcPr>
                  <w:tcW w:w="550" w:type="dxa"/>
                  <w:vAlign w:val="center"/>
                </w:tcPr>
                <w:p w14:paraId="08440978">
                  <w:pPr>
                    <w:pStyle w:val="73"/>
                    <w:spacing w:line="240" w:lineRule="auto"/>
                    <w:rPr>
                      <w:rFonts w:hint="default" w:eastAsia="宋体"/>
                      <w:color w:val="C00000"/>
                      <w:sz w:val="18"/>
                      <w:szCs w:val="18"/>
                      <w:lang w:val="en-US" w:eastAsia="zh-CN"/>
                    </w:rPr>
                  </w:pPr>
                  <w:r>
                    <w:rPr>
                      <w:rFonts w:hint="eastAsia" w:eastAsia="宋体"/>
                      <w:color w:val="C00000"/>
                      <w:sz w:val="18"/>
                      <w:szCs w:val="18"/>
                      <w:lang w:val="en-US" w:eastAsia="zh-CN"/>
                    </w:rPr>
                    <w:t>0.216</w:t>
                  </w:r>
                </w:p>
              </w:tc>
              <w:tc>
                <w:tcPr>
                  <w:tcW w:w="420" w:type="dxa"/>
                  <w:vMerge w:val="restart"/>
                  <w:vAlign w:val="center"/>
                </w:tcPr>
                <w:p w14:paraId="0BCE44CB">
                  <w:pPr>
                    <w:pStyle w:val="73"/>
                    <w:spacing w:line="240" w:lineRule="auto"/>
                    <w:rPr>
                      <w:rFonts w:eastAsia="宋体"/>
                      <w:color w:val="C00000"/>
                      <w:sz w:val="18"/>
                      <w:szCs w:val="18"/>
                    </w:rPr>
                  </w:pPr>
                  <w:r>
                    <w:rPr>
                      <w:rFonts w:hint="eastAsia" w:eastAsia="宋体"/>
                      <w:color w:val="C00000"/>
                      <w:sz w:val="18"/>
                      <w:szCs w:val="18"/>
                    </w:rPr>
                    <w:t>1200</w:t>
                  </w:r>
                </w:p>
              </w:tc>
            </w:tr>
            <w:tr w14:paraId="445450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68" w:type="dxa"/>
                  <w:vMerge w:val="continue"/>
                  <w:vAlign w:val="center"/>
                </w:tcPr>
                <w:p w14:paraId="6FB046E1">
                  <w:pPr>
                    <w:pStyle w:val="73"/>
                    <w:spacing w:line="240" w:lineRule="auto"/>
                    <w:rPr>
                      <w:rFonts w:eastAsia="宋体"/>
                      <w:color w:val="C00000"/>
                      <w:sz w:val="18"/>
                      <w:szCs w:val="18"/>
                    </w:rPr>
                  </w:pPr>
                </w:p>
              </w:tc>
              <w:tc>
                <w:tcPr>
                  <w:tcW w:w="480" w:type="dxa"/>
                  <w:vMerge w:val="continue"/>
                  <w:vAlign w:val="center"/>
                </w:tcPr>
                <w:p w14:paraId="2D7EDEDB">
                  <w:pPr>
                    <w:pStyle w:val="73"/>
                    <w:spacing w:line="240" w:lineRule="auto"/>
                    <w:rPr>
                      <w:rFonts w:eastAsia="宋体"/>
                      <w:color w:val="C00000"/>
                      <w:sz w:val="18"/>
                      <w:szCs w:val="18"/>
                    </w:rPr>
                  </w:pPr>
                </w:p>
              </w:tc>
              <w:tc>
                <w:tcPr>
                  <w:tcW w:w="613" w:type="dxa"/>
                  <w:vAlign w:val="center"/>
                </w:tcPr>
                <w:p w14:paraId="3DB9DDC0">
                  <w:pPr>
                    <w:pStyle w:val="63"/>
                    <w:spacing w:before="31" w:after="31" w:line="240" w:lineRule="auto"/>
                    <w:rPr>
                      <w:rFonts w:ascii="Times New Roman" w:hAnsi="Times New Roman" w:eastAsia="宋体" w:cs="Times New Roman"/>
                      <w:color w:val="C00000"/>
                      <w:sz w:val="18"/>
                      <w:szCs w:val="18"/>
                    </w:rPr>
                  </w:pPr>
                  <w:bookmarkStart w:id="17" w:name="_Toc4480"/>
                  <w:r>
                    <w:rPr>
                      <w:rFonts w:ascii="Times New Roman" w:hAnsi="Times New Roman" w:eastAsia="宋体" w:cs="Times New Roman"/>
                      <w:color w:val="C00000"/>
                      <w:sz w:val="18"/>
                      <w:szCs w:val="18"/>
                    </w:rPr>
                    <w:t>SO</w:t>
                  </w:r>
                  <w:r>
                    <w:rPr>
                      <w:rFonts w:ascii="Times New Roman" w:hAnsi="Times New Roman" w:eastAsia="宋体" w:cs="Times New Roman"/>
                      <w:color w:val="C00000"/>
                      <w:sz w:val="18"/>
                      <w:szCs w:val="18"/>
                      <w:vertAlign w:val="subscript"/>
                    </w:rPr>
                    <w:t>2</w:t>
                  </w:r>
                  <w:bookmarkEnd w:id="17"/>
                </w:p>
              </w:tc>
              <w:tc>
                <w:tcPr>
                  <w:tcW w:w="538" w:type="dxa"/>
                  <w:vAlign w:val="center"/>
                </w:tcPr>
                <w:p w14:paraId="71663B6B">
                  <w:pPr>
                    <w:pStyle w:val="73"/>
                    <w:spacing w:line="240" w:lineRule="auto"/>
                    <w:rPr>
                      <w:rFonts w:eastAsia="宋体"/>
                      <w:color w:val="C00000"/>
                      <w:sz w:val="18"/>
                      <w:szCs w:val="18"/>
                    </w:rPr>
                  </w:pPr>
                  <w:r>
                    <w:rPr>
                      <w:rFonts w:eastAsia="宋体"/>
                      <w:color w:val="C00000"/>
                      <w:sz w:val="18"/>
                      <w:szCs w:val="18"/>
                    </w:rPr>
                    <w:t>物料恒算法</w:t>
                  </w:r>
                </w:p>
              </w:tc>
              <w:tc>
                <w:tcPr>
                  <w:tcW w:w="612" w:type="dxa"/>
                  <w:vMerge w:val="continue"/>
                  <w:vAlign w:val="center"/>
                </w:tcPr>
                <w:p w14:paraId="04701779">
                  <w:pPr>
                    <w:pStyle w:val="73"/>
                    <w:spacing w:line="240" w:lineRule="auto"/>
                    <w:rPr>
                      <w:rFonts w:eastAsia="宋体"/>
                      <w:color w:val="C00000"/>
                      <w:sz w:val="18"/>
                      <w:szCs w:val="18"/>
                    </w:rPr>
                  </w:pPr>
                </w:p>
              </w:tc>
              <w:tc>
                <w:tcPr>
                  <w:tcW w:w="650" w:type="dxa"/>
                  <w:vAlign w:val="center"/>
                </w:tcPr>
                <w:p w14:paraId="3D8F957F">
                  <w:pPr>
                    <w:pStyle w:val="73"/>
                    <w:spacing w:line="240" w:lineRule="auto"/>
                    <w:rPr>
                      <w:rFonts w:eastAsia="宋体"/>
                      <w:color w:val="C00000"/>
                      <w:sz w:val="18"/>
                      <w:szCs w:val="18"/>
                    </w:rPr>
                  </w:pPr>
                  <w:r>
                    <w:rPr>
                      <w:rFonts w:hint="eastAsia" w:eastAsia="宋体"/>
                      <w:color w:val="C00000"/>
                      <w:sz w:val="18"/>
                      <w:szCs w:val="18"/>
                    </w:rPr>
                    <w:t>9</w:t>
                  </w:r>
                  <w:r>
                    <w:rPr>
                      <w:rFonts w:hint="eastAsia" w:eastAsia="宋体"/>
                      <w:color w:val="C00000"/>
                      <w:sz w:val="18"/>
                      <w:szCs w:val="18"/>
                      <w:lang w:val="en-US" w:eastAsia="zh-CN"/>
                    </w:rPr>
                    <w:t>9</w:t>
                  </w:r>
                  <w:r>
                    <w:rPr>
                      <w:rFonts w:hint="eastAsia" w:eastAsia="宋体"/>
                      <w:color w:val="C00000"/>
                      <w:sz w:val="18"/>
                      <w:szCs w:val="18"/>
                    </w:rPr>
                    <w:t>.</w:t>
                  </w:r>
                  <w:r>
                    <w:rPr>
                      <w:rFonts w:hint="eastAsia" w:eastAsia="宋体"/>
                      <w:color w:val="C00000"/>
                      <w:sz w:val="18"/>
                      <w:szCs w:val="18"/>
                      <w:lang w:val="en-US" w:eastAsia="zh-CN"/>
                    </w:rPr>
                    <w:t>1</w:t>
                  </w:r>
                  <w:r>
                    <w:rPr>
                      <w:rFonts w:hint="eastAsia" w:eastAsia="宋体"/>
                      <w:color w:val="C00000"/>
                      <w:sz w:val="18"/>
                      <w:szCs w:val="18"/>
                    </w:rPr>
                    <w:t>38</w:t>
                  </w:r>
                </w:p>
              </w:tc>
              <w:tc>
                <w:tcPr>
                  <w:tcW w:w="567" w:type="dxa"/>
                  <w:vAlign w:val="center"/>
                </w:tcPr>
                <w:p w14:paraId="26217B7C">
                  <w:pPr>
                    <w:pStyle w:val="73"/>
                    <w:spacing w:line="240" w:lineRule="auto"/>
                    <w:rPr>
                      <w:rFonts w:hint="default" w:eastAsia="宋体"/>
                      <w:color w:val="C00000"/>
                      <w:sz w:val="18"/>
                      <w:szCs w:val="18"/>
                      <w:lang w:val="en-US" w:eastAsia="zh-CN"/>
                    </w:rPr>
                  </w:pPr>
                  <w:r>
                    <w:rPr>
                      <w:rFonts w:hint="eastAsia" w:eastAsia="宋体"/>
                      <w:color w:val="C00000"/>
                      <w:sz w:val="18"/>
                      <w:szCs w:val="18"/>
                      <w:lang w:val="en-US" w:eastAsia="zh-CN"/>
                    </w:rPr>
                    <w:t>0.646</w:t>
                  </w:r>
                </w:p>
              </w:tc>
              <w:tc>
                <w:tcPr>
                  <w:tcW w:w="767" w:type="dxa"/>
                  <w:vMerge w:val="continue"/>
                  <w:vAlign w:val="center"/>
                </w:tcPr>
                <w:p w14:paraId="0B4A4C6A">
                  <w:pPr>
                    <w:pStyle w:val="73"/>
                    <w:spacing w:line="240" w:lineRule="auto"/>
                    <w:rPr>
                      <w:rFonts w:eastAsia="宋体"/>
                      <w:color w:val="C00000"/>
                      <w:sz w:val="18"/>
                      <w:szCs w:val="18"/>
                    </w:rPr>
                  </w:pPr>
                </w:p>
              </w:tc>
              <w:tc>
                <w:tcPr>
                  <w:tcW w:w="633" w:type="dxa"/>
                  <w:vAlign w:val="center"/>
                </w:tcPr>
                <w:p w14:paraId="09CE5D71">
                  <w:pPr>
                    <w:pStyle w:val="73"/>
                    <w:spacing w:line="240" w:lineRule="auto"/>
                    <w:rPr>
                      <w:rFonts w:eastAsia="宋体"/>
                      <w:color w:val="C00000"/>
                      <w:sz w:val="18"/>
                      <w:szCs w:val="18"/>
                    </w:rPr>
                  </w:pPr>
                  <w:r>
                    <w:rPr>
                      <w:rFonts w:eastAsia="宋体"/>
                      <w:color w:val="C00000"/>
                      <w:sz w:val="18"/>
                      <w:szCs w:val="18"/>
                    </w:rPr>
                    <w:t>-</w:t>
                  </w:r>
                </w:p>
              </w:tc>
              <w:tc>
                <w:tcPr>
                  <w:tcW w:w="533" w:type="dxa"/>
                  <w:vAlign w:val="center"/>
                </w:tcPr>
                <w:p w14:paraId="5E32A63C">
                  <w:pPr>
                    <w:pStyle w:val="73"/>
                    <w:spacing w:line="240" w:lineRule="auto"/>
                    <w:rPr>
                      <w:rFonts w:eastAsia="宋体"/>
                      <w:color w:val="C00000"/>
                      <w:sz w:val="18"/>
                      <w:szCs w:val="18"/>
                    </w:rPr>
                  </w:pPr>
                  <w:r>
                    <w:rPr>
                      <w:rFonts w:eastAsia="宋体"/>
                      <w:color w:val="C00000"/>
                      <w:sz w:val="18"/>
                      <w:szCs w:val="18"/>
                    </w:rPr>
                    <w:t>物料恒算法</w:t>
                  </w:r>
                </w:p>
              </w:tc>
              <w:tc>
                <w:tcPr>
                  <w:tcW w:w="650" w:type="dxa"/>
                  <w:vMerge w:val="continue"/>
                  <w:shd w:val="clear" w:color="auto" w:fill="auto"/>
                  <w:vAlign w:val="center"/>
                </w:tcPr>
                <w:p w14:paraId="4B02F784">
                  <w:pPr>
                    <w:pStyle w:val="73"/>
                    <w:spacing w:line="240" w:lineRule="auto"/>
                    <w:rPr>
                      <w:rFonts w:eastAsia="宋体"/>
                      <w:color w:val="C00000"/>
                      <w:sz w:val="18"/>
                      <w:szCs w:val="18"/>
                    </w:rPr>
                  </w:pPr>
                </w:p>
              </w:tc>
              <w:tc>
                <w:tcPr>
                  <w:tcW w:w="575" w:type="dxa"/>
                  <w:shd w:val="clear" w:color="auto" w:fill="auto"/>
                  <w:vAlign w:val="center"/>
                </w:tcPr>
                <w:p w14:paraId="6D6D5495">
                  <w:pPr>
                    <w:pStyle w:val="73"/>
                    <w:spacing w:line="240" w:lineRule="auto"/>
                    <w:rPr>
                      <w:rFonts w:eastAsia="宋体"/>
                      <w:color w:val="C00000"/>
                      <w:sz w:val="18"/>
                      <w:szCs w:val="18"/>
                    </w:rPr>
                  </w:pPr>
                  <w:r>
                    <w:rPr>
                      <w:rFonts w:hint="eastAsia" w:eastAsia="宋体"/>
                      <w:color w:val="C00000"/>
                      <w:sz w:val="18"/>
                      <w:szCs w:val="18"/>
                    </w:rPr>
                    <w:t>9</w:t>
                  </w:r>
                  <w:r>
                    <w:rPr>
                      <w:rFonts w:hint="eastAsia" w:eastAsia="宋体"/>
                      <w:color w:val="C00000"/>
                      <w:sz w:val="18"/>
                      <w:szCs w:val="18"/>
                      <w:lang w:val="en-US" w:eastAsia="zh-CN"/>
                    </w:rPr>
                    <w:t>9</w:t>
                  </w:r>
                  <w:r>
                    <w:rPr>
                      <w:rFonts w:hint="eastAsia" w:eastAsia="宋体"/>
                      <w:color w:val="C00000"/>
                      <w:sz w:val="18"/>
                      <w:szCs w:val="18"/>
                    </w:rPr>
                    <w:t>.</w:t>
                  </w:r>
                  <w:r>
                    <w:rPr>
                      <w:rFonts w:hint="eastAsia" w:eastAsia="宋体"/>
                      <w:color w:val="C00000"/>
                      <w:sz w:val="18"/>
                      <w:szCs w:val="18"/>
                      <w:lang w:val="en-US" w:eastAsia="zh-CN"/>
                    </w:rPr>
                    <w:t>1</w:t>
                  </w:r>
                  <w:r>
                    <w:rPr>
                      <w:rFonts w:hint="eastAsia" w:eastAsia="宋体"/>
                      <w:color w:val="C00000"/>
                      <w:sz w:val="18"/>
                      <w:szCs w:val="18"/>
                    </w:rPr>
                    <w:t>38</w:t>
                  </w:r>
                </w:p>
              </w:tc>
              <w:tc>
                <w:tcPr>
                  <w:tcW w:w="550" w:type="dxa"/>
                  <w:shd w:val="clear" w:color="auto" w:fill="auto"/>
                  <w:vAlign w:val="center"/>
                </w:tcPr>
                <w:p w14:paraId="00601B48">
                  <w:pPr>
                    <w:pStyle w:val="73"/>
                    <w:spacing w:line="240" w:lineRule="auto"/>
                    <w:rPr>
                      <w:rFonts w:eastAsia="宋体"/>
                      <w:color w:val="C00000"/>
                      <w:sz w:val="18"/>
                      <w:szCs w:val="18"/>
                    </w:rPr>
                  </w:pPr>
                  <w:r>
                    <w:rPr>
                      <w:rFonts w:hint="eastAsia" w:eastAsia="宋体"/>
                      <w:color w:val="C00000"/>
                      <w:sz w:val="18"/>
                      <w:szCs w:val="18"/>
                      <w:lang w:val="en-US" w:eastAsia="zh-CN"/>
                    </w:rPr>
                    <w:t>0.646</w:t>
                  </w:r>
                </w:p>
              </w:tc>
              <w:tc>
                <w:tcPr>
                  <w:tcW w:w="420" w:type="dxa"/>
                  <w:vMerge w:val="continue"/>
                  <w:vAlign w:val="center"/>
                </w:tcPr>
                <w:p w14:paraId="6090FE04">
                  <w:pPr>
                    <w:pStyle w:val="73"/>
                    <w:spacing w:line="240" w:lineRule="auto"/>
                    <w:rPr>
                      <w:rFonts w:eastAsia="宋体"/>
                      <w:color w:val="C00000"/>
                      <w:sz w:val="18"/>
                      <w:szCs w:val="18"/>
                    </w:rPr>
                  </w:pPr>
                </w:p>
              </w:tc>
            </w:tr>
            <w:tr w14:paraId="438E4D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68" w:type="dxa"/>
                  <w:vMerge w:val="continue"/>
                  <w:vAlign w:val="center"/>
                </w:tcPr>
                <w:p w14:paraId="0AFA69B2">
                  <w:pPr>
                    <w:pStyle w:val="73"/>
                    <w:spacing w:line="240" w:lineRule="auto"/>
                    <w:rPr>
                      <w:rFonts w:eastAsia="宋体"/>
                      <w:color w:val="C00000"/>
                      <w:sz w:val="18"/>
                      <w:szCs w:val="18"/>
                    </w:rPr>
                  </w:pPr>
                </w:p>
              </w:tc>
              <w:tc>
                <w:tcPr>
                  <w:tcW w:w="480" w:type="dxa"/>
                  <w:vMerge w:val="continue"/>
                  <w:vAlign w:val="center"/>
                </w:tcPr>
                <w:p w14:paraId="5BC0B9A4">
                  <w:pPr>
                    <w:pStyle w:val="73"/>
                    <w:spacing w:line="240" w:lineRule="auto"/>
                    <w:rPr>
                      <w:rFonts w:eastAsia="宋体"/>
                      <w:color w:val="C00000"/>
                      <w:sz w:val="18"/>
                      <w:szCs w:val="18"/>
                    </w:rPr>
                  </w:pPr>
                </w:p>
              </w:tc>
              <w:tc>
                <w:tcPr>
                  <w:tcW w:w="613" w:type="dxa"/>
                  <w:vAlign w:val="center"/>
                </w:tcPr>
                <w:p w14:paraId="6A7A0782">
                  <w:pPr>
                    <w:pStyle w:val="63"/>
                    <w:spacing w:before="31" w:after="31" w:line="240" w:lineRule="auto"/>
                    <w:rPr>
                      <w:rFonts w:ascii="Times New Roman" w:hAnsi="Times New Roman" w:eastAsia="宋体" w:cs="Times New Roman"/>
                      <w:color w:val="C00000"/>
                      <w:sz w:val="18"/>
                      <w:szCs w:val="18"/>
                    </w:rPr>
                  </w:pPr>
                  <w:bookmarkStart w:id="18" w:name="_Toc10480"/>
                  <w:r>
                    <w:rPr>
                      <w:rFonts w:ascii="Times New Roman" w:hAnsi="Times New Roman" w:eastAsia="宋体" w:cs="Times New Roman"/>
                      <w:color w:val="C00000"/>
                      <w:sz w:val="18"/>
                      <w:szCs w:val="18"/>
                    </w:rPr>
                    <w:t>NOx</w:t>
                  </w:r>
                  <w:bookmarkEnd w:id="18"/>
                </w:p>
              </w:tc>
              <w:tc>
                <w:tcPr>
                  <w:tcW w:w="538" w:type="dxa"/>
                  <w:vAlign w:val="center"/>
                </w:tcPr>
                <w:p w14:paraId="4EC4B0DC">
                  <w:pPr>
                    <w:pStyle w:val="73"/>
                    <w:spacing w:line="240" w:lineRule="auto"/>
                    <w:rPr>
                      <w:rFonts w:eastAsia="宋体"/>
                      <w:color w:val="C00000"/>
                      <w:sz w:val="18"/>
                      <w:szCs w:val="18"/>
                    </w:rPr>
                  </w:pPr>
                  <w:r>
                    <w:rPr>
                      <w:rFonts w:eastAsia="宋体"/>
                      <w:color w:val="C00000"/>
                      <w:sz w:val="18"/>
                      <w:szCs w:val="18"/>
                    </w:rPr>
                    <w:t>物料恒算法</w:t>
                  </w:r>
                </w:p>
              </w:tc>
              <w:tc>
                <w:tcPr>
                  <w:tcW w:w="612" w:type="dxa"/>
                  <w:vMerge w:val="continue"/>
                  <w:vAlign w:val="center"/>
                </w:tcPr>
                <w:p w14:paraId="52AADF83">
                  <w:pPr>
                    <w:pStyle w:val="73"/>
                    <w:spacing w:line="240" w:lineRule="auto"/>
                    <w:rPr>
                      <w:rFonts w:eastAsia="宋体"/>
                      <w:color w:val="C00000"/>
                      <w:sz w:val="18"/>
                      <w:szCs w:val="18"/>
                    </w:rPr>
                  </w:pPr>
                </w:p>
              </w:tc>
              <w:tc>
                <w:tcPr>
                  <w:tcW w:w="650" w:type="dxa"/>
                  <w:vAlign w:val="center"/>
                </w:tcPr>
                <w:p w14:paraId="28BDD2C4">
                  <w:pPr>
                    <w:pStyle w:val="73"/>
                    <w:spacing w:line="240" w:lineRule="auto"/>
                    <w:rPr>
                      <w:rFonts w:hint="default" w:eastAsia="宋体"/>
                      <w:color w:val="C00000"/>
                      <w:sz w:val="18"/>
                      <w:szCs w:val="18"/>
                      <w:lang w:val="en-US" w:eastAsia="zh-CN"/>
                    </w:rPr>
                  </w:pPr>
                  <w:r>
                    <w:rPr>
                      <w:rFonts w:hint="eastAsia" w:eastAsia="宋体"/>
                      <w:color w:val="C00000"/>
                      <w:sz w:val="18"/>
                      <w:szCs w:val="18"/>
                      <w:lang w:val="en-US" w:eastAsia="zh-CN"/>
                    </w:rPr>
                    <w:t>300</w:t>
                  </w:r>
                </w:p>
              </w:tc>
              <w:tc>
                <w:tcPr>
                  <w:tcW w:w="567" w:type="dxa"/>
                  <w:vAlign w:val="center"/>
                </w:tcPr>
                <w:p w14:paraId="1BA4E5E5">
                  <w:pPr>
                    <w:pStyle w:val="73"/>
                    <w:spacing w:line="240" w:lineRule="auto"/>
                    <w:rPr>
                      <w:rFonts w:hint="default" w:eastAsia="宋体"/>
                      <w:color w:val="C00000"/>
                      <w:sz w:val="18"/>
                      <w:szCs w:val="18"/>
                      <w:lang w:val="en-US" w:eastAsia="zh-CN"/>
                    </w:rPr>
                  </w:pPr>
                  <w:r>
                    <w:rPr>
                      <w:rFonts w:hint="eastAsia" w:eastAsia="宋体"/>
                      <w:color w:val="C00000"/>
                      <w:sz w:val="18"/>
                      <w:szCs w:val="18"/>
                      <w:lang w:val="en-US" w:eastAsia="zh-CN"/>
                    </w:rPr>
                    <w:t>1.956</w:t>
                  </w:r>
                </w:p>
              </w:tc>
              <w:tc>
                <w:tcPr>
                  <w:tcW w:w="767" w:type="dxa"/>
                  <w:vMerge w:val="continue"/>
                  <w:vAlign w:val="center"/>
                </w:tcPr>
                <w:p w14:paraId="62D8D394">
                  <w:pPr>
                    <w:pStyle w:val="73"/>
                    <w:spacing w:line="240" w:lineRule="auto"/>
                    <w:rPr>
                      <w:rFonts w:eastAsia="宋体"/>
                      <w:color w:val="C00000"/>
                      <w:sz w:val="18"/>
                      <w:szCs w:val="18"/>
                    </w:rPr>
                  </w:pPr>
                </w:p>
              </w:tc>
              <w:tc>
                <w:tcPr>
                  <w:tcW w:w="633" w:type="dxa"/>
                  <w:vAlign w:val="center"/>
                </w:tcPr>
                <w:p w14:paraId="7861B815">
                  <w:pPr>
                    <w:pStyle w:val="73"/>
                    <w:spacing w:line="240" w:lineRule="auto"/>
                    <w:rPr>
                      <w:rFonts w:eastAsia="宋体"/>
                      <w:color w:val="C00000"/>
                      <w:sz w:val="18"/>
                      <w:szCs w:val="18"/>
                    </w:rPr>
                  </w:pPr>
                  <w:r>
                    <w:rPr>
                      <w:rFonts w:eastAsia="宋体"/>
                      <w:color w:val="C00000"/>
                      <w:sz w:val="18"/>
                      <w:szCs w:val="18"/>
                    </w:rPr>
                    <w:t>-</w:t>
                  </w:r>
                </w:p>
              </w:tc>
              <w:tc>
                <w:tcPr>
                  <w:tcW w:w="533" w:type="dxa"/>
                  <w:vAlign w:val="center"/>
                </w:tcPr>
                <w:p w14:paraId="4BE584D7">
                  <w:pPr>
                    <w:pStyle w:val="73"/>
                    <w:spacing w:line="240" w:lineRule="auto"/>
                    <w:rPr>
                      <w:rFonts w:hint="eastAsia" w:eastAsia="宋体"/>
                      <w:color w:val="C00000"/>
                      <w:sz w:val="18"/>
                      <w:szCs w:val="18"/>
                      <w:lang w:eastAsia="zh-CN"/>
                    </w:rPr>
                  </w:pPr>
                  <w:r>
                    <w:rPr>
                      <w:rFonts w:eastAsia="宋体"/>
                      <w:color w:val="C00000"/>
                      <w:sz w:val="18"/>
                      <w:szCs w:val="18"/>
                    </w:rPr>
                    <w:t>物料恒算法</w:t>
                  </w:r>
                </w:p>
              </w:tc>
              <w:tc>
                <w:tcPr>
                  <w:tcW w:w="650" w:type="dxa"/>
                  <w:vMerge w:val="continue"/>
                  <w:shd w:val="clear" w:color="auto" w:fill="auto"/>
                  <w:vAlign w:val="center"/>
                </w:tcPr>
                <w:p w14:paraId="5322336D">
                  <w:pPr>
                    <w:pStyle w:val="73"/>
                    <w:spacing w:line="240" w:lineRule="auto"/>
                    <w:rPr>
                      <w:rFonts w:eastAsia="宋体"/>
                      <w:color w:val="C00000"/>
                      <w:sz w:val="18"/>
                      <w:szCs w:val="18"/>
                    </w:rPr>
                  </w:pPr>
                </w:p>
              </w:tc>
              <w:tc>
                <w:tcPr>
                  <w:tcW w:w="575" w:type="dxa"/>
                  <w:shd w:val="clear" w:color="auto" w:fill="auto"/>
                  <w:vAlign w:val="center"/>
                </w:tcPr>
                <w:p w14:paraId="5FABEBFA">
                  <w:pPr>
                    <w:pStyle w:val="73"/>
                    <w:spacing w:line="240" w:lineRule="auto"/>
                    <w:rPr>
                      <w:rFonts w:hint="default" w:eastAsia="宋体"/>
                      <w:color w:val="C00000"/>
                      <w:sz w:val="18"/>
                      <w:szCs w:val="18"/>
                      <w:lang w:val="en-US" w:eastAsia="zh-CN"/>
                    </w:rPr>
                  </w:pPr>
                  <w:r>
                    <w:rPr>
                      <w:rFonts w:hint="eastAsia" w:eastAsia="宋体"/>
                      <w:color w:val="C00000"/>
                      <w:sz w:val="18"/>
                      <w:szCs w:val="18"/>
                      <w:lang w:val="en-US" w:eastAsia="zh-CN"/>
                    </w:rPr>
                    <w:t>300</w:t>
                  </w:r>
                </w:p>
              </w:tc>
              <w:tc>
                <w:tcPr>
                  <w:tcW w:w="550" w:type="dxa"/>
                  <w:shd w:val="clear" w:color="auto" w:fill="auto"/>
                  <w:vAlign w:val="center"/>
                </w:tcPr>
                <w:p w14:paraId="743EEED2">
                  <w:pPr>
                    <w:pStyle w:val="73"/>
                    <w:spacing w:line="240" w:lineRule="auto"/>
                    <w:rPr>
                      <w:rFonts w:hint="default" w:eastAsia="宋体"/>
                      <w:color w:val="C00000"/>
                      <w:sz w:val="18"/>
                      <w:szCs w:val="18"/>
                      <w:lang w:val="en-US" w:eastAsia="zh-CN"/>
                    </w:rPr>
                  </w:pPr>
                  <w:r>
                    <w:rPr>
                      <w:rFonts w:hint="eastAsia" w:eastAsia="宋体"/>
                      <w:color w:val="C00000"/>
                      <w:sz w:val="18"/>
                      <w:szCs w:val="18"/>
                      <w:lang w:val="en-US" w:eastAsia="zh-CN"/>
                    </w:rPr>
                    <w:t>1.956</w:t>
                  </w:r>
                </w:p>
              </w:tc>
              <w:tc>
                <w:tcPr>
                  <w:tcW w:w="420" w:type="dxa"/>
                  <w:vMerge w:val="continue"/>
                  <w:vAlign w:val="center"/>
                </w:tcPr>
                <w:p w14:paraId="16433CE5">
                  <w:pPr>
                    <w:pStyle w:val="73"/>
                    <w:spacing w:line="240" w:lineRule="auto"/>
                    <w:rPr>
                      <w:rFonts w:eastAsia="宋体"/>
                      <w:color w:val="C00000"/>
                      <w:sz w:val="18"/>
                      <w:szCs w:val="18"/>
                    </w:rPr>
                  </w:pPr>
                </w:p>
              </w:tc>
            </w:tr>
            <w:tr w14:paraId="60E9FD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68" w:type="dxa"/>
                  <w:vMerge w:val="continue"/>
                  <w:vAlign w:val="center"/>
                </w:tcPr>
                <w:p w14:paraId="23A6E6EB">
                  <w:pPr>
                    <w:pStyle w:val="73"/>
                    <w:spacing w:line="240" w:lineRule="auto"/>
                    <w:rPr>
                      <w:rFonts w:eastAsia="宋体"/>
                      <w:color w:val="C00000"/>
                      <w:sz w:val="18"/>
                      <w:szCs w:val="18"/>
                    </w:rPr>
                  </w:pPr>
                </w:p>
              </w:tc>
              <w:tc>
                <w:tcPr>
                  <w:tcW w:w="480" w:type="dxa"/>
                  <w:vMerge w:val="continue"/>
                  <w:vAlign w:val="center"/>
                </w:tcPr>
                <w:p w14:paraId="65B5B309">
                  <w:pPr>
                    <w:pStyle w:val="73"/>
                    <w:spacing w:line="240" w:lineRule="auto"/>
                    <w:rPr>
                      <w:rFonts w:eastAsia="宋体"/>
                      <w:color w:val="C00000"/>
                      <w:sz w:val="18"/>
                      <w:szCs w:val="18"/>
                    </w:rPr>
                  </w:pPr>
                </w:p>
              </w:tc>
              <w:tc>
                <w:tcPr>
                  <w:tcW w:w="613" w:type="dxa"/>
                  <w:vAlign w:val="center"/>
                </w:tcPr>
                <w:p w14:paraId="6E678C3B">
                  <w:pPr>
                    <w:pStyle w:val="63"/>
                    <w:spacing w:before="31" w:after="31" w:line="240" w:lineRule="auto"/>
                    <w:rPr>
                      <w:rFonts w:ascii="Times New Roman" w:hAnsi="Times New Roman" w:eastAsia="宋体" w:cs="Times New Roman"/>
                      <w:color w:val="C00000"/>
                      <w:sz w:val="18"/>
                      <w:szCs w:val="18"/>
                    </w:rPr>
                  </w:pPr>
                  <w:bookmarkStart w:id="19" w:name="_Toc5959"/>
                  <w:r>
                    <w:rPr>
                      <w:rFonts w:ascii="Times New Roman" w:hAnsi="Times New Roman" w:eastAsia="宋体" w:cs="Times New Roman"/>
                      <w:color w:val="C00000"/>
                      <w:sz w:val="18"/>
                      <w:szCs w:val="18"/>
                    </w:rPr>
                    <w:t>烟气黑度</w:t>
                  </w:r>
                  <w:bookmarkEnd w:id="19"/>
                </w:p>
              </w:tc>
              <w:tc>
                <w:tcPr>
                  <w:tcW w:w="538" w:type="dxa"/>
                  <w:vAlign w:val="center"/>
                </w:tcPr>
                <w:p w14:paraId="1BAD2C3E">
                  <w:pPr>
                    <w:pStyle w:val="73"/>
                    <w:spacing w:line="240" w:lineRule="auto"/>
                    <w:rPr>
                      <w:rFonts w:eastAsia="宋体"/>
                      <w:color w:val="C00000"/>
                      <w:sz w:val="18"/>
                      <w:szCs w:val="18"/>
                    </w:rPr>
                  </w:pPr>
                  <w:r>
                    <w:rPr>
                      <w:rFonts w:eastAsia="宋体"/>
                      <w:color w:val="C00000"/>
                      <w:sz w:val="18"/>
                      <w:szCs w:val="18"/>
                    </w:rPr>
                    <w:t>-</w:t>
                  </w:r>
                </w:p>
              </w:tc>
              <w:tc>
                <w:tcPr>
                  <w:tcW w:w="612" w:type="dxa"/>
                  <w:vMerge w:val="continue"/>
                  <w:vAlign w:val="center"/>
                </w:tcPr>
                <w:p w14:paraId="3A7B9F8C">
                  <w:pPr>
                    <w:pStyle w:val="73"/>
                    <w:spacing w:line="240" w:lineRule="auto"/>
                    <w:rPr>
                      <w:rFonts w:eastAsia="宋体"/>
                      <w:color w:val="C00000"/>
                      <w:sz w:val="18"/>
                      <w:szCs w:val="18"/>
                    </w:rPr>
                  </w:pPr>
                </w:p>
              </w:tc>
              <w:tc>
                <w:tcPr>
                  <w:tcW w:w="650" w:type="dxa"/>
                  <w:vAlign w:val="center"/>
                </w:tcPr>
                <w:p w14:paraId="44D391BD">
                  <w:pPr>
                    <w:pStyle w:val="73"/>
                    <w:spacing w:line="240" w:lineRule="auto"/>
                    <w:rPr>
                      <w:rFonts w:eastAsia="宋体"/>
                      <w:color w:val="C00000"/>
                      <w:sz w:val="18"/>
                      <w:szCs w:val="18"/>
                    </w:rPr>
                  </w:pPr>
                  <w:r>
                    <w:rPr>
                      <w:rFonts w:hint="eastAsia" w:eastAsia="宋体"/>
                      <w:color w:val="C00000"/>
                      <w:sz w:val="18"/>
                      <w:szCs w:val="18"/>
                    </w:rPr>
                    <w:t>-</w:t>
                  </w:r>
                </w:p>
              </w:tc>
              <w:tc>
                <w:tcPr>
                  <w:tcW w:w="567" w:type="dxa"/>
                  <w:vAlign w:val="center"/>
                </w:tcPr>
                <w:p w14:paraId="36324BED">
                  <w:pPr>
                    <w:pStyle w:val="73"/>
                    <w:spacing w:line="240" w:lineRule="auto"/>
                    <w:rPr>
                      <w:rFonts w:eastAsia="宋体"/>
                      <w:color w:val="C00000"/>
                      <w:sz w:val="18"/>
                      <w:szCs w:val="18"/>
                    </w:rPr>
                  </w:pPr>
                  <w:r>
                    <w:rPr>
                      <w:rFonts w:eastAsia="宋体"/>
                      <w:color w:val="C00000"/>
                      <w:sz w:val="18"/>
                      <w:szCs w:val="18"/>
                    </w:rPr>
                    <w:t>-</w:t>
                  </w:r>
                </w:p>
              </w:tc>
              <w:tc>
                <w:tcPr>
                  <w:tcW w:w="767" w:type="dxa"/>
                  <w:vAlign w:val="center"/>
                </w:tcPr>
                <w:p w14:paraId="4CD91D2D">
                  <w:pPr>
                    <w:pStyle w:val="73"/>
                    <w:spacing w:line="240" w:lineRule="auto"/>
                    <w:rPr>
                      <w:rFonts w:eastAsia="宋体"/>
                      <w:color w:val="C00000"/>
                      <w:sz w:val="18"/>
                      <w:szCs w:val="18"/>
                    </w:rPr>
                  </w:pPr>
                  <w:r>
                    <w:rPr>
                      <w:rFonts w:eastAsia="宋体"/>
                      <w:color w:val="C00000"/>
                      <w:sz w:val="18"/>
                      <w:szCs w:val="18"/>
                    </w:rPr>
                    <w:t>-</w:t>
                  </w:r>
                </w:p>
              </w:tc>
              <w:tc>
                <w:tcPr>
                  <w:tcW w:w="633" w:type="dxa"/>
                  <w:vAlign w:val="center"/>
                </w:tcPr>
                <w:p w14:paraId="3353186B">
                  <w:pPr>
                    <w:pStyle w:val="73"/>
                    <w:spacing w:line="240" w:lineRule="auto"/>
                    <w:rPr>
                      <w:rFonts w:eastAsia="宋体"/>
                      <w:color w:val="C00000"/>
                      <w:sz w:val="18"/>
                      <w:szCs w:val="18"/>
                    </w:rPr>
                  </w:pPr>
                  <w:r>
                    <w:rPr>
                      <w:rFonts w:eastAsia="宋体"/>
                      <w:color w:val="C00000"/>
                      <w:sz w:val="18"/>
                      <w:szCs w:val="18"/>
                    </w:rPr>
                    <w:t>-</w:t>
                  </w:r>
                </w:p>
              </w:tc>
              <w:tc>
                <w:tcPr>
                  <w:tcW w:w="533" w:type="dxa"/>
                  <w:vAlign w:val="center"/>
                </w:tcPr>
                <w:p w14:paraId="193390FC">
                  <w:pPr>
                    <w:pStyle w:val="73"/>
                    <w:spacing w:line="240" w:lineRule="auto"/>
                    <w:rPr>
                      <w:rFonts w:eastAsia="宋体"/>
                      <w:color w:val="C00000"/>
                      <w:sz w:val="18"/>
                      <w:szCs w:val="18"/>
                    </w:rPr>
                  </w:pPr>
                  <w:r>
                    <w:rPr>
                      <w:rFonts w:eastAsia="宋体"/>
                      <w:color w:val="C00000"/>
                      <w:sz w:val="18"/>
                      <w:szCs w:val="18"/>
                    </w:rPr>
                    <w:t>-</w:t>
                  </w:r>
                </w:p>
              </w:tc>
              <w:tc>
                <w:tcPr>
                  <w:tcW w:w="650" w:type="dxa"/>
                  <w:vMerge w:val="continue"/>
                  <w:vAlign w:val="center"/>
                </w:tcPr>
                <w:p w14:paraId="4BD071D4">
                  <w:pPr>
                    <w:pStyle w:val="73"/>
                    <w:spacing w:line="240" w:lineRule="auto"/>
                    <w:rPr>
                      <w:rFonts w:eastAsia="宋体"/>
                      <w:color w:val="C00000"/>
                      <w:sz w:val="18"/>
                      <w:szCs w:val="18"/>
                    </w:rPr>
                  </w:pPr>
                </w:p>
              </w:tc>
              <w:tc>
                <w:tcPr>
                  <w:tcW w:w="575" w:type="dxa"/>
                  <w:shd w:val="clear" w:color="auto" w:fill="auto"/>
                  <w:vAlign w:val="center"/>
                </w:tcPr>
                <w:p w14:paraId="6FADB9C6">
                  <w:pPr>
                    <w:pStyle w:val="73"/>
                    <w:spacing w:line="240" w:lineRule="auto"/>
                    <w:rPr>
                      <w:rFonts w:eastAsia="宋体"/>
                      <w:color w:val="C00000"/>
                      <w:sz w:val="18"/>
                      <w:szCs w:val="18"/>
                    </w:rPr>
                  </w:pPr>
                  <w:r>
                    <w:rPr>
                      <w:rFonts w:eastAsia="宋体"/>
                      <w:color w:val="C00000"/>
                      <w:sz w:val="18"/>
                      <w:szCs w:val="18"/>
                    </w:rPr>
                    <w:t>&lt;1（级）</w:t>
                  </w:r>
                </w:p>
              </w:tc>
              <w:tc>
                <w:tcPr>
                  <w:tcW w:w="550" w:type="dxa"/>
                  <w:vAlign w:val="center"/>
                </w:tcPr>
                <w:p w14:paraId="1CC3F936">
                  <w:pPr>
                    <w:pStyle w:val="73"/>
                    <w:spacing w:line="240" w:lineRule="auto"/>
                    <w:rPr>
                      <w:rFonts w:eastAsia="宋体"/>
                      <w:color w:val="C00000"/>
                      <w:sz w:val="18"/>
                      <w:szCs w:val="18"/>
                    </w:rPr>
                  </w:pPr>
                  <w:r>
                    <w:rPr>
                      <w:rFonts w:eastAsia="宋体"/>
                      <w:color w:val="C00000"/>
                      <w:sz w:val="18"/>
                      <w:szCs w:val="18"/>
                    </w:rPr>
                    <w:t>-</w:t>
                  </w:r>
                </w:p>
              </w:tc>
              <w:tc>
                <w:tcPr>
                  <w:tcW w:w="420" w:type="dxa"/>
                  <w:vMerge w:val="continue"/>
                  <w:vAlign w:val="center"/>
                </w:tcPr>
                <w:p w14:paraId="08C170A9">
                  <w:pPr>
                    <w:pStyle w:val="73"/>
                    <w:spacing w:line="240" w:lineRule="auto"/>
                    <w:rPr>
                      <w:rFonts w:eastAsia="宋体"/>
                      <w:color w:val="C00000"/>
                      <w:sz w:val="18"/>
                      <w:szCs w:val="18"/>
                    </w:rPr>
                  </w:pPr>
                </w:p>
              </w:tc>
            </w:tr>
            <w:tr w14:paraId="54ED4A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68" w:type="dxa"/>
                  <w:vMerge w:val="restart"/>
                  <w:vAlign w:val="center"/>
                </w:tcPr>
                <w:p w14:paraId="45F280E0">
                  <w:pPr>
                    <w:pStyle w:val="73"/>
                    <w:spacing w:line="240" w:lineRule="auto"/>
                    <w:rPr>
                      <w:rFonts w:eastAsia="宋体"/>
                      <w:color w:val="C00000"/>
                      <w:sz w:val="18"/>
                      <w:szCs w:val="18"/>
                    </w:rPr>
                  </w:pPr>
                  <w:r>
                    <w:rPr>
                      <w:rFonts w:eastAsia="宋体"/>
                      <w:color w:val="C00000"/>
                      <w:sz w:val="18"/>
                      <w:szCs w:val="18"/>
                    </w:rPr>
                    <w:t>无组织排放</w:t>
                  </w:r>
                </w:p>
              </w:tc>
              <w:tc>
                <w:tcPr>
                  <w:tcW w:w="480" w:type="dxa"/>
                  <w:vAlign w:val="center"/>
                </w:tcPr>
                <w:p w14:paraId="0142D9FD">
                  <w:pPr>
                    <w:pStyle w:val="73"/>
                    <w:spacing w:line="240" w:lineRule="auto"/>
                    <w:rPr>
                      <w:rFonts w:eastAsia="宋体"/>
                      <w:color w:val="C00000"/>
                      <w:sz w:val="18"/>
                      <w:szCs w:val="18"/>
                    </w:rPr>
                  </w:pPr>
                  <w:r>
                    <w:rPr>
                      <w:rFonts w:eastAsia="宋体"/>
                      <w:color w:val="C00000"/>
                      <w:sz w:val="18"/>
                      <w:szCs w:val="18"/>
                    </w:rPr>
                    <w:t>卸粮</w:t>
                  </w:r>
                </w:p>
              </w:tc>
              <w:tc>
                <w:tcPr>
                  <w:tcW w:w="613" w:type="dxa"/>
                  <w:vAlign w:val="center"/>
                </w:tcPr>
                <w:p w14:paraId="679C074F">
                  <w:pPr>
                    <w:pStyle w:val="63"/>
                    <w:spacing w:before="31" w:after="31" w:line="240" w:lineRule="auto"/>
                    <w:rPr>
                      <w:rFonts w:ascii="Times New Roman" w:hAnsi="Times New Roman" w:eastAsia="宋体" w:cs="Times New Roman"/>
                      <w:color w:val="C00000"/>
                      <w:sz w:val="18"/>
                      <w:szCs w:val="18"/>
                    </w:rPr>
                  </w:pPr>
                  <w:bookmarkStart w:id="20" w:name="_Toc27389"/>
                  <w:r>
                    <w:rPr>
                      <w:rFonts w:ascii="Times New Roman" w:hAnsi="Times New Roman" w:eastAsia="宋体" w:cs="Times New Roman"/>
                      <w:color w:val="C00000"/>
                      <w:sz w:val="18"/>
                      <w:szCs w:val="18"/>
                    </w:rPr>
                    <w:t>颗粒物</w:t>
                  </w:r>
                  <w:bookmarkEnd w:id="20"/>
                </w:p>
              </w:tc>
              <w:tc>
                <w:tcPr>
                  <w:tcW w:w="538" w:type="dxa"/>
                  <w:vAlign w:val="center"/>
                </w:tcPr>
                <w:p w14:paraId="0244047D">
                  <w:pPr>
                    <w:pStyle w:val="73"/>
                    <w:spacing w:line="240" w:lineRule="auto"/>
                    <w:rPr>
                      <w:rFonts w:eastAsia="宋体"/>
                      <w:color w:val="C00000"/>
                      <w:sz w:val="18"/>
                      <w:szCs w:val="18"/>
                    </w:rPr>
                  </w:pPr>
                  <w:r>
                    <w:rPr>
                      <w:rFonts w:eastAsia="宋体"/>
                      <w:color w:val="C00000"/>
                      <w:sz w:val="18"/>
                      <w:szCs w:val="18"/>
                    </w:rPr>
                    <w:t>系数法</w:t>
                  </w:r>
                </w:p>
              </w:tc>
              <w:tc>
                <w:tcPr>
                  <w:tcW w:w="612" w:type="dxa"/>
                  <w:vMerge w:val="continue"/>
                  <w:vAlign w:val="center"/>
                </w:tcPr>
                <w:p w14:paraId="394A3528">
                  <w:pPr>
                    <w:jc w:val="center"/>
                    <w:rPr>
                      <w:color w:val="C00000"/>
                      <w:sz w:val="18"/>
                      <w:szCs w:val="18"/>
                    </w:rPr>
                  </w:pPr>
                </w:p>
              </w:tc>
              <w:tc>
                <w:tcPr>
                  <w:tcW w:w="650" w:type="dxa"/>
                  <w:vAlign w:val="center"/>
                </w:tcPr>
                <w:p w14:paraId="253FE563">
                  <w:pPr>
                    <w:jc w:val="center"/>
                    <w:rPr>
                      <w:color w:val="C00000"/>
                      <w:sz w:val="18"/>
                      <w:szCs w:val="18"/>
                    </w:rPr>
                  </w:pPr>
                  <w:r>
                    <w:rPr>
                      <w:rFonts w:hint="eastAsia"/>
                      <w:color w:val="C00000"/>
                      <w:sz w:val="18"/>
                      <w:szCs w:val="18"/>
                    </w:rPr>
                    <w:t>-</w:t>
                  </w:r>
                </w:p>
              </w:tc>
              <w:tc>
                <w:tcPr>
                  <w:tcW w:w="567" w:type="dxa"/>
                  <w:vAlign w:val="center"/>
                </w:tcPr>
                <w:p w14:paraId="70E39563">
                  <w:pPr>
                    <w:pStyle w:val="73"/>
                    <w:spacing w:line="240" w:lineRule="auto"/>
                    <w:rPr>
                      <w:rFonts w:eastAsia="宋体"/>
                      <w:color w:val="C00000"/>
                      <w:sz w:val="18"/>
                      <w:szCs w:val="18"/>
                    </w:rPr>
                  </w:pPr>
                  <w:r>
                    <w:rPr>
                      <w:rFonts w:hint="eastAsia" w:eastAsia="宋体"/>
                      <w:color w:val="C00000"/>
                      <w:sz w:val="18"/>
                      <w:szCs w:val="18"/>
                    </w:rPr>
                    <w:t>8</w:t>
                  </w:r>
                </w:p>
              </w:tc>
              <w:tc>
                <w:tcPr>
                  <w:tcW w:w="767" w:type="dxa"/>
                  <w:vAlign w:val="center"/>
                </w:tcPr>
                <w:p w14:paraId="6AC8EEF9">
                  <w:pPr>
                    <w:pStyle w:val="73"/>
                    <w:spacing w:line="240" w:lineRule="auto"/>
                    <w:rPr>
                      <w:rFonts w:eastAsia="宋体"/>
                      <w:color w:val="C00000"/>
                      <w:sz w:val="18"/>
                      <w:szCs w:val="18"/>
                    </w:rPr>
                  </w:pPr>
                  <w:r>
                    <w:rPr>
                      <w:rFonts w:eastAsia="宋体"/>
                      <w:color w:val="C00000"/>
                      <w:sz w:val="18"/>
                      <w:szCs w:val="18"/>
                    </w:rPr>
                    <w:t>减小装卸高度、密闭输送</w:t>
                  </w:r>
                </w:p>
              </w:tc>
              <w:tc>
                <w:tcPr>
                  <w:tcW w:w="633" w:type="dxa"/>
                  <w:vAlign w:val="center"/>
                </w:tcPr>
                <w:p w14:paraId="34F33FD7">
                  <w:pPr>
                    <w:pStyle w:val="73"/>
                    <w:spacing w:line="240" w:lineRule="auto"/>
                    <w:rPr>
                      <w:rFonts w:eastAsia="宋体"/>
                      <w:color w:val="C00000"/>
                      <w:sz w:val="18"/>
                      <w:szCs w:val="18"/>
                    </w:rPr>
                  </w:pPr>
                  <w:r>
                    <w:rPr>
                      <w:rFonts w:eastAsia="宋体"/>
                      <w:color w:val="C00000"/>
                      <w:sz w:val="18"/>
                      <w:szCs w:val="18"/>
                    </w:rPr>
                    <w:t>80</w:t>
                  </w:r>
                </w:p>
              </w:tc>
              <w:tc>
                <w:tcPr>
                  <w:tcW w:w="533" w:type="dxa"/>
                  <w:vAlign w:val="center"/>
                </w:tcPr>
                <w:p w14:paraId="5A6B42EC">
                  <w:pPr>
                    <w:pStyle w:val="73"/>
                    <w:spacing w:line="240" w:lineRule="auto"/>
                    <w:rPr>
                      <w:rFonts w:eastAsia="宋体"/>
                      <w:color w:val="C00000"/>
                      <w:sz w:val="18"/>
                      <w:szCs w:val="18"/>
                    </w:rPr>
                  </w:pPr>
                  <w:r>
                    <w:rPr>
                      <w:rFonts w:eastAsia="宋体"/>
                      <w:color w:val="C00000"/>
                      <w:sz w:val="18"/>
                      <w:szCs w:val="18"/>
                    </w:rPr>
                    <w:t>系数法</w:t>
                  </w:r>
                </w:p>
              </w:tc>
              <w:tc>
                <w:tcPr>
                  <w:tcW w:w="650" w:type="dxa"/>
                  <w:vMerge w:val="continue"/>
                  <w:vAlign w:val="center"/>
                </w:tcPr>
                <w:p w14:paraId="669730D0">
                  <w:pPr>
                    <w:jc w:val="center"/>
                    <w:rPr>
                      <w:color w:val="C00000"/>
                      <w:sz w:val="18"/>
                      <w:szCs w:val="18"/>
                    </w:rPr>
                  </w:pPr>
                </w:p>
              </w:tc>
              <w:tc>
                <w:tcPr>
                  <w:tcW w:w="575" w:type="dxa"/>
                  <w:shd w:val="clear" w:color="auto" w:fill="auto"/>
                  <w:vAlign w:val="center"/>
                </w:tcPr>
                <w:p w14:paraId="4AAD0B67">
                  <w:pPr>
                    <w:jc w:val="center"/>
                    <w:rPr>
                      <w:color w:val="C00000"/>
                      <w:sz w:val="18"/>
                      <w:szCs w:val="18"/>
                    </w:rPr>
                  </w:pPr>
                  <w:r>
                    <w:rPr>
                      <w:color w:val="C00000"/>
                      <w:sz w:val="18"/>
                      <w:szCs w:val="18"/>
                    </w:rPr>
                    <w:t>-</w:t>
                  </w:r>
                </w:p>
              </w:tc>
              <w:tc>
                <w:tcPr>
                  <w:tcW w:w="550" w:type="dxa"/>
                  <w:vAlign w:val="center"/>
                </w:tcPr>
                <w:p w14:paraId="73AEE545">
                  <w:pPr>
                    <w:pStyle w:val="73"/>
                    <w:spacing w:line="240" w:lineRule="auto"/>
                    <w:rPr>
                      <w:rFonts w:eastAsia="宋体"/>
                      <w:color w:val="C00000"/>
                      <w:sz w:val="18"/>
                      <w:szCs w:val="18"/>
                    </w:rPr>
                  </w:pPr>
                  <w:r>
                    <w:rPr>
                      <w:rFonts w:hint="eastAsia" w:eastAsia="宋体"/>
                      <w:color w:val="C00000"/>
                      <w:sz w:val="18"/>
                      <w:szCs w:val="18"/>
                    </w:rPr>
                    <w:t>1.6</w:t>
                  </w:r>
                </w:p>
              </w:tc>
              <w:tc>
                <w:tcPr>
                  <w:tcW w:w="420" w:type="dxa"/>
                  <w:vAlign w:val="center"/>
                </w:tcPr>
                <w:p w14:paraId="099AA0BE">
                  <w:pPr>
                    <w:pStyle w:val="73"/>
                    <w:spacing w:line="240" w:lineRule="auto"/>
                    <w:rPr>
                      <w:rFonts w:eastAsia="宋体"/>
                      <w:color w:val="C00000"/>
                      <w:sz w:val="18"/>
                      <w:szCs w:val="18"/>
                    </w:rPr>
                  </w:pPr>
                  <w:r>
                    <w:rPr>
                      <w:rFonts w:hint="eastAsia" w:eastAsia="宋体"/>
                      <w:color w:val="C00000"/>
                      <w:sz w:val="18"/>
                      <w:szCs w:val="18"/>
                    </w:rPr>
                    <w:t>300</w:t>
                  </w:r>
                </w:p>
              </w:tc>
            </w:tr>
            <w:tr w14:paraId="101A10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68" w:type="dxa"/>
                  <w:vMerge w:val="continue"/>
                  <w:vAlign w:val="center"/>
                </w:tcPr>
                <w:p w14:paraId="787FAFAE">
                  <w:pPr>
                    <w:pStyle w:val="73"/>
                    <w:spacing w:line="240" w:lineRule="auto"/>
                    <w:rPr>
                      <w:rFonts w:eastAsia="宋体"/>
                      <w:color w:val="C00000"/>
                      <w:sz w:val="18"/>
                      <w:szCs w:val="18"/>
                    </w:rPr>
                  </w:pPr>
                </w:p>
              </w:tc>
              <w:tc>
                <w:tcPr>
                  <w:tcW w:w="480" w:type="dxa"/>
                  <w:vAlign w:val="center"/>
                </w:tcPr>
                <w:p w14:paraId="46803068">
                  <w:pPr>
                    <w:pStyle w:val="73"/>
                    <w:spacing w:line="240" w:lineRule="auto"/>
                    <w:rPr>
                      <w:rFonts w:eastAsia="宋体"/>
                      <w:color w:val="C00000"/>
                      <w:sz w:val="18"/>
                      <w:szCs w:val="18"/>
                    </w:rPr>
                  </w:pPr>
                  <w:r>
                    <w:rPr>
                      <w:rFonts w:hint="eastAsia" w:eastAsia="宋体"/>
                      <w:color w:val="C00000"/>
                      <w:sz w:val="18"/>
                      <w:szCs w:val="18"/>
                    </w:rPr>
                    <w:t>筛分</w:t>
                  </w:r>
                </w:p>
              </w:tc>
              <w:tc>
                <w:tcPr>
                  <w:tcW w:w="613" w:type="dxa"/>
                  <w:vAlign w:val="center"/>
                </w:tcPr>
                <w:p w14:paraId="1DD0F312">
                  <w:pPr>
                    <w:pStyle w:val="63"/>
                    <w:spacing w:before="31" w:after="31" w:line="240" w:lineRule="auto"/>
                    <w:rPr>
                      <w:rFonts w:ascii="Times New Roman" w:hAnsi="Times New Roman" w:eastAsia="宋体" w:cs="Times New Roman"/>
                      <w:color w:val="C00000"/>
                      <w:sz w:val="18"/>
                      <w:szCs w:val="18"/>
                    </w:rPr>
                  </w:pPr>
                  <w:r>
                    <w:rPr>
                      <w:rFonts w:ascii="Times New Roman" w:hAnsi="Times New Roman" w:eastAsia="宋体" w:cs="Times New Roman"/>
                      <w:color w:val="C00000"/>
                      <w:sz w:val="18"/>
                      <w:szCs w:val="18"/>
                    </w:rPr>
                    <w:t>颗粒物</w:t>
                  </w:r>
                </w:p>
              </w:tc>
              <w:tc>
                <w:tcPr>
                  <w:tcW w:w="538" w:type="dxa"/>
                  <w:vAlign w:val="center"/>
                </w:tcPr>
                <w:p w14:paraId="6F249F55">
                  <w:pPr>
                    <w:pStyle w:val="73"/>
                    <w:spacing w:line="240" w:lineRule="auto"/>
                    <w:rPr>
                      <w:rFonts w:eastAsia="宋体"/>
                      <w:color w:val="C00000"/>
                      <w:sz w:val="18"/>
                      <w:szCs w:val="18"/>
                    </w:rPr>
                  </w:pPr>
                  <w:r>
                    <w:rPr>
                      <w:rFonts w:eastAsia="宋体"/>
                      <w:color w:val="C00000"/>
                      <w:sz w:val="18"/>
                      <w:szCs w:val="18"/>
                    </w:rPr>
                    <w:t>系数法</w:t>
                  </w:r>
                </w:p>
              </w:tc>
              <w:tc>
                <w:tcPr>
                  <w:tcW w:w="612" w:type="dxa"/>
                  <w:vMerge w:val="continue"/>
                  <w:vAlign w:val="center"/>
                </w:tcPr>
                <w:p w14:paraId="09F43695">
                  <w:pPr>
                    <w:jc w:val="center"/>
                    <w:rPr>
                      <w:color w:val="C00000"/>
                      <w:sz w:val="18"/>
                      <w:szCs w:val="18"/>
                    </w:rPr>
                  </w:pPr>
                </w:p>
              </w:tc>
              <w:tc>
                <w:tcPr>
                  <w:tcW w:w="650" w:type="dxa"/>
                  <w:vAlign w:val="center"/>
                </w:tcPr>
                <w:p w14:paraId="2D02FC40">
                  <w:pPr>
                    <w:jc w:val="center"/>
                    <w:rPr>
                      <w:color w:val="C00000"/>
                      <w:sz w:val="18"/>
                      <w:szCs w:val="18"/>
                    </w:rPr>
                  </w:pPr>
                  <w:r>
                    <w:rPr>
                      <w:rFonts w:hint="eastAsia"/>
                      <w:color w:val="C00000"/>
                      <w:sz w:val="18"/>
                      <w:szCs w:val="18"/>
                    </w:rPr>
                    <w:t>-</w:t>
                  </w:r>
                </w:p>
              </w:tc>
              <w:tc>
                <w:tcPr>
                  <w:tcW w:w="567" w:type="dxa"/>
                  <w:vAlign w:val="center"/>
                </w:tcPr>
                <w:p w14:paraId="71CF7D2C">
                  <w:pPr>
                    <w:pStyle w:val="73"/>
                    <w:spacing w:line="240" w:lineRule="auto"/>
                    <w:rPr>
                      <w:rFonts w:eastAsia="宋体"/>
                      <w:color w:val="C00000"/>
                      <w:sz w:val="18"/>
                      <w:szCs w:val="18"/>
                    </w:rPr>
                  </w:pPr>
                  <w:r>
                    <w:rPr>
                      <w:rFonts w:hint="eastAsia" w:eastAsia="宋体"/>
                      <w:color w:val="C00000"/>
                      <w:sz w:val="18"/>
                      <w:szCs w:val="18"/>
                    </w:rPr>
                    <w:t>5</w:t>
                  </w:r>
                </w:p>
              </w:tc>
              <w:tc>
                <w:tcPr>
                  <w:tcW w:w="767" w:type="dxa"/>
                  <w:vAlign w:val="center"/>
                </w:tcPr>
                <w:p w14:paraId="322A56CB">
                  <w:pPr>
                    <w:pStyle w:val="73"/>
                    <w:spacing w:line="240" w:lineRule="auto"/>
                    <w:rPr>
                      <w:rFonts w:eastAsia="宋体"/>
                      <w:color w:val="C00000"/>
                      <w:sz w:val="18"/>
                      <w:szCs w:val="18"/>
                    </w:rPr>
                  </w:pPr>
                  <w:r>
                    <w:rPr>
                      <w:rFonts w:eastAsia="宋体"/>
                      <w:color w:val="C00000"/>
                      <w:sz w:val="18"/>
                      <w:szCs w:val="18"/>
                    </w:rPr>
                    <w:t>密闭设备</w:t>
                  </w:r>
                </w:p>
              </w:tc>
              <w:tc>
                <w:tcPr>
                  <w:tcW w:w="633" w:type="dxa"/>
                  <w:vAlign w:val="center"/>
                </w:tcPr>
                <w:p w14:paraId="5A2B2297">
                  <w:pPr>
                    <w:pStyle w:val="73"/>
                    <w:spacing w:line="240" w:lineRule="auto"/>
                    <w:rPr>
                      <w:rFonts w:eastAsia="宋体"/>
                      <w:color w:val="C00000"/>
                      <w:sz w:val="18"/>
                      <w:szCs w:val="18"/>
                    </w:rPr>
                  </w:pPr>
                  <w:r>
                    <w:rPr>
                      <w:rFonts w:hint="eastAsia" w:eastAsia="宋体"/>
                      <w:color w:val="C00000"/>
                      <w:sz w:val="18"/>
                      <w:szCs w:val="18"/>
                    </w:rPr>
                    <w:t>8</w:t>
                  </w:r>
                  <w:r>
                    <w:rPr>
                      <w:rFonts w:eastAsia="宋体"/>
                      <w:color w:val="C00000"/>
                      <w:sz w:val="18"/>
                      <w:szCs w:val="18"/>
                    </w:rPr>
                    <w:t>0</w:t>
                  </w:r>
                </w:p>
              </w:tc>
              <w:tc>
                <w:tcPr>
                  <w:tcW w:w="533" w:type="dxa"/>
                  <w:vAlign w:val="center"/>
                </w:tcPr>
                <w:p w14:paraId="079F5683">
                  <w:pPr>
                    <w:pStyle w:val="73"/>
                    <w:spacing w:line="240" w:lineRule="auto"/>
                    <w:rPr>
                      <w:rFonts w:eastAsia="宋体"/>
                      <w:color w:val="C00000"/>
                      <w:sz w:val="18"/>
                      <w:szCs w:val="18"/>
                    </w:rPr>
                  </w:pPr>
                  <w:r>
                    <w:rPr>
                      <w:rFonts w:eastAsia="宋体"/>
                      <w:color w:val="C00000"/>
                      <w:sz w:val="18"/>
                      <w:szCs w:val="18"/>
                    </w:rPr>
                    <w:t>系数法</w:t>
                  </w:r>
                </w:p>
              </w:tc>
              <w:tc>
                <w:tcPr>
                  <w:tcW w:w="650" w:type="dxa"/>
                  <w:vMerge w:val="continue"/>
                  <w:vAlign w:val="center"/>
                </w:tcPr>
                <w:p w14:paraId="1AFE6BD0">
                  <w:pPr>
                    <w:jc w:val="center"/>
                    <w:rPr>
                      <w:color w:val="C00000"/>
                      <w:sz w:val="18"/>
                      <w:szCs w:val="18"/>
                    </w:rPr>
                  </w:pPr>
                </w:p>
              </w:tc>
              <w:tc>
                <w:tcPr>
                  <w:tcW w:w="575" w:type="dxa"/>
                  <w:shd w:val="clear" w:color="auto" w:fill="auto"/>
                  <w:vAlign w:val="center"/>
                </w:tcPr>
                <w:p w14:paraId="7FD28182">
                  <w:pPr>
                    <w:jc w:val="center"/>
                    <w:rPr>
                      <w:color w:val="C00000"/>
                      <w:sz w:val="18"/>
                      <w:szCs w:val="18"/>
                    </w:rPr>
                  </w:pPr>
                  <w:r>
                    <w:rPr>
                      <w:color w:val="C00000"/>
                      <w:sz w:val="18"/>
                      <w:szCs w:val="18"/>
                    </w:rPr>
                    <w:t>-</w:t>
                  </w:r>
                </w:p>
              </w:tc>
              <w:tc>
                <w:tcPr>
                  <w:tcW w:w="550" w:type="dxa"/>
                  <w:vAlign w:val="center"/>
                </w:tcPr>
                <w:p w14:paraId="4FB2CE92">
                  <w:pPr>
                    <w:pStyle w:val="73"/>
                    <w:spacing w:line="240" w:lineRule="auto"/>
                    <w:rPr>
                      <w:rFonts w:eastAsia="宋体"/>
                      <w:color w:val="C00000"/>
                      <w:sz w:val="18"/>
                      <w:szCs w:val="18"/>
                    </w:rPr>
                  </w:pPr>
                  <w:r>
                    <w:rPr>
                      <w:rFonts w:hint="eastAsia" w:eastAsia="宋体"/>
                      <w:color w:val="C00000"/>
                      <w:sz w:val="18"/>
                      <w:szCs w:val="18"/>
                    </w:rPr>
                    <w:t>1</w:t>
                  </w:r>
                </w:p>
              </w:tc>
              <w:tc>
                <w:tcPr>
                  <w:tcW w:w="420" w:type="dxa"/>
                  <w:vAlign w:val="center"/>
                </w:tcPr>
                <w:p w14:paraId="4157F56F">
                  <w:pPr>
                    <w:pStyle w:val="73"/>
                    <w:spacing w:line="240" w:lineRule="auto"/>
                    <w:rPr>
                      <w:rFonts w:eastAsia="宋体"/>
                      <w:color w:val="C00000"/>
                      <w:sz w:val="18"/>
                      <w:szCs w:val="18"/>
                    </w:rPr>
                  </w:pPr>
                  <w:r>
                    <w:rPr>
                      <w:rFonts w:hint="eastAsia" w:eastAsia="宋体"/>
                      <w:color w:val="C00000"/>
                      <w:sz w:val="18"/>
                      <w:szCs w:val="18"/>
                    </w:rPr>
                    <w:t>300</w:t>
                  </w:r>
                </w:p>
              </w:tc>
            </w:tr>
            <w:tr w14:paraId="6FF385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68" w:type="dxa"/>
                  <w:vMerge w:val="continue"/>
                  <w:vAlign w:val="center"/>
                </w:tcPr>
                <w:p w14:paraId="5257213E">
                  <w:pPr>
                    <w:pStyle w:val="73"/>
                    <w:spacing w:line="240" w:lineRule="auto"/>
                    <w:rPr>
                      <w:rFonts w:eastAsia="宋体"/>
                      <w:color w:val="C00000"/>
                      <w:sz w:val="18"/>
                      <w:szCs w:val="18"/>
                    </w:rPr>
                  </w:pPr>
                </w:p>
              </w:tc>
              <w:tc>
                <w:tcPr>
                  <w:tcW w:w="480" w:type="dxa"/>
                  <w:vAlign w:val="center"/>
                </w:tcPr>
                <w:p w14:paraId="655E2694">
                  <w:pPr>
                    <w:pStyle w:val="73"/>
                    <w:spacing w:line="240" w:lineRule="auto"/>
                    <w:rPr>
                      <w:rFonts w:eastAsia="宋体"/>
                      <w:color w:val="C00000"/>
                      <w:sz w:val="18"/>
                      <w:szCs w:val="18"/>
                    </w:rPr>
                  </w:pPr>
                  <w:r>
                    <w:rPr>
                      <w:rFonts w:eastAsia="宋体"/>
                      <w:color w:val="C00000"/>
                      <w:sz w:val="18"/>
                      <w:szCs w:val="18"/>
                    </w:rPr>
                    <w:t>烘干塔</w:t>
                  </w:r>
                </w:p>
              </w:tc>
              <w:tc>
                <w:tcPr>
                  <w:tcW w:w="613" w:type="dxa"/>
                  <w:vAlign w:val="center"/>
                </w:tcPr>
                <w:p w14:paraId="69278E47">
                  <w:pPr>
                    <w:pStyle w:val="63"/>
                    <w:spacing w:before="31" w:after="31" w:line="240" w:lineRule="auto"/>
                    <w:rPr>
                      <w:rFonts w:ascii="Times New Roman" w:hAnsi="Times New Roman" w:eastAsia="宋体" w:cs="Times New Roman"/>
                      <w:color w:val="C00000"/>
                      <w:sz w:val="18"/>
                      <w:szCs w:val="18"/>
                    </w:rPr>
                  </w:pPr>
                  <w:bookmarkStart w:id="21" w:name="_Toc7843"/>
                  <w:r>
                    <w:rPr>
                      <w:rFonts w:ascii="Times New Roman" w:hAnsi="Times New Roman" w:eastAsia="宋体" w:cs="Times New Roman"/>
                      <w:color w:val="C00000"/>
                      <w:sz w:val="18"/>
                      <w:szCs w:val="18"/>
                    </w:rPr>
                    <w:t>颗粒物</w:t>
                  </w:r>
                  <w:bookmarkEnd w:id="21"/>
                </w:p>
              </w:tc>
              <w:tc>
                <w:tcPr>
                  <w:tcW w:w="538" w:type="dxa"/>
                  <w:vAlign w:val="center"/>
                </w:tcPr>
                <w:p w14:paraId="1E84B36D">
                  <w:pPr>
                    <w:pStyle w:val="73"/>
                    <w:spacing w:line="240" w:lineRule="auto"/>
                    <w:rPr>
                      <w:rFonts w:eastAsia="宋体"/>
                      <w:color w:val="C00000"/>
                      <w:sz w:val="18"/>
                      <w:szCs w:val="18"/>
                    </w:rPr>
                  </w:pPr>
                  <w:r>
                    <w:rPr>
                      <w:rFonts w:eastAsia="宋体"/>
                      <w:color w:val="C00000"/>
                      <w:sz w:val="18"/>
                      <w:szCs w:val="18"/>
                    </w:rPr>
                    <w:t>系数法</w:t>
                  </w:r>
                </w:p>
              </w:tc>
              <w:tc>
                <w:tcPr>
                  <w:tcW w:w="612" w:type="dxa"/>
                  <w:vMerge w:val="continue"/>
                  <w:vAlign w:val="center"/>
                </w:tcPr>
                <w:p w14:paraId="2026F111">
                  <w:pPr>
                    <w:jc w:val="center"/>
                    <w:rPr>
                      <w:color w:val="C00000"/>
                      <w:sz w:val="18"/>
                      <w:szCs w:val="18"/>
                    </w:rPr>
                  </w:pPr>
                </w:p>
              </w:tc>
              <w:tc>
                <w:tcPr>
                  <w:tcW w:w="650" w:type="dxa"/>
                  <w:vAlign w:val="center"/>
                </w:tcPr>
                <w:p w14:paraId="70F4164F">
                  <w:pPr>
                    <w:jc w:val="center"/>
                    <w:rPr>
                      <w:color w:val="C00000"/>
                      <w:sz w:val="18"/>
                      <w:szCs w:val="18"/>
                    </w:rPr>
                  </w:pPr>
                  <w:r>
                    <w:rPr>
                      <w:rFonts w:hint="eastAsia"/>
                      <w:color w:val="C00000"/>
                      <w:sz w:val="18"/>
                      <w:szCs w:val="18"/>
                    </w:rPr>
                    <w:t>-</w:t>
                  </w:r>
                </w:p>
              </w:tc>
              <w:tc>
                <w:tcPr>
                  <w:tcW w:w="567" w:type="dxa"/>
                  <w:vAlign w:val="center"/>
                </w:tcPr>
                <w:p w14:paraId="5FF1737C">
                  <w:pPr>
                    <w:pStyle w:val="73"/>
                    <w:spacing w:line="240" w:lineRule="auto"/>
                    <w:rPr>
                      <w:rFonts w:hint="default" w:eastAsia="宋体"/>
                      <w:color w:val="C00000"/>
                      <w:sz w:val="18"/>
                      <w:szCs w:val="18"/>
                      <w:lang w:val="en-US" w:eastAsia="zh-CN"/>
                    </w:rPr>
                  </w:pPr>
                  <w:r>
                    <w:rPr>
                      <w:rFonts w:hint="eastAsia" w:eastAsia="宋体"/>
                      <w:color w:val="C00000"/>
                      <w:sz w:val="18"/>
                      <w:szCs w:val="18"/>
                      <w:lang w:val="en-US" w:eastAsia="zh-CN"/>
                    </w:rPr>
                    <w:t>3.125</w:t>
                  </w:r>
                </w:p>
              </w:tc>
              <w:tc>
                <w:tcPr>
                  <w:tcW w:w="767" w:type="dxa"/>
                  <w:vAlign w:val="center"/>
                </w:tcPr>
                <w:p w14:paraId="538673BC">
                  <w:pPr>
                    <w:pStyle w:val="73"/>
                    <w:spacing w:line="240" w:lineRule="auto"/>
                    <w:rPr>
                      <w:rFonts w:eastAsia="宋体"/>
                      <w:color w:val="C00000"/>
                      <w:sz w:val="18"/>
                      <w:szCs w:val="18"/>
                    </w:rPr>
                  </w:pPr>
                  <w:r>
                    <w:rPr>
                      <w:rFonts w:eastAsia="宋体"/>
                      <w:color w:val="C00000"/>
                      <w:sz w:val="18"/>
                      <w:szCs w:val="18"/>
                    </w:rPr>
                    <w:t>烘干塔</w:t>
                  </w:r>
                  <w:r>
                    <w:rPr>
                      <w:rFonts w:hint="eastAsia" w:eastAsia="宋体"/>
                      <w:color w:val="C00000"/>
                      <w:sz w:val="18"/>
                      <w:szCs w:val="18"/>
                      <w:lang w:val="en-US" w:eastAsia="zh-CN"/>
                    </w:rPr>
                    <w:t>塔体外设置铁皮塔衣，塔顶设置抑尘网</w:t>
                  </w:r>
                </w:p>
              </w:tc>
              <w:tc>
                <w:tcPr>
                  <w:tcW w:w="633" w:type="dxa"/>
                  <w:vAlign w:val="center"/>
                </w:tcPr>
                <w:p w14:paraId="09FFE962">
                  <w:pPr>
                    <w:pStyle w:val="73"/>
                    <w:spacing w:line="240" w:lineRule="auto"/>
                    <w:rPr>
                      <w:rFonts w:eastAsia="宋体"/>
                      <w:color w:val="C00000"/>
                      <w:sz w:val="18"/>
                      <w:szCs w:val="18"/>
                    </w:rPr>
                  </w:pPr>
                  <w:r>
                    <w:rPr>
                      <w:rFonts w:eastAsia="宋体"/>
                      <w:color w:val="C00000"/>
                      <w:sz w:val="18"/>
                      <w:szCs w:val="18"/>
                    </w:rPr>
                    <w:t>70</w:t>
                  </w:r>
                </w:p>
              </w:tc>
              <w:tc>
                <w:tcPr>
                  <w:tcW w:w="533" w:type="dxa"/>
                  <w:vAlign w:val="center"/>
                </w:tcPr>
                <w:p w14:paraId="3C738DDE">
                  <w:pPr>
                    <w:pStyle w:val="73"/>
                    <w:spacing w:line="240" w:lineRule="auto"/>
                    <w:rPr>
                      <w:rFonts w:eastAsia="宋体"/>
                      <w:color w:val="C00000"/>
                      <w:sz w:val="18"/>
                      <w:szCs w:val="18"/>
                    </w:rPr>
                  </w:pPr>
                  <w:r>
                    <w:rPr>
                      <w:rFonts w:eastAsia="宋体"/>
                      <w:color w:val="C00000"/>
                      <w:sz w:val="18"/>
                      <w:szCs w:val="18"/>
                    </w:rPr>
                    <w:t>系数法</w:t>
                  </w:r>
                </w:p>
              </w:tc>
              <w:tc>
                <w:tcPr>
                  <w:tcW w:w="650" w:type="dxa"/>
                  <w:vMerge w:val="continue"/>
                  <w:vAlign w:val="center"/>
                </w:tcPr>
                <w:p w14:paraId="265144A0">
                  <w:pPr>
                    <w:pStyle w:val="73"/>
                    <w:spacing w:line="240" w:lineRule="auto"/>
                    <w:rPr>
                      <w:rFonts w:eastAsia="宋体"/>
                      <w:color w:val="C00000"/>
                      <w:sz w:val="18"/>
                      <w:szCs w:val="18"/>
                    </w:rPr>
                  </w:pPr>
                </w:p>
              </w:tc>
              <w:tc>
                <w:tcPr>
                  <w:tcW w:w="575" w:type="dxa"/>
                  <w:shd w:val="clear" w:color="auto" w:fill="auto"/>
                  <w:vAlign w:val="center"/>
                </w:tcPr>
                <w:p w14:paraId="7985170B">
                  <w:pPr>
                    <w:pStyle w:val="73"/>
                    <w:spacing w:line="240" w:lineRule="auto"/>
                    <w:rPr>
                      <w:rFonts w:eastAsia="宋体"/>
                      <w:color w:val="C00000"/>
                      <w:sz w:val="18"/>
                      <w:szCs w:val="18"/>
                    </w:rPr>
                  </w:pPr>
                  <w:r>
                    <w:rPr>
                      <w:rFonts w:eastAsia="宋体"/>
                      <w:color w:val="C00000"/>
                      <w:sz w:val="18"/>
                      <w:szCs w:val="18"/>
                    </w:rPr>
                    <w:t>-</w:t>
                  </w:r>
                </w:p>
              </w:tc>
              <w:tc>
                <w:tcPr>
                  <w:tcW w:w="550" w:type="dxa"/>
                  <w:vAlign w:val="center"/>
                </w:tcPr>
                <w:p w14:paraId="2A87A470">
                  <w:pPr>
                    <w:pStyle w:val="73"/>
                    <w:spacing w:line="240" w:lineRule="auto"/>
                    <w:rPr>
                      <w:rFonts w:hint="default" w:eastAsia="宋体"/>
                      <w:color w:val="C00000"/>
                      <w:sz w:val="18"/>
                      <w:szCs w:val="18"/>
                      <w:lang w:val="en-US" w:eastAsia="zh-CN"/>
                    </w:rPr>
                  </w:pPr>
                  <w:r>
                    <w:rPr>
                      <w:rFonts w:hint="eastAsia" w:eastAsia="宋体"/>
                      <w:color w:val="C00000"/>
                      <w:sz w:val="18"/>
                      <w:szCs w:val="18"/>
                      <w:lang w:val="en-US" w:eastAsia="zh-CN"/>
                    </w:rPr>
                    <w:t>0.938</w:t>
                  </w:r>
                </w:p>
              </w:tc>
              <w:tc>
                <w:tcPr>
                  <w:tcW w:w="420" w:type="dxa"/>
                  <w:vAlign w:val="center"/>
                </w:tcPr>
                <w:p w14:paraId="71AE8A6B">
                  <w:pPr>
                    <w:pStyle w:val="73"/>
                    <w:spacing w:line="240" w:lineRule="auto"/>
                    <w:rPr>
                      <w:rFonts w:eastAsia="宋体"/>
                      <w:color w:val="C00000"/>
                      <w:sz w:val="18"/>
                      <w:szCs w:val="18"/>
                    </w:rPr>
                  </w:pPr>
                  <w:r>
                    <w:rPr>
                      <w:rFonts w:hint="eastAsia" w:eastAsia="宋体"/>
                      <w:color w:val="C00000"/>
                      <w:sz w:val="18"/>
                      <w:szCs w:val="18"/>
                    </w:rPr>
                    <w:t>1200</w:t>
                  </w:r>
                </w:p>
              </w:tc>
            </w:tr>
          </w:tbl>
          <w:p w14:paraId="528088DE">
            <w:pPr>
              <w:spacing w:line="360" w:lineRule="auto"/>
              <w:ind w:firstLine="480" w:firstLineChars="200"/>
              <w:rPr>
                <w:kern w:val="0"/>
                <w:sz w:val="24"/>
              </w:rPr>
            </w:pPr>
            <w:r>
              <w:rPr>
                <w:sz w:val="24"/>
              </w:rPr>
              <w:t>（6）</w:t>
            </w:r>
            <w:r>
              <w:rPr>
                <w:kern w:val="0"/>
                <w:sz w:val="24"/>
              </w:rPr>
              <w:t>非正常工况</w:t>
            </w:r>
          </w:p>
          <w:p w14:paraId="3C503836">
            <w:pPr>
              <w:spacing w:line="360" w:lineRule="auto"/>
              <w:ind w:firstLine="480" w:firstLineChars="200"/>
              <w:rPr>
                <w:kern w:val="0"/>
                <w:sz w:val="24"/>
              </w:rPr>
            </w:pPr>
            <w:r>
              <w:rPr>
                <w:kern w:val="0"/>
                <w:sz w:val="24"/>
              </w:rPr>
              <w:t>污染物非正常排放情况为：热风炉除尘系统发生故障，</w:t>
            </w:r>
            <w:r>
              <w:rPr>
                <w:sz w:val="24"/>
              </w:rPr>
              <w:t>污染物排放控制措施达不到应有效果，锅炉除尘器事故状态污染物去除效率按</w:t>
            </w:r>
            <w:r>
              <w:rPr>
                <w:rFonts w:hint="eastAsia"/>
                <w:sz w:val="24"/>
              </w:rPr>
              <w:t>85</w:t>
            </w:r>
            <w:r>
              <w:rPr>
                <w:sz w:val="24"/>
              </w:rPr>
              <w:t>%计，</w:t>
            </w:r>
            <w:r>
              <w:rPr>
                <w:kern w:val="0"/>
                <w:sz w:val="24"/>
              </w:rPr>
              <w:t>本项目热风炉年运行</w:t>
            </w:r>
            <w:r>
              <w:rPr>
                <w:rFonts w:hint="eastAsia"/>
                <w:kern w:val="0"/>
                <w:sz w:val="24"/>
              </w:rPr>
              <w:t>50</w:t>
            </w:r>
            <w:r>
              <w:rPr>
                <w:kern w:val="0"/>
                <w:sz w:val="24"/>
              </w:rPr>
              <w:t>天，每天工作24小时，每次污染物非正常排放情况发生时间不超过1小时，每年发生次数不超过1次。</w:t>
            </w:r>
          </w:p>
          <w:p w14:paraId="487B90AD">
            <w:pPr>
              <w:spacing w:line="360" w:lineRule="auto"/>
              <w:ind w:firstLine="480" w:firstLineChars="200"/>
              <w:rPr>
                <w:b/>
                <w:szCs w:val="21"/>
                <w:highlight w:val="yellow"/>
              </w:rPr>
            </w:pPr>
            <w:r>
              <w:rPr>
                <w:kern w:val="0"/>
                <w:sz w:val="24"/>
              </w:rPr>
              <w:t>大气污染物源强非正常工况排放核算见下表。</w:t>
            </w:r>
          </w:p>
          <w:p w14:paraId="06669346">
            <w:pPr>
              <w:jc w:val="center"/>
              <w:rPr>
                <w:b/>
                <w:szCs w:val="21"/>
              </w:rPr>
            </w:pPr>
            <w:r>
              <w:rPr>
                <w:b/>
                <w:szCs w:val="21"/>
              </w:rPr>
              <w:t>表4-2污染源非正常工况排放核算表</w:t>
            </w:r>
          </w:p>
          <w:tbl>
            <w:tblPr>
              <w:tblStyle w:val="32"/>
              <w:tblW w:w="795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8"/>
              <w:gridCol w:w="1390"/>
              <w:gridCol w:w="839"/>
              <w:gridCol w:w="1361"/>
              <w:gridCol w:w="1164"/>
              <w:gridCol w:w="858"/>
              <w:gridCol w:w="858"/>
              <w:gridCol w:w="838"/>
            </w:tblGrid>
            <w:tr w14:paraId="08B1EC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648" w:type="dxa"/>
                  <w:vAlign w:val="center"/>
                </w:tcPr>
                <w:p w14:paraId="72D28E74">
                  <w:pPr>
                    <w:jc w:val="center"/>
                    <w:rPr>
                      <w:szCs w:val="21"/>
                    </w:rPr>
                  </w:pPr>
                  <w:r>
                    <w:rPr>
                      <w:szCs w:val="21"/>
                    </w:rPr>
                    <w:t>污染源</w:t>
                  </w:r>
                </w:p>
              </w:tc>
              <w:tc>
                <w:tcPr>
                  <w:tcW w:w="1390" w:type="dxa"/>
                  <w:vAlign w:val="center"/>
                </w:tcPr>
                <w:p w14:paraId="13B29E82">
                  <w:pPr>
                    <w:jc w:val="center"/>
                    <w:rPr>
                      <w:szCs w:val="21"/>
                    </w:rPr>
                  </w:pPr>
                  <w:r>
                    <w:rPr>
                      <w:szCs w:val="21"/>
                    </w:rPr>
                    <w:t>非正常排放原因</w:t>
                  </w:r>
                </w:p>
              </w:tc>
              <w:tc>
                <w:tcPr>
                  <w:tcW w:w="839" w:type="dxa"/>
                  <w:vAlign w:val="center"/>
                </w:tcPr>
                <w:p w14:paraId="27B9B688">
                  <w:pPr>
                    <w:jc w:val="center"/>
                    <w:rPr>
                      <w:szCs w:val="21"/>
                    </w:rPr>
                  </w:pPr>
                  <w:r>
                    <w:rPr>
                      <w:szCs w:val="21"/>
                    </w:rPr>
                    <w:t>污染物</w:t>
                  </w:r>
                </w:p>
              </w:tc>
              <w:tc>
                <w:tcPr>
                  <w:tcW w:w="1361" w:type="dxa"/>
                  <w:vAlign w:val="center"/>
                </w:tcPr>
                <w:p w14:paraId="7ABA4534">
                  <w:pPr>
                    <w:pStyle w:val="70"/>
                    <w:spacing w:beforeLines="0" w:afterLines="0"/>
                    <w:ind w:firstLine="0" w:firstLineChars="0"/>
                    <w:jc w:val="center"/>
                    <w:textAlignment w:val="baseline"/>
                    <w:rPr>
                      <w:color w:val="auto"/>
                      <w:sz w:val="21"/>
                      <w:szCs w:val="21"/>
                    </w:rPr>
                  </w:pPr>
                  <w:r>
                    <w:rPr>
                      <w:color w:val="auto"/>
                      <w:sz w:val="21"/>
                      <w:szCs w:val="21"/>
                    </w:rPr>
                    <w:t>非正常排放浓度</w:t>
                  </w:r>
                </w:p>
              </w:tc>
              <w:tc>
                <w:tcPr>
                  <w:tcW w:w="1164" w:type="dxa"/>
                  <w:vAlign w:val="center"/>
                </w:tcPr>
                <w:p w14:paraId="6D95A67E">
                  <w:pPr>
                    <w:pStyle w:val="70"/>
                    <w:spacing w:beforeLines="0" w:afterLines="0"/>
                    <w:ind w:firstLine="0" w:firstLineChars="0"/>
                    <w:jc w:val="center"/>
                    <w:textAlignment w:val="baseline"/>
                    <w:rPr>
                      <w:color w:val="auto"/>
                      <w:sz w:val="21"/>
                      <w:szCs w:val="21"/>
                    </w:rPr>
                  </w:pPr>
                  <w:r>
                    <w:rPr>
                      <w:color w:val="auto"/>
                      <w:sz w:val="21"/>
                      <w:szCs w:val="21"/>
                    </w:rPr>
                    <w:t>非正常排放速率</w:t>
                  </w:r>
                </w:p>
              </w:tc>
              <w:tc>
                <w:tcPr>
                  <w:tcW w:w="858" w:type="dxa"/>
                  <w:vAlign w:val="center"/>
                </w:tcPr>
                <w:p w14:paraId="2A0C1607">
                  <w:pPr>
                    <w:jc w:val="center"/>
                    <w:rPr>
                      <w:szCs w:val="21"/>
                    </w:rPr>
                  </w:pPr>
                  <w:r>
                    <w:rPr>
                      <w:szCs w:val="21"/>
                    </w:rPr>
                    <w:t>单次持续时间</w:t>
                  </w:r>
                </w:p>
              </w:tc>
              <w:tc>
                <w:tcPr>
                  <w:tcW w:w="858" w:type="dxa"/>
                  <w:vAlign w:val="center"/>
                </w:tcPr>
                <w:p w14:paraId="54E14CB4">
                  <w:pPr>
                    <w:jc w:val="center"/>
                    <w:rPr>
                      <w:szCs w:val="21"/>
                    </w:rPr>
                  </w:pPr>
                  <w:r>
                    <w:rPr>
                      <w:szCs w:val="21"/>
                    </w:rPr>
                    <w:t>年发生频次</w:t>
                  </w:r>
                </w:p>
              </w:tc>
              <w:tc>
                <w:tcPr>
                  <w:tcW w:w="838" w:type="dxa"/>
                  <w:vAlign w:val="center"/>
                </w:tcPr>
                <w:p w14:paraId="6D0DF398">
                  <w:pPr>
                    <w:jc w:val="center"/>
                    <w:rPr>
                      <w:szCs w:val="21"/>
                    </w:rPr>
                  </w:pPr>
                  <w:r>
                    <w:rPr>
                      <w:szCs w:val="21"/>
                    </w:rPr>
                    <w:t>应对措施</w:t>
                  </w:r>
                </w:p>
              </w:tc>
            </w:tr>
            <w:tr w14:paraId="3B337B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8" w:type="dxa"/>
                  <w:vAlign w:val="center"/>
                </w:tcPr>
                <w:p w14:paraId="14D06B60">
                  <w:pPr>
                    <w:jc w:val="center"/>
                    <w:rPr>
                      <w:szCs w:val="21"/>
                    </w:rPr>
                  </w:pPr>
                  <w:r>
                    <w:rPr>
                      <w:szCs w:val="21"/>
                    </w:rPr>
                    <w:t>热风炉</w:t>
                  </w:r>
                </w:p>
              </w:tc>
              <w:tc>
                <w:tcPr>
                  <w:tcW w:w="1390" w:type="dxa"/>
                  <w:vAlign w:val="center"/>
                </w:tcPr>
                <w:p w14:paraId="2CBD0C22">
                  <w:pPr>
                    <w:jc w:val="center"/>
                    <w:rPr>
                      <w:kern w:val="0"/>
                      <w:szCs w:val="21"/>
                    </w:rPr>
                  </w:pPr>
                  <w:r>
                    <w:rPr>
                      <w:kern w:val="0"/>
                      <w:szCs w:val="21"/>
                    </w:rPr>
                    <w:t>除尘系统发生故障，除尘效率降至</w:t>
                  </w:r>
                  <w:r>
                    <w:rPr>
                      <w:rFonts w:hint="eastAsia"/>
                      <w:kern w:val="0"/>
                      <w:szCs w:val="21"/>
                    </w:rPr>
                    <w:t>85</w:t>
                  </w:r>
                  <w:r>
                    <w:rPr>
                      <w:kern w:val="0"/>
                      <w:szCs w:val="21"/>
                    </w:rPr>
                    <w:t>%</w:t>
                  </w:r>
                </w:p>
              </w:tc>
              <w:tc>
                <w:tcPr>
                  <w:tcW w:w="839" w:type="dxa"/>
                  <w:vAlign w:val="center"/>
                </w:tcPr>
                <w:p w14:paraId="72CE218D">
                  <w:pPr>
                    <w:jc w:val="center"/>
                    <w:rPr>
                      <w:szCs w:val="21"/>
                    </w:rPr>
                  </w:pPr>
                  <w:r>
                    <w:rPr>
                      <w:szCs w:val="21"/>
                    </w:rPr>
                    <w:t>烟尘</w:t>
                  </w:r>
                </w:p>
              </w:tc>
              <w:tc>
                <w:tcPr>
                  <w:tcW w:w="1361" w:type="dxa"/>
                  <w:vAlign w:val="center"/>
                </w:tcPr>
                <w:p w14:paraId="299C3F5E">
                  <w:pPr>
                    <w:pStyle w:val="73"/>
                    <w:spacing w:line="240" w:lineRule="auto"/>
                    <w:rPr>
                      <w:rFonts w:eastAsia="宋体"/>
                      <w:color w:val="C00000"/>
                      <w:szCs w:val="21"/>
                    </w:rPr>
                  </w:pPr>
                  <w:r>
                    <w:rPr>
                      <w:rFonts w:hint="eastAsia" w:eastAsia="宋体"/>
                      <w:bCs/>
                      <w:color w:val="C00000"/>
                      <w:sz w:val="21"/>
                      <w:szCs w:val="21"/>
                    </w:rPr>
                    <w:t>12</w:t>
                  </w:r>
                  <w:r>
                    <w:rPr>
                      <w:rFonts w:hint="eastAsia" w:eastAsia="宋体"/>
                      <w:bCs/>
                      <w:color w:val="C00000"/>
                      <w:sz w:val="21"/>
                      <w:szCs w:val="21"/>
                      <w:lang w:val="en-US" w:eastAsia="zh-CN"/>
                    </w:rPr>
                    <w:t>41</w:t>
                  </w:r>
                  <w:r>
                    <w:rPr>
                      <w:rFonts w:eastAsia="宋体"/>
                      <w:bCs/>
                      <w:iCs/>
                      <w:color w:val="C00000"/>
                      <w:szCs w:val="21"/>
                    </w:rPr>
                    <w:t>mg/m</w:t>
                  </w:r>
                  <w:r>
                    <w:rPr>
                      <w:rFonts w:eastAsia="宋体"/>
                      <w:bCs/>
                      <w:iCs/>
                      <w:color w:val="C00000"/>
                      <w:szCs w:val="21"/>
                      <w:vertAlign w:val="superscript"/>
                    </w:rPr>
                    <w:t>3</w:t>
                  </w:r>
                </w:p>
              </w:tc>
              <w:tc>
                <w:tcPr>
                  <w:tcW w:w="1164" w:type="dxa"/>
                  <w:vAlign w:val="center"/>
                </w:tcPr>
                <w:p w14:paraId="06C7D6C0">
                  <w:pPr>
                    <w:jc w:val="center"/>
                    <w:rPr>
                      <w:bCs/>
                      <w:color w:val="C00000"/>
                      <w:szCs w:val="21"/>
                    </w:rPr>
                  </w:pPr>
                  <w:r>
                    <w:rPr>
                      <w:rFonts w:hint="eastAsia"/>
                      <w:color w:val="C00000"/>
                      <w:szCs w:val="21"/>
                      <w:lang w:val="en-US" w:eastAsia="zh-CN"/>
                    </w:rPr>
                    <w:t>8.092</w:t>
                  </w:r>
                  <w:r>
                    <w:rPr>
                      <w:color w:val="C00000"/>
                      <w:szCs w:val="21"/>
                    </w:rPr>
                    <w:t>kg/h</w:t>
                  </w:r>
                </w:p>
              </w:tc>
              <w:tc>
                <w:tcPr>
                  <w:tcW w:w="858" w:type="dxa"/>
                  <w:vAlign w:val="center"/>
                </w:tcPr>
                <w:p w14:paraId="5942BE83">
                  <w:pPr>
                    <w:jc w:val="center"/>
                    <w:rPr>
                      <w:szCs w:val="21"/>
                    </w:rPr>
                  </w:pPr>
                  <w:r>
                    <w:rPr>
                      <w:szCs w:val="21"/>
                    </w:rPr>
                    <w:t>≤1h</w:t>
                  </w:r>
                </w:p>
              </w:tc>
              <w:tc>
                <w:tcPr>
                  <w:tcW w:w="858" w:type="dxa"/>
                  <w:vAlign w:val="center"/>
                </w:tcPr>
                <w:p w14:paraId="6D13FB66">
                  <w:pPr>
                    <w:jc w:val="center"/>
                    <w:rPr>
                      <w:szCs w:val="21"/>
                    </w:rPr>
                  </w:pPr>
                  <w:r>
                    <w:rPr>
                      <w:szCs w:val="21"/>
                    </w:rPr>
                    <w:t>≤1次</w:t>
                  </w:r>
                </w:p>
              </w:tc>
              <w:tc>
                <w:tcPr>
                  <w:tcW w:w="838" w:type="dxa"/>
                  <w:vAlign w:val="center"/>
                </w:tcPr>
                <w:p w14:paraId="2399E8B5">
                  <w:pPr>
                    <w:jc w:val="center"/>
                    <w:rPr>
                      <w:szCs w:val="21"/>
                    </w:rPr>
                  </w:pPr>
                  <w:r>
                    <w:rPr>
                      <w:rFonts w:hint="eastAsia"/>
                      <w:szCs w:val="21"/>
                    </w:rPr>
                    <w:t>及时维修</w:t>
                  </w:r>
                </w:p>
              </w:tc>
            </w:tr>
          </w:tbl>
          <w:p w14:paraId="0B6F833E">
            <w:pPr>
              <w:spacing w:line="360" w:lineRule="auto"/>
              <w:ind w:firstLine="480" w:firstLineChars="200"/>
              <w:rPr>
                <w:kern w:val="0"/>
                <w:sz w:val="24"/>
              </w:rPr>
            </w:pPr>
            <w:r>
              <w:rPr>
                <w:sz w:val="24"/>
              </w:rPr>
              <w:t>（7）</w:t>
            </w:r>
            <w:r>
              <w:rPr>
                <w:kern w:val="0"/>
                <w:sz w:val="24"/>
              </w:rPr>
              <w:t>废气排放口基本情况</w:t>
            </w:r>
          </w:p>
          <w:p w14:paraId="4A382687">
            <w:pPr>
              <w:spacing w:line="360" w:lineRule="auto"/>
              <w:ind w:firstLine="480" w:firstLineChars="200"/>
              <w:rPr>
                <w:kern w:val="0"/>
                <w:sz w:val="24"/>
              </w:rPr>
            </w:pPr>
            <w:r>
              <w:rPr>
                <w:kern w:val="0"/>
                <w:sz w:val="24"/>
              </w:rPr>
              <w:t>本项目废气排放口情况见下表。</w:t>
            </w:r>
          </w:p>
          <w:p w14:paraId="1568EEE8">
            <w:pPr>
              <w:pStyle w:val="25"/>
              <w:spacing w:line="240" w:lineRule="auto"/>
              <w:ind w:left="0" w:leftChars="0" w:firstLine="0" w:firstLineChars="0"/>
              <w:jc w:val="center"/>
            </w:pPr>
            <w:r>
              <w:rPr>
                <w:b/>
                <w:szCs w:val="21"/>
              </w:rPr>
              <w:t>表4-3废气排放口情况表</w:t>
            </w:r>
          </w:p>
          <w:tbl>
            <w:tblPr>
              <w:tblStyle w:val="32"/>
              <w:tblW w:w="799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343"/>
              <w:gridCol w:w="415"/>
              <w:gridCol w:w="790"/>
              <w:gridCol w:w="1214"/>
              <w:gridCol w:w="600"/>
              <w:gridCol w:w="739"/>
              <w:gridCol w:w="843"/>
              <w:gridCol w:w="873"/>
              <w:gridCol w:w="615"/>
              <w:gridCol w:w="583"/>
              <w:gridCol w:w="621"/>
              <w:gridCol w:w="358"/>
            </w:tblGrid>
            <w:tr w14:paraId="4B1CA6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59" w:hRule="atLeast"/>
              </w:trPr>
              <w:tc>
                <w:tcPr>
                  <w:tcW w:w="343" w:type="dxa"/>
                  <w:vMerge w:val="restart"/>
                  <w:vAlign w:val="center"/>
                </w:tcPr>
                <w:p w14:paraId="4FDD3F06">
                  <w:pPr>
                    <w:pStyle w:val="61"/>
                    <w:adjustRightInd w:val="0"/>
                    <w:snapToGrid w:val="0"/>
                    <w:spacing w:line="240" w:lineRule="auto"/>
                    <w:rPr>
                      <w:szCs w:val="21"/>
                    </w:rPr>
                  </w:pPr>
                  <w:r>
                    <w:rPr>
                      <w:szCs w:val="21"/>
                    </w:rPr>
                    <w:t>序号</w:t>
                  </w:r>
                </w:p>
              </w:tc>
              <w:tc>
                <w:tcPr>
                  <w:tcW w:w="415" w:type="dxa"/>
                  <w:vMerge w:val="restart"/>
                  <w:vAlign w:val="center"/>
                </w:tcPr>
                <w:p w14:paraId="056F844D">
                  <w:pPr>
                    <w:pStyle w:val="61"/>
                    <w:adjustRightInd w:val="0"/>
                    <w:snapToGrid w:val="0"/>
                    <w:spacing w:line="240" w:lineRule="auto"/>
                    <w:rPr>
                      <w:szCs w:val="21"/>
                    </w:rPr>
                  </w:pPr>
                  <w:r>
                    <w:rPr>
                      <w:szCs w:val="21"/>
                    </w:rPr>
                    <w:t>排放源</w:t>
                  </w:r>
                </w:p>
              </w:tc>
              <w:tc>
                <w:tcPr>
                  <w:tcW w:w="790" w:type="dxa"/>
                  <w:vMerge w:val="restart"/>
                  <w:vAlign w:val="center"/>
                </w:tcPr>
                <w:p w14:paraId="088E8DD7">
                  <w:pPr>
                    <w:pStyle w:val="61"/>
                    <w:adjustRightInd w:val="0"/>
                    <w:snapToGrid w:val="0"/>
                    <w:spacing w:line="240" w:lineRule="auto"/>
                    <w:rPr>
                      <w:szCs w:val="21"/>
                    </w:rPr>
                  </w:pPr>
                  <w:r>
                    <w:rPr>
                      <w:szCs w:val="21"/>
                    </w:rPr>
                    <w:t>排放口编号</w:t>
                  </w:r>
                </w:p>
              </w:tc>
              <w:tc>
                <w:tcPr>
                  <w:tcW w:w="1214" w:type="dxa"/>
                  <w:vMerge w:val="restart"/>
                  <w:vAlign w:val="center"/>
                </w:tcPr>
                <w:p w14:paraId="6757BB9F">
                  <w:pPr>
                    <w:pStyle w:val="61"/>
                    <w:adjustRightInd w:val="0"/>
                    <w:snapToGrid w:val="0"/>
                    <w:spacing w:line="240" w:lineRule="auto"/>
                    <w:rPr>
                      <w:szCs w:val="21"/>
                    </w:rPr>
                  </w:pPr>
                  <w:r>
                    <w:rPr>
                      <w:szCs w:val="21"/>
                    </w:rPr>
                    <w:t>污染物种类</w:t>
                  </w:r>
                </w:p>
              </w:tc>
              <w:tc>
                <w:tcPr>
                  <w:tcW w:w="600" w:type="dxa"/>
                  <w:vMerge w:val="restart"/>
                  <w:vAlign w:val="center"/>
                </w:tcPr>
                <w:p w14:paraId="6C4DEDCF">
                  <w:pPr>
                    <w:pStyle w:val="61"/>
                    <w:adjustRightInd w:val="0"/>
                    <w:snapToGrid w:val="0"/>
                    <w:rPr>
                      <w:szCs w:val="21"/>
                    </w:rPr>
                  </w:pPr>
                  <w:r>
                    <w:rPr>
                      <w:szCs w:val="21"/>
                    </w:rPr>
                    <w:t>排放口名称</w:t>
                  </w:r>
                </w:p>
              </w:tc>
              <w:tc>
                <w:tcPr>
                  <w:tcW w:w="739" w:type="dxa"/>
                  <w:vMerge w:val="restart"/>
                  <w:vAlign w:val="center"/>
                </w:tcPr>
                <w:p w14:paraId="5B7943D5">
                  <w:pPr>
                    <w:pStyle w:val="61"/>
                    <w:adjustRightInd w:val="0"/>
                    <w:snapToGrid w:val="0"/>
                    <w:rPr>
                      <w:szCs w:val="21"/>
                    </w:rPr>
                  </w:pPr>
                  <w:r>
                    <w:rPr>
                      <w:szCs w:val="21"/>
                    </w:rPr>
                    <w:t>排放口类型</w:t>
                  </w:r>
                </w:p>
              </w:tc>
              <w:tc>
                <w:tcPr>
                  <w:tcW w:w="1716" w:type="dxa"/>
                  <w:gridSpan w:val="2"/>
                  <w:vAlign w:val="center"/>
                </w:tcPr>
                <w:p w14:paraId="0A42A11C">
                  <w:pPr>
                    <w:pStyle w:val="61"/>
                    <w:adjustRightInd w:val="0"/>
                    <w:snapToGrid w:val="0"/>
                    <w:rPr>
                      <w:szCs w:val="21"/>
                    </w:rPr>
                  </w:pPr>
                  <w:r>
                    <w:rPr>
                      <w:szCs w:val="21"/>
                    </w:rPr>
                    <w:t>坐标</w:t>
                  </w:r>
                </w:p>
              </w:tc>
              <w:tc>
                <w:tcPr>
                  <w:tcW w:w="1819" w:type="dxa"/>
                  <w:gridSpan w:val="3"/>
                  <w:vAlign w:val="center"/>
                </w:tcPr>
                <w:p w14:paraId="0313E37C">
                  <w:pPr>
                    <w:pStyle w:val="61"/>
                    <w:adjustRightInd w:val="0"/>
                    <w:snapToGrid w:val="0"/>
                    <w:rPr>
                      <w:szCs w:val="21"/>
                    </w:rPr>
                  </w:pPr>
                  <w:r>
                    <w:rPr>
                      <w:szCs w:val="21"/>
                    </w:rPr>
                    <w:t>排气筒情况</w:t>
                  </w:r>
                </w:p>
              </w:tc>
              <w:tc>
                <w:tcPr>
                  <w:tcW w:w="358" w:type="dxa"/>
                  <w:vMerge w:val="restart"/>
                  <w:vAlign w:val="center"/>
                </w:tcPr>
                <w:p w14:paraId="09EA4926">
                  <w:pPr>
                    <w:pStyle w:val="61"/>
                    <w:adjustRightInd w:val="0"/>
                    <w:snapToGrid w:val="0"/>
                    <w:rPr>
                      <w:szCs w:val="21"/>
                    </w:rPr>
                  </w:pPr>
                  <w:r>
                    <w:rPr>
                      <w:szCs w:val="21"/>
                    </w:rPr>
                    <w:t>其他信息</w:t>
                  </w:r>
                </w:p>
              </w:tc>
            </w:tr>
            <w:tr w14:paraId="131106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19" w:hRule="atLeast"/>
              </w:trPr>
              <w:tc>
                <w:tcPr>
                  <w:tcW w:w="343" w:type="dxa"/>
                  <w:vMerge w:val="continue"/>
                  <w:vAlign w:val="center"/>
                </w:tcPr>
                <w:p w14:paraId="155893EA">
                  <w:pPr>
                    <w:pStyle w:val="61"/>
                    <w:adjustRightInd w:val="0"/>
                    <w:snapToGrid w:val="0"/>
                    <w:spacing w:line="240" w:lineRule="auto"/>
                    <w:rPr>
                      <w:szCs w:val="21"/>
                    </w:rPr>
                  </w:pPr>
                </w:p>
              </w:tc>
              <w:tc>
                <w:tcPr>
                  <w:tcW w:w="415" w:type="dxa"/>
                  <w:vMerge w:val="continue"/>
                  <w:vAlign w:val="center"/>
                </w:tcPr>
                <w:p w14:paraId="144A74EF">
                  <w:pPr>
                    <w:pStyle w:val="61"/>
                    <w:adjustRightInd w:val="0"/>
                    <w:snapToGrid w:val="0"/>
                    <w:spacing w:line="240" w:lineRule="auto"/>
                    <w:rPr>
                      <w:szCs w:val="21"/>
                    </w:rPr>
                  </w:pPr>
                </w:p>
              </w:tc>
              <w:tc>
                <w:tcPr>
                  <w:tcW w:w="790" w:type="dxa"/>
                  <w:vMerge w:val="continue"/>
                  <w:vAlign w:val="center"/>
                </w:tcPr>
                <w:p w14:paraId="6331D5E2">
                  <w:pPr>
                    <w:pStyle w:val="61"/>
                    <w:adjustRightInd w:val="0"/>
                    <w:snapToGrid w:val="0"/>
                    <w:spacing w:line="240" w:lineRule="auto"/>
                    <w:rPr>
                      <w:szCs w:val="21"/>
                    </w:rPr>
                  </w:pPr>
                </w:p>
              </w:tc>
              <w:tc>
                <w:tcPr>
                  <w:tcW w:w="1214" w:type="dxa"/>
                  <w:vMerge w:val="continue"/>
                  <w:vAlign w:val="center"/>
                </w:tcPr>
                <w:p w14:paraId="4C811862">
                  <w:pPr>
                    <w:pStyle w:val="61"/>
                    <w:adjustRightInd w:val="0"/>
                    <w:snapToGrid w:val="0"/>
                    <w:spacing w:line="240" w:lineRule="auto"/>
                    <w:rPr>
                      <w:szCs w:val="21"/>
                    </w:rPr>
                  </w:pPr>
                </w:p>
              </w:tc>
              <w:tc>
                <w:tcPr>
                  <w:tcW w:w="600" w:type="dxa"/>
                  <w:vMerge w:val="continue"/>
                  <w:vAlign w:val="center"/>
                </w:tcPr>
                <w:p w14:paraId="67771E87">
                  <w:pPr>
                    <w:pStyle w:val="61"/>
                    <w:adjustRightInd w:val="0"/>
                    <w:snapToGrid w:val="0"/>
                    <w:spacing w:line="360" w:lineRule="auto"/>
                    <w:rPr>
                      <w:szCs w:val="21"/>
                    </w:rPr>
                  </w:pPr>
                </w:p>
              </w:tc>
              <w:tc>
                <w:tcPr>
                  <w:tcW w:w="739" w:type="dxa"/>
                  <w:vMerge w:val="continue"/>
                  <w:vAlign w:val="center"/>
                </w:tcPr>
                <w:p w14:paraId="47E2AD04">
                  <w:pPr>
                    <w:pStyle w:val="61"/>
                    <w:adjustRightInd w:val="0"/>
                    <w:snapToGrid w:val="0"/>
                    <w:spacing w:line="360" w:lineRule="auto"/>
                    <w:rPr>
                      <w:szCs w:val="21"/>
                    </w:rPr>
                  </w:pPr>
                </w:p>
              </w:tc>
              <w:tc>
                <w:tcPr>
                  <w:tcW w:w="843" w:type="dxa"/>
                  <w:vAlign w:val="center"/>
                </w:tcPr>
                <w:p w14:paraId="38F76938">
                  <w:pPr>
                    <w:pStyle w:val="61"/>
                    <w:adjustRightInd w:val="0"/>
                    <w:snapToGrid w:val="0"/>
                    <w:rPr>
                      <w:szCs w:val="21"/>
                    </w:rPr>
                  </w:pPr>
                  <w:r>
                    <w:rPr>
                      <w:szCs w:val="21"/>
                    </w:rPr>
                    <w:t>经度</w:t>
                  </w:r>
                </w:p>
              </w:tc>
              <w:tc>
                <w:tcPr>
                  <w:tcW w:w="873" w:type="dxa"/>
                  <w:vAlign w:val="center"/>
                </w:tcPr>
                <w:p w14:paraId="1D19F73C">
                  <w:pPr>
                    <w:pStyle w:val="61"/>
                    <w:adjustRightInd w:val="0"/>
                    <w:snapToGrid w:val="0"/>
                    <w:rPr>
                      <w:szCs w:val="21"/>
                    </w:rPr>
                  </w:pPr>
                  <w:r>
                    <w:rPr>
                      <w:szCs w:val="21"/>
                    </w:rPr>
                    <w:t>纬度</w:t>
                  </w:r>
                </w:p>
              </w:tc>
              <w:tc>
                <w:tcPr>
                  <w:tcW w:w="615" w:type="dxa"/>
                  <w:vAlign w:val="center"/>
                </w:tcPr>
                <w:p w14:paraId="10F7A332">
                  <w:pPr>
                    <w:pStyle w:val="61"/>
                    <w:adjustRightInd w:val="0"/>
                    <w:snapToGrid w:val="0"/>
                    <w:rPr>
                      <w:szCs w:val="21"/>
                    </w:rPr>
                  </w:pPr>
                  <w:r>
                    <w:rPr>
                      <w:szCs w:val="21"/>
                    </w:rPr>
                    <w:t>高度</w:t>
                  </w:r>
                </w:p>
              </w:tc>
              <w:tc>
                <w:tcPr>
                  <w:tcW w:w="583" w:type="dxa"/>
                  <w:vAlign w:val="center"/>
                </w:tcPr>
                <w:p w14:paraId="6168972B">
                  <w:pPr>
                    <w:pStyle w:val="61"/>
                    <w:adjustRightInd w:val="0"/>
                    <w:snapToGrid w:val="0"/>
                    <w:rPr>
                      <w:szCs w:val="21"/>
                    </w:rPr>
                  </w:pPr>
                  <w:r>
                    <w:rPr>
                      <w:szCs w:val="21"/>
                    </w:rPr>
                    <w:t>内径</w:t>
                  </w:r>
                </w:p>
              </w:tc>
              <w:tc>
                <w:tcPr>
                  <w:tcW w:w="621" w:type="dxa"/>
                  <w:vAlign w:val="center"/>
                </w:tcPr>
                <w:p w14:paraId="796F7335">
                  <w:pPr>
                    <w:pStyle w:val="61"/>
                    <w:adjustRightInd w:val="0"/>
                    <w:snapToGrid w:val="0"/>
                    <w:rPr>
                      <w:szCs w:val="21"/>
                    </w:rPr>
                  </w:pPr>
                  <w:r>
                    <w:rPr>
                      <w:szCs w:val="21"/>
                    </w:rPr>
                    <w:t>排气温度</w:t>
                  </w:r>
                </w:p>
              </w:tc>
              <w:tc>
                <w:tcPr>
                  <w:tcW w:w="358" w:type="dxa"/>
                  <w:vMerge w:val="continue"/>
                  <w:vAlign w:val="center"/>
                </w:tcPr>
                <w:p w14:paraId="771D814B">
                  <w:pPr>
                    <w:pStyle w:val="73"/>
                    <w:rPr>
                      <w:rFonts w:eastAsia="宋体"/>
                      <w:szCs w:val="21"/>
                    </w:rPr>
                  </w:pPr>
                </w:p>
              </w:tc>
            </w:tr>
            <w:tr w14:paraId="607460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1" w:hRule="atLeast"/>
              </w:trPr>
              <w:tc>
                <w:tcPr>
                  <w:tcW w:w="343" w:type="dxa"/>
                  <w:vMerge w:val="restart"/>
                  <w:vAlign w:val="center"/>
                </w:tcPr>
                <w:p w14:paraId="32497EA4">
                  <w:pPr>
                    <w:pStyle w:val="61"/>
                    <w:adjustRightInd w:val="0"/>
                    <w:snapToGrid w:val="0"/>
                    <w:spacing w:line="240" w:lineRule="auto"/>
                    <w:rPr>
                      <w:szCs w:val="21"/>
                    </w:rPr>
                  </w:pPr>
                  <w:r>
                    <w:rPr>
                      <w:szCs w:val="21"/>
                    </w:rPr>
                    <w:t>1</w:t>
                  </w:r>
                </w:p>
              </w:tc>
              <w:tc>
                <w:tcPr>
                  <w:tcW w:w="415" w:type="dxa"/>
                  <w:vMerge w:val="restart"/>
                  <w:vAlign w:val="center"/>
                </w:tcPr>
                <w:p w14:paraId="36AE894A">
                  <w:pPr>
                    <w:pStyle w:val="61"/>
                    <w:adjustRightInd w:val="0"/>
                    <w:snapToGrid w:val="0"/>
                    <w:spacing w:line="240" w:lineRule="auto"/>
                    <w:rPr>
                      <w:szCs w:val="21"/>
                    </w:rPr>
                  </w:pPr>
                  <w:r>
                    <w:rPr>
                      <w:szCs w:val="21"/>
                    </w:rPr>
                    <w:t>热风炉</w:t>
                  </w:r>
                </w:p>
              </w:tc>
              <w:tc>
                <w:tcPr>
                  <w:tcW w:w="790" w:type="dxa"/>
                  <w:vMerge w:val="restart"/>
                  <w:vAlign w:val="center"/>
                </w:tcPr>
                <w:p w14:paraId="44FB2F0C">
                  <w:pPr>
                    <w:pStyle w:val="61"/>
                    <w:adjustRightInd w:val="0"/>
                    <w:snapToGrid w:val="0"/>
                    <w:spacing w:line="240" w:lineRule="auto"/>
                    <w:rPr>
                      <w:szCs w:val="21"/>
                    </w:rPr>
                  </w:pPr>
                  <w:r>
                    <w:rPr>
                      <w:rFonts w:hint="eastAsia"/>
                      <w:szCs w:val="21"/>
                    </w:rPr>
                    <w:t>DA001</w:t>
                  </w:r>
                </w:p>
              </w:tc>
              <w:tc>
                <w:tcPr>
                  <w:tcW w:w="1214" w:type="dxa"/>
                  <w:vAlign w:val="center"/>
                </w:tcPr>
                <w:p w14:paraId="61CD9D2C">
                  <w:pPr>
                    <w:pStyle w:val="61"/>
                    <w:adjustRightInd w:val="0"/>
                    <w:snapToGrid w:val="0"/>
                    <w:spacing w:line="240" w:lineRule="auto"/>
                    <w:rPr>
                      <w:szCs w:val="21"/>
                    </w:rPr>
                  </w:pPr>
                  <w:r>
                    <w:rPr>
                      <w:szCs w:val="21"/>
                    </w:rPr>
                    <w:t>烟尘</w:t>
                  </w:r>
                </w:p>
              </w:tc>
              <w:tc>
                <w:tcPr>
                  <w:tcW w:w="600" w:type="dxa"/>
                  <w:vMerge w:val="restart"/>
                  <w:vAlign w:val="center"/>
                </w:tcPr>
                <w:p w14:paraId="7ECA548E">
                  <w:pPr>
                    <w:pStyle w:val="61"/>
                    <w:adjustRightInd w:val="0"/>
                    <w:snapToGrid w:val="0"/>
                    <w:spacing w:line="240" w:lineRule="auto"/>
                    <w:rPr>
                      <w:szCs w:val="21"/>
                    </w:rPr>
                  </w:pPr>
                  <w:r>
                    <w:rPr>
                      <w:szCs w:val="21"/>
                    </w:rPr>
                    <w:t>烟囱</w:t>
                  </w:r>
                </w:p>
              </w:tc>
              <w:tc>
                <w:tcPr>
                  <w:tcW w:w="739" w:type="dxa"/>
                  <w:vMerge w:val="restart"/>
                  <w:vAlign w:val="center"/>
                </w:tcPr>
                <w:p w14:paraId="38306709">
                  <w:pPr>
                    <w:pStyle w:val="61"/>
                    <w:adjustRightInd w:val="0"/>
                    <w:snapToGrid w:val="0"/>
                    <w:spacing w:line="240" w:lineRule="auto"/>
                    <w:rPr>
                      <w:szCs w:val="21"/>
                    </w:rPr>
                  </w:pPr>
                  <w:r>
                    <w:rPr>
                      <w:szCs w:val="21"/>
                    </w:rPr>
                    <w:t>一般排放口</w:t>
                  </w:r>
                </w:p>
              </w:tc>
              <w:tc>
                <w:tcPr>
                  <w:tcW w:w="843" w:type="dxa"/>
                  <w:vMerge w:val="restart"/>
                  <w:vAlign w:val="center"/>
                </w:tcPr>
                <w:p w14:paraId="10337A9C">
                  <w:pPr>
                    <w:pStyle w:val="61"/>
                    <w:adjustRightInd w:val="0"/>
                    <w:snapToGrid w:val="0"/>
                    <w:spacing w:line="240" w:lineRule="auto"/>
                    <w:jc w:val="both"/>
                    <w:rPr>
                      <w:szCs w:val="21"/>
                    </w:rPr>
                  </w:pPr>
                  <w:r>
                    <w:rPr>
                      <w:szCs w:val="21"/>
                    </w:rPr>
                    <w:t>131度 40分 36.19秒</w:t>
                  </w:r>
                </w:p>
              </w:tc>
              <w:tc>
                <w:tcPr>
                  <w:tcW w:w="873" w:type="dxa"/>
                  <w:vMerge w:val="restart"/>
                  <w:vAlign w:val="center"/>
                </w:tcPr>
                <w:p w14:paraId="5D34AB20">
                  <w:pPr>
                    <w:pStyle w:val="61"/>
                    <w:adjustRightInd w:val="0"/>
                    <w:snapToGrid w:val="0"/>
                    <w:spacing w:line="240" w:lineRule="auto"/>
                    <w:rPr>
                      <w:szCs w:val="21"/>
                    </w:rPr>
                  </w:pPr>
                  <w:r>
                    <w:rPr>
                      <w:szCs w:val="21"/>
                    </w:rPr>
                    <w:t>46度 36分 48.60秒</w:t>
                  </w:r>
                </w:p>
              </w:tc>
              <w:tc>
                <w:tcPr>
                  <w:tcW w:w="615" w:type="dxa"/>
                  <w:vMerge w:val="restart"/>
                  <w:vAlign w:val="center"/>
                </w:tcPr>
                <w:p w14:paraId="6EA0C4BF">
                  <w:pPr>
                    <w:pStyle w:val="61"/>
                    <w:adjustRightInd w:val="0"/>
                    <w:snapToGrid w:val="0"/>
                    <w:spacing w:line="240" w:lineRule="auto"/>
                    <w:rPr>
                      <w:rFonts w:hint="eastAsia" w:eastAsia="宋体"/>
                      <w:szCs w:val="21"/>
                      <w:lang w:eastAsia="zh-CN"/>
                    </w:rPr>
                  </w:pPr>
                  <w:r>
                    <w:rPr>
                      <w:rFonts w:hint="eastAsia"/>
                      <w:szCs w:val="21"/>
                      <w:lang w:eastAsia="zh-CN"/>
                    </w:rPr>
                    <w:t>20m</w:t>
                  </w:r>
                </w:p>
              </w:tc>
              <w:tc>
                <w:tcPr>
                  <w:tcW w:w="583" w:type="dxa"/>
                  <w:vMerge w:val="restart"/>
                  <w:vAlign w:val="center"/>
                </w:tcPr>
                <w:p w14:paraId="59098A3D">
                  <w:pPr>
                    <w:pStyle w:val="61"/>
                    <w:adjustRightInd w:val="0"/>
                    <w:snapToGrid w:val="0"/>
                    <w:spacing w:line="240" w:lineRule="auto"/>
                    <w:rPr>
                      <w:szCs w:val="21"/>
                    </w:rPr>
                  </w:pPr>
                  <w:r>
                    <w:rPr>
                      <w:szCs w:val="21"/>
                    </w:rPr>
                    <w:t>0.</w:t>
                  </w:r>
                  <w:r>
                    <w:rPr>
                      <w:rFonts w:hint="eastAsia"/>
                      <w:szCs w:val="21"/>
                    </w:rPr>
                    <w:t>4</w:t>
                  </w:r>
                  <w:r>
                    <w:rPr>
                      <w:szCs w:val="21"/>
                    </w:rPr>
                    <w:t>m</w:t>
                  </w:r>
                </w:p>
              </w:tc>
              <w:tc>
                <w:tcPr>
                  <w:tcW w:w="621" w:type="dxa"/>
                  <w:vMerge w:val="restart"/>
                  <w:vAlign w:val="center"/>
                </w:tcPr>
                <w:p w14:paraId="1D07C73E">
                  <w:pPr>
                    <w:pStyle w:val="61"/>
                    <w:adjustRightInd w:val="0"/>
                    <w:snapToGrid w:val="0"/>
                    <w:spacing w:line="240" w:lineRule="auto"/>
                    <w:rPr>
                      <w:szCs w:val="21"/>
                    </w:rPr>
                  </w:pPr>
                  <w:r>
                    <w:rPr>
                      <w:rFonts w:hint="eastAsia"/>
                      <w:szCs w:val="21"/>
                    </w:rPr>
                    <w:t>100</w:t>
                  </w:r>
                  <w:r>
                    <w:rPr>
                      <w:szCs w:val="21"/>
                    </w:rPr>
                    <w:t>℃</w:t>
                  </w:r>
                </w:p>
              </w:tc>
              <w:tc>
                <w:tcPr>
                  <w:tcW w:w="358" w:type="dxa"/>
                  <w:vMerge w:val="restart"/>
                  <w:vAlign w:val="center"/>
                </w:tcPr>
                <w:p w14:paraId="6E5B2266">
                  <w:pPr>
                    <w:adjustRightInd w:val="0"/>
                    <w:snapToGrid w:val="0"/>
                    <w:spacing w:line="360" w:lineRule="auto"/>
                    <w:jc w:val="center"/>
                    <w:rPr>
                      <w:szCs w:val="21"/>
                    </w:rPr>
                  </w:pPr>
                  <w:r>
                    <w:rPr>
                      <w:szCs w:val="21"/>
                    </w:rPr>
                    <w:t>/</w:t>
                  </w:r>
                </w:p>
              </w:tc>
            </w:tr>
            <w:tr w14:paraId="2CCFCF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3" w:hRule="atLeast"/>
              </w:trPr>
              <w:tc>
                <w:tcPr>
                  <w:tcW w:w="343" w:type="dxa"/>
                  <w:vMerge w:val="continue"/>
                  <w:vAlign w:val="center"/>
                </w:tcPr>
                <w:p w14:paraId="715C593F">
                  <w:pPr>
                    <w:pStyle w:val="61"/>
                    <w:adjustRightInd w:val="0"/>
                    <w:snapToGrid w:val="0"/>
                    <w:spacing w:line="240" w:lineRule="auto"/>
                    <w:rPr>
                      <w:szCs w:val="21"/>
                      <w:highlight w:val="yellow"/>
                    </w:rPr>
                  </w:pPr>
                </w:p>
              </w:tc>
              <w:tc>
                <w:tcPr>
                  <w:tcW w:w="415" w:type="dxa"/>
                  <w:vMerge w:val="continue"/>
                  <w:vAlign w:val="center"/>
                </w:tcPr>
                <w:p w14:paraId="2126B29D">
                  <w:pPr>
                    <w:pStyle w:val="61"/>
                    <w:adjustRightInd w:val="0"/>
                    <w:snapToGrid w:val="0"/>
                    <w:spacing w:line="240" w:lineRule="auto"/>
                    <w:rPr>
                      <w:szCs w:val="21"/>
                      <w:highlight w:val="yellow"/>
                    </w:rPr>
                  </w:pPr>
                </w:p>
              </w:tc>
              <w:tc>
                <w:tcPr>
                  <w:tcW w:w="790" w:type="dxa"/>
                  <w:vMerge w:val="continue"/>
                  <w:vAlign w:val="center"/>
                </w:tcPr>
                <w:p w14:paraId="36E34E55">
                  <w:pPr>
                    <w:pStyle w:val="61"/>
                    <w:adjustRightInd w:val="0"/>
                    <w:snapToGrid w:val="0"/>
                    <w:spacing w:line="240" w:lineRule="auto"/>
                    <w:rPr>
                      <w:szCs w:val="21"/>
                      <w:highlight w:val="yellow"/>
                    </w:rPr>
                  </w:pPr>
                </w:p>
              </w:tc>
              <w:tc>
                <w:tcPr>
                  <w:tcW w:w="1214" w:type="dxa"/>
                  <w:vAlign w:val="center"/>
                </w:tcPr>
                <w:p w14:paraId="422327C4">
                  <w:pPr>
                    <w:pStyle w:val="61"/>
                    <w:adjustRightInd w:val="0"/>
                    <w:snapToGrid w:val="0"/>
                    <w:spacing w:line="240" w:lineRule="auto"/>
                    <w:rPr>
                      <w:szCs w:val="21"/>
                    </w:rPr>
                  </w:pPr>
                  <w:r>
                    <w:rPr>
                      <w:szCs w:val="21"/>
                    </w:rPr>
                    <w:t>SO</w:t>
                  </w:r>
                  <w:r>
                    <w:rPr>
                      <w:szCs w:val="21"/>
                      <w:vertAlign w:val="subscript"/>
                    </w:rPr>
                    <w:t>2</w:t>
                  </w:r>
                </w:p>
              </w:tc>
              <w:tc>
                <w:tcPr>
                  <w:tcW w:w="600" w:type="dxa"/>
                  <w:vMerge w:val="continue"/>
                  <w:vAlign w:val="center"/>
                </w:tcPr>
                <w:p w14:paraId="145B0846">
                  <w:pPr>
                    <w:pStyle w:val="61"/>
                    <w:adjustRightInd w:val="0"/>
                    <w:snapToGrid w:val="0"/>
                    <w:spacing w:line="360" w:lineRule="auto"/>
                    <w:rPr>
                      <w:szCs w:val="21"/>
                      <w:highlight w:val="yellow"/>
                    </w:rPr>
                  </w:pPr>
                </w:p>
              </w:tc>
              <w:tc>
                <w:tcPr>
                  <w:tcW w:w="739" w:type="dxa"/>
                  <w:vMerge w:val="continue"/>
                  <w:vAlign w:val="center"/>
                </w:tcPr>
                <w:p w14:paraId="70ADA131">
                  <w:pPr>
                    <w:pStyle w:val="61"/>
                    <w:adjustRightInd w:val="0"/>
                    <w:snapToGrid w:val="0"/>
                    <w:spacing w:line="360" w:lineRule="auto"/>
                    <w:rPr>
                      <w:szCs w:val="21"/>
                      <w:highlight w:val="yellow"/>
                    </w:rPr>
                  </w:pPr>
                </w:p>
              </w:tc>
              <w:tc>
                <w:tcPr>
                  <w:tcW w:w="843" w:type="dxa"/>
                  <w:vMerge w:val="continue"/>
                  <w:vAlign w:val="center"/>
                </w:tcPr>
                <w:p w14:paraId="3ABD11CF">
                  <w:pPr>
                    <w:pStyle w:val="61"/>
                    <w:adjustRightInd w:val="0"/>
                    <w:snapToGrid w:val="0"/>
                    <w:spacing w:line="360" w:lineRule="auto"/>
                    <w:rPr>
                      <w:szCs w:val="21"/>
                      <w:highlight w:val="yellow"/>
                    </w:rPr>
                  </w:pPr>
                </w:p>
              </w:tc>
              <w:tc>
                <w:tcPr>
                  <w:tcW w:w="873" w:type="dxa"/>
                  <w:vMerge w:val="continue"/>
                  <w:vAlign w:val="center"/>
                </w:tcPr>
                <w:p w14:paraId="05E13B88">
                  <w:pPr>
                    <w:pStyle w:val="61"/>
                    <w:adjustRightInd w:val="0"/>
                    <w:snapToGrid w:val="0"/>
                    <w:spacing w:line="360" w:lineRule="auto"/>
                    <w:rPr>
                      <w:bCs/>
                      <w:szCs w:val="21"/>
                      <w:highlight w:val="yellow"/>
                    </w:rPr>
                  </w:pPr>
                </w:p>
              </w:tc>
              <w:tc>
                <w:tcPr>
                  <w:tcW w:w="615" w:type="dxa"/>
                  <w:vMerge w:val="continue"/>
                  <w:vAlign w:val="center"/>
                </w:tcPr>
                <w:p w14:paraId="74F11442">
                  <w:pPr>
                    <w:pStyle w:val="61"/>
                    <w:adjustRightInd w:val="0"/>
                    <w:snapToGrid w:val="0"/>
                    <w:spacing w:line="360" w:lineRule="auto"/>
                    <w:rPr>
                      <w:bCs/>
                      <w:szCs w:val="21"/>
                      <w:highlight w:val="yellow"/>
                    </w:rPr>
                  </w:pPr>
                </w:p>
              </w:tc>
              <w:tc>
                <w:tcPr>
                  <w:tcW w:w="583" w:type="dxa"/>
                  <w:vMerge w:val="continue"/>
                  <w:vAlign w:val="center"/>
                </w:tcPr>
                <w:p w14:paraId="48AC24A3">
                  <w:pPr>
                    <w:adjustRightInd w:val="0"/>
                    <w:snapToGrid w:val="0"/>
                    <w:spacing w:line="360" w:lineRule="auto"/>
                    <w:jc w:val="center"/>
                    <w:rPr>
                      <w:szCs w:val="21"/>
                      <w:highlight w:val="yellow"/>
                    </w:rPr>
                  </w:pPr>
                </w:p>
              </w:tc>
              <w:tc>
                <w:tcPr>
                  <w:tcW w:w="621" w:type="dxa"/>
                  <w:vMerge w:val="continue"/>
                  <w:vAlign w:val="center"/>
                </w:tcPr>
                <w:p w14:paraId="7F655F1A">
                  <w:pPr>
                    <w:adjustRightInd w:val="0"/>
                    <w:snapToGrid w:val="0"/>
                    <w:spacing w:line="360" w:lineRule="auto"/>
                    <w:jc w:val="center"/>
                    <w:rPr>
                      <w:szCs w:val="21"/>
                      <w:highlight w:val="yellow"/>
                    </w:rPr>
                  </w:pPr>
                </w:p>
              </w:tc>
              <w:tc>
                <w:tcPr>
                  <w:tcW w:w="358" w:type="dxa"/>
                  <w:vMerge w:val="continue"/>
                  <w:vAlign w:val="center"/>
                </w:tcPr>
                <w:p w14:paraId="1529ECBE">
                  <w:pPr>
                    <w:adjustRightInd w:val="0"/>
                    <w:snapToGrid w:val="0"/>
                    <w:spacing w:line="360" w:lineRule="auto"/>
                    <w:jc w:val="center"/>
                    <w:rPr>
                      <w:szCs w:val="21"/>
                      <w:highlight w:val="yellow"/>
                    </w:rPr>
                  </w:pPr>
                </w:p>
              </w:tc>
            </w:tr>
            <w:tr w14:paraId="4C51B1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6" w:hRule="atLeast"/>
              </w:trPr>
              <w:tc>
                <w:tcPr>
                  <w:tcW w:w="343" w:type="dxa"/>
                  <w:vMerge w:val="continue"/>
                  <w:vAlign w:val="center"/>
                </w:tcPr>
                <w:p w14:paraId="3338DFC9">
                  <w:pPr>
                    <w:pStyle w:val="61"/>
                    <w:adjustRightInd w:val="0"/>
                    <w:snapToGrid w:val="0"/>
                    <w:spacing w:line="240" w:lineRule="auto"/>
                    <w:rPr>
                      <w:szCs w:val="21"/>
                      <w:highlight w:val="yellow"/>
                    </w:rPr>
                  </w:pPr>
                </w:p>
              </w:tc>
              <w:tc>
                <w:tcPr>
                  <w:tcW w:w="415" w:type="dxa"/>
                  <w:vMerge w:val="continue"/>
                  <w:vAlign w:val="center"/>
                </w:tcPr>
                <w:p w14:paraId="004729F2">
                  <w:pPr>
                    <w:pStyle w:val="61"/>
                    <w:adjustRightInd w:val="0"/>
                    <w:snapToGrid w:val="0"/>
                    <w:spacing w:line="240" w:lineRule="auto"/>
                    <w:rPr>
                      <w:szCs w:val="21"/>
                      <w:highlight w:val="yellow"/>
                    </w:rPr>
                  </w:pPr>
                </w:p>
              </w:tc>
              <w:tc>
                <w:tcPr>
                  <w:tcW w:w="790" w:type="dxa"/>
                  <w:vMerge w:val="continue"/>
                  <w:vAlign w:val="center"/>
                </w:tcPr>
                <w:p w14:paraId="555B81D3">
                  <w:pPr>
                    <w:pStyle w:val="61"/>
                    <w:adjustRightInd w:val="0"/>
                    <w:snapToGrid w:val="0"/>
                    <w:spacing w:line="240" w:lineRule="auto"/>
                    <w:rPr>
                      <w:szCs w:val="21"/>
                      <w:highlight w:val="yellow"/>
                    </w:rPr>
                  </w:pPr>
                </w:p>
              </w:tc>
              <w:tc>
                <w:tcPr>
                  <w:tcW w:w="1214" w:type="dxa"/>
                  <w:vAlign w:val="center"/>
                </w:tcPr>
                <w:p w14:paraId="47250411">
                  <w:pPr>
                    <w:pStyle w:val="61"/>
                    <w:adjustRightInd w:val="0"/>
                    <w:snapToGrid w:val="0"/>
                    <w:spacing w:line="240" w:lineRule="auto"/>
                    <w:rPr>
                      <w:szCs w:val="21"/>
                    </w:rPr>
                  </w:pPr>
                  <w:r>
                    <w:rPr>
                      <w:szCs w:val="21"/>
                    </w:rPr>
                    <w:t>NOx</w:t>
                  </w:r>
                </w:p>
              </w:tc>
              <w:tc>
                <w:tcPr>
                  <w:tcW w:w="600" w:type="dxa"/>
                  <w:vMerge w:val="continue"/>
                  <w:vAlign w:val="center"/>
                </w:tcPr>
                <w:p w14:paraId="43EA9043">
                  <w:pPr>
                    <w:pStyle w:val="61"/>
                    <w:adjustRightInd w:val="0"/>
                    <w:snapToGrid w:val="0"/>
                    <w:spacing w:line="360" w:lineRule="auto"/>
                    <w:rPr>
                      <w:szCs w:val="21"/>
                      <w:highlight w:val="yellow"/>
                    </w:rPr>
                  </w:pPr>
                </w:p>
              </w:tc>
              <w:tc>
                <w:tcPr>
                  <w:tcW w:w="739" w:type="dxa"/>
                  <w:vMerge w:val="continue"/>
                  <w:vAlign w:val="center"/>
                </w:tcPr>
                <w:p w14:paraId="2C4C26F7">
                  <w:pPr>
                    <w:pStyle w:val="61"/>
                    <w:adjustRightInd w:val="0"/>
                    <w:snapToGrid w:val="0"/>
                    <w:spacing w:line="360" w:lineRule="auto"/>
                    <w:rPr>
                      <w:szCs w:val="21"/>
                      <w:highlight w:val="yellow"/>
                    </w:rPr>
                  </w:pPr>
                </w:p>
              </w:tc>
              <w:tc>
                <w:tcPr>
                  <w:tcW w:w="843" w:type="dxa"/>
                  <w:vMerge w:val="continue"/>
                  <w:vAlign w:val="center"/>
                </w:tcPr>
                <w:p w14:paraId="3DE22F8D">
                  <w:pPr>
                    <w:pStyle w:val="61"/>
                    <w:adjustRightInd w:val="0"/>
                    <w:snapToGrid w:val="0"/>
                    <w:spacing w:line="360" w:lineRule="auto"/>
                    <w:rPr>
                      <w:szCs w:val="21"/>
                      <w:highlight w:val="yellow"/>
                    </w:rPr>
                  </w:pPr>
                </w:p>
              </w:tc>
              <w:tc>
                <w:tcPr>
                  <w:tcW w:w="873" w:type="dxa"/>
                  <w:vMerge w:val="continue"/>
                  <w:vAlign w:val="center"/>
                </w:tcPr>
                <w:p w14:paraId="65C394FC">
                  <w:pPr>
                    <w:pStyle w:val="61"/>
                    <w:adjustRightInd w:val="0"/>
                    <w:snapToGrid w:val="0"/>
                    <w:spacing w:line="360" w:lineRule="auto"/>
                    <w:rPr>
                      <w:bCs/>
                      <w:szCs w:val="21"/>
                      <w:highlight w:val="yellow"/>
                    </w:rPr>
                  </w:pPr>
                </w:p>
              </w:tc>
              <w:tc>
                <w:tcPr>
                  <w:tcW w:w="615" w:type="dxa"/>
                  <w:vMerge w:val="continue"/>
                  <w:vAlign w:val="center"/>
                </w:tcPr>
                <w:p w14:paraId="078732CF">
                  <w:pPr>
                    <w:pStyle w:val="61"/>
                    <w:adjustRightInd w:val="0"/>
                    <w:snapToGrid w:val="0"/>
                    <w:spacing w:line="360" w:lineRule="auto"/>
                    <w:rPr>
                      <w:bCs/>
                      <w:szCs w:val="21"/>
                      <w:highlight w:val="yellow"/>
                    </w:rPr>
                  </w:pPr>
                </w:p>
              </w:tc>
              <w:tc>
                <w:tcPr>
                  <w:tcW w:w="583" w:type="dxa"/>
                  <w:vMerge w:val="continue"/>
                  <w:vAlign w:val="center"/>
                </w:tcPr>
                <w:p w14:paraId="6380C480">
                  <w:pPr>
                    <w:adjustRightInd w:val="0"/>
                    <w:snapToGrid w:val="0"/>
                    <w:spacing w:line="360" w:lineRule="auto"/>
                    <w:jc w:val="center"/>
                    <w:rPr>
                      <w:szCs w:val="21"/>
                      <w:highlight w:val="yellow"/>
                    </w:rPr>
                  </w:pPr>
                </w:p>
              </w:tc>
              <w:tc>
                <w:tcPr>
                  <w:tcW w:w="621" w:type="dxa"/>
                  <w:vMerge w:val="continue"/>
                  <w:vAlign w:val="center"/>
                </w:tcPr>
                <w:p w14:paraId="1A9DB85F">
                  <w:pPr>
                    <w:adjustRightInd w:val="0"/>
                    <w:snapToGrid w:val="0"/>
                    <w:spacing w:line="360" w:lineRule="auto"/>
                    <w:jc w:val="center"/>
                    <w:rPr>
                      <w:szCs w:val="21"/>
                      <w:highlight w:val="yellow"/>
                    </w:rPr>
                  </w:pPr>
                </w:p>
              </w:tc>
              <w:tc>
                <w:tcPr>
                  <w:tcW w:w="358" w:type="dxa"/>
                  <w:vMerge w:val="continue"/>
                  <w:vAlign w:val="center"/>
                </w:tcPr>
                <w:p w14:paraId="08EF0198">
                  <w:pPr>
                    <w:adjustRightInd w:val="0"/>
                    <w:snapToGrid w:val="0"/>
                    <w:spacing w:line="360" w:lineRule="auto"/>
                    <w:jc w:val="center"/>
                    <w:rPr>
                      <w:szCs w:val="21"/>
                      <w:highlight w:val="yellow"/>
                    </w:rPr>
                  </w:pPr>
                </w:p>
              </w:tc>
            </w:tr>
            <w:tr w14:paraId="5DF92C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39" w:hRule="atLeast"/>
              </w:trPr>
              <w:tc>
                <w:tcPr>
                  <w:tcW w:w="343" w:type="dxa"/>
                  <w:vMerge w:val="continue"/>
                  <w:vAlign w:val="center"/>
                </w:tcPr>
                <w:p w14:paraId="21700F58">
                  <w:pPr>
                    <w:pStyle w:val="61"/>
                    <w:adjustRightInd w:val="0"/>
                    <w:snapToGrid w:val="0"/>
                    <w:spacing w:line="240" w:lineRule="auto"/>
                    <w:rPr>
                      <w:szCs w:val="21"/>
                      <w:highlight w:val="yellow"/>
                    </w:rPr>
                  </w:pPr>
                </w:p>
              </w:tc>
              <w:tc>
                <w:tcPr>
                  <w:tcW w:w="415" w:type="dxa"/>
                  <w:vMerge w:val="continue"/>
                  <w:vAlign w:val="center"/>
                </w:tcPr>
                <w:p w14:paraId="55A33285">
                  <w:pPr>
                    <w:pStyle w:val="61"/>
                    <w:adjustRightInd w:val="0"/>
                    <w:snapToGrid w:val="0"/>
                    <w:spacing w:line="240" w:lineRule="auto"/>
                    <w:rPr>
                      <w:szCs w:val="21"/>
                      <w:highlight w:val="yellow"/>
                    </w:rPr>
                  </w:pPr>
                </w:p>
              </w:tc>
              <w:tc>
                <w:tcPr>
                  <w:tcW w:w="790" w:type="dxa"/>
                  <w:vMerge w:val="continue"/>
                  <w:vAlign w:val="center"/>
                </w:tcPr>
                <w:p w14:paraId="0DBFEF03">
                  <w:pPr>
                    <w:pStyle w:val="61"/>
                    <w:adjustRightInd w:val="0"/>
                    <w:snapToGrid w:val="0"/>
                    <w:spacing w:line="240" w:lineRule="auto"/>
                    <w:rPr>
                      <w:szCs w:val="21"/>
                      <w:highlight w:val="yellow"/>
                    </w:rPr>
                  </w:pPr>
                </w:p>
              </w:tc>
              <w:tc>
                <w:tcPr>
                  <w:tcW w:w="1214" w:type="dxa"/>
                  <w:vAlign w:val="center"/>
                </w:tcPr>
                <w:p w14:paraId="28DFA270">
                  <w:pPr>
                    <w:pStyle w:val="61"/>
                    <w:adjustRightInd w:val="0"/>
                    <w:snapToGrid w:val="0"/>
                    <w:spacing w:line="240" w:lineRule="auto"/>
                    <w:rPr>
                      <w:szCs w:val="21"/>
                    </w:rPr>
                  </w:pPr>
                  <w:r>
                    <w:rPr>
                      <w:szCs w:val="21"/>
                    </w:rPr>
                    <w:t>烟气黑度</w:t>
                  </w:r>
                </w:p>
              </w:tc>
              <w:tc>
                <w:tcPr>
                  <w:tcW w:w="600" w:type="dxa"/>
                  <w:vMerge w:val="continue"/>
                  <w:vAlign w:val="center"/>
                </w:tcPr>
                <w:p w14:paraId="68498FEF">
                  <w:pPr>
                    <w:pStyle w:val="61"/>
                    <w:adjustRightInd w:val="0"/>
                    <w:snapToGrid w:val="0"/>
                    <w:spacing w:line="360" w:lineRule="auto"/>
                    <w:rPr>
                      <w:szCs w:val="21"/>
                      <w:highlight w:val="yellow"/>
                    </w:rPr>
                  </w:pPr>
                </w:p>
              </w:tc>
              <w:tc>
                <w:tcPr>
                  <w:tcW w:w="739" w:type="dxa"/>
                  <w:vMerge w:val="continue"/>
                  <w:vAlign w:val="center"/>
                </w:tcPr>
                <w:p w14:paraId="768AFC77">
                  <w:pPr>
                    <w:pStyle w:val="61"/>
                    <w:adjustRightInd w:val="0"/>
                    <w:snapToGrid w:val="0"/>
                    <w:spacing w:line="360" w:lineRule="auto"/>
                    <w:rPr>
                      <w:szCs w:val="21"/>
                      <w:highlight w:val="yellow"/>
                    </w:rPr>
                  </w:pPr>
                </w:p>
              </w:tc>
              <w:tc>
                <w:tcPr>
                  <w:tcW w:w="843" w:type="dxa"/>
                  <w:vMerge w:val="continue"/>
                  <w:vAlign w:val="center"/>
                </w:tcPr>
                <w:p w14:paraId="5A43FC1B">
                  <w:pPr>
                    <w:pStyle w:val="61"/>
                    <w:adjustRightInd w:val="0"/>
                    <w:snapToGrid w:val="0"/>
                    <w:spacing w:line="360" w:lineRule="auto"/>
                    <w:rPr>
                      <w:szCs w:val="21"/>
                      <w:highlight w:val="yellow"/>
                    </w:rPr>
                  </w:pPr>
                </w:p>
              </w:tc>
              <w:tc>
                <w:tcPr>
                  <w:tcW w:w="873" w:type="dxa"/>
                  <w:vMerge w:val="continue"/>
                  <w:vAlign w:val="center"/>
                </w:tcPr>
                <w:p w14:paraId="0DE31316">
                  <w:pPr>
                    <w:pStyle w:val="61"/>
                    <w:adjustRightInd w:val="0"/>
                    <w:snapToGrid w:val="0"/>
                    <w:spacing w:line="360" w:lineRule="auto"/>
                    <w:rPr>
                      <w:bCs/>
                      <w:szCs w:val="21"/>
                      <w:highlight w:val="yellow"/>
                    </w:rPr>
                  </w:pPr>
                </w:p>
              </w:tc>
              <w:tc>
                <w:tcPr>
                  <w:tcW w:w="615" w:type="dxa"/>
                  <w:vMerge w:val="continue"/>
                  <w:vAlign w:val="center"/>
                </w:tcPr>
                <w:p w14:paraId="6E0F12AB">
                  <w:pPr>
                    <w:pStyle w:val="61"/>
                    <w:adjustRightInd w:val="0"/>
                    <w:snapToGrid w:val="0"/>
                    <w:spacing w:line="360" w:lineRule="auto"/>
                    <w:rPr>
                      <w:bCs/>
                      <w:szCs w:val="21"/>
                      <w:highlight w:val="yellow"/>
                    </w:rPr>
                  </w:pPr>
                </w:p>
              </w:tc>
              <w:tc>
                <w:tcPr>
                  <w:tcW w:w="583" w:type="dxa"/>
                  <w:vMerge w:val="continue"/>
                  <w:vAlign w:val="center"/>
                </w:tcPr>
                <w:p w14:paraId="646F9141">
                  <w:pPr>
                    <w:adjustRightInd w:val="0"/>
                    <w:snapToGrid w:val="0"/>
                    <w:spacing w:line="360" w:lineRule="auto"/>
                    <w:jc w:val="center"/>
                    <w:rPr>
                      <w:szCs w:val="21"/>
                      <w:highlight w:val="yellow"/>
                    </w:rPr>
                  </w:pPr>
                </w:p>
              </w:tc>
              <w:tc>
                <w:tcPr>
                  <w:tcW w:w="621" w:type="dxa"/>
                  <w:vMerge w:val="continue"/>
                  <w:vAlign w:val="center"/>
                </w:tcPr>
                <w:p w14:paraId="0654B85A">
                  <w:pPr>
                    <w:adjustRightInd w:val="0"/>
                    <w:snapToGrid w:val="0"/>
                    <w:spacing w:line="360" w:lineRule="auto"/>
                    <w:jc w:val="center"/>
                    <w:rPr>
                      <w:szCs w:val="21"/>
                      <w:highlight w:val="yellow"/>
                    </w:rPr>
                  </w:pPr>
                </w:p>
              </w:tc>
              <w:tc>
                <w:tcPr>
                  <w:tcW w:w="358" w:type="dxa"/>
                  <w:vMerge w:val="continue"/>
                  <w:vAlign w:val="center"/>
                </w:tcPr>
                <w:p w14:paraId="79158CD0">
                  <w:pPr>
                    <w:adjustRightInd w:val="0"/>
                    <w:snapToGrid w:val="0"/>
                    <w:spacing w:line="360" w:lineRule="auto"/>
                    <w:jc w:val="center"/>
                    <w:rPr>
                      <w:szCs w:val="21"/>
                      <w:highlight w:val="yellow"/>
                    </w:rPr>
                  </w:pPr>
                </w:p>
              </w:tc>
            </w:tr>
          </w:tbl>
          <w:p w14:paraId="7F60566E">
            <w:pPr>
              <w:pStyle w:val="59"/>
              <w:spacing w:line="360" w:lineRule="auto"/>
              <w:ind w:firstLine="480"/>
              <w:rPr>
                <w:szCs w:val="24"/>
              </w:rPr>
            </w:pPr>
          </w:p>
          <w:p w14:paraId="7A8BC179">
            <w:pPr>
              <w:pStyle w:val="59"/>
              <w:spacing w:line="360" w:lineRule="auto"/>
              <w:ind w:firstLine="480"/>
              <w:rPr>
                <w:szCs w:val="24"/>
              </w:rPr>
            </w:pPr>
            <w:r>
              <w:rPr>
                <w:szCs w:val="24"/>
              </w:rPr>
              <w:t xml:space="preserve">（8）监测计划 </w:t>
            </w:r>
          </w:p>
          <w:p w14:paraId="7AFD7DFF">
            <w:pPr>
              <w:pStyle w:val="59"/>
              <w:spacing w:line="360" w:lineRule="auto"/>
              <w:ind w:firstLine="480"/>
              <w:rPr>
                <w:szCs w:val="24"/>
              </w:rPr>
            </w:pPr>
            <w:r>
              <w:rPr>
                <w:szCs w:val="24"/>
              </w:rPr>
              <w:t xml:space="preserve">依据《排污单位自行监测技术指南总则》(HJ819-2017)及《排污许可证申请与核发技术规范 工业炉窑》（HJ1121-2020）确定本项目监测计划，具体见下表。 </w:t>
            </w:r>
          </w:p>
          <w:p w14:paraId="2CB6E508">
            <w:pPr>
              <w:keepNext/>
              <w:widowControl/>
              <w:jc w:val="center"/>
              <w:rPr>
                <w:b/>
                <w:sz w:val="24"/>
              </w:rPr>
            </w:pPr>
            <w:r>
              <w:rPr>
                <w:b/>
                <w:sz w:val="24"/>
              </w:rPr>
              <w:t>表4-4本项目污染源监测计划</w:t>
            </w:r>
          </w:p>
          <w:tbl>
            <w:tblPr>
              <w:tblStyle w:val="32"/>
              <w:tblW w:w="8043"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fixed"/>
              <w:tblCellMar>
                <w:top w:w="0" w:type="dxa"/>
                <w:left w:w="68" w:type="dxa"/>
                <w:bottom w:w="0" w:type="dxa"/>
                <w:right w:w="68" w:type="dxa"/>
              </w:tblCellMar>
            </w:tblPr>
            <w:tblGrid>
              <w:gridCol w:w="659"/>
              <w:gridCol w:w="1191"/>
              <w:gridCol w:w="1200"/>
              <w:gridCol w:w="1078"/>
              <w:gridCol w:w="3915"/>
            </w:tblGrid>
            <w:tr w14:paraId="409707E9">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68" w:type="dxa"/>
                  <w:bottom w:w="0" w:type="dxa"/>
                  <w:right w:w="68" w:type="dxa"/>
                </w:tblCellMar>
              </w:tblPrEx>
              <w:trPr>
                <w:trHeight w:val="454" w:hRule="atLeast"/>
                <w:jc w:val="center"/>
              </w:trPr>
              <w:tc>
                <w:tcPr>
                  <w:tcW w:w="659" w:type="dxa"/>
                  <w:tcBorders>
                    <w:tl2br w:val="nil"/>
                    <w:tr2bl w:val="nil"/>
                  </w:tcBorders>
                  <w:vAlign w:val="center"/>
                </w:tcPr>
                <w:p w14:paraId="7517F2D2">
                  <w:pPr>
                    <w:pStyle w:val="85"/>
                    <w:spacing w:line="240" w:lineRule="auto"/>
                  </w:pPr>
                  <w:r>
                    <w:t>类型</w:t>
                  </w:r>
                </w:p>
              </w:tc>
              <w:tc>
                <w:tcPr>
                  <w:tcW w:w="1191" w:type="dxa"/>
                  <w:tcBorders>
                    <w:tl2br w:val="nil"/>
                    <w:tr2bl w:val="nil"/>
                  </w:tcBorders>
                  <w:vAlign w:val="center"/>
                </w:tcPr>
                <w:p w14:paraId="021F7631">
                  <w:pPr>
                    <w:pStyle w:val="85"/>
                    <w:spacing w:line="240" w:lineRule="auto"/>
                  </w:pPr>
                  <w:r>
                    <w:t>监测项目</w:t>
                  </w:r>
                </w:p>
              </w:tc>
              <w:tc>
                <w:tcPr>
                  <w:tcW w:w="1200" w:type="dxa"/>
                  <w:tcBorders>
                    <w:tl2br w:val="nil"/>
                    <w:tr2bl w:val="nil"/>
                  </w:tcBorders>
                  <w:vAlign w:val="center"/>
                </w:tcPr>
                <w:p w14:paraId="16685075">
                  <w:pPr>
                    <w:pStyle w:val="85"/>
                    <w:spacing w:line="240" w:lineRule="auto"/>
                  </w:pPr>
                  <w:r>
                    <w:t>监测点</w:t>
                  </w:r>
                </w:p>
              </w:tc>
              <w:tc>
                <w:tcPr>
                  <w:tcW w:w="1078" w:type="dxa"/>
                  <w:tcBorders>
                    <w:tl2br w:val="nil"/>
                    <w:tr2bl w:val="nil"/>
                  </w:tcBorders>
                  <w:vAlign w:val="center"/>
                </w:tcPr>
                <w:p w14:paraId="2CF28731">
                  <w:pPr>
                    <w:pStyle w:val="85"/>
                    <w:spacing w:line="240" w:lineRule="auto"/>
                  </w:pPr>
                  <w:r>
                    <w:t>监测频率</w:t>
                  </w:r>
                </w:p>
              </w:tc>
              <w:tc>
                <w:tcPr>
                  <w:tcW w:w="3915" w:type="dxa"/>
                  <w:tcBorders>
                    <w:tl2br w:val="nil"/>
                    <w:tr2bl w:val="nil"/>
                  </w:tcBorders>
                  <w:vAlign w:val="center"/>
                </w:tcPr>
                <w:p w14:paraId="09E5F5F4">
                  <w:pPr>
                    <w:pStyle w:val="85"/>
                    <w:spacing w:line="240" w:lineRule="auto"/>
                  </w:pPr>
                  <w:r>
                    <w:t>执行标准</w:t>
                  </w:r>
                </w:p>
              </w:tc>
            </w:tr>
            <w:tr w14:paraId="70B571F6">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68" w:type="dxa"/>
                  <w:bottom w:w="0" w:type="dxa"/>
                  <w:right w:w="68" w:type="dxa"/>
                </w:tblCellMar>
              </w:tblPrEx>
              <w:trPr>
                <w:trHeight w:val="454" w:hRule="atLeast"/>
                <w:jc w:val="center"/>
              </w:trPr>
              <w:tc>
                <w:tcPr>
                  <w:tcW w:w="659" w:type="dxa"/>
                  <w:vMerge w:val="restart"/>
                  <w:tcBorders>
                    <w:tl2br w:val="nil"/>
                    <w:tr2bl w:val="nil"/>
                  </w:tcBorders>
                  <w:vAlign w:val="center"/>
                </w:tcPr>
                <w:p w14:paraId="4D8F5C37">
                  <w:pPr>
                    <w:pStyle w:val="85"/>
                    <w:spacing w:line="240" w:lineRule="auto"/>
                  </w:pPr>
                  <w:r>
                    <w:t>废气</w:t>
                  </w:r>
                </w:p>
              </w:tc>
              <w:tc>
                <w:tcPr>
                  <w:tcW w:w="1191" w:type="dxa"/>
                  <w:tcBorders>
                    <w:tl2br w:val="nil"/>
                    <w:tr2bl w:val="nil"/>
                  </w:tcBorders>
                  <w:vAlign w:val="center"/>
                </w:tcPr>
                <w:p w14:paraId="6CF28DCA">
                  <w:pPr>
                    <w:widowControl/>
                    <w:jc w:val="center"/>
                    <w:rPr>
                      <w:szCs w:val="21"/>
                    </w:rPr>
                  </w:pPr>
                  <w:r>
                    <w:rPr>
                      <w:szCs w:val="21"/>
                    </w:rPr>
                    <w:t>颗粒物、烟气黑度</w:t>
                  </w:r>
                </w:p>
              </w:tc>
              <w:tc>
                <w:tcPr>
                  <w:tcW w:w="1200" w:type="dxa"/>
                  <w:vMerge w:val="restart"/>
                  <w:tcBorders>
                    <w:tl2br w:val="nil"/>
                    <w:tr2bl w:val="nil"/>
                  </w:tcBorders>
                  <w:vAlign w:val="center"/>
                </w:tcPr>
                <w:p w14:paraId="069F852C">
                  <w:pPr>
                    <w:pStyle w:val="85"/>
                    <w:spacing w:line="240" w:lineRule="auto"/>
                  </w:pPr>
                  <w:r>
                    <w:t>热风炉烟囱（</w:t>
                  </w:r>
                  <w:r>
                    <w:rPr>
                      <w:rFonts w:hint="eastAsia"/>
                    </w:rPr>
                    <w:t>DA001</w:t>
                  </w:r>
                  <w:r>
                    <w:t>）</w:t>
                  </w:r>
                </w:p>
              </w:tc>
              <w:tc>
                <w:tcPr>
                  <w:tcW w:w="1078" w:type="dxa"/>
                  <w:tcBorders>
                    <w:tl2br w:val="nil"/>
                    <w:tr2bl w:val="nil"/>
                  </w:tcBorders>
                  <w:vAlign w:val="center"/>
                </w:tcPr>
                <w:p w14:paraId="26F1877F">
                  <w:pPr>
                    <w:widowControl/>
                    <w:jc w:val="center"/>
                  </w:pPr>
                  <w:r>
                    <w:rPr>
                      <w:szCs w:val="21"/>
                    </w:rPr>
                    <w:t>1次/年</w:t>
                  </w:r>
                </w:p>
              </w:tc>
              <w:tc>
                <w:tcPr>
                  <w:tcW w:w="3915" w:type="dxa"/>
                  <w:tcBorders>
                    <w:tl2br w:val="nil"/>
                    <w:tr2bl w:val="nil"/>
                  </w:tcBorders>
                  <w:vAlign w:val="center"/>
                </w:tcPr>
                <w:p w14:paraId="5E46F860">
                  <w:pPr>
                    <w:widowControl/>
                    <w:jc w:val="center"/>
                    <w:rPr>
                      <w:szCs w:val="21"/>
                    </w:rPr>
                  </w:pPr>
                  <w:r>
                    <w:rPr>
                      <w:szCs w:val="21"/>
                    </w:rPr>
                    <w:t>《工业炉窑大气污染物排放标准》（GB9078-1996）表2二级标准</w:t>
                  </w:r>
                </w:p>
              </w:tc>
            </w:tr>
            <w:tr w14:paraId="359CC78D">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68" w:type="dxa"/>
                  <w:bottom w:w="0" w:type="dxa"/>
                  <w:right w:w="68" w:type="dxa"/>
                </w:tblCellMar>
              </w:tblPrEx>
              <w:trPr>
                <w:trHeight w:val="454" w:hRule="atLeast"/>
                <w:jc w:val="center"/>
              </w:trPr>
              <w:tc>
                <w:tcPr>
                  <w:tcW w:w="659" w:type="dxa"/>
                  <w:vMerge w:val="continue"/>
                  <w:tcBorders>
                    <w:tl2br w:val="nil"/>
                    <w:tr2bl w:val="nil"/>
                  </w:tcBorders>
                  <w:vAlign w:val="center"/>
                </w:tcPr>
                <w:p w14:paraId="7EF23FC7">
                  <w:pPr>
                    <w:pStyle w:val="85"/>
                    <w:spacing w:line="240" w:lineRule="auto"/>
                  </w:pPr>
                </w:p>
              </w:tc>
              <w:tc>
                <w:tcPr>
                  <w:tcW w:w="1191" w:type="dxa"/>
                  <w:tcBorders>
                    <w:tl2br w:val="nil"/>
                    <w:tr2bl w:val="nil"/>
                  </w:tcBorders>
                  <w:vAlign w:val="center"/>
                </w:tcPr>
                <w:p w14:paraId="4EE975A9">
                  <w:pPr>
                    <w:widowControl/>
                    <w:jc w:val="center"/>
                    <w:rPr>
                      <w:szCs w:val="21"/>
                    </w:rPr>
                  </w:pPr>
                  <w:r>
                    <w:rPr>
                      <w:szCs w:val="21"/>
                    </w:rPr>
                    <w:t>SO</w:t>
                  </w:r>
                  <w:r>
                    <w:rPr>
                      <w:szCs w:val="21"/>
                      <w:vertAlign w:val="subscript"/>
                    </w:rPr>
                    <w:t>2</w:t>
                  </w:r>
                </w:p>
              </w:tc>
              <w:tc>
                <w:tcPr>
                  <w:tcW w:w="1200" w:type="dxa"/>
                  <w:vMerge w:val="continue"/>
                  <w:tcBorders>
                    <w:tl2br w:val="nil"/>
                    <w:tr2bl w:val="nil"/>
                  </w:tcBorders>
                  <w:vAlign w:val="center"/>
                </w:tcPr>
                <w:p w14:paraId="52983068">
                  <w:pPr>
                    <w:pStyle w:val="85"/>
                    <w:spacing w:line="240" w:lineRule="auto"/>
                  </w:pPr>
                </w:p>
              </w:tc>
              <w:tc>
                <w:tcPr>
                  <w:tcW w:w="1078" w:type="dxa"/>
                  <w:tcBorders>
                    <w:tl2br w:val="nil"/>
                    <w:tr2bl w:val="nil"/>
                  </w:tcBorders>
                  <w:vAlign w:val="center"/>
                </w:tcPr>
                <w:p w14:paraId="25AAEB9E">
                  <w:pPr>
                    <w:widowControl/>
                    <w:jc w:val="center"/>
                    <w:rPr>
                      <w:szCs w:val="21"/>
                    </w:rPr>
                  </w:pPr>
                  <w:r>
                    <w:rPr>
                      <w:szCs w:val="21"/>
                    </w:rPr>
                    <w:t>1次/年</w:t>
                  </w:r>
                </w:p>
              </w:tc>
              <w:tc>
                <w:tcPr>
                  <w:tcW w:w="3915" w:type="dxa"/>
                  <w:tcBorders>
                    <w:tl2br w:val="nil"/>
                    <w:tr2bl w:val="nil"/>
                  </w:tcBorders>
                  <w:vAlign w:val="center"/>
                </w:tcPr>
                <w:p w14:paraId="71F77E6D">
                  <w:pPr>
                    <w:widowControl/>
                    <w:jc w:val="center"/>
                    <w:rPr>
                      <w:szCs w:val="21"/>
                    </w:rPr>
                  </w:pPr>
                  <w:r>
                    <w:rPr>
                      <w:szCs w:val="21"/>
                    </w:rPr>
                    <w:t>《工业炉窑大气污染物排放标准》（GB9078-1996）表4二级标准</w:t>
                  </w:r>
                </w:p>
              </w:tc>
            </w:tr>
            <w:tr w14:paraId="45F2A95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68" w:type="dxa"/>
                  <w:bottom w:w="0" w:type="dxa"/>
                  <w:right w:w="68" w:type="dxa"/>
                </w:tblCellMar>
              </w:tblPrEx>
              <w:trPr>
                <w:trHeight w:val="454" w:hRule="atLeast"/>
                <w:jc w:val="center"/>
              </w:trPr>
              <w:tc>
                <w:tcPr>
                  <w:tcW w:w="659" w:type="dxa"/>
                  <w:vMerge w:val="continue"/>
                  <w:tcBorders>
                    <w:tl2br w:val="nil"/>
                    <w:tr2bl w:val="nil"/>
                  </w:tcBorders>
                  <w:vAlign w:val="center"/>
                </w:tcPr>
                <w:p w14:paraId="6127088D">
                  <w:pPr>
                    <w:pStyle w:val="85"/>
                    <w:spacing w:line="240" w:lineRule="auto"/>
                  </w:pPr>
                </w:p>
              </w:tc>
              <w:tc>
                <w:tcPr>
                  <w:tcW w:w="1191" w:type="dxa"/>
                  <w:tcBorders>
                    <w:tl2br w:val="nil"/>
                    <w:tr2bl w:val="nil"/>
                  </w:tcBorders>
                  <w:vAlign w:val="center"/>
                </w:tcPr>
                <w:p w14:paraId="42F2EC54">
                  <w:pPr>
                    <w:widowControl/>
                    <w:jc w:val="center"/>
                    <w:rPr>
                      <w:szCs w:val="21"/>
                    </w:rPr>
                  </w:pPr>
                  <w:r>
                    <w:rPr>
                      <w:szCs w:val="21"/>
                    </w:rPr>
                    <w:t>NO</w:t>
                  </w:r>
                  <w:r>
                    <w:rPr>
                      <w:szCs w:val="21"/>
                      <w:vertAlign w:val="subscript"/>
                    </w:rPr>
                    <w:t>X</w:t>
                  </w:r>
                </w:p>
              </w:tc>
              <w:tc>
                <w:tcPr>
                  <w:tcW w:w="1200" w:type="dxa"/>
                  <w:vMerge w:val="continue"/>
                  <w:tcBorders>
                    <w:tl2br w:val="nil"/>
                    <w:tr2bl w:val="nil"/>
                  </w:tcBorders>
                  <w:vAlign w:val="center"/>
                </w:tcPr>
                <w:p w14:paraId="6843606F">
                  <w:pPr>
                    <w:pStyle w:val="85"/>
                    <w:spacing w:line="240" w:lineRule="auto"/>
                  </w:pPr>
                </w:p>
              </w:tc>
              <w:tc>
                <w:tcPr>
                  <w:tcW w:w="1078" w:type="dxa"/>
                  <w:tcBorders>
                    <w:tl2br w:val="nil"/>
                    <w:tr2bl w:val="nil"/>
                  </w:tcBorders>
                  <w:vAlign w:val="center"/>
                </w:tcPr>
                <w:p w14:paraId="305A02B9">
                  <w:pPr>
                    <w:widowControl/>
                    <w:jc w:val="center"/>
                    <w:rPr>
                      <w:szCs w:val="21"/>
                    </w:rPr>
                  </w:pPr>
                  <w:r>
                    <w:rPr>
                      <w:szCs w:val="21"/>
                    </w:rPr>
                    <w:t>1次/月</w:t>
                  </w:r>
                </w:p>
              </w:tc>
              <w:tc>
                <w:tcPr>
                  <w:tcW w:w="3915" w:type="dxa"/>
                  <w:tcBorders>
                    <w:tl2br w:val="nil"/>
                    <w:tr2bl w:val="nil"/>
                  </w:tcBorders>
                  <w:vAlign w:val="center"/>
                </w:tcPr>
                <w:p w14:paraId="3CC42CE7">
                  <w:pPr>
                    <w:widowControl/>
                    <w:jc w:val="center"/>
                    <w:rPr>
                      <w:szCs w:val="21"/>
                    </w:rPr>
                  </w:pPr>
                  <w:r>
                    <w:rPr>
                      <w:szCs w:val="21"/>
                    </w:rPr>
                    <w:t>/</w:t>
                  </w:r>
                </w:p>
              </w:tc>
            </w:tr>
            <w:tr w14:paraId="0CCBFC2A">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68" w:type="dxa"/>
                  <w:bottom w:w="0" w:type="dxa"/>
                  <w:right w:w="68" w:type="dxa"/>
                </w:tblCellMar>
              </w:tblPrEx>
              <w:trPr>
                <w:cantSplit/>
                <w:trHeight w:val="454" w:hRule="atLeast"/>
                <w:jc w:val="center"/>
              </w:trPr>
              <w:tc>
                <w:tcPr>
                  <w:tcW w:w="659" w:type="dxa"/>
                  <w:vMerge w:val="continue"/>
                  <w:tcBorders>
                    <w:tl2br w:val="nil"/>
                    <w:tr2bl w:val="nil"/>
                  </w:tcBorders>
                  <w:vAlign w:val="center"/>
                </w:tcPr>
                <w:p w14:paraId="56C5E501">
                  <w:pPr>
                    <w:pStyle w:val="85"/>
                    <w:spacing w:line="240" w:lineRule="auto"/>
                  </w:pPr>
                </w:p>
              </w:tc>
              <w:tc>
                <w:tcPr>
                  <w:tcW w:w="1191" w:type="dxa"/>
                  <w:tcBorders>
                    <w:tl2br w:val="nil"/>
                    <w:tr2bl w:val="nil"/>
                  </w:tcBorders>
                  <w:vAlign w:val="center"/>
                </w:tcPr>
                <w:p w14:paraId="5CA47088">
                  <w:pPr>
                    <w:widowControl/>
                    <w:jc w:val="center"/>
                    <w:rPr>
                      <w:szCs w:val="21"/>
                    </w:rPr>
                  </w:pPr>
                  <w:r>
                    <w:rPr>
                      <w:szCs w:val="21"/>
                    </w:rPr>
                    <w:t>颗粒物</w:t>
                  </w:r>
                </w:p>
              </w:tc>
              <w:tc>
                <w:tcPr>
                  <w:tcW w:w="1200" w:type="dxa"/>
                  <w:tcBorders>
                    <w:tl2br w:val="nil"/>
                    <w:tr2bl w:val="nil"/>
                  </w:tcBorders>
                  <w:vAlign w:val="center"/>
                </w:tcPr>
                <w:p w14:paraId="1994E51E">
                  <w:pPr>
                    <w:widowControl/>
                    <w:jc w:val="center"/>
                  </w:pPr>
                  <w:r>
                    <w:rPr>
                      <w:szCs w:val="21"/>
                    </w:rPr>
                    <w:t>厂界</w:t>
                  </w:r>
                </w:p>
              </w:tc>
              <w:tc>
                <w:tcPr>
                  <w:tcW w:w="1078" w:type="dxa"/>
                  <w:tcBorders>
                    <w:tl2br w:val="nil"/>
                    <w:tr2bl w:val="nil"/>
                  </w:tcBorders>
                  <w:vAlign w:val="center"/>
                </w:tcPr>
                <w:p w14:paraId="20433341">
                  <w:pPr>
                    <w:widowControl/>
                    <w:jc w:val="center"/>
                    <w:rPr>
                      <w:szCs w:val="21"/>
                    </w:rPr>
                  </w:pPr>
                  <w:r>
                    <w:rPr>
                      <w:szCs w:val="21"/>
                    </w:rPr>
                    <w:t>1次/</w:t>
                  </w:r>
                  <w:r>
                    <w:rPr>
                      <w:rFonts w:hint="eastAsia"/>
                      <w:szCs w:val="21"/>
                    </w:rPr>
                    <w:t>年</w:t>
                  </w:r>
                </w:p>
              </w:tc>
              <w:tc>
                <w:tcPr>
                  <w:tcW w:w="3915" w:type="dxa"/>
                  <w:tcBorders>
                    <w:tl2br w:val="nil"/>
                    <w:tr2bl w:val="nil"/>
                  </w:tcBorders>
                  <w:vAlign w:val="center"/>
                </w:tcPr>
                <w:p w14:paraId="719D0117">
                  <w:pPr>
                    <w:widowControl/>
                    <w:jc w:val="center"/>
                    <w:rPr>
                      <w:szCs w:val="21"/>
                    </w:rPr>
                  </w:pPr>
                  <w:r>
                    <w:rPr>
                      <w:szCs w:val="21"/>
                    </w:rPr>
                    <w:t>《大气污染物综合排放标准》（GB16297-1996）表2无组织排放监控浓度限值标准</w:t>
                  </w:r>
                </w:p>
              </w:tc>
            </w:tr>
            <w:tr w14:paraId="1BE9CAE9">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68" w:type="dxa"/>
                  <w:bottom w:w="0" w:type="dxa"/>
                  <w:right w:w="68" w:type="dxa"/>
                </w:tblCellMar>
              </w:tblPrEx>
              <w:trPr>
                <w:cantSplit/>
                <w:trHeight w:val="454" w:hRule="atLeast"/>
                <w:jc w:val="center"/>
              </w:trPr>
              <w:tc>
                <w:tcPr>
                  <w:tcW w:w="659" w:type="dxa"/>
                  <w:vMerge w:val="continue"/>
                  <w:tcBorders>
                    <w:tl2br w:val="nil"/>
                    <w:tr2bl w:val="nil"/>
                  </w:tcBorders>
                  <w:vAlign w:val="center"/>
                </w:tcPr>
                <w:p w14:paraId="1901F8DA">
                  <w:pPr>
                    <w:pStyle w:val="85"/>
                    <w:spacing w:line="240" w:lineRule="auto"/>
                  </w:pPr>
                </w:p>
              </w:tc>
              <w:tc>
                <w:tcPr>
                  <w:tcW w:w="1191" w:type="dxa"/>
                  <w:tcBorders>
                    <w:tl2br w:val="nil"/>
                    <w:tr2bl w:val="nil"/>
                  </w:tcBorders>
                  <w:vAlign w:val="center"/>
                </w:tcPr>
                <w:p w14:paraId="324E537B">
                  <w:pPr>
                    <w:widowControl/>
                    <w:jc w:val="center"/>
                    <w:rPr>
                      <w:szCs w:val="21"/>
                    </w:rPr>
                  </w:pPr>
                  <w:r>
                    <w:rPr>
                      <w:szCs w:val="21"/>
                    </w:rPr>
                    <w:t>颗粒物</w:t>
                  </w:r>
                </w:p>
              </w:tc>
              <w:tc>
                <w:tcPr>
                  <w:tcW w:w="1200" w:type="dxa"/>
                  <w:tcBorders>
                    <w:tl2br w:val="nil"/>
                    <w:tr2bl w:val="nil"/>
                  </w:tcBorders>
                  <w:vAlign w:val="center"/>
                </w:tcPr>
                <w:p w14:paraId="7AE32405">
                  <w:pPr>
                    <w:widowControl/>
                    <w:jc w:val="center"/>
                    <w:rPr>
                      <w:szCs w:val="21"/>
                    </w:rPr>
                  </w:pPr>
                  <w:r>
                    <w:rPr>
                      <w:szCs w:val="21"/>
                    </w:rPr>
                    <w:t>热风炉窑旁</w:t>
                  </w:r>
                </w:p>
              </w:tc>
              <w:tc>
                <w:tcPr>
                  <w:tcW w:w="1078" w:type="dxa"/>
                  <w:tcBorders>
                    <w:tl2br w:val="nil"/>
                    <w:tr2bl w:val="nil"/>
                  </w:tcBorders>
                  <w:vAlign w:val="center"/>
                </w:tcPr>
                <w:p w14:paraId="737C8A25">
                  <w:pPr>
                    <w:widowControl/>
                    <w:jc w:val="center"/>
                    <w:rPr>
                      <w:szCs w:val="21"/>
                    </w:rPr>
                  </w:pPr>
                  <w:r>
                    <w:rPr>
                      <w:szCs w:val="21"/>
                    </w:rPr>
                    <w:t>1次/年</w:t>
                  </w:r>
                </w:p>
              </w:tc>
              <w:tc>
                <w:tcPr>
                  <w:tcW w:w="3915" w:type="dxa"/>
                  <w:tcBorders>
                    <w:tl2br w:val="nil"/>
                    <w:tr2bl w:val="nil"/>
                  </w:tcBorders>
                  <w:vAlign w:val="center"/>
                </w:tcPr>
                <w:p w14:paraId="2A011286">
                  <w:pPr>
                    <w:widowControl/>
                    <w:jc w:val="center"/>
                    <w:rPr>
                      <w:szCs w:val="21"/>
                    </w:rPr>
                  </w:pPr>
                  <w:r>
                    <w:rPr>
                      <w:szCs w:val="21"/>
                    </w:rPr>
                    <w:t>《工业炉窑大气污染物排放标准》（GB9078-1996）表3标准</w:t>
                  </w:r>
                </w:p>
              </w:tc>
            </w:tr>
          </w:tbl>
          <w:p w14:paraId="64BE7AFD">
            <w:pPr>
              <w:pStyle w:val="59"/>
              <w:spacing w:line="360" w:lineRule="auto"/>
              <w:ind w:firstLine="480"/>
              <w:rPr>
                <w:szCs w:val="24"/>
              </w:rPr>
            </w:pPr>
            <w:r>
              <w:rPr>
                <w:szCs w:val="24"/>
              </w:rPr>
              <w:t>（二）污染治理措施可行性</w:t>
            </w:r>
            <w:r>
              <w:rPr>
                <w:szCs w:val="24"/>
                <w:lang w:bidi="ar"/>
              </w:rPr>
              <w:t>及环境影响分析</w:t>
            </w:r>
            <w:r>
              <w:rPr>
                <w:szCs w:val="24"/>
              </w:rPr>
              <w:t xml:space="preserve"> </w:t>
            </w:r>
          </w:p>
          <w:p w14:paraId="233D165F">
            <w:pPr>
              <w:spacing w:line="360" w:lineRule="auto"/>
              <w:ind w:firstLine="480" w:firstLineChars="200"/>
              <w:rPr>
                <w:sz w:val="24"/>
              </w:rPr>
            </w:pPr>
            <w:r>
              <w:rPr>
                <w:sz w:val="24"/>
              </w:rPr>
              <w:t>本项目建成后产生的废气主要包括无组织排放废气主要为装卸、输送废气，</w:t>
            </w:r>
            <w:r>
              <w:rPr>
                <w:rFonts w:hint="eastAsia"/>
                <w:sz w:val="24"/>
              </w:rPr>
              <w:t>筛分</w:t>
            </w:r>
            <w:r>
              <w:rPr>
                <w:sz w:val="24"/>
              </w:rPr>
              <w:t>工段废气，烘干工段废气。有组织排放的热风炉废气。</w:t>
            </w:r>
          </w:p>
          <w:p w14:paraId="023FE33D">
            <w:pPr>
              <w:spacing w:line="360" w:lineRule="auto"/>
              <w:ind w:firstLine="480" w:firstLineChars="200"/>
              <w:rPr>
                <w:sz w:val="24"/>
              </w:rPr>
            </w:pPr>
            <w:r>
              <w:rPr>
                <w:rFonts w:hint="eastAsia"/>
                <w:sz w:val="24"/>
              </w:rPr>
              <w:t>本项目</w:t>
            </w:r>
            <w:r>
              <w:rPr>
                <w:sz w:val="24"/>
              </w:rPr>
              <w:t>热风炉除尘系统收尘、热风炉灰渣装袋后统一收集</w:t>
            </w:r>
            <w:r>
              <w:rPr>
                <w:rFonts w:hint="eastAsia"/>
                <w:sz w:val="24"/>
              </w:rPr>
              <w:t>，</w:t>
            </w:r>
            <w:r>
              <w:rPr>
                <w:sz w:val="24"/>
              </w:rPr>
              <w:t>暂存于灰渣仓中，定期外售综合利用，不会产生污染</w:t>
            </w:r>
            <w:r>
              <w:rPr>
                <w:rFonts w:hint="eastAsia"/>
                <w:sz w:val="24"/>
              </w:rPr>
              <w:t>。</w:t>
            </w:r>
          </w:p>
          <w:p w14:paraId="77654BC7">
            <w:pPr>
              <w:spacing w:line="360" w:lineRule="auto"/>
              <w:ind w:firstLine="480" w:firstLineChars="200"/>
              <w:rPr>
                <w:sz w:val="24"/>
              </w:rPr>
            </w:pPr>
            <w:r>
              <w:rPr>
                <w:rFonts w:hint="eastAsia"/>
                <w:sz w:val="24"/>
              </w:rPr>
              <w:t>①无组织废气</w:t>
            </w:r>
          </w:p>
          <w:p w14:paraId="03A52E87">
            <w:pPr>
              <w:pStyle w:val="59"/>
              <w:spacing w:line="360" w:lineRule="auto"/>
              <w:ind w:firstLine="480"/>
            </w:pPr>
            <w:r>
              <w:rPr>
                <w:color w:val="C00000"/>
              </w:rPr>
              <w:t>本项目</w:t>
            </w:r>
            <w:r>
              <w:rPr>
                <w:rFonts w:hint="eastAsia"/>
                <w:color w:val="C00000"/>
                <w:lang w:val="en-US" w:eastAsia="zh-CN"/>
              </w:rPr>
              <w:t>热风炉炉渣暂存</w:t>
            </w:r>
            <w:r>
              <w:rPr>
                <w:color w:val="C00000"/>
              </w:rPr>
              <w:t>在灰渣仓内，袋装封闭存放，及时清运处理，</w:t>
            </w:r>
            <w:r>
              <w:rPr>
                <w:rFonts w:hint="eastAsia"/>
                <w:color w:val="C00000"/>
                <w:lang w:val="en-US" w:eastAsia="zh-CN"/>
              </w:rPr>
              <w:t>灰渣仓为密闭设施，定期洒水降尘，</w:t>
            </w:r>
            <w:r>
              <w:rPr>
                <w:color w:val="C00000"/>
              </w:rPr>
              <w:t>不会产生污染；</w:t>
            </w:r>
            <w:r>
              <w:rPr>
                <w:rFonts w:hint="eastAsia"/>
                <w:color w:val="C00000"/>
                <w:lang w:val="en-US" w:eastAsia="zh-CN"/>
              </w:rPr>
              <w:t>本项目原粮储存不产生粉尘，卸粮</w:t>
            </w:r>
            <w:r>
              <w:rPr>
                <w:color w:val="C00000"/>
                <w:szCs w:val="21"/>
              </w:rPr>
              <w:t>设置临时围挡，减小装卸高度等措施进行降尘</w:t>
            </w:r>
            <w:r>
              <w:rPr>
                <w:rFonts w:hint="eastAsia"/>
                <w:color w:val="C00000"/>
                <w:szCs w:val="21"/>
                <w:lang w:eastAsia="zh-CN"/>
              </w:rPr>
              <w:t>；</w:t>
            </w:r>
            <w:r>
              <w:t>本项目</w:t>
            </w:r>
            <w:r>
              <w:rPr>
                <w:rFonts w:hint="eastAsia"/>
              </w:rPr>
              <w:t>筛分工序</w:t>
            </w:r>
            <w:r>
              <w:t>为密闭设备</w:t>
            </w:r>
            <w:r>
              <w:rPr>
                <w:rFonts w:hint="eastAsia"/>
              </w:rPr>
              <w:t>中进行</w:t>
            </w:r>
            <w:r>
              <w:t>，原粮及烘干后的玉米采用密闭输送设备输送，运行过</w:t>
            </w:r>
            <w:r>
              <w:rPr>
                <w:rFonts w:hint="eastAsia"/>
                <w:lang w:eastAsia="zh-CN"/>
              </w:rPr>
              <w:t>程中</w:t>
            </w:r>
            <w:r>
              <w:t>需加强输送设备的管理，做好设备密封工作，定期检修；废气污染源主要为卸粮工序产生的废气，烘干塔废气和热风炉烟气。</w:t>
            </w:r>
          </w:p>
          <w:p w14:paraId="396DA54E">
            <w:pPr>
              <w:pStyle w:val="59"/>
              <w:spacing w:line="360" w:lineRule="auto"/>
              <w:ind w:firstLine="480"/>
              <w:rPr>
                <w:szCs w:val="24"/>
              </w:rPr>
            </w:pPr>
            <w:r>
              <w:rPr>
                <w:szCs w:val="24"/>
              </w:rPr>
              <w:t>原粮卸粮过程中会产生粉尘，由于卸粮粉尘绝大多数将受到重力的作用回落到地面，采取减小装卸高度、密闭输送等降尘措施；</w:t>
            </w:r>
            <w:r>
              <w:rPr>
                <w:rFonts w:hint="eastAsia"/>
                <w:szCs w:val="24"/>
                <w:lang w:val="en-US" w:eastAsia="zh-CN"/>
              </w:rPr>
              <w:t>筛分</w:t>
            </w:r>
            <w:r>
              <w:rPr>
                <w:szCs w:val="24"/>
              </w:rPr>
              <w:t>采用密闭式</w:t>
            </w:r>
            <w:r>
              <w:rPr>
                <w:rFonts w:hint="eastAsia"/>
                <w:szCs w:val="24"/>
                <w:lang w:val="en-US" w:eastAsia="zh-CN"/>
              </w:rPr>
              <w:t>设施</w:t>
            </w:r>
            <w:r>
              <w:rPr>
                <w:rFonts w:hint="eastAsia"/>
                <w:szCs w:val="24"/>
                <w:lang w:eastAsia="zh-CN"/>
              </w:rPr>
              <w:t>；</w:t>
            </w:r>
            <w:r>
              <w:rPr>
                <w:szCs w:val="24"/>
              </w:rPr>
              <w:t>烘干塔</w:t>
            </w:r>
            <w:r>
              <w:rPr>
                <w:rFonts w:hint="eastAsia"/>
                <w:szCs w:val="24"/>
                <w:lang w:val="en-US" w:eastAsia="zh-CN"/>
              </w:rPr>
              <w:t>塔体外设置铁皮塔衣，塔顶设置抑尘网，</w:t>
            </w:r>
            <w:r>
              <w:rPr>
                <w:szCs w:val="24"/>
              </w:rPr>
              <w:t>能有效控制大粒径粉尘的排放。采取以上措施后可使无组织粉尘排放满足《大气污染物综合排放标准》（GB16297-1996）表2中颗粒物无组织排放监控浓度限值要求</w:t>
            </w:r>
            <w:r>
              <w:rPr>
                <w:lang w:bidi="ar"/>
              </w:rPr>
              <w:t>；炉窑周边无组织颗粒物满足《工业窑炉大气污染物排放标准》（GB9078-1996）表3标准限值。</w:t>
            </w:r>
          </w:p>
          <w:p w14:paraId="406F089F">
            <w:pPr>
              <w:pStyle w:val="59"/>
              <w:spacing w:line="360" w:lineRule="auto"/>
              <w:ind w:firstLine="480"/>
            </w:pPr>
            <w:r>
              <w:rPr>
                <w:szCs w:val="24"/>
              </w:rPr>
              <w:t>根据《排污许可证申请与核发技术规范 工业炉窑》(HJ1121-2020)要求：严格控制工业炉窑生产工艺过程及相关物料储存、输送等无组织排放，在保障生产安全的前提下，采取密闭、封闭等有效措施，有效提高废气收集率，产尘点及车间不得有可见烟粉尘外逸。本工程灰渣密闭存放，</w:t>
            </w:r>
            <w:r>
              <w:t>提升、输送、设备均为密闭设备，</w:t>
            </w:r>
            <w:r>
              <w:rPr>
                <w:szCs w:val="24"/>
              </w:rPr>
              <w:t>采取减小装卸高度、密闭输送等降尘措施，烘干塔</w:t>
            </w:r>
            <w:r>
              <w:rPr>
                <w:rFonts w:hint="eastAsia"/>
                <w:szCs w:val="24"/>
                <w:lang w:val="en-US" w:eastAsia="zh-CN"/>
              </w:rPr>
              <w:t>塔体外设置铁皮塔衣，塔顶设置抑尘网</w:t>
            </w:r>
            <w:r>
              <w:rPr>
                <w:szCs w:val="24"/>
              </w:rPr>
              <w:t>。以上措施符合《排污许可证申请与核发技术规范 工业炉窑》(HJ1121-2020)无组织粉尘处置的可行技术</w:t>
            </w:r>
            <w:r>
              <w:rPr>
                <w:bCs/>
                <w:spacing w:val="-10"/>
                <w:szCs w:val="24"/>
              </w:rPr>
              <w:t>。</w:t>
            </w:r>
          </w:p>
          <w:p w14:paraId="64745925">
            <w:pPr>
              <w:pStyle w:val="30"/>
              <w:ind w:firstLine="480" w:firstLineChars="200"/>
            </w:pPr>
            <w:r>
              <w:rPr>
                <w:rFonts w:hint="eastAsia"/>
                <w:sz w:val="24"/>
              </w:rPr>
              <w:t>②有组织废气</w:t>
            </w:r>
          </w:p>
          <w:p w14:paraId="2C0A01F3">
            <w:pPr>
              <w:spacing w:line="360" w:lineRule="auto"/>
              <w:ind w:firstLine="480" w:firstLineChars="200"/>
              <w:rPr>
                <w:kern w:val="0"/>
                <w:sz w:val="24"/>
                <w:lang w:bidi="ar"/>
              </w:rPr>
            </w:pPr>
            <w:r>
              <w:rPr>
                <w:kern w:val="0"/>
                <w:sz w:val="24"/>
                <w:lang w:bidi="ar"/>
              </w:rPr>
              <w:t>本项目热风炉烟气经过布袋除尘器（除尘效率</w:t>
            </w:r>
            <w:r>
              <w:rPr>
                <w:rFonts w:hint="eastAsia"/>
                <w:kern w:val="0"/>
                <w:sz w:val="24"/>
                <w:lang w:eastAsia="zh-CN" w:bidi="ar"/>
              </w:rPr>
              <w:t>99.6</w:t>
            </w:r>
            <w:r>
              <w:rPr>
                <w:rFonts w:hint="eastAsia"/>
                <w:kern w:val="0"/>
                <w:sz w:val="24"/>
                <w:lang w:bidi="ar"/>
              </w:rPr>
              <w:t>%</w:t>
            </w:r>
            <w:r>
              <w:rPr>
                <w:kern w:val="0"/>
                <w:sz w:val="24"/>
                <w:lang w:bidi="ar"/>
              </w:rPr>
              <w:t>）处理后</w:t>
            </w:r>
            <w:r>
              <w:rPr>
                <w:sz w:val="24"/>
              </w:rPr>
              <w:t>由</w:t>
            </w:r>
            <w:r>
              <w:rPr>
                <w:kern w:val="0"/>
                <w:sz w:val="24"/>
                <w:lang w:bidi="ar"/>
              </w:rPr>
              <w:t>1根</w:t>
            </w:r>
            <w:r>
              <w:rPr>
                <w:rFonts w:hint="eastAsia"/>
                <w:kern w:val="0"/>
                <w:sz w:val="24"/>
                <w:lang w:eastAsia="zh-CN" w:bidi="ar"/>
              </w:rPr>
              <w:t>20m</w:t>
            </w:r>
            <w:r>
              <w:rPr>
                <w:kern w:val="0"/>
                <w:sz w:val="24"/>
                <w:lang w:bidi="ar"/>
              </w:rPr>
              <w:t>高烟囱（</w:t>
            </w:r>
            <w:r>
              <w:rPr>
                <w:rFonts w:hint="eastAsia"/>
                <w:kern w:val="0"/>
                <w:sz w:val="24"/>
                <w:lang w:bidi="ar"/>
              </w:rPr>
              <w:t>DA001</w:t>
            </w:r>
            <w:r>
              <w:rPr>
                <w:kern w:val="0"/>
                <w:sz w:val="24"/>
                <w:lang w:bidi="ar"/>
              </w:rPr>
              <w:t>）排放，经处理后热风炉烟气中烟尘和烟气黑度排放浓度可以满足《工业炉窑大气污染物排放标准》（GB9078-1996）表2中二级标准要求，SO</w:t>
            </w:r>
            <w:r>
              <w:rPr>
                <w:kern w:val="0"/>
                <w:sz w:val="16"/>
                <w:szCs w:val="16"/>
                <w:lang w:bidi="ar"/>
              </w:rPr>
              <w:t>2</w:t>
            </w:r>
            <w:r>
              <w:rPr>
                <w:kern w:val="0"/>
                <w:sz w:val="24"/>
                <w:lang w:bidi="ar"/>
              </w:rPr>
              <w:t>排放浓度可以满足《工业炉窑大气污染物排放标准》（GB9078-1996）表4中二级标准要求。</w:t>
            </w:r>
          </w:p>
          <w:p w14:paraId="5735593B">
            <w:pPr>
              <w:pStyle w:val="59"/>
              <w:spacing w:line="360" w:lineRule="auto"/>
              <w:ind w:firstLine="480"/>
            </w:pPr>
            <w:r>
              <w:t>对照</w:t>
            </w:r>
            <w:r>
              <w:rPr>
                <w:szCs w:val="24"/>
              </w:rPr>
              <w:t>《排污许可证申请与核发技术规范 工业炉窑》（HJ1121</w:t>
            </w:r>
            <w:r>
              <w:rPr>
                <w:rFonts w:hint="eastAsia"/>
                <w:szCs w:val="24"/>
              </w:rPr>
              <w:t>-</w:t>
            </w:r>
            <w:r>
              <w:rPr>
                <w:szCs w:val="24"/>
              </w:rPr>
              <w:t>2020）可知，本项目处理热风炉烟气采用的布袋除尘器为袋式除尘器，为其附录A“表A.1废气可行性技术参考表”中的可行技术，即本项目采用布袋除尘器处理可行</w:t>
            </w:r>
            <w:r>
              <w:t>。</w:t>
            </w:r>
          </w:p>
          <w:p w14:paraId="78599C65">
            <w:pPr>
              <w:pStyle w:val="59"/>
              <w:spacing w:line="360" w:lineRule="auto"/>
              <w:ind w:firstLine="480"/>
              <w:rPr>
                <w:szCs w:val="24"/>
              </w:rPr>
            </w:pPr>
            <w:r>
              <w:rPr>
                <w:szCs w:val="24"/>
              </w:rPr>
              <w:t>综上所述，本项目采取的污染防治措施是可行的，产生的大气污染物经上述污染防治措施处理后均可达标排放，对周围大气环境保护目标产生的影响较小，可以接受。</w:t>
            </w:r>
          </w:p>
          <w:p w14:paraId="43DC7457">
            <w:pPr>
              <w:spacing w:line="360" w:lineRule="auto"/>
              <w:ind w:firstLine="480" w:firstLineChars="200"/>
              <w:rPr>
                <w:color w:val="C00000"/>
              </w:rPr>
            </w:pPr>
            <w:r>
              <w:rPr>
                <w:rFonts w:hint="eastAsia"/>
                <w:color w:val="C00000"/>
                <w:sz w:val="24"/>
              </w:rPr>
              <w:t>（三）</w:t>
            </w:r>
            <w:r>
              <w:rPr>
                <w:color w:val="C00000"/>
                <w:sz w:val="24"/>
              </w:rPr>
              <w:t>烟囱设置合理性分析</w:t>
            </w:r>
          </w:p>
          <w:p w14:paraId="53E052ED">
            <w:pPr>
              <w:pStyle w:val="46"/>
              <w:spacing w:line="360" w:lineRule="auto"/>
              <w:ind w:firstLine="480" w:firstLineChars="200"/>
              <w:jc w:val="both"/>
              <w:rPr>
                <w:rFonts w:ascii="Times New Roman" w:hAnsi="Times New Roman" w:cs="Times New Roman"/>
                <w:bCs/>
                <w:color w:val="C00000"/>
              </w:rPr>
            </w:pPr>
            <w:r>
              <w:rPr>
                <w:rFonts w:ascii="Times New Roman" w:hAnsi="Times New Roman" w:cs="Times New Roman"/>
                <w:bCs/>
                <w:color w:val="C00000"/>
              </w:rPr>
              <w:t>根据《工业炉窑大气污染物排放标准》（GB9078-1996）中4.6烟囱高度要求，“各种工业炉窑烟囱（或排气筒）最低允许高度为</w:t>
            </w:r>
            <w:r>
              <w:rPr>
                <w:rFonts w:hint="eastAsia" w:ascii="Times New Roman" w:hAnsi="Times New Roman" w:cs="Times New Roman"/>
                <w:bCs/>
                <w:color w:val="C00000"/>
                <w:lang w:eastAsia="zh-CN"/>
              </w:rPr>
              <w:t>20m</w:t>
            </w:r>
            <w:r>
              <w:rPr>
                <w:rFonts w:ascii="Times New Roman" w:hAnsi="Times New Roman" w:cs="Times New Roman"/>
                <w:bCs/>
                <w:color w:val="C00000"/>
              </w:rPr>
              <w:t>，当烟囱（或排气筒）周围半径200m距离内有建筑物时，烟囱（或排气筒）还应高出最高建筑物3m以上”</w:t>
            </w:r>
            <w:r>
              <w:rPr>
                <w:rFonts w:hint="eastAsia" w:ascii="Times New Roman" w:hAnsi="Times New Roman" w:cs="Times New Roman"/>
                <w:bCs/>
                <w:color w:val="C00000"/>
              </w:rPr>
              <w:t>。</w:t>
            </w:r>
            <w:r>
              <w:rPr>
                <w:rFonts w:ascii="Times New Roman" w:hAnsi="Times New Roman" w:cs="Times New Roman"/>
                <w:bCs/>
                <w:color w:val="C00000"/>
              </w:rPr>
              <w:t>本项目热风炉烟囱高度</w:t>
            </w:r>
            <w:r>
              <w:rPr>
                <w:rFonts w:hint="eastAsia" w:ascii="Times New Roman" w:hAnsi="Times New Roman" w:cs="Times New Roman"/>
                <w:bCs/>
                <w:color w:val="C00000"/>
                <w:lang w:eastAsia="zh-CN"/>
              </w:rPr>
              <w:t>20m</w:t>
            </w:r>
            <w:r>
              <w:rPr>
                <w:rFonts w:ascii="Times New Roman" w:hAnsi="Times New Roman" w:cs="Times New Roman"/>
                <w:bCs/>
                <w:color w:val="C00000"/>
              </w:rPr>
              <w:t>，周边200m范围内最高建筑物建筑高度</w:t>
            </w:r>
            <w:r>
              <w:rPr>
                <w:rFonts w:hint="eastAsia" w:ascii="Times New Roman" w:hAnsi="Times New Roman" w:cs="Times New Roman"/>
                <w:bCs/>
                <w:color w:val="C00000"/>
                <w:lang w:val="en-US" w:eastAsia="zh-CN"/>
              </w:rPr>
              <w:t>为</w:t>
            </w:r>
            <w:r>
              <w:rPr>
                <w:rFonts w:hint="eastAsia" w:ascii="Times New Roman" w:hAnsi="Times New Roman" w:cs="Times New Roman"/>
                <w:bCs/>
                <w:color w:val="C00000"/>
                <w:highlight w:val="none"/>
                <w:lang w:val="en-US" w:eastAsia="zh-CN"/>
              </w:rPr>
              <w:t>12m</w:t>
            </w:r>
            <w:r>
              <w:rPr>
                <w:rFonts w:ascii="Times New Roman" w:hAnsi="Times New Roman" w:cs="Times New Roman"/>
                <w:bCs/>
                <w:color w:val="C00000"/>
                <w:highlight w:val="none"/>
              </w:rPr>
              <w:t>，</w:t>
            </w:r>
            <w:r>
              <w:rPr>
                <w:rFonts w:ascii="Times New Roman" w:hAnsi="Times New Roman" w:cs="Times New Roman"/>
                <w:bCs/>
                <w:color w:val="C00000"/>
              </w:rPr>
              <w:t>因此本项目热风炉烟囱符合《工业炉窑大气污染物排放标准》（GB9078-1996）对于工业炉窑烟囱高度的要求。</w:t>
            </w:r>
          </w:p>
          <w:p w14:paraId="11B0375F">
            <w:pPr>
              <w:pStyle w:val="59"/>
              <w:spacing w:line="360" w:lineRule="auto"/>
              <w:ind w:firstLine="482"/>
              <w:rPr>
                <w:b/>
                <w:bCs/>
                <w:szCs w:val="24"/>
              </w:rPr>
            </w:pPr>
            <w:r>
              <w:rPr>
                <w:b/>
                <w:bCs/>
                <w:szCs w:val="24"/>
              </w:rPr>
              <w:t>2、废水</w:t>
            </w:r>
          </w:p>
          <w:p w14:paraId="4B8A25CE">
            <w:pPr>
              <w:pStyle w:val="59"/>
              <w:spacing w:line="360" w:lineRule="auto"/>
              <w:ind w:firstLine="480"/>
              <w:rPr>
                <w:szCs w:val="24"/>
                <w:lang w:bidi="ar"/>
              </w:rPr>
            </w:pPr>
            <w:r>
              <w:rPr>
                <w:szCs w:val="24"/>
                <w:lang w:bidi="ar"/>
              </w:rPr>
              <w:t>项目生产不用水，</w:t>
            </w:r>
            <w:r>
              <w:rPr>
                <w:rFonts w:hint="eastAsia"/>
                <w:szCs w:val="24"/>
                <w:lang w:bidi="ar"/>
              </w:rPr>
              <w:t>职工生活污水排入防渗旱厕，定期清掏，外运堆肥</w:t>
            </w:r>
            <w:r>
              <w:rPr>
                <w:szCs w:val="24"/>
              </w:rPr>
              <w:t>。</w:t>
            </w:r>
          </w:p>
          <w:p w14:paraId="111A25CF">
            <w:pPr>
              <w:pStyle w:val="59"/>
              <w:spacing w:line="360" w:lineRule="auto"/>
              <w:ind w:firstLine="482"/>
              <w:rPr>
                <w:b/>
                <w:bCs/>
                <w:szCs w:val="24"/>
              </w:rPr>
            </w:pPr>
            <w:r>
              <w:rPr>
                <w:b/>
                <w:bCs/>
                <w:szCs w:val="24"/>
              </w:rPr>
              <w:t>3、噪声</w:t>
            </w:r>
          </w:p>
          <w:p w14:paraId="2160F3D1">
            <w:pPr>
              <w:pStyle w:val="59"/>
              <w:spacing w:line="360" w:lineRule="auto"/>
              <w:ind w:firstLine="480"/>
              <w:rPr>
                <w:szCs w:val="24"/>
              </w:rPr>
            </w:pPr>
            <w:r>
              <w:rPr>
                <w:szCs w:val="24"/>
              </w:rPr>
              <w:t>（一）源强核算</w:t>
            </w:r>
          </w:p>
          <w:p w14:paraId="3360B9C6">
            <w:pPr>
              <w:autoSpaceDE w:val="0"/>
              <w:autoSpaceDN w:val="0"/>
              <w:adjustRightInd w:val="0"/>
              <w:snapToGrid w:val="0"/>
              <w:spacing w:line="360" w:lineRule="auto"/>
              <w:ind w:firstLine="480" w:firstLineChars="200"/>
              <w:rPr>
                <w:sz w:val="24"/>
                <w:lang w:bidi="ar"/>
              </w:rPr>
            </w:pPr>
            <w:r>
              <w:rPr>
                <w:sz w:val="24"/>
              </w:rPr>
              <w:t>本项目噪声源主要为</w:t>
            </w:r>
            <w:r>
              <w:rPr>
                <w:rFonts w:hint="eastAsia"/>
                <w:sz w:val="24"/>
              </w:rPr>
              <w:t>烘干塔、风机</w:t>
            </w:r>
            <w:r>
              <w:rPr>
                <w:sz w:val="24"/>
              </w:rPr>
              <w:t>等设备，参照《污染源源强核算技术指南 锅炉》（HJ991-2018）中附录E锅炉相关设备噪声源强参考值、根据设备类型经查找资料及类比</w:t>
            </w:r>
            <w:r>
              <w:rPr>
                <w:rFonts w:hint="eastAsia"/>
                <w:sz w:val="24"/>
              </w:rPr>
              <w:t>其他</w:t>
            </w:r>
            <w:r>
              <w:rPr>
                <w:sz w:val="24"/>
              </w:rPr>
              <w:t>工程设备情况可知，噪声值在70～85dB(A)之间，</w:t>
            </w:r>
            <w:r>
              <w:rPr>
                <w:sz w:val="24"/>
                <w:lang w:bidi="ar"/>
              </w:rPr>
              <w:t>噪声</w:t>
            </w:r>
            <w:r>
              <w:rPr>
                <w:sz w:val="24"/>
              </w:rPr>
              <w:t>源强见下表</w:t>
            </w:r>
            <w:r>
              <w:rPr>
                <w:sz w:val="24"/>
                <w:lang w:bidi="ar"/>
              </w:rPr>
              <w:t>。</w:t>
            </w:r>
          </w:p>
          <w:p w14:paraId="3347F7D2">
            <w:pPr>
              <w:pStyle w:val="59"/>
              <w:adjustRightInd w:val="0"/>
              <w:snapToGrid w:val="0"/>
              <w:spacing w:line="240" w:lineRule="auto"/>
              <w:ind w:firstLine="0" w:firstLineChars="0"/>
              <w:jc w:val="center"/>
              <w:rPr>
                <w:b/>
                <w:kern w:val="2"/>
                <w:sz w:val="21"/>
                <w:szCs w:val="21"/>
              </w:rPr>
            </w:pPr>
            <w:r>
              <w:rPr>
                <w:b/>
                <w:kern w:val="2"/>
                <w:sz w:val="21"/>
                <w:szCs w:val="21"/>
              </w:rPr>
              <w:t>表4-</w:t>
            </w:r>
            <w:r>
              <w:rPr>
                <w:rFonts w:hint="eastAsia"/>
                <w:b/>
                <w:kern w:val="2"/>
                <w:sz w:val="21"/>
                <w:szCs w:val="21"/>
              </w:rPr>
              <w:t>5</w:t>
            </w:r>
            <w:r>
              <w:rPr>
                <w:b/>
                <w:kern w:val="2"/>
                <w:sz w:val="21"/>
                <w:szCs w:val="21"/>
              </w:rPr>
              <w:t xml:space="preserve"> 工业企业噪声源强调查清单（室外声源）单位：dB（A）</w:t>
            </w:r>
          </w:p>
          <w:tbl>
            <w:tblPr>
              <w:tblStyle w:val="32"/>
              <w:tblW w:w="78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037"/>
              <w:gridCol w:w="1073"/>
              <w:gridCol w:w="737"/>
              <w:gridCol w:w="525"/>
              <w:gridCol w:w="576"/>
              <w:gridCol w:w="464"/>
              <w:gridCol w:w="1190"/>
              <w:gridCol w:w="806"/>
              <w:gridCol w:w="703"/>
            </w:tblGrid>
            <w:tr w14:paraId="700456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739" w:type="dxa"/>
                  <w:vMerge w:val="restart"/>
                  <w:tcBorders>
                    <w:tl2br w:val="nil"/>
                    <w:tr2bl w:val="nil"/>
                  </w:tcBorders>
                  <w:vAlign w:val="center"/>
                </w:tcPr>
                <w:p w14:paraId="3175129B">
                  <w:pPr>
                    <w:jc w:val="center"/>
                    <w:rPr>
                      <w:sz w:val="18"/>
                      <w:szCs w:val="18"/>
                    </w:rPr>
                  </w:pPr>
                  <w:r>
                    <w:rPr>
                      <w:sz w:val="18"/>
                      <w:szCs w:val="18"/>
                    </w:rPr>
                    <w:t>序号</w:t>
                  </w:r>
                </w:p>
              </w:tc>
              <w:tc>
                <w:tcPr>
                  <w:tcW w:w="1037" w:type="dxa"/>
                  <w:vMerge w:val="restart"/>
                  <w:tcBorders>
                    <w:tl2br w:val="nil"/>
                    <w:tr2bl w:val="nil"/>
                  </w:tcBorders>
                  <w:vAlign w:val="center"/>
                </w:tcPr>
                <w:p w14:paraId="3A79EF85">
                  <w:pPr>
                    <w:jc w:val="center"/>
                    <w:rPr>
                      <w:sz w:val="18"/>
                      <w:szCs w:val="18"/>
                    </w:rPr>
                  </w:pPr>
                  <w:r>
                    <w:rPr>
                      <w:sz w:val="18"/>
                      <w:szCs w:val="18"/>
                    </w:rPr>
                    <w:t>建筑物名称</w:t>
                  </w:r>
                </w:p>
              </w:tc>
              <w:tc>
                <w:tcPr>
                  <w:tcW w:w="1073" w:type="dxa"/>
                  <w:vMerge w:val="restart"/>
                  <w:tcBorders>
                    <w:tl2br w:val="nil"/>
                    <w:tr2bl w:val="nil"/>
                  </w:tcBorders>
                  <w:vAlign w:val="center"/>
                </w:tcPr>
                <w:p w14:paraId="4E669040">
                  <w:pPr>
                    <w:jc w:val="center"/>
                    <w:rPr>
                      <w:sz w:val="18"/>
                      <w:szCs w:val="18"/>
                    </w:rPr>
                  </w:pPr>
                  <w:r>
                    <w:rPr>
                      <w:sz w:val="18"/>
                      <w:szCs w:val="18"/>
                    </w:rPr>
                    <w:t>声源名称</w:t>
                  </w:r>
                </w:p>
              </w:tc>
              <w:tc>
                <w:tcPr>
                  <w:tcW w:w="737" w:type="dxa"/>
                  <w:vMerge w:val="restart"/>
                  <w:tcBorders>
                    <w:tl2br w:val="nil"/>
                    <w:tr2bl w:val="nil"/>
                  </w:tcBorders>
                  <w:vAlign w:val="center"/>
                </w:tcPr>
                <w:p w14:paraId="78231923">
                  <w:pPr>
                    <w:jc w:val="center"/>
                    <w:rPr>
                      <w:sz w:val="18"/>
                      <w:szCs w:val="18"/>
                    </w:rPr>
                  </w:pPr>
                  <w:r>
                    <w:rPr>
                      <w:sz w:val="18"/>
                      <w:szCs w:val="18"/>
                    </w:rPr>
                    <w:t>型号</w:t>
                  </w:r>
                </w:p>
              </w:tc>
              <w:tc>
                <w:tcPr>
                  <w:tcW w:w="1565" w:type="dxa"/>
                  <w:gridSpan w:val="3"/>
                  <w:tcBorders>
                    <w:tl2br w:val="nil"/>
                    <w:tr2bl w:val="nil"/>
                  </w:tcBorders>
                  <w:vAlign w:val="center"/>
                </w:tcPr>
                <w:p w14:paraId="3D4526B7">
                  <w:pPr>
                    <w:jc w:val="center"/>
                    <w:rPr>
                      <w:sz w:val="18"/>
                      <w:szCs w:val="18"/>
                    </w:rPr>
                  </w:pPr>
                  <w:r>
                    <w:rPr>
                      <w:sz w:val="18"/>
                      <w:szCs w:val="18"/>
                    </w:rPr>
                    <w:t>空间相对位置/m</w:t>
                  </w:r>
                </w:p>
              </w:tc>
              <w:tc>
                <w:tcPr>
                  <w:tcW w:w="1190" w:type="dxa"/>
                  <w:vMerge w:val="restart"/>
                  <w:tcBorders>
                    <w:tl2br w:val="nil"/>
                    <w:tr2bl w:val="nil"/>
                  </w:tcBorders>
                  <w:vAlign w:val="center"/>
                </w:tcPr>
                <w:p w14:paraId="1EA115BA">
                  <w:pPr>
                    <w:jc w:val="center"/>
                    <w:rPr>
                      <w:sz w:val="18"/>
                      <w:szCs w:val="18"/>
                    </w:rPr>
                  </w:pPr>
                  <w:r>
                    <w:rPr>
                      <w:sz w:val="18"/>
                      <w:szCs w:val="18"/>
                    </w:rPr>
                    <w:t>声源源强（声压级/dB（A））</w:t>
                  </w:r>
                </w:p>
              </w:tc>
              <w:tc>
                <w:tcPr>
                  <w:tcW w:w="806" w:type="dxa"/>
                  <w:vMerge w:val="restart"/>
                  <w:tcBorders>
                    <w:tl2br w:val="nil"/>
                    <w:tr2bl w:val="nil"/>
                  </w:tcBorders>
                  <w:vAlign w:val="center"/>
                </w:tcPr>
                <w:p w14:paraId="67ECBCFF">
                  <w:pPr>
                    <w:jc w:val="center"/>
                    <w:rPr>
                      <w:sz w:val="18"/>
                      <w:szCs w:val="18"/>
                    </w:rPr>
                  </w:pPr>
                  <w:r>
                    <w:rPr>
                      <w:sz w:val="18"/>
                      <w:szCs w:val="18"/>
                    </w:rPr>
                    <w:t>声源控制措施</w:t>
                  </w:r>
                </w:p>
              </w:tc>
              <w:tc>
                <w:tcPr>
                  <w:tcW w:w="703" w:type="dxa"/>
                  <w:vMerge w:val="restart"/>
                  <w:tcBorders>
                    <w:tl2br w:val="nil"/>
                    <w:tr2bl w:val="nil"/>
                  </w:tcBorders>
                  <w:vAlign w:val="center"/>
                </w:tcPr>
                <w:p w14:paraId="77DDE470">
                  <w:pPr>
                    <w:jc w:val="center"/>
                    <w:rPr>
                      <w:sz w:val="18"/>
                      <w:szCs w:val="18"/>
                    </w:rPr>
                  </w:pPr>
                  <w:r>
                    <w:rPr>
                      <w:sz w:val="18"/>
                      <w:szCs w:val="18"/>
                    </w:rPr>
                    <w:t>运行时段</w:t>
                  </w:r>
                </w:p>
              </w:tc>
            </w:tr>
            <w:tr w14:paraId="6C544C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39" w:type="dxa"/>
                  <w:vMerge w:val="continue"/>
                  <w:tcBorders>
                    <w:tl2br w:val="nil"/>
                    <w:tr2bl w:val="nil"/>
                  </w:tcBorders>
                  <w:vAlign w:val="center"/>
                </w:tcPr>
                <w:p w14:paraId="68613E49">
                  <w:pPr>
                    <w:jc w:val="center"/>
                    <w:rPr>
                      <w:sz w:val="18"/>
                      <w:szCs w:val="18"/>
                    </w:rPr>
                  </w:pPr>
                </w:p>
              </w:tc>
              <w:tc>
                <w:tcPr>
                  <w:tcW w:w="1037" w:type="dxa"/>
                  <w:vMerge w:val="continue"/>
                  <w:tcBorders>
                    <w:tl2br w:val="nil"/>
                    <w:tr2bl w:val="nil"/>
                  </w:tcBorders>
                  <w:vAlign w:val="center"/>
                </w:tcPr>
                <w:p w14:paraId="17D16A71">
                  <w:pPr>
                    <w:jc w:val="center"/>
                    <w:rPr>
                      <w:sz w:val="18"/>
                      <w:szCs w:val="18"/>
                    </w:rPr>
                  </w:pPr>
                </w:p>
              </w:tc>
              <w:tc>
                <w:tcPr>
                  <w:tcW w:w="1073" w:type="dxa"/>
                  <w:vMerge w:val="continue"/>
                  <w:tcBorders>
                    <w:tl2br w:val="nil"/>
                    <w:tr2bl w:val="nil"/>
                  </w:tcBorders>
                  <w:vAlign w:val="center"/>
                </w:tcPr>
                <w:p w14:paraId="594B407F">
                  <w:pPr>
                    <w:jc w:val="center"/>
                    <w:rPr>
                      <w:sz w:val="18"/>
                      <w:szCs w:val="18"/>
                    </w:rPr>
                  </w:pPr>
                </w:p>
              </w:tc>
              <w:tc>
                <w:tcPr>
                  <w:tcW w:w="737" w:type="dxa"/>
                  <w:vMerge w:val="continue"/>
                  <w:tcBorders>
                    <w:tl2br w:val="nil"/>
                    <w:tr2bl w:val="nil"/>
                  </w:tcBorders>
                  <w:vAlign w:val="center"/>
                </w:tcPr>
                <w:p w14:paraId="344EC02D">
                  <w:pPr>
                    <w:jc w:val="center"/>
                    <w:rPr>
                      <w:sz w:val="18"/>
                      <w:szCs w:val="18"/>
                    </w:rPr>
                  </w:pPr>
                </w:p>
              </w:tc>
              <w:tc>
                <w:tcPr>
                  <w:tcW w:w="525" w:type="dxa"/>
                  <w:tcBorders>
                    <w:tl2br w:val="nil"/>
                    <w:tr2bl w:val="nil"/>
                  </w:tcBorders>
                  <w:vAlign w:val="center"/>
                </w:tcPr>
                <w:p w14:paraId="540D49CB">
                  <w:pPr>
                    <w:jc w:val="center"/>
                    <w:rPr>
                      <w:sz w:val="18"/>
                      <w:szCs w:val="18"/>
                    </w:rPr>
                  </w:pPr>
                  <w:r>
                    <w:rPr>
                      <w:sz w:val="18"/>
                      <w:szCs w:val="18"/>
                    </w:rPr>
                    <w:t>X</w:t>
                  </w:r>
                </w:p>
              </w:tc>
              <w:tc>
                <w:tcPr>
                  <w:tcW w:w="576" w:type="dxa"/>
                  <w:tcBorders>
                    <w:tl2br w:val="nil"/>
                    <w:tr2bl w:val="nil"/>
                  </w:tcBorders>
                  <w:vAlign w:val="center"/>
                </w:tcPr>
                <w:p w14:paraId="13E30F13">
                  <w:pPr>
                    <w:jc w:val="center"/>
                    <w:rPr>
                      <w:sz w:val="18"/>
                      <w:szCs w:val="18"/>
                    </w:rPr>
                  </w:pPr>
                  <w:r>
                    <w:rPr>
                      <w:sz w:val="18"/>
                      <w:szCs w:val="18"/>
                    </w:rPr>
                    <w:t>Y</w:t>
                  </w:r>
                </w:p>
              </w:tc>
              <w:tc>
                <w:tcPr>
                  <w:tcW w:w="464" w:type="dxa"/>
                  <w:tcBorders>
                    <w:tl2br w:val="nil"/>
                    <w:tr2bl w:val="nil"/>
                  </w:tcBorders>
                  <w:vAlign w:val="center"/>
                </w:tcPr>
                <w:p w14:paraId="03ED6600">
                  <w:pPr>
                    <w:jc w:val="center"/>
                    <w:rPr>
                      <w:sz w:val="18"/>
                      <w:szCs w:val="18"/>
                    </w:rPr>
                  </w:pPr>
                  <w:r>
                    <w:rPr>
                      <w:sz w:val="18"/>
                      <w:szCs w:val="18"/>
                    </w:rPr>
                    <w:t>Z</w:t>
                  </w:r>
                </w:p>
              </w:tc>
              <w:tc>
                <w:tcPr>
                  <w:tcW w:w="1190" w:type="dxa"/>
                  <w:vMerge w:val="continue"/>
                  <w:tcBorders>
                    <w:tl2br w:val="nil"/>
                    <w:tr2bl w:val="nil"/>
                  </w:tcBorders>
                  <w:vAlign w:val="center"/>
                </w:tcPr>
                <w:p w14:paraId="35D1E799">
                  <w:pPr>
                    <w:jc w:val="center"/>
                    <w:rPr>
                      <w:sz w:val="18"/>
                      <w:szCs w:val="18"/>
                    </w:rPr>
                  </w:pPr>
                </w:p>
              </w:tc>
              <w:tc>
                <w:tcPr>
                  <w:tcW w:w="806" w:type="dxa"/>
                  <w:vMerge w:val="continue"/>
                  <w:tcBorders>
                    <w:tl2br w:val="nil"/>
                    <w:tr2bl w:val="nil"/>
                  </w:tcBorders>
                  <w:vAlign w:val="center"/>
                </w:tcPr>
                <w:p w14:paraId="20A9C8D8">
                  <w:pPr>
                    <w:jc w:val="center"/>
                    <w:rPr>
                      <w:sz w:val="18"/>
                      <w:szCs w:val="18"/>
                    </w:rPr>
                  </w:pPr>
                </w:p>
              </w:tc>
              <w:tc>
                <w:tcPr>
                  <w:tcW w:w="703" w:type="dxa"/>
                  <w:vMerge w:val="continue"/>
                  <w:tcBorders>
                    <w:tl2br w:val="nil"/>
                    <w:tr2bl w:val="nil"/>
                  </w:tcBorders>
                  <w:vAlign w:val="center"/>
                </w:tcPr>
                <w:p w14:paraId="79E84F0B">
                  <w:pPr>
                    <w:jc w:val="center"/>
                    <w:rPr>
                      <w:sz w:val="18"/>
                      <w:szCs w:val="18"/>
                    </w:rPr>
                  </w:pPr>
                </w:p>
              </w:tc>
            </w:tr>
            <w:tr w14:paraId="43637C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9" w:type="dxa"/>
                  <w:tcBorders>
                    <w:tl2br w:val="nil"/>
                    <w:tr2bl w:val="nil"/>
                  </w:tcBorders>
                  <w:vAlign w:val="center"/>
                </w:tcPr>
                <w:p w14:paraId="002DC6DA">
                  <w:pPr>
                    <w:jc w:val="center"/>
                    <w:rPr>
                      <w:sz w:val="18"/>
                      <w:szCs w:val="18"/>
                    </w:rPr>
                  </w:pPr>
                  <w:r>
                    <w:rPr>
                      <w:rFonts w:hint="eastAsia"/>
                      <w:sz w:val="18"/>
                      <w:szCs w:val="18"/>
                    </w:rPr>
                    <w:t>1</w:t>
                  </w:r>
                </w:p>
              </w:tc>
              <w:tc>
                <w:tcPr>
                  <w:tcW w:w="1037" w:type="dxa"/>
                  <w:tcBorders>
                    <w:tl2br w:val="nil"/>
                    <w:tr2bl w:val="nil"/>
                  </w:tcBorders>
                  <w:vAlign w:val="center"/>
                </w:tcPr>
                <w:p w14:paraId="2703B99C">
                  <w:pPr>
                    <w:jc w:val="center"/>
                    <w:rPr>
                      <w:sz w:val="18"/>
                      <w:szCs w:val="18"/>
                    </w:rPr>
                  </w:pPr>
                  <w:r>
                    <w:rPr>
                      <w:sz w:val="18"/>
                      <w:szCs w:val="18"/>
                    </w:rPr>
                    <w:t>烘干塔</w:t>
                  </w:r>
                </w:p>
              </w:tc>
              <w:tc>
                <w:tcPr>
                  <w:tcW w:w="1073" w:type="dxa"/>
                  <w:tcBorders>
                    <w:tl2br w:val="nil"/>
                    <w:tr2bl w:val="nil"/>
                  </w:tcBorders>
                  <w:vAlign w:val="center"/>
                </w:tcPr>
                <w:p w14:paraId="48D52841">
                  <w:pPr>
                    <w:jc w:val="center"/>
                    <w:rPr>
                      <w:sz w:val="18"/>
                      <w:szCs w:val="18"/>
                    </w:rPr>
                  </w:pPr>
                  <w:r>
                    <w:rPr>
                      <w:sz w:val="18"/>
                      <w:szCs w:val="18"/>
                    </w:rPr>
                    <w:t>烘干塔</w:t>
                  </w:r>
                </w:p>
              </w:tc>
              <w:tc>
                <w:tcPr>
                  <w:tcW w:w="737" w:type="dxa"/>
                  <w:tcBorders>
                    <w:tl2br w:val="nil"/>
                    <w:tr2bl w:val="nil"/>
                  </w:tcBorders>
                  <w:vAlign w:val="center"/>
                </w:tcPr>
                <w:p w14:paraId="2DBAAA94">
                  <w:pPr>
                    <w:jc w:val="center"/>
                    <w:rPr>
                      <w:sz w:val="18"/>
                      <w:szCs w:val="18"/>
                    </w:rPr>
                  </w:pPr>
                  <w:r>
                    <w:rPr>
                      <w:sz w:val="18"/>
                      <w:szCs w:val="18"/>
                    </w:rPr>
                    <w:t>/</w:t>
                  </w:r>
                </w:p>
              </w:tc>
              <w:tc>
                <w:tcPr>
                  <w:tcW w:w="525" w:type="dxa"/>
                  <w:tcBorders>
                    <w:tl2br w:val="nil"/>
                    <w:tr2bl w:val="nil"/>
                  </w:tcBorders>
                  <w:vAlign w:val="center"/>
                </w:tcPr>
                <w:p w14:paraId="72D788C3">
                  <w:pPr>
                    <w:jc w:val="center"/>
                    <w:rPr>
                      <w:sz w:val="18"/>
                      <w:szCs w:val="18"/>
                    </w:rPr>
                  </w:pPr>
                  <w:r>
                    <w:rPr>
                      <w:rFonts w:hint="eastAsia"/>
                      <w:sz w:val="18"/>
                      <w:szCs w:val="18"/>
                    </w:rPr>
                    <w:t>54</w:t>
                  </w:r>
                </w:p>
              </w:tc>
              <w:tc>
                <w:tcPr>
                  <w:tcW w:w="576" w:type="dxa"/>
                  <w:tcBorders>
                    <w:tl2br w:val="nil"/>
                    <w:tr2bl w:val="nil"/>
                  </w:tcBorders>
                  <w:vAlign w:val="center"/>
                </w:tcPr>
                <w:p w14:paraId="1904DE70">
                  <w:pPr>
                    <w:jc w:val="center"/>
                    <w:rPr>
                      <w:sz w:val="18"/>
                      <w:szCs w:val="18"/>
                    </w:rPr>
                  </w:pPr>
                  <w:r>
                    <w:rPr>
                      <w:rFonts w:hint="eastAsia"/>
                      <w:sz w:val="18"/>
                      <w:szCs w:val="18"/>
                    </w:rPr>
                    <w:t>49</w:t>
                  </w:r>
                </w:p>
              </w:tc>
              <w:tc>
                <w:tcPr>
                  <w:tcW w:w="464" w:type="dxa"/>
                  <w:tcBorders>
                    <w:tl2br w:val="nil"/>
                    <w:tr2bl w:val="nil"/>
                  </w:tcBorders>
                  <w:vAlign w:val="center"/>
                </w:tcPr>
                <w:p w14:paraId="74E40856">
                  <w:pPr>
                    <w:jc w:val="center"/>
                    <w:rPr>
                      <w:sz w:val="18"/>
                      <w:szCs w:val="18"/>
                    </w:rPr>
                  </w:pPr>
                  <w:r>
                    <w:rPr>
                      <w:rFonts w:hint="eastAsia"/>
                      <w:sz w:val="18"/>
                      <w:szCs w:val="18"/>
                    </w:rPr>
                    <w:t>1</w:t>
                  </w:r>
                </w:p>
              </w:tc>
              <w:tc>
                <w:tcPr>
                  <w:tcW w:w="1190" w:type="dxa"/>
                  <w:tcBorders>
                    <w:tl2br w:val="nil"/>
                    <w:tr2bl w:val="nil"/>
                  </w:tcBorders>
                  <w:vAlign w:val="center"/>
                </w:tcPr>
                <w:p w14:paraId="30F956DC">
                  <w:pPr>
                    <w:jc w:val="center"/>
                    <w:rPr>
                      <w:sz w:val="18"/>
                      <w:szCs w:val="18"/>
                    </w:rPr>
                  </w:pPr>
                  <w:r>
                    <w:rPr>
                      <w:rFonts w:hint="eastAsia"/>
                      <w:sz w:val="18"/>
                      <w:szCs w:val="18"/>
                    </w:rPr>
                    <w:t>80</w:t>
                  </w:r>
                </w:p>
              </w:tc>
              <w:tc>
                <w:tcPr>
                  <w:tcW w:w="806" w:type="dxa"/>
                  <w:vMerge w:val="restart"/>
                  <w:tcBorders>
                    <w:tl2br w:val="nil"/>
                    <w:tr2bl w:val="nil"/>
                  </w:tcBorders>
                  <w:vAlign w:val="center"/>
                </w:tcPr>
                <w:p w14:paraId="678B6FC7">
                  <w:pPr>
                    <w:jc w:val="center"/>
                    <w:rPr>
                      <w:sz w:val="18"/>
                      <w:szCs w:val="18"/>
                    </w:rPr>
                  </w:pPr>
                  <w:r>
                    <w:rPr>
                      <w:sz w:val="18"/>
                      <w:szCs w:val="18"/>
                    </w:rPr>
                    <w:t>采取低噪声设备，建筑物隔声、基础减振</w:t>
                  </w:r>
                </w:p>
              </w:tc>
              <w:tc>
                <w:tcPr>
                  <w:tcW w:w="703" w:type="dxa"/>
                  <w:vMerge w:val="restart"/>
                  <w:tcBorders>
                    <w:tl2br w:val="nil"/>
                    <w:tr2bl w:val="nil"/>
                  </w:tcBorders>
                  <w:vAlign w:val="center"/>
                </w:tcPr>
                <w:p w14:paraId="37069F2E">
                  <w:pPr>
                    <w:jc w:val="center"/>
                    <w:rPr>
                      <w:sz w:val="18"/>
                      <w:szCs w:val="18"/>
                    </w:rPr>
                  </w:pPr>
                  <w:r>
                    <w:rPr>
                      <w:rFonts w:hint="eastAsia"/>
                      <w:sz w:val="18"/>
                      <w:szCs w:val="18"/>
                    </w:rPr>
                    <w:t>昼间</w:t>
                  </w:r>
                </w:p>
                <w:p w14:paraId="5748C06E">
                  <w:pPr>
                    <w:jc w:val="center"/>
                    <w:rPr>
                      <w:sz w:val="18"/>
                      <w:szCs w:val="18"/>
                    </w:rPr>
                  </w:pPr>
                  <w:r>
                    <w:rPr>
                      <w:rFonts w:hint="eastAsia"/>
                      <w:sz w:val="18"/>
                      <w:szCs w:val="18"/>
                    </w:rPr>
                    <w:t>、夜间</w:t>
                  </w:r>
                </w:p>
              </w:tc>
            </w:tr>
            <w:tr w14:paraId="5DDDC9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9" w:type="dxa"/>
                  <w:tcBorders>
                    <w:tl2br w:val="nil"/>
                    <w:tr2bl w:val="nil"/>
                  </w:tcBorders>
                  <w:vAlign w:val="center"/>
                </w:tcPr>
                <w:p w14:paraId="2F66F2EC">
                  <w:pPr>
                    <w:jc w:val="center"/>
                    <w:rPr>
                      <w:rFonts w:hint="eastAsia" w:eastAsia="宋体"/>
                      <w:color w:val="C00000"/>
                      <w:sz w:val="18"/>
                      <w:szCs w:val="18"/>
                      <w:lang w:val="en-US" w:eastAsia="zh-CN"/>
                    </w:rPr>
                  </w:pPr>
                  <w:r>
                    <w:rPr>
                      <w:rFonts w:hint="eastAsia"/>
                      <w:color w:val="C00000"/>
                      <w:sz w:val="18"/>
                      <w:szCs w:val="18"/>
                      <w:lang w:val="en-US" w:eastAsia="zh-CN"/>
                    </w:rPr>
                    <w:t>2</w:t>
                  </w:r>
                </w:p>
              </w:tc>
              <w:tc>
                <w:tcPr>
                  <w:tcW w:w="1037" w:type="dxa"/>
                  <w:tcBorders>
                    <w:tl2br w:val="nil"/>
                    <w:tr2bl w:val="nil"/>
                  </w:tcBorders>
                  <w:vAlign w:val="center"/>
                </w:tcPr>
                <w:p w14:paraId="45D085A4">
                  <w:pPr>
                    <w:jc w:val="center"/>
                    <w:rPr>
                      <w:rFonts w:hint="default" w:eastAsia="宋体"/>
                      <w:color w:val="C00000"/>
                      <w:sz w:val="18"/>
                      <w:szCs w:val="18"/>
                      <w:lang w:val="en-US" w:eastAsia="zh-CN"/>
                    </w:rPr>
                  </w:pPr>
                  <w:r>
                    <w:rPr>
                      <w:rFonts w:hint="eastAsia"/>
                      <w:color w:val="C00000"/>
                      <w:sz w:val="18"/>
                      <w:szCs w:val="18"/>
                      <w:lang w:val="en-US" w:eastAsia="zh-CN"/>
                    </w:rPr>
                    <w:t>输送机</w:t>
                  </w:r>
                </w:p>
              </w:tc>
              <w:tc>
                <w:tcPr>
                  <w:tcW w:w="1073" w:type="dxa"/>
                  <w:tcBorders>
                    <w:tl2br w:val="nil"/>
                    <w:tr2bl w:val="nil"/>
                  </w:tcBorders>
                  <w:vAlign w:val="center"/>
                </w:tcPr>
                <w:p w14:paraId="60A90271">
                  <w:pPr>
                    <w:jc w:val="center"/>
                    <w:rPr>
                      <w:rFonts w:hint="eastAsia" w:eastAsia="宋体"/>
                      <w:color w:val="C00000"/>
                      <w:sz w:val="18"/>
                      <w:szCs w:val="18"/>
                      <w:lang w:val="en-US" w:eastAsia="zh-CN"/>
                    </w:rPr>
                  </w:pPr>
                  <w:r>
                    <w:rPr>
                      <w:rFonts w:hint="eastAsia"/>
                      <w:color w:val="C00000"/>
                      <w:sz w:val="18"/>
                      <w:szCs w:val="18"/>
                      <w:lang w:val="en-US" w:eastAsia="zh-CN"/>
                    </w:rPr>
                    <w:t>输送机</w:t>
                  </w:r>
                </w:p>
              </w:tc>
              <w:tc>
                <w:tcPr>
                  <w:tcW w:w="737" w:type="dxa"/>
                  <w:tcBorders>
                    <w:tl2br w:val="nil"/>
                    <w:tr2bl w:val="nil"/>
                  </w:tcBorders>
                  <w:vAlign w:val="center"/>
                </w:tcPr>
                <w:p w14:paraId="132ADA9D">
                  <w:pPr>
                    <w:jc w:val="center"/>
                    <w:rPr>
                      <w:rFonts w:hint="eastAsia" w:eastAsia="宋体"/>
                      <w:color w:val="C00000"/>
                      <w:sz w:val="18"/>
                      <w:szCs w:val="18"/>
                      <w:lang w:val="en-US" w:eastAsia="zh-CN"/>
                    </w:rPr>
                  </w:pPr>
                  <w:r>
                    <w:rPr>
                      <w:rFonts w:hint="eastAsia"/>
                      <w:color w:val="C00000"/>
                      <w:sz w:val="18"/>
                      <w:szCs w:val="18"/>
                      <w:lang w:val="en-US" w:eastAsia="zh-CN"/>
                    </w:rPr>
                    <w:t>/</w:t>
                  </w:r>
                </w:p>
              </w:tc>
              <w:tc>
                <w:tcPr>
                  <w:tcW w:w="525" w:type="dxa"/>
                  <w:tcBorders>
                    <w:tl2br w:val="nil"/>
                    <w:tr2bl w:val="nil"/>
                  </w:tcBorders>
                  <w:vAlign w:val="center"/>
                </w:tcPr>
                <w:p w14:paraId="1E5B9782">
                  <w:pPr>
                    <w:jc w:val="center"/>
                    <w:rPr>
                      <w:rFonts w:hint="default" w:eastAsia="宋体"/>
                      <w:color w:val="C00000"/>
                      <w:sz w:val="18"/>
                      <w:szCs w:val="18"/>
                      <w:lang w:val="en-US" w:eastAsia="zh-CN"/>
                    </w:rPr>
                  </w:pPr>
                  <w:r>
                    <w:rPr>
                      <w:rFonts w:hint="eastAsia"/>
                      <w:color w:val="C00000"/>
                      <w:sz w:val="18"/>
                      <w:szCs w:val="18"/>
                      <w:lang w:val="en-US" w:eastAsia="zh-CN"/>
                    </w:rPr>
                    <w:t>35</w:t>
                  </w:r>
                </w:p>
              </w:tc>
              <w:tc>
                <w:tcPr>
                  <w:tcW w:w="576" w:type="dxa"/>
                  <w:tcBorders>
                    <w:tl2br w:val="nil"/>
                    <w:tr2bl w:val="nil"/>
                  </w:tcBorders>
                  <w:vAlign w:val="center"/>
                </w:tcPr>
                <w:p w14:paraId="39CF6D48">
                  <w:pPr>
                    <w:jc w:val="center"/>
                    <w:rPr>
                      <w:rFonts w:hint="default" w:eastAsia="宋体"/>
                      <w:color w:val="C00000"/>
                      <w:sz w:val="18"/>
                      <w:szCs w:val="18"/>
                      <w:lang w:val="en-US" w:eastAsia="zh-CN"/>
                    </w:rPr>
                  </w:pPr>
                  <w:r>
                    <w:rPr>
                      <w:rFonts w:hint="eastAsia"/>
                      <w:color w:val="C00000"/>
                      <w:sz w:val="18"/>
                      <w:szCs w:val="18"/>
                      <w:lang w:val="en-US" w:eastAsia="zh-CN"/>
                    </w:rPr>
                    <w:t>30</w:t>
                  </w:r>
                </w:p>
              </w:tc>
              <w:tc>
                <w:tcPr>
                  <w:tcW w:w="464" w:type="dxa"/>
                  <w:tcBorders>
                    <w:tl2br w:val="nil"/>
                    <w:tr2bl w:val="nil"/>
                  </w:tcBorders>
                  <w:vAlign w:val="center"/>
                </w:tcPr>
                <w:p w14:paraId="47B2824F">
                  <w:pPr>
                    <w:jc w:val="center"/>
                    <w:rPr>
                      <w:rFonts w:hint="eastAsia" w:eastAsia="宋体"/>
                      <w:color w:val="C00000"/>
                      <w:sz w:val="18"/>
                      <w:szCs w:val="18"/>
                      <w:lang w:val="en-US" w:eastAsia="zh-CN"/>
                    </w:rPr>
                  </w:pPr>
                  <w:r>
                    <w:rPr>
                      <w:rFonts w:hint="eastAsia"/>
                      <w:color w:val="C00000"/>
                      <w:sz w:val="18"/>
                      <w:szCs w:val="18"/>
                      <w:lang w:val="en-US" w:eastAsia="zh-CN"/>
                    </w:rPr>
                    <w:t>2</w:t>
                  </w:r>
                </w:p>
              </w:tc>
              <w:tc>
                <w:tcPr>
                  <w:tcW w:w="1190" w:type="dxa"/>
                  <w:tcBorders>
                    <w:tl2br w:val="nil"/>
                    <w:tr2bl w:val="nil"/>
                  </w:tcBorders>
                  <w:vAlign w:val="center"/>
                </w:tcPr>
                <w:p w14:paraId="3C218D29">
                  <w:pPr>
                    <w:jc w:val="center"/>
                    <w:rPr>
                      <w:rFonts w:hint="default" w:eastAsia="宋体"/>
                      <w:color w:val="C00000"/>
                      <w:sz w:val="18"/>
                      <w:szCs w:val="18"/>
                      <w:lang w:val="en-US" w:eastAsia="zh-CN"/>
                    </w:rPr>
                  </w:pPr>
                  <w:r>
                    <w:rPr>
                      <w:rFonts w:hint="eastAsia"/>
                      <w:color w:val="C00000"/>
                      <w:sz w:val="18"/>
                      <w:szCs w:val="18"/>
                      <w:lang w:val="en-US" w:eastAsia="zh-CN"/>
                    </w:rPr>
                    <w:t>85</w:t>
                  </w:r>
                </w:p>
              </w:tc>
              <w:tc>
                <w:tcPr>
                  <w:tcW w:w="806" w:type="dxa"/>
                  <w:vMerge w:val="continue"/>
                  <w:tcBorders>
                    <w:tl2br w:val="nil"/>
                    <w:tr2bl w:val="nil"/>
                  </w:tcBorders>
                  <w:vAlign w:val="center"/>
                </w:tcPr>
                <w:p w14:paraId="6F0428DE">
                  <w:pPr>
                    <w:jc w:val="center"/>
                    <w:rPr>
                      <w:sz w:val="18"/>
                      <w:szCs w:val="18"/>
                    </w:rPr>
                  </w:pPr>
                </w:p>
              </w:tc>
              <w:tc>
                <w:tcPr>
                  <w:tcW w:w="703" w:type="dxa"/>
                  <w:vMerge w:val="continue"/>
                  <w:tcBorders>
                    <w:tl2br w:val="nil"/>
                    <w:tr2bl w:val="nil"/>
                  </w:tcBorders>
                  <w:vAlign w:val="center"/>
                </w:tcPr>
                <w:p w14:paraId="34B40834">
                  <w:pPr>
                    <w:jc w:val="center"/>
                    <w:rPr>
                      <w:rFonts w:hint="eastAsia"/>
                      <w:sz w:val="18"/>
                      <w:szCs w:val="18"/>
                    </w:rPr>
                  </w:pPr>
                </w:p>
              </w:tc>
            </w:tr>
            <w:tr w14:paraId="4E6D2C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9" w:type="dxa"/>
                  <w:tcBorders>
                    <w:tl2br w:val="nil"/>
                    <w:tr2bl w:val="nil"/>
                  </w:tcBorders>
                  <w:vAlign w:val="center"/>
                </w:tcPr>
                <w:p w14:paraId="414C5EF8">
                  <w:pPr>
                    <w:jc w:val="center"/>
                    <w:rPr>
                      <w:rFonts w:hint="eastAsia" w:eastAsia="宋体"/>
                      <w:sz w:val="18"/>
                      <w:szCs w:val="18"/>
                      <w:lang w:val="en-US" w:eastAsia="zh-CN"/>
                    </w:rPr>
                  </w:pPr>
                  <w:r>
                    <w:rPr>
                      <w:rFonts w:hint="eastAsia"/>
                      <w:sz w:val="18"/>
                      <w:szCs w:val="18"/>
                      <w:lang w:val="en-US" w:eastAsia="zh-CN"/>
                    </w:rPr>
                    <w:t>3</w:t>
                  </w:r>
                </w:p>
              </w:tc>
              <w:tc>
                <w:tcPr>
                  <w:tcW w:w="1037" w:type="dxa"/>
                  <w:tcBorders>
                    <w:tl2br w:val="nil"/>
                    <w:tr2bl w:val="nil"/>
                  </w:tcBorders>
                  <w:vAlign w:val="center"/>
                </w:tcPr>
                <w:p w14:paraId="6D856634">
                  <w:pPr>
                    <w:jc w:val="center"/>
                    <w:rPr>
                      <w:sz w:val="18"/>
                      <w:szCs w:val="18"/>
                    </w:rPr>
                  </w:pPr>
                  <w:r>
                    <w:rPr>
                      <w:rFonts w:hint="eastAsia"/>
                      <w:sz w:val="18"/>
                      <w:szCs w:val="18"/>
                    </w:rPr>
                    <w:t>提升机</w:t>
                  </w:r>
                </w:p>
              </w:tc>
              <w:tc>
                <w:tcPr>
                  <w:tcW w:w="1073" w:type="dxa"/>
                  <w:tcBorders>
                    <w:tl2br w:val="nil"/>
                    <w:tr2bl w:val="nil"/>
                  </w:tcBorders>
                  <w:vAlign w:val="center"/>
                </w:tcPr>
                <w:p w14:paraId="0AE843D8">
                  <w:pPr>
                    <w:jc w:val="center"/>
                    <w:rPr>
                      <w:sz w:val="18"/>
                      <w:szCs w:val="18"/>
                    </w:rPr>
                  </w:pPr>
                  <w:r>
                    <w:rPr>
                      <w:rFonts w:hint="eastAsia"/>
                      <w:sz w:val="18"/>
                      <w:szCs w:val="18"/>
                    </w:rPr>
                    <w:t>提升机</w:t>
                  </w:r>
                </w:p>
              </w:tc>
              <w:tc>
                <w:tcPr>
                  <w:tcW w:w="737" w:type="dxa"/>
                  <w:tcBorders>
                    <w:tl2br w:val="nil"/>
                    <w:tr2bl w:val="nil"/>
                  </w:tcBorders>
                  <w:vAlign w:val="center"/>
                </w:tcPr>
                <w:p w14:paraId="43AE9F51">
                  <w:pPr>
                    <w:jc w:val="center"/>
                    <w:rPr>
                      <w:sz w:val="18"/>
                      <w:szCs w:val="18"/>
                    </w:rPr>
                  </w:pPr>
                  <w:r>
                    <w:rPr>
                      <w:rFonts w:hint="eastAsia"/>
                      <w:sz w:val="18"/>
                      <w:szCs w:val="18"/>
                    </w:rPr>
                    <w:t>/</w:t>
                  </w:r>
                </w:p>
              </w:tc>
              <w:tc>
                <w:tcPr>
                  <w:tcW w:w="525" w:type="dxa"/>
                  <w:tcBorders>
                    <w:tl2br w:val="nil"/>
                    <w:tr2bl w:val="nil"/>
                  </w:tcBorders>
                  <w:vAlign w:val="center"/>
                </w:tcPr>
                <w:p w14:paraId="2D3BAC2B">
                  <w:pPr>
                    <w:jc w:val="center"/>
                    <w:rPr>
                      <w:sz w:val="18"/>
                      <w:szCs w:val="18"/>
                    </w:rPr>
                  </w:pPr>
                  <w:r>
                    <w:rPr>
                      <w:rFonts w:hint="eastAsia"/>
                      <w:sz w:val="18"/>
                      <w:szCs w:val="18"/>
                    </w:rPr>
                    <w:t>49</w:t>
                  </w:r>
                </w:p>
              </w:tc>
              <w:tc>
                <w:tcPr>
                  <w:tcW w:w="576" w:type="dxa"/>
                  <w:tcBorders>
                    <w:tl2br w:val="nil"/>
                    <w:tr2bl w:val="nil"/>
                  </w:tcBorders>
                  <w:vAlign w:val="center"/>
                </w:tcPr>
                <w:p w14:paraId="37A2F97E">
                  <w:pPr>
                    <w:jc w:val="center"/>
                    <w:rPr>
                      <w:sz w:val="18"/>
                      <w:szCs w:val="18"/>
                    </w:rPr>
                  </w:pPr>
                  <w:r>
                    <w:rPr>
                      <w:rFonts w:hint="eastAsia"/>
                      <w:sz w:val="18"/>
                      <w:szCs w:val="18"/>
                    </w:rPr>
                    <w:t>51</w:t>
                  </w:r>
                </w:p>
              </w:tc>
              <w:tc>
                <w:tcPr>
                  <w:tcW w:w="464" w:type="dxa"/>
                  <w:tcBorders>
                    <w:tl2br w:val="nil"/>
                    <w:tr2bl w:val="nil"/>
                  </w:tcBorders>
                  <w:vAlign w:val="center"/>
                </w:tcPr>
                <w:p w14:paraId="45EBE312">
                  <w:pPr>
                    <w:jc w:val="center"/>
                    <w:rPr>
                      <w:sz w:val="18"/>
                      <w:szCs w:val="18"/>
                    </w:rPr>
                  </w:pPr>
                  <w:r>
                    <w:rPr>
                      <w:rFonts w:hint="eastAsia"/>
                      <w:sz w:val="18"/>
                      <w:szCs w:val="18"/>
                    </w:rPr>
                    <w:t>5</w:t>
                  </w:r>
                </w:p>
              </w:tc>
              <w:tc>
                <w:tcPr>
                  <w:tcW w:w="1190" w:type="dxa"/>
                  <w:tcBorders>
                    <w:tl2br w:val="nil"/>
                    <w:tr2bl w:val="nil"/>
                  </w:tcBorders>
                  <w:vAlign w:val="center"/>
                </w:tcPr>
                <w:p w14:paraId="406DD546">
                  <w:pPr>
                    <w:jc w:val="center"/>
                    <w:rPr>
                      <w:sz w:val="18"/>
                      <w:szCs w:val="18"/>
                    </w:rPr>
                  </w:pPr>
                  <w:r>
                    <w:rPr>
                      <w:rFonts w:hint="eastAsia"/>
                      <w:sz w:val="18"/>
                      <w:szCs w:val="18"/>
                    </w:rPr>
                    <w:t>75</w:t>
                  </w:r>
                </w:p>
              </w:tc>
              <w:tc>
                <w:tcPr>
                  <w:tcW w:w="806" w:type="dxa"/>
                  <w:vMerge w:val="continue"/>
                  <w:tcBorders>
                    <w:tl2br w:val="nil"/>
                    <w:tr2bl w:val="nil"/>
                  </w:tcBorders>
                  <w:vAlign w:val="center"/>
                </w:tcPr>
                <w:p w14:paraId="534CC422">
                  <w:pPr>
                    <w:jc w:val="center"/>
                    <w:rPr>
                      <w:bCs/>
                      <w:sz w:val="18"/>
                      <w:szCs w:val="18"/>
                    </w:rPr>
                  </w:pPr>
                </w:p>
              </w:tc>
              <w:tc>
                <w:tcPr>
                  <w:tcW w:w="703" w:type="dxa"/>
                  <w:vMerge w:val="continue"/>
                  <w:tcBorders>
                    <w:tl2br w:val="nil"/>
                    <w:tr2bl w:val="nil"/>
                  </w:tcBorders>
                  <w:vAlign w:val="center"/>
                </w:tcPr>
                <w:p w14:paraId="442BE7FD">
                  <w:pPr>
                    <w:jc w:val="center"/>
                    <w:rPr>
                      <w:bCs/>
                      <w:sz w:val="18"/>
                      <w:szCs w:val="18"/>
                    </w:rPr>
                  </w:pPr>
                </w:p>
              </w:tc>
            </w:tr>
            <w:tr w14:paraId="542098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9" w:type="dxa"/>
                  <w:tcBorders>
                    <w:tl2br w:val="nil"/>
                    <w:tr2bl w:val="nil"/>
                  </w:tcBorders>
                  <w:vAlign w:val="center"/>
                </w:tcPr>
                <w:p w14:paraId="1D6FD8E9">
                  <w:pPr>
                    <w:jc w:val="center"/>
                    <w:rPr>
                      <w:rFonts w:hint="eastAsia" w:eastAsia="宋体"/>
                      <w:color w:val="C00000"/>
                      <w:sz w:val="18"/>
                      <w:szCs w:val="18"/>
                      <w:lang w:val="en-US" w:eastAsia="zh-CN"/>
                    </w:rPr>
                  </w:pPr>
                  <w:r>
                    <w:rPr>
                      <w:rFonts w:hint="eastAsia"/>
                      <w:color w:val="C00000"/>
                      <w:sz w:val="18"/>
                      <w:szCs w:val="18"/>
                      <w:lang w:val="en-US" w:eastAsia="zh-CN"/>
                    </w:rPr>
                    <w:t>4</w:t>
                  </w:r>
                </w:p>
              </w:tc>
              <w:tc>
                <w:tcPr>
                  <w:tcW w:w="1037" w:type="dxa"/>
                  <w:tcBorders>
                    <w:tl2br w:val="nil"/>
                    <w:tr2bl w:val="nil"/>
                  </w:tcBorders>
                  <w:vAlign w:val="center"/>
                </w:tcPr>
                <w:p w14:paraId="68584924">
                  <w:pPr>
                    <w:jc w:val="center"/>
                    <w:rPr>
                      <w:color w:val="C00000"/>
                      <w:sz w:val="18"/>
                      <w:szCs w:val="18"/>
                    </w:rPr>
                  </w:pPr>
                  <w:r>
                    <w:rPr>
                      <w:rFonts w:hint="eastAsia"/>
                      <w:color w:val="C00000"/>
                      <w:sz w:val="18"/>
                      <w:szCs w:val="18"/>
                    </w:rPr>
                    <w:t>风机</w:t>
                  </w:r>
                </w:p>
              </w:tc>
              <w:tc>
                <w:tcPr>
                  <w:tcW w:w="1073" w:type="dxa"/>
                  <w:tcBorders>
                    <w:tl2br w:val="nil"/>
                    <w:tr2bl w:val="nil"/>
                  </w:tcBorders>
                  <w:vAlign w:val="center"/>
                </w:tcPr>
                <w:p w14:paraId="7AD76357">
                  <w:pPr>
                    <w:jc w:val="center"/>
                    <w:rPr>
                      <w:color w:val="C00000"/>
                      <w:sz w:val="18"/>
                      <w:szCs w:val="18"/>
                    </w:rPr>
                  </w:pPr>
                  <w:r>
                    <w:rPr>
                      <w:rFonts w:hint="eastAsia"/>
                      <w:color w:val="C00000"/>
                      <w:sz w:val="18"/>
                      <w:szCs w:val="18"/>
                    </w:rPr>
                    <w:t>风机</w:t>
                  </w:r>
                </w:p>
              </w:tc>
              <w:tc>
                <w:tcPr>
                  <w:tcW w:w="737" w:type="dxa"/>
                  <w:tcBorders>
                    <w:tl2br w:val="nil"/>
                    <w:tr2bl w:val="nil"/>
                  </w:tcBorders>
                  <w:vAlign w:val="center"/>
                </w:tcPr>
                <w:p w14:paraId="5352DC74">
                  <w:pPr>
                    <w:jc w:val="center"/>
                    <w:rPr>
                      <w:color w:val="C00000"/>
                      <w:sz w:val="18"/>
                      <w:szCs w:val="18"/>
                    </w:rPr>
                  </w:pPr>
                  <w:r>
                    <w:rPr>
                      <w:rFonts w:hint="eastAsia"/>
                      <w:color w:val="C00000"/>
                      <w:sz w:val="18"/>
                      <w:szCs w:val="18"/>
                    </w:rPr>
                    <w:t>/</w:t>
                  </w:r>
                </w:p>
              </w:tc>
              <w:tc>
                <w:tcPr>
                  <w:tcW w:w="525" w:type="dxa"/>
                  <w:tcBorders>
                    <w:tl2br w:val="nil"/>
                    <w:tr2bl w:val="nil"/>
                  </w:tcBorders>
                  <w:vAlign w:val="center"/>
                </w:tcPr>
                <w:p w14:paraId="1A8CB308">
                  <w:pPr>
                    <w:jc w:val="center"/>
                    <w:rPr>
                      <w:color w:val="C00000"/>
                      <w:sz w:val="18"/>
                      <w:szCs w:val="18"/>
                    </w:rPr>
                  </w:pPr>
                  <w:r>
                    <w:rPr>
                      <w:rFonts w:hint="eastAsia"/>
                      <w:color w:val="C00000"/>
                      <w:sz w:val="18"/>
                      <w:szCs w:val="18"/>
                    </w:rPr>
                    <w:t>60</w:t>
                  </w:r>
                </w:p>
              </w:tc>
              <w:tc>
                <w:tcPr>
                  <w:tcW w:w="576" w:type="dxa"/>
                  <w:tcBorders>
                    <w:tl2br w:val="nil"/>
                    <w:tr2bl w:val="nil"/>
                  </w:tcBorders>
                  <w:vAlign w:val="center"/>
                </w:tcPr>
                <w:p w14:paraId="2076C5C5">
                  <w:pPr>
                    <w:jc w:val="center"/>
                    <w:rPr>
                      <w:color w:val="C00000"/>
                      <w:sz w:val="18"/>
                      <w:szCs w:val="18"/>
                    </w:rPr>
                  </w:pPr>
                  <w:r>
                    <w:rPr>
                      <w:rFonts w:hint="eastAsia"/>
                      <w:color w:val="C00000"/>
                      <w:sz w:val="18"/>
                      <w:szCs w:val="18"/>
                    </w:rPr>
                    <w:t>53</w:t>
                  </w:r>
                </w:p>
              </w:tc>
              <w:tc>
                <w:tcPr>
                  <w:tcW w:w="464" w:type="dxa"/>
                  <w:tcBorders>
                    <w:tl2br w:val="nil"/>
                    <w:tr2bl w:val="nil"/>
                  </w:tcBorders>
                  <w:vAlign w:val="center"/>
                </w:tcPr>
                <w:p w14:paraId="652242FB">
                  <w:pPr>
                    <w:jc w:val="center"/>
                    <w:rPr>
                      <w:color w:val="C00000"/>
                      <w:sz w:val="18"/>
                      <w:szCs w:val="18"/>
                    </w:rPr>
                  </w:pPr>
                  <w:r>
                    <w:rPr>
                      <w:rFonts w:hint="eastAsia"/>
                      <w:color w:val="C00000"/>
                      <w:sz w:val="18"/>
                      <w:szCs w:val="18"/>
                    </w:rPr>
                    <w:t>5</w:t>
                  </w:r>
                </w:p>
              </w:tc>
              <w:tc>
                <w:tcPr>
                  <w:tcW w:w="1190" w:type="dxa"/>
                  <w:tcBorders>
                    <w:tl2br w:val="nil"/>
                    <w:tr2bl w:val="nil"/>
                  </w:tcBorders>
                  <w:vAlign w:val="center"/>
                </w:tcPr>
                <w:p w14:paraId="5581D303">
                  <w:pPr>
                    <w:jc w:val="center"/>
                    <w:rPr>
                      <w:color w:val="C00000"/>
                      <w:sz w:val="18"/>
                      <w:szCs w:val="18"/>
                    </w:rPr>
                  </w:pPr>
                  <w:r>
                    <w:rPr>
                      <w:rFonts w:hint="eastAsia"/>
                      <w:color w:val="C00000"/>
                      <w:sz w:val="18"/>
                      <w:szCs w:val="18"/>
                    </w:rPr>
                    <w:t>85</w:t>
                  </w:r>
                </w:p>
              </w:tc>
              <w:tc>
                <w:tcPr>
                  <w:tcW w:w="806" w:type="dxa"/>
                  <w:vMerge w:val="continue"/>
                  <w:tcBorders>
                    <w:tl2br w:val="nil"/>
                    <w:tr2bl w:val="nil"/>
                  </w:tcBorders>
                  <w:vAlign w:val="center"/>
                </w:tcPr>
                <w:p w14:paraId="140977DF">
                  <w:pPr>
                    <w:jc w:val="center"/>
                    <w:rPr>
                      <w:bCs/>
                      <w:sz w:val="18"/>
                      <w:szCs w:val="18"/>
                    </w:rPr>
                  </w:pPr>
                </w:p>
              </w:tc>
              <w:tc>
                <w:tcPr>
                  <w:tcW w:w="703" w:type="dxa"/>
                  <w:vMerge w:val="continue"/>
                  <w:tcBorders>
                    <w:tl2br w:val="nil"/>
                    <w:tr2bl w:val="nil"/>
                  </w:tcBorders>
                  <w:vAlign w:val="center"/>
                </w:tcPr>
                <w:p w14:paraId="00040117">
                  <w:pPr>
                    <w:jc w:val="center"/>
                    <w:rPr>
                      <w:bCs/>
                      <w:sz w:val="18"/>
                      <w:szCs w:val="18"/>
                    </w:rPr>
                  </w:pPr>
                </w:p>
              </w:tc>
            </w:tr>
            <w:tr w14:paraId="1AB258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9" w:type="dxa"/>
                  <w:tcBorders>
                    <w:tl2br w:val="nil"/>
                    <w:tr2bl w:val="nil"/>
                  </w:tcBorders>
                  <w:vAlign w:val="center"/>
                </w:tcPr>
                <w:p w14:paraId="0CD5E77E">
                  <w:pPr>
                    <w:jc w:val="center"/>
                    <w:rPr>
                      <w:rFonts w:hint="eastAsia" w:eastAsia="宋体"/>
                      <w:sz w:val="18"/>
                      <w:szCs w:val="18"/>
                      <w:lang w:val="en-US" w:eastAsia="zh-CN"/>
                    </w:rPr>
                  </w:pPr>
                  <w:r>
                    <w:rPr>
                      <w:rFonts w:hint="eastAsia"/>
                      <w:sz w:val="18"/>
                      <w:szCs w:val="18"/>
                      <w:lang w:val="en-US" w:eastAsia="zh-CN"/>
                    </w:rPr>
                    <w:t>5</w:t>
                  </w:r>
                </w:p>
              </w:tc>
              <w:tc>
                <w:tcPr>
                  <w:tcW w:w="1037" w:type="dxa"/>
                  <w:tcBorders>
                    <w:tl2br w:val="nil"/>
                    <w:tr2bl w:val="nil"/>
                  </w:tcBorders>
                  <w:vAlign w:val="center"/>
                </w:tcPr>
                <w:p w14:paraId="57A7F426">
                  <w:pPr>
                    <w:jc w:val="center"/>
                    <w:rPr>
                      <w:sz w:val="18"/>
                      <w:szCs w:val="18"/>
                    </w:rPr>
                  </w:pPr>
                  <w:r>
                    <w:rPr>
                      <w:rFonts w:hint="eastAsia"/>
                      <w:sz w:val="18"/>
                      <w:szCs w:val="18"/>
                    </w:rPr>
                    <w:t>圆筒初清筛</w:t>
                  </w:r>
                </w:p>
              </w:tc>
              <w:tc>
                <w:tcPr>
                  <w:tcW w:w="1073" w:type="dxa"/>
                  <w:tcBorders>
                    <w:tl2br w:val="nil"/>
                    <w:tr2bl w:val="nil"/>
                  </w:tcBorders>
                  <w:vAlign w:val="center"/>
                </w:tcPr>
                <w:p w14:paraId="78858CE0">
                  <w:pPr>
                    <w:jc w:val="center"/>
                    <w:rPr>
                      <w:sz w:val="18"/>
                      <w:szCs w:val="18"/>
                    </w:rPr>
                  </w:pPr>
                  <w:r>
                    <w:rPr>
                      <w:rFonts w:hint="eastAsia"/>
                      <w:sz w:val="18"/>
                      <w:szCs w:val="18"/>
                    </w:rPr>
                    <w:t>圆筒初清筛</w:t>
                  </w:r>
                </w:p>
              </w:tc>
              <w:tc>
                <w:tcPr>
                  <w:tcW w:w="737" w:type="dxa"/>
                  <w:tcBorders>
                    <w:tl2br w:val="nil"/>
                    <w:tr2bl w:val="nil"/>
                  </w:tcBorders>
                  <w:vAlign w:val="center"/>
                </w:tcPr>
                <w:p w14:paraId="141D70CB">
                  <w:pPr>
                    <w:jc w:val="center"/>
                    <w:rPr>
                      <w:sz w:val="18"/>
                      <w:szCs w:val="18"/>
                    </w:rPr>
                  </w:pPr>
                  <w:r>
                    <w:rPr>
                      <w:rFonts w:hint="eastAsia"/>
                      <w:sz w:val="18"/>
                      <w:szCs w:val="18"/>
                    </w:rPr>
                    <w:t>/</w:t>
                  </w:r>
                </w:p>
              </w:tc>
              <w:tc>
                <w:tcPr>
                  <w:tcW w:w="525" w:type="dxa"/>
                  <w:tcBorders>
                    <w:tl2br w:val="nil"/>
                    <w:tr2bl w:val="nil"/>
                  </w:tcBorders>
                  <w:vAlign w:val="center"/>
                </w:tcPr>
                <w:p w14:paraId="740542DA">
                  <w:pPr>
                    <w:jc w:val="center"/>
                    <w:rPr>
                      <w:sz w:val="18"/>
                      <w:szCs w:val="18"/>
                    </w:rPr>
                  </w:pPr>
                  <w:r>
                    <w:rPr>
                      <w:rFonts w:hint="eastAsia"/>
                      <w:sz w:val="18"/>
                      <w:szCs w:val="18"/>
                    </w:rPr>
                    <w:t>50</w:t>
                  </w:r>
                </w:p>
              </w:tc>
              <w:tc>
                <w:tcPr>
                  <w:tcW w:w="576" w:type="dxa"/>
                  <w:tcBorders>
                    <w:tl2br w:val="nil"/>
                    <w:tr2bl w:val="nil"/>
                  </w:tcBorders>
                  <w:vAlign w:val="center"/>
                </w:tcPr>
                <w:p w14:paraId="165FE1F2">
                  <w:pPr>
                    <w:jc w:val="center"/>
                    <w:rPr>
                      <w:sz w:val="18"/>
                      <w:szCs w:val="18"/>
                    </w:rPr>
                  </w:pPr>
                  <w:r>
                    <w:rPr>
                      <w:rFonts w:hint="eastAsia"/>
                      <w:sz w:val="18"/>
                      <w:szCs w:val="18"/>
                    </w:rPr>
                    <w:t>39</w:t>
                  </w:r>
                </w:p>
              </w:tc>
              <w:tc>
                <w:tcPr>
                  <w:tcW w:w="464" w:type="dxa"/>
                  <w:tcBorders>
                    <w:tl2br w:val="nil"/>
                    <w:tr2bl w:val="nil"/>
                  </w:tcBorders>
                  <w:vAlign w:val="center"/>
                </w:tcPr>
                <w:p w14:paraId="1F680B94">
                  <w:pPr>
                    <w:jc w:val="center"/>
                    <w:rPr>
                      <w:sz w:val="18"/>
                      <w:szCs w:val="18"/>
                    </w:rPr>
                  </w:pPr>
                  <w:r>
                    <w:rPr>
                      <w:rFonts w:hint="eastAsia"/>
                      <w:sz w:val="18"/>
                      <w:szCs w:val="18"/>
                    </w:rPr>
                    <w:t>2</w:t>
                  </w:r>
                </w:p>
              </w:tc>
              <w:tc>
                <w:tcPr>
                  <w:tcW w:w="1190" w:type="dxa"/>
                  <w:tcBorders>
                    <w:tl2br w:val="nil"/>
                    <w:tr2bl w:val="nil"/>
                  </w:tcBorders>
                  <w:vAlign w:val="center"/>
                </w:tcPr>
                <w:p w14:paraId="5DE8D77F">
                  <w:pPr>
                    <w:jc w:val="center"/>
                    <w:rPr>
                      <w:sz w:val="18"/>
                      <w:szCs w:val="18"/>
                    </w:rPr>
                  </w:pPr>
                  <w:r>
                    <w:rPr>
                      <w:rFonts w:hint="eastAsia"/>
                      <w:sz w:val="18"/>
                      <w:szCs w:val="18"/>
                    </w:rPr>
                    <w:t>80</w:t>
                  </w:r>
                </w:p>
              </w:tc>
              <w:tc>
                <w:tcPr>
                  <w:tcW w:w="806" w:type="dxa"/>
                  <w:vMerge w:val="continue"/>
                  <w:tcBorders>
                    <w:tl2br w:val="nil"/>
                    <w:tr2bl w:val="nil"/>
                  </w:tcBorders>
                  <w:vAlign w:val="center"/>
                </w:tcPr>
                <w:p w14:paraId="694F730D">
                  <w:pPr>
                    <w:jc w:val="center"/>
                    <w:rPr>
                      <w:bCs/>
                      <w:sz w:val="18"/>
                      <w:szCs w:val="18"/>
                    </w:rPr>
                  </w:pPr>
                </w:p>
              </w:tc>
              <w:tc>
                <w:tcPr>
                  <w:tcW w:w="703" w:type="dxa"/>
                  <w:vMerge w:val="continue"/>
                  <w:tcBorders>
                    <w:tl2br w:val="nil"/>
                    <w:tr2bl w:val="nil"/>
                  </w:tcBorders>
                  <w:vAlign w:val="center"/>
                </w:tcPr>
                <w:p w14:paraId="1BC2D49D">
                  <w:pPr>
                    <w:jc w:val="center"/>
                    <w:rPr>
                      <w:bCs/>
                      <w:sz w:val="18"/>
                      <w:szCs w:val="18"/>
                    </w:rPr>
                  </w:pPr>
                </w:p>
              </w:tc>
            </w:tr>
            <w:tr w14:paraId="798CD7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9" w:type="dxa"/>
                  <w:tcBorders>
                    <w:tl2br w:val="nil"/>
                    <w:tr2bl w:val="nil"/>
                  </w:tcBorders>
                  <w:vAlign w:val="center"/>
                </w:tcPr>
                <w:p w14:paraId="31CA53A9">
                  <w:pPr>
                    <w:jc w:val="center"/>
                    <w:rPr>
                      <w:rFonts w:hint="eastAsia" w:eastAsia="宋体"/>
                      <w:sz w:val="18"/>
                      <w:szCs w:val="18"/>
                      <w:lang w:val="en-US" w:eastAsia="zh-CN"/>
                    </w:rPr>
                  </w:pPr>
                  <w:r>
                    <w:rPr>
                      <w:rFonts w:hint="eastAsia"/>
                      <w:sz w:val="18"/>
                      <w:szCs w:val="18"/>
                      <w:lang w:val="en-US" w:eastAsia="zh-CN"/>
                    </w:rPr>
                    <w:t>6</w:t>
                  </w:r>
                </w:p>
              </w:tc>
              <w:tc>
                <w:tcPr>
                  <w:tcW w:w="1037" w:type="dxa"/>
                  <w:tcBorders>
                    <w:tl2br w:val="nil"/>
                    <w:tr2bl w:val="nil"/>
                  </w:tcBorders>
                  <w:vAlign w:val="center"/>
                </w:tcPr>
                <w:p w14:paraId="3CF50F78">
                  <w:pPr>
                    <w:jc w:val="center"/>
                    <w:rPr>
                      <w:sz w:val="18"/>
                      <w:szCs w:val="18"/>
                    </w:rPr>
                  </w:pPr>
                  <w:r>
                    <w:rPr>
                      <w:rFonts w:hint="eastAsia"/>
                      <w:sz w:val="18"/>
                      <w:szCs w:val="18"/>
                    </w:rPr>
                    <w:t>平面回转清理筛</w:t>
                  </w:r>
                </w:p>
              </w:tc>
              <w:tc>
                <w:tcPr>
                  <w:tcW w:w="1073" w:type="dxa"/>
                  <w:tcBorders>
                    <w:tl2br w:val="nil"/>
                    <w:tr2bl w:val="nil"/>
                  </w:tcBorders>
                  <w:vAlign w:val="center"/>
                </w:tcPr>
                <w:p w14:paraId="2C02B437">
                  <w:pPr>
                    <w:jc w:val="center"/>
                    <w:rPr>
                      <w:sz w:val="18"/>
                      <w:szCs w:val="18"/>
                    </w:rPr>
                  </w:pPr>
                  <w:r>
                    <w:rPr>
                      <w:rFonts w:hint="eastAsia"/>
                      <w:sz w:val="18"/>
                      <w:szCs w:val="18"/>
                    </w:rPr>
                    <w:t>平面回转清理筛</w:t>
                  </w:r>
                </w:p>
              </w:tc>
              <w:tc>
                <w:tcPr>
                  <w:tcW w:w="737" w:type="dxa"/>
                  <w:tcBorders>
                    <w:tl2br w:val="nil"/>
                    <w:tr2bl w:val="nil"/>
                  </w:tcBorders>
                  <w:vAlign w:val="center"/>
                </w:tcPr>
                <w:p w14:paraId="4474EB0E">
                  <w:pPr>
                    <w:jc w:val="center"/>
                    <w:rPr>
                      <w:sz w:val="18"/>
                      <w:szCs w:val="18"/>
                    </w:rPr>
                  </w:pPr>
                  <w:r>
                    <w:rPr>
                      <w:rFonts w:hint="eastAsia"/>
                      <w:sz w:val="18"/>
                      <w:szCs w:val="18"/>
                    </w:rPr>
                    <w:t>/</w:t>
                  </w:r>
                </w:p>
              </w:tc>
              <w:tc>
                <w:tcPr>
                  <w:tcW w:w="525" w:type="dxa"/>
                  <w:tcBorders>
                    <w:tl2br w:val="nil"/>
                    <w:tr2bl w:val="nil"/>
                  </w:tcBorders>
                  <w:vAlign w:val="center"/>
                </w:tcPr>
                <w:p w14:paraId="5453B000">
                  <w:pPr>
                    <w:jc w:val="center"/>
                    <w:rPr>
                      <w:sz w:val="18"/>
                      <w:szCs w:val="18"/>
                    </w:rPr>
                  </w:pPr>
                  <w:r>
                    <w:rPr>
                      <w:rFonts w:hint="eastAsia"/>
                      <w:sz w:val="18"/>
                      <w:szCs w:val="18"/>
                    </w:rPr>
                    <w:t>48</w:t>
                  </w:r>
                </w:p>
              </w:tc>
              <w:tc>
                <w:tcPr>
                  <w:tcW w:w="576" w:type="dxa"/>
                  <w:tcBorders>
                    <w:tl2br w:val="nil"/>
                    <w:tr2bl w:val="nil"/>
                  </w:tcBorders>
                  <w:vAlign w:val="center"/>
                </w:tcPr>
                <w:p w14:paraId="3D0FA770">
                  <w:pPr>
                    <w:jc w:val="center"/>
                    <w:rPr>
                      <w:sz w:val="18"/>
                      <w:szCs w:val="18"/>
                    </w:rPr>
                  </w:pPr>
                  <w:r>
                    <w:rPr>
                      <w:rFonts w:hint="eastAsia"/>
                      <w:sz w:val="18"/>
                      <w:szCs w:val="18"/>
                    </w:rPr>
                    <w:t>43</w:t>
                  </w:r>
                </w:p>
              </w:tc>
              <w:tc>
                <w:tcPr>
                  <w:tcW w:w="464" w:type="dxa"/>
                  <w:tcBorders>
                    <w:tl2br w:val="nil"/>
                    <w:tr2bl w:val="nil"/>
                  </w:tcBorders>
                  <w:vAlign w:val="center"/>
                </w:tcPr>
                <w:p w14:paraId="0B828CA6">
                  <w:pPr>
                    <w:jc w:val="center"/>
                    <w:rPr>
                      <w:sz w:val="18"/>
                      <w:szCs w:val="18"/>
                    </w:rPr>
                  </w:pPr>
                  <w:r>
                    <w:rPr>
                      <w:rFonts w:hint="eastAsia"/>
                      <w:sz w:val="18"/>
                      <w:szCs w:val="18"/>
                    </w:rPr>
                    <w:t>1</w:t>
                  </w:r>
                </w:p>
              </w:tc>
              <w:tc>
                <w:tcPr>
                  <w:tcW w:w="1190" w:type="dxa"/>
                  <w:tcBorders>
                    <w:tl2br w:val="nil"/>
                    <w:tr2bl w:val="nil"/>
                  </w:tcBorders>
                  <w:vAlign w:val="center"/>
                </w:tcPr>
                <w:p w14:paraId="0EEB542F">
                  <w:pPr>
                    <w:jc w:val="center"/>
                    <w:rPr>
                      <w:sz w:val="18"/>
                      <w:szCs w:val="18"/>
                    </w:rPr>
                  </w:pPr>
                  <w:r>
                    <w:rPr>
                      <w:rFonts w:hint="eastAsia"/>
                      <w:sz w:val="18"/>
                      <w:szCs w:val="18"/>
                    </w:rPr>
                    <w:t>80</w:t>
                  </w:r>
                </w:p>
              </w:tc>
              <w:tc>
                <w:tcPr>
                  <w:tcW w:w="806" w:type="dxa"/>
                  <w:vMerge w:val="continue"/>
                  <w:tcBorders>
                    <w:tl2br w:val="nil"/>
                    <w:tr2bl w:val="nil"/>
                  </w:tcBorders>
                  <w:vAlign w:val="center"/>
                </w:tcPr>
                <w:p w14:paraId="4FF983F8">
                  <w:pPr>
                    <w:jc w:val="center"/>
                    <w:rPr>
                      <w:bCs/>
                      <w:sz w:val="18"/>
                      <w:szCs w:val="18"/>
                    </w:rPr>
                  </w:pPr>
                </w:p>
              </w:tc>
              <w:tc>
                <w:tcPr>
                  <w:tcW w:w="703" w:type="dxa"/>
                  <w:vMerge w:val="continue"/>
                  <w:tcBorders>
                    <w:tl2br w:val="nil"/>
                    <w:tr2bl w:val="nil"/>
                  </w:tcBorders>
                  <w:vAlign w:val="center"/>
                </w:tcPr>
                <w:p w14:paraId="3CD52A2D">
                  <w:pPr>
                    <w:jc w:val="center"/>
                    <w:rPr>
                      <w:bCs/>
                      <w:sz w:val="18"/>
                      <w:szCs w:val="18"/>
                    </w:rPr>
                  </w:pPr>
                </w:p>
              </w:tc>
            </w:tr>
          </w:tbl>
          <w:p w14:paraId="1BDA8A32">
            <w:pPr>
              <w:pStyle w:val="59"/>
              <w:adjustRightInd w:val="0"/>
              <w:snapToGrid w:val="0"/>
              <w:spacing w:line="500" w:lineRule="atLeast"/>
              <w:ind w:firstLine="0" w:firstLineChars="0"/>
              <w:jc w:val="center"/>
              <w:rPr>
                <w:b/>
                <w:kern w:val="2"/>
                <w:sz w:val="21"/>
                <w:szCs w:val="21"/>
              </w:rPr>
            </w:pPr>
            <w:r>
              <w:rPr>
                <w:b/>
                <w:kern w:val="2"/>
                <w:sz w:val="21"/>
                <w:szCs w:val="21"/>
              </w:rPr>
              <w:t>表4-</w:t>
            </w:r>
            <w:r>
              <w:rPr>
                <w:rFonts w:hint="eastAsia"/>
                <w:b/>
                <w:kern w:val="2"/>
                <w:sz w:val="21"/>
                <w:szCs w:val="21"/>
              </w:rPr>
              <w:t>6</w:t>
            </w:r>
            <w:r>
              <w:rPr>
                <w:b/>
                <w:kern w:val="2"/>
                <w:sz w:val="21"/>
                <w:szCs w:val="21"/>
              </w:rPr>
              <w:t xml:space="preserve"> 工业企业噪声源强调查清单（室内声源）单位：dB（A）</w:t>
            </w:r>
          </w:p>
          <w:tbl>
            <w:tblPr>
              <w:tblStyle w:val="33"/>
              <w:tblW w:w="784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9"/>
              <w:gridCol w:w="513"/>
              <w:gridCol w:w="537"/>
              <w:gridCol w:w="484"/>
              <w:gridCol w:w="620"/>
              <w:gridCol w:w="629"/>
              <w:gridCol w:w="450"/>
              <w:gridCol w:w="460"/>
              <w:gridCol w:w="485"/>
              <w:gridCol w:w="406"/>
              <w:gridCol w:w="471"/>
              <w:gridCol w:w="473"/>
              <w:gridCol w:w="648"/>
              <w:gridCol w:w="625"/>
              <w:gridCol w:w="627"/>
            </w:tblGrid>
            <w:tr w14:paraId="29710E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419" w:type="dxa"/>
                  <w:vMerge w:val="restart"/>
                  <w:tcBorders>
                    <w:tl2br w:val="nil"/>
                    <w:tr2bl w:val="nil"/>
                  </w:tcBorders>
                  <w:vAlign w:val="center"/>
                </w:tcPr>
                <w:p w14:paraId="01EF6CDD">
                  <w:pPr>
                    <w:pStyle w:val="46"/>
                    <w:snapToGrid w:val="0"/>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序号</w:t>
                  </w:r>
                </w:p>
              </w:tc>
              <w:tc>
                <w:tcPr>
                  <w:tcW w:w="513" w:type="dxa"/>
                  <w:vMerge w:val="restart"/>
                  <w:tcBorders>
                    <w:tl2br w:val="nil"/>
                    <w:tr2bl w:val="nil"/>
                  </w:tcBorders>
                  <w:vAlign w:val="center"/>
                </w:tcPr>
                <w:p w14:paraId="073E73FB">
                  <w:pPr>
                    <w:pStyle w:val="46"/>
                    <w:snapToGrid w:val="0"/>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建筑物名称</w:t>
                  </w:r>
                </w:p>
              </w:tc>
              <w:tc>
                <w:tcPr>
                  <w:tcW w:w="537" w:type="dxa"/>
                  <w:vMerge w:val="restart"/>
                  <w:tcBorders>
                    <w:tl2br w:val="nil"/>
                    <w:tr2bl w:val="nil"/>
                  </w:tcBorders>
                  <w:vAlign w:val="center"/>
                </w:tcPr>
                <w:p w14:paraId="6EAF1A7F">
                  <w:pPr>
                    <w:pStyle w:val="46"/>
                    <w:snapToGrid w:val="0"/>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声源名称</w:t>
                  </w:r>
                </w:p>
              </w:tc>
              <w:tc>
                <w:tcPr>
                  <w:tcW w:w="484" w:type="dxa"/>
                  <w:vMerge w:val="restart"/>
                  <w:tcBorders>
                    <w:tl2br w:val="nil"/>
                    <w:tr2bl w:val="nil"/>
                  </w:tcBorders>
                  <w:vAlign w:val="center"/>
                </w:tcPr>
                <w:p w14:paraId="3A61DC1C">
                  <w:pPr>
                    <w:pStyle w:val="46"/>
                    <w:snapToGrid w:val="0"/>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型号</w:t>
                  </w:r>
                </w:p>
              </w:tc>
              <w:tc>
                <w:tcPr>
                  <w:tcW w:w="620" w:type="dxa"/>
                  <w:vMerge w:val="restart"/>
                  <w:tcBorders>
                    <w:tl2br w:val="nil"/>
                    <w:tr2bl w:val="nil"/>
                  </w:tcBorders>
                  <w:vAlign w:val="center"/>
                </w:tcPr>
                <w:p w14:paraId="3CA10432">
                  <w:pPr>
                    <w:pStyle w:val="46"/>
                    <w:snapToGrid w:val="0"/>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声源源强声功率级/dB（A）</w:t>
                  </w:r>
                </w:p>
              </w:tc>
              <w:tc>
                <w:tcPr>
                  <w:tcW w:w="629" w:type="dxa"/>
                  <w:vMerge w:val="restart"/>
                  <w:tcBorders>
                    <w:tl2br w:val="nil"/>
                    <w:tr2bl w:val="nil"/>
                  </w:tcBorders>
                  <w:vAlign w:val="center"/>
                </w:tcPr>
                <w:p w14:paraId="110F0B16">
                  <w:pPr>
                    <w:pStyle w:val="46"/>
                    <w:snapToGrid w:val="0"/>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声源控制措施</w:t>
                  </w:r>
                </w:p>
              </w:tc>
              <w:tc>
                <w:tcPr>
                  <w:tcW w:w="1395" w:type="dxa"/>
                  <w:gridSpan w:val="3"/>
                  <w:vMerge w:val="restart"/>
                  <w:tcBorders>
                    <w:tl2br w:val="nil"/>
                    <w:tr2bl w:val="nil"/>
                  </w:tcBorders>
                  <w:vAlign w:val="center"/>
                </w:tcPr>
                <w:p w14:paraId="6B418126">
                  <w:pPr>
                    <w:pStyle w:val="46"/>
                    <w:snapToGrid w:val="0"/>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空间相对位置/m</w:t>
                  </w:r>
                </w:p>
              </w:tc>
              <w:tc>
                <w:tcPr>
                  <w:tcW w:w="406" w:type="dxa"/>
                  <w:vMerge w:val="restart"/>
                  <w:tcBorders>
                    <w:tl2br w:val="nil"/>
                    <w:tr2bl w:val="nil"/>
                  </w:tcBorders>
                  <w:vAlign w:val="center"/>
                </w:tcPr>
                <w:p w14:paraId="6158AD34">
                  <w:pPr>
                    <w:pStyle w:val="46"/>
                    <w:snapToGrid w:val="0"/>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距室内边界距离/m</w:t>
                  </w:r>
                </w:p>
              </w:tc>
              <w:tc>
                <w:tcPr>
                  <w:tcW w:w="471" w:type="dxa"/>
                  <w:vMerge w:val="restart"/>
                  <w:tcBorders>
                    <w:tl2br w:val="nil"/>
                    <w:tr2bl w:val="nil"/>
                  </w:tcBorders>
                  <w:vAlign w:val="center"/>
                </w:tcPr>
                <w:p w14:paraId="56F17F8E">
                  <w:pPr>
                    <w:pStyle w:val="46"/>
                    <w:snapToGrid w:val="0"/>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室内边界声级/dB（A）</w:t>
                  </w:r>
                </w:p>
              </w:tc>
              <w:tc>
                <w:tcPr>
                  <w:tcW w:w="473" w:type="dxa"/>
                  <w:vMerge w:val="restart"/>
                  <w:tcBorders>
                    <w:tl2br w:val="nil"/>
                    <w:tr2bl w:val="nil"/>
                  </w:tcBorders>
                  <w:vAlign w:val="center"/>
                </w:tcPr>
                <w:p w14:paraId="3E021E34">
                  <w:pPr>
                    <w:pStyle w:val="46"/>
                    <w:snapToGrid w:val="0"/>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运行时段</w:t>
                  </w:r>
                </w:p>
              </w:tc>
              <w:tc>
                <w:tcPr>
                  <w:tcW w:w="648" w:type="dxa"/>
                  <w:vMerge w:val="restart"/>
                  <w:tcBorders>
                    <w:tl2br w:val="nil"/>
                    <w:tr2bl w:val="nil"/>
                  </w:tcBorders>
                  <w:vAlign w:val="center"/>
                </w:tcPr>
                <w:p w14:paraId="6DE4476B">
                  <w:pPr>
                    <w:pStyle w:val="46"/>
                    <w:snapToGrid w:val="0"/>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建筑物插入损失/dB（A）</w:t>
                  </w:r>
                </w:p>
              </w:tc>
              <w:tc>
                <w:tcPr>
                  <w:tcW w:w="1252" w:type="dxa"/>
                  <w:gridSpan w:val="2"/>
                  <w:tcBorders>
                    <w:tl2br w:val="nil"/>
                    <w:tr2bl w:val="nil"/>
                  </w:tcBorders>
                  <w:vAlign w:val="center"/>
                </w:tcPr>
                <w:p w14:paraId="1FE9B9F6">
                  <w:pPr>
                    <w:pStyle w:val="46"/>
                    <w:snapToGrid w:val="0"/>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建筑物外噪声</w:t>
                  </w:r>
                </w:p>
              </w:tc>
            </w:tr>
            <w:tr w14:paraId="2BA930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19" w:type="dxa"/>
                  <w:vMerge w:val="continue"/>
                  <w:tcBorders>
                    <w:tl2br w:val="nil"/>
                    <w:tr2bl w:val="nil"/>
                  </w:tcBorders>
                  <w:vAlign w:val="center"/>
                </w:tcPr>
                <w:p w14:paraId="13973766">
                  <w:pPr>
                    <w:pStyle w:val="46"/>
                    <w:snapToGrid w:val="0"/>
                    <w:textAlignment w:val="auto"/>
                    <w:rPr>
                      <w:rFonts w:ascii="Times New Roman" w:hAnsi="Times New Roman" w:cs="Times New Roman"/>
                      <w:bCs/>
                      <w:color w:val="auto"/>
                      <w:kern w:val="2"/>
                      <w:sz w:val="18"/>
                      <w:szCs w:val="18"/>
                    </w:rPr>
                  </w:pPr>
                </w:p>
              </w:tc>
              <w:tc>
                <w:tcPr>
                  <w:tcW w:w="513" w:type="dxa"/>
                  <w:vMerge w:val="continue"/>
                  <w:tcBorders>
                    <w:tl2br w:val="nil"/>
                    <w:tr2bl w:val="nil"/>
                  </w:tcBorders>
                  <w:vAlign w:val="center"/>
                </w:tcPr>
                <w:p w14:paraId="246B5A5D">
                  <w:pPr>
                    <w:pStyle w:val="46"/>
                    <w:snapToGrid w:val="0"/>
                    <w:textAlignment w:val="auto"/>
                    <w:rPr>
                      <w:rFonts w:ascii="Times New Roman" w:hAnsi="Times New Roman" w:cs="Times New Roman"/>
                      <w:bCs/>
                      <w:color w:val="auto"/>
                      <w:kern w:val="2"/>
                      <w:sz w:val="18"/>
                      <w:szCs w:val="18"/>
                    </w:rPr>
                  </w:pPr>
                </w:p>
              </w:tc>
              <w:tc>
                <w:tcPr>
                  <w:tcW w:w="537" w:type="dxa"/>
                  <w:vMerge w:val="continue"/>
                  <w:tcBorders>
                    <w:tl2br w:val="nil"/>
                    <w:tr2bl w:val="nil"/>
                  </w:tcBorders>
                  <w:vAlign w:val="center"/>
                </w:tcPr>
                <w:p w14:paraId="161B5AEA">
                  <w:pPr>
                    <w:pStyle w:val="46"/>
                    <w:snapToGrid w:val="0"/>
                    <w:textAlignment w:val="auto"/>
                    <w:rPr>
                      <w:rFonts w:ascii="Times New Roman" w:hAnsi="Times New Roman" w:cs="Times New Roman"/>
                      <w:bCs/>
                      <w:color w:val="auto"/>
                      <w:kern w:val="2"/>
                      <w:sz w:val="18"/>
                      <w:szCs w:val="18"/>
                    </w:rPr>
                  </w:pPr>
                </w:p>
              </w:tc>
              <w:tc>
                <w:tcPr>
                  <w:tcW w:w="484" w:type="dxa"/>
                  <w:vMerge w:val="continue"/>
                  <w:tcBorders>
                    <w:tl2br w:val="nil"/>
                    <w:tr2bl w:val="nil"/>
                  </w:tcBorders>
                  <w:vAlign w:val="center"/>
                </w:tcPr>
                <w:p w14:paraId="67D473E1">
                  <w:pPr>
                    <w:pStyle w:val="46"/>
                    <w:snapToGrid w:val="0"/>
                    <w:textAlignment w:val="auto"/>
                    <w:rPr>
                      <w:rFonts w:ascii="Times New Roman" w:hAnsi="Times New Roman" w:cs="Times New Roman"/>
                      <w:bCs/>
                      <w:color w:val="auto"/>
                      <w:kern w:val="2"/>
                      <w:sz w:val="18"/>
                      <w:szCs w:val="18"/>
                    </w:rPr>
                  </w:pPr>
                </w:p>
              </w:tc>
              <w:tc>
                <w:tcPr>
                  <w:tcW w:w="620" w:type="dxa"/>
                  <w:vMerge w:val="continue"/>
                  <w:tcBorders>
                    <w:tl2br w:val="nil"/>
                    <w:tr2bl w:val="nil"/>
                  </w:tcBorders>
                  <w:vAlign w:val="center"/>
                </w:tcPr>
                <w:p w14:paraId="1E2A7F4A">
                  <w:pPr>
                    <w:pStyle w:val="46"/>
                    <w:snapToGrid w:val="0"/>
                    <w:textAlignment w:val="auto"/>
                    <w:rPr>
                      <w:rFonts w:ascii="Times New Roman" w:hAnsi="Times New Roman" w:cs="Times New Roman"/>
                      <w:bCs/>
                      <w:color w:val="auto"/>
                      <w:kern w:val="2"/>
                      <w:sz w:val="18"/>
                      <w:szCs w:val="18"/>
                    </w:rPr>
                  </w:pPr>
                </w:p>
              </w:tc>
              <w:tc>
                <w:tcPr>
                  <w:tcW w:w="629" w:type="dxa"/>
                  <w:vMerge w:val="continue"/>
                  <w:tcBorders>
                    <w:tl2br w:val="nil"/>
                    <w:tr2bl w:val="nil"/>
                  </w:tcBorders>
                  <w:vAlign w:val="center"/>
                </w:tcPr>
                <w:p w14:paraId="5E7A2510">
                  <w:pPr>
                    <w:pStyle w:val="46"/>
                    <w:snapToGrid w:val="0"/>
                    <w:textAlignment w:val="auto"/>
                    <w:rPr>
                      <w:rFonts w:ascii="Times New Roman" w:hAnsi="Times New Roman" w:cs="Times New Roman"/>
                      <w:bCs/>
                      <w:color w:val="auto"/>
                      <w:kern w:val="2"/>
                      <w:sz w:val="18"/>
                      <w:szCs w:val="18"/>
                    </w:rPr>
                  </w:pPr>
                </w:p>
              </w:tc>
              <w:tc>
                <w:tcPr>
                  <w:tcW w:w="1395" w:type="dxa"/>
                  <w:gridSpan w:val="3"/>
                  <w:vMerge w:val="continue"/>
                  <w:tcBorders>
                    <w:tl2br w:val="nil"/>
                    <w:tr2bl w:val="nil"/>
                  </w:tcBorders>
                  <w:vAlign w:val="center"/>
                </w:tcPr>
                <w:p w14:paraId="21FA8A39">
                  <w:pPr>
                    <w:pStyle w:val="46"/>
                    <w:snapToGrid w:val="0"/>
                    <w:textAlignment w:val="auto"/>
                    <w:rPr>
                      <w:rFonts w:ascii="Times New Roman" w:hAnsi="Times New Roman" w:cs="Times New Roman"/>
                      <w:bCs/>
                      <w:color w:val="auto"/>
                      <w:kern w:val="2"/>
                      <w:sz w:val="18"/>
                      <w:szCs w:val="18"/>
                    </w:rPr>
                  </w:pPr>
                </w:p>
              </w:tc>
              <w:tc>
                <w:tcPr>
                  <w:tcW w:w="406" w:type="dxa"/>
                  <w:vMerge w:val="continue"/>
                  <w:tcBorders>
                    <w:tl2br w:val="nil"/>
                    <w:tr2bl w:val="nil"/>
                  </w:tcBorders>
                  <w:vAlign w:val="center"/>
                </w:tcPr>
                <w:p w14:paraId="2B4CAFB5">
                  <w:pPr>
                    <w:pStyle w:val="46"/>
                    <w:snapToGrid w:val="0"/>
                    <w:textAlignment w:val="auto"/>
                    <w:rPr>
                      <w:rFonts w:ascii="Times New Roman" w:hAnsi="Times New Roman" w:cs="Times New Roman"/>
                      <w:bCs/>
                      <w:color w:val="auto"/>
                      <w:kern w:val="2"/>
                      <w:sz w:val="18"/>
                      <w:szCs w:val="18"/>
                    </w:rPr>
                  </w:pPr>
                </w:p>
              </w:tc>
              <w:tc>
                <w:tcPr>
                  <w:tcW w:w="471" w:type="dxa"/>
                  <w:vMerge w:val="continue"/>
                  <w:tcBorders>
                    <w:tl2br w:val="nil"/>
                    <w:tr2bl w:val="nil"/>
                  </w:tcBorders>
                  <w:vAlign w:val="center"/>
                </w:tcPr>
                <w:p w14:paraId="1411A1E7">
                  <w:pPr>
                    <w:pStyle w:val="46"/>
                    <w:snapToGrid w:val="0"/>
                    <w:textAlignment w:val="auto"/>
                    <w:rPr>
                      <w:rFonts w:ascii="Times New Roman" w:hAnsi="Times New Roman" w:cs="Times New Roman"/>
                      <w:bCs/>
                      <w:color w:val="auto"/>
                      <w:kern w:val="2"/>
                      <w:sz w:val="18"/>
                      <w:szCs w:val="18"/>
                    </w:rPr>
                  </w:pPr>
                </w:p>
              </w:tc>
              <w:tc>
                <w:tcPr>
                  <w:tcW w:w="473" w:type="dxa"/>
                  <w:vMerge w:val="continue"/>
                  <w:tcBorders>
                    <w:tl2br w:val="nil"/>
                    <w:tr2bl w:val="nil"/>
                  </w:tcBorders>
                  <w:vAlign w:val="center"/>
                </w:tcPr>
                <w:p w14:paraId="0D9AEA2D">
                  <w:pPr>
                    <w:pStyle w:val="46"/>
                    <w:snapToGrid w:val="0"/>
                    <w:textAlignment w:val="auto"/>
                    <w:rPr>
                      <w:rFonts w:ascii="Times New Roman" w:hAnsi="Times New Roman" w:cs="Times New Roman"/>
                      <w:bCs/>
                      <w:color w:val="auto"/>
                      <w:kern w:val="2"/>
                      <w:sz w:val="18"/>
                      <w:szCs w:val="18"/>
                    </w:rPr>
                  </w:pPr>
                </w:p>
              </w:tc>
              <w:tc>
                <w:tcPr>
                  <w:tcW w:w="648" w:type="dxa"/>
                  <w:vMerge w:val="continue"/>
                  <w:tcBorders>
                    <w:tl2br w:val="nil"/>
                    <w:tr2bl w:val="nil"/>
                  </w:tcBorders>
                  <w:vAlign w:val="center"/>
                </w:tcPr>
                <w:p w14:paraId="3B81DC62">
                  <w:pPr>
                    <w:pStyle w:val="46"/>
                    <w:snapToGrid w:val="0"/>
                    <w:textAlignment w:val="auto"/>
                    <w:rPr>
                      <w:rFonts w:ascii="Times New Roman" w:hAnsi="Times New Roman" w:cs="Times New Roman"/>
                      <w:bCs/>
                      <w:color w:val="auto"/>
                      <w:kern w:val="2"/>
                      <w:sz w:val="18"/>
                      <w:szCs w:val="18"/>
                    </w:rPr>
                  </w:pPr>
                </w:p>
              </w:tc>
              <w:tc>
                <w:tcPr>
                  <w:tcW w:w="625" w:type="dxa"/>
                  <w:vMerge w:val="restart"/>
                  <w:tcBorders>
                    <w:tl2br w:val="nil"/>
                    <w:tr2bl w:val="nil"/>
                  </w:tcBorders>
                  <w:vAlign w:val="center"/>
                </w:tcPr>
                <w:p w14:paraId="0BA87005">
                  <w:pPr>
                    <w:pStyle w:val="46"/>
                    <w:snapToGrid w:val="0"/>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声压级/dB（A）</w:t>
                  </w:r>
                </w:p>
              </w:tc>
              <w:tc>
                <w:tcPr>
                  <w:tcW w:w="627" w:type="dxa"/>
                  <w:vMerge w:val="restart"/>
                  <w:tcBorders>
                    <w:tl2br w:val="nil"/>
                    <w:tr2bl w:val="nil"/>
                  </w:tcBorders>
                  <w:vAlign w:val="center"/>
                </w:tcPr>
                <w:p w14:paraId="601433B6">
                  <w:pPr>
                    <w:pStyle w:val="46"/>
                    <w:snapToGrid w:val="0"/>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建筑物外距离（m）</w:t>
                  </w:r>
                </w:p>
              </w:tc>
            </w:tr>
            <w:tr w14:paraId="375C9F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419" w:type="dxa"/>
                  <w:vMerge w:val="continue"/>
                  <w:tcBorders>
                    <w:tl2br w:val="nil"/>
                    <w:tr2bl w:val="nil"/>
                  </w:tcBorders>
                  <w:vAlign w:val="center"/>
                </w:tcPr>
                <w:p w14:paraId="077A4B83">
                  <w:pPr>
                    <w:pStyle w:val="46"/>
                    <w:snapToGrid w:val="0"/>
                    <w:textAlignment w:val="auto"/>
                    <w:rPr>
                      <w:rFonts w:ascii="Times New Roman" w:hAnsi="Times New Roman" w:cs="Times New Roman"/>
                      <w:bCs/>
                      <w:color w:val="auto"/>
                      <w:kern w:val="2"/>
                      <w:sz w:val="18"/>
                      <w:szCs w:val="18"/>
                    </w:rPr>
                  </w:pPr>
                </w:p>
              </w:tc>
              <w:tc>
                <w:tcPr>
                  <w:tcW w:w="513" w:type="dxa"/>
                  <w:vMerge w:val="continue"/>
                  <w:tcBorders>
                    <w:tl2br w:val="nil"/>
                    <w:tr2bl w:val="nil"/>
                  </w:tcBorders>
                  <w:vAlign w:val="center"/>
                </w:tcPr>
                <w:p w14:paraId="0526E340">
                  <w:pPr>
                    <w:pStyle w:val="46"/>
                    <w:snapToGrid w:val="0"/>
                    <w:textAlignment w:val="auto"/>
                    <w:rPr>
                      <w:rFonts w:ascii="Times New Roman" w:hAnsi="Times New Roman" w:cs="Times New Roman"/>
                      <w:bCs/>
                      <w:color w:val="auto"/>
                      <w:kern w:val="2"/>
                      <w:sz w:val="18"/>
                      <w:szCs w:val="18"/>
                    </w:rPr>
                  </w:pPr>
                </w:p>
              </w:tc>
              <w:tc>
                <w:tcPr>
                  <w:tcW w:w="537" w:type="dxa"/>
                  <w:vMerge w:val="continue"/>
                  <w:tcBorders>
                    <w:tl2br w:val="nil"/>
                    <w:tr2bl w:val="nil"/>
                  </w:tcBorders>
                  <w:vAlign w:val="center"/>
                </w:tcPr>
                <w:p w14:paraId="0D5E7FB5">
                  <w:pPr>
                    <w:pStyle w:val="46"/>
                    <w:snapToGrid w:val="0"/>
                    <w:textAlignment w:val="auto"/>
                    <w:rPr>
                      <w:rFonts w:ascii="Times New Roman" w:hAnsi="Times New Roman" w:cs="Times New Roman"/>
                      <w:bCs/>
                      <w:color w:val="auto"/>
                      <w:kern w:val="2"/>
                      <w:sz w:val="18"/>
                      <w:szCs w:val="18"/>
                    </w:rPr>
                  </w:pPr>
                </w:p>
              </w:tc>
              <w:tc>
                <w:tcPr>
                  <w:tcW w:w="484" w:type="dxa"/>
                  <w:vMerge w:val="continue"/>
                  <w:tcBorders>
                    <w:tl2br w:val="nil"/>
                    <w:tr2bl w:val="nil"/>
                  </w:tcBorders>
                  <w:vAlign w:val="center"/>
                </w:tcPr>
                <w:p w14:paraId="0BEE8DF2">
                  <w:pPr>
                    <w:pStyle w:val="46"/>
                    <w:snapToGrid w:val="0"/>
                    <w:textAlignment w:val="auto"/>
                    <w:rPr>
                      <w:rFonts w:ascii="Times New Roman" w:hAnsi="Times New Roman" w:cs="Times New Roman"/>
                      <w:bCs/>
                      <w:color w:val="auto"/>
                      <w:kern w:val="2"/>
                      <w:sz w:val="18"/>
                      <w:szCs w:val="18"/>
                    </w:rPr>
                  </w:pPr>
                </w:p>
              </w:tc>
              <w:tc>
                <w:tcPr>
                  <w:tcW w:w="620" w:type="dxa"/>
                  <w:vMerge w:val="continue"/>
                  <w:tcBorders>
                    <w:tl2br w:val="nil"/>
                    <w:tr2bl w:val="nil"/>
                  </w:tcBorders>
                  <w:vAlign w:val="center"/>
                </w:tcPr>
                <w:p w14:paraId="3493F624">
                  <w:pPr>
                    <w:pStyle w:val="46"/>
                    <w:snapToGrid w:val="0"/>
                    <w:textAlignment w:val="auto"/>
                    <w:rPr>
                      <w:rFonts w:ascii="Times New Roman" w:hAnsi="Times New Roman" w:cs="Times New Roman"/>
                      <w:bCs/>
                      <w:color w:val="auto"/>
                      <w:kern w:val="2"/>
                      <w:sz w:val="18"/>
                      <w:szCs w:val="18"/>
                    </w:rPr>
                  </w:pPr>
                </w:p>
              </w:tc>
              <w:tc>
                <w:tcPr>
                  <w:tcW w:w="629" w:type="dxa"/>
                  <w:vMerge w:val="continue"/>
                  <w:tcBorders>
                    <w:tl2br w:val="nil"/>
                    <w:tr2bl w:val="nil"/>
                  </w:tcBorders>
                  <w:vAlign w:val="center"/>
                </w:tcPr>
                <w:p w14:paraId="06F04471">
                  <w:pPr>
                    <w:pStyle w:val="46"/>
                    <w:snapToGrid w:val="0"/>
                    <w:textAlignment w:val="auto"/>
                    <w:rPr>
                      <w:rFonts w:ascii="Times New Roman" w:hAnsi="Times New Roman" w:cs="Times New Roman"/>
                      <w:bCs/>
                      <w:color w:val="auto"/>
                      <w:kern w:val="2"/>
                      <w:sz w:val="18"/>
                      <w:szCs w:val="18"/>
                    </w:rPr>
                  </w:pPr>
                </w:p>
              </w:tc>
              <w:tc>
                <w:tcPr>
                  <w:tcW w:w="450" w:type="dxa"/>
                  <w:tcBorders>
                    <w:tl2br w:val="nil"/>
                    <w:tr2bl w:val="nil"/>
                  </w:tcBorders>
                  <w:vAlign w:val="center"/>
                </w:tcPr>
                <w:p w14:paraId="479C7DD9">
                  <w:pPr>
                    <w:pStyle w:val="46"/>
                    <w:snapToGrid w:val="0"/>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X</w:t>
                  </w:r>
                </w:p>
              </w:tc>
              <w:tc>
                <w:tcPr>
                  <w:tcW w:w="460" w:type="dxa"/>
                  <w:tcBorders>
                    <w:tl2br w:val="nil"/>
                    <w:tr2bl w:val="nil"/>
                  </w:tcBorders>
                  <w:vAlign w:val="center"/>
                </w:tcPr>
                <w:p w14:paraId="79B3B489">
                  <w:pPr>
                    <w:pStyle w:val="46"/>
                    <w:snapToGrid w:val="0"/>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Y</w:t>
                  </w:r>
                </w:p>
              </w:tc>
              <w:tc>
                <w:tcPr>
                  <w:tcW w:w="485" w:type="dxa"/>
                  <w:tcBorders>
                    <w:tl2br w:val="nil"/>
                    <w:tr2bl w:val="nil"/>
                  </w:tcBorders>
                  <w:vAlign w:val="center"/>
                </w:tcPr>
                <w:p w14:paraId="502FA9AF">
                  <w:pPr>
                    <w:pStyle w:val="46"/>
                    <w:snapToGrid w:val="0"/>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Z</w:t>
                  </w:r>
                </w:p>
              </w:tc>
              <w:tc>
                <w:tcPr>
                  <w:tcW w:w="406" w:type="dxa"/>
                  <w:vMerge w:val="continue"/>
                  <w:tcBorders>
                    <w:tl2br w:val="nil"/>
                    <w:tr2bl w:val="nil"/>
                  </w:tcBorders>
                  <w:vAlign w:val="center"/>
                </w:tcPr>
                <w:p w14:paraId="6E44C2CB">
                  <w:pPr>
                    <w:pStyle w:val="46"/>
                    <w:snapToGrid w:val="0"/>
                    <w:textAlignment w:val="auto"/>
                    <w:rPr>
                      <w:rFonts w:ascii="Times New Roman" w:hAnsi="Times New Roman" w:cs="Times New Roman"/>
                      <w:bCs/>
                      <w:color w:val="auto"/>
                      <w:kern w:val="2"/>
                      <w:sz w:val="18"/>
                      <w:szCs w:val="18"/>
                    </w:rPr>
                  </w:pPr>
                </w:p>
              </w:tc>
              <w:tc>
                <w:tcPr>
                  <w:tcW w:w="471" w:type="dxa"/>
                  <w:vMerge w:val="continue"/>
                  <w:tcBorders>
                    <w:tl2br w:val="nil"/>
                    <w:tr2bl w:val="nil"/>
                  </w:tcBorders>
                  <w:vAlign w:val="center"/>
                </w:tcPr>
                <w:p w14:paraId="55B46829">
                  <w:pPr>
                    <w:pStyle w:val="46"/>
                    <w:snapToGrid w:val="0"/>
                    <w:textAlignment w:val="auto"/>
                    <w:rPr>
                      <w:rFonts w:ascii="Times New Roman" w:hAnsi="Times New Roman" w:cs="Times New Roman"/>
                      <w:bCs/>
                      <w:color w:val="auto"/>
                      <w:kern w:val="2"/>
                      <w:sz w:val="18"/>
                      <w:szCs w:val="18"/>
                    </w:rPr>
                  </w:pPr>
                </w:p>
              </w:tc>
              <w:tc>
                <w:tcPr>
                  <w:tcW w:w="473" w:type="dxa"/>
                  <w:vMerge w:val="continue"/>
                  <w:tcBorders>
                    <w:tl2br w:val="nil"/>
                    <w:tr2bl w:val="nil"/>
                  </w:tcBorders>
                  <w:vAlign w:val="center"/>
                </w:tcPr>
                <w:p w14:paraId="286D21A9">
                  <w:pPr>
                    <w:pStyle w:val="46"/>
                    <w:snapToGrid w:val="0"/>
                    <w:textAlignment w:val="auto"/>
                    <w:rPr>
                      <w:rFonts w:ascii="Times New Roman" w:hAnsi="Times New Roman" w:cs="Times New Roman"/>
                      <w:bCs/>
                      <w:color w:val="auto"/>
                      <w:kern w:val="2"/>
                      <w:sz w:val="18"/>
                      <w:szCs w:val="18"/>
                    </w:rPr>
                  </w:pPr>
                </w:p>
              </w:tc>
              <w:tc>
                <w:tcPr>
                  <w:tcW w:w="648" w:type="dxa"/>
                  <w:vMerge w:val="continue"/>
                  <w:tcBorders>
                    <w:tl2br w:val="nil"/>
                    <w:tr2bl w:val="nil"/>
                  </w:tcBorders>
                  <w:vAlign w:val="center"/>
                </w:tcPr>
                <w:p w14:paraId="02D622F4">
                  <w:pPr>
                    <w:pStyle w:val="46"/>
                    <w:snapToGrid w:val="0"/>
                    <w:textAlignment w:val="auto"/>
                    <w:rPr>
                      <w:rFonts w:ascii="Times New Roman" w:hAnsi="Times New Roman" w:cs="Times New Roman"/>
                      <w:bCs/>
                      <w:color w:val="auto"/>
                      <w:kern w:val="2"/>
                      <w:sz w:val="18"/>
                      <w:szCs w:val="18"/>
                    </w:rPr>
                  </w:pPr>
                </w:p>
              </w:tc>
              <w:tc>
                <w:tcPr>
                  <w:tcW w:w="625" w:type="dxa"/>
                  <w:vMerge w:val="continue"/>
                  <w:tcBorders>
                    <w:tl2br w:val="nil"/>
                    <w:tr2bl w:val="nil"/>
                  </w:tcBorders>
                  <w:vAlign w:val="center"/>
                </w:tcPr>
                <w:p w14:paraId="21B98E3C">
                  <w:pPr>
                    <w:pStyle w:val="46"/>
                    <w:snapToGrid w:val="0"/>
                    <w:textAlignment w:val="auto"/>
                    <w:rPr>
                      <w:rFonts w:ascii="Times New Roman" w:hAnsi="Times New Roman" w:cs="Times New Roman"/>
                      <w:bCs/>
                      <w:color w:val="auto"/>
                      <w:kern w:val="2"/>
                      <w:sz w:val="18"/>
                      <w:szCs w:val="18"/>
                    </w:rPr>
                  </w:pPr>
                </w:p>
              </w:tc>
              <w:tc>
                <w:tcPr>
                  <w:tcW w:w="627" w:type="dxa"/>
                  <w:vMerge w:val="continue"/>
                  <w:tcBorders>
                    <w:tl2br w:val="nil"/>
                    <w:tr2bl w:val="nil"/>
                  </w:tcBorders>
                  <w:vAlign w:val="center"/>
                </w:tcPr>
                <w:p w14:paraId="35E3F3C7">
                  <w:pPr>
                    <w:pStyle w:val="46"/>
                    <w:snapToGrid w:val="0"/>
                    <w:textAlignment w:val="auto"/>
                    <w:rPr>
                      <w:rFonts w:ascii="Times New Roman" w:hAnsi="Times New Roman" w:cs="Times New Roman"/>
                      <w:bCs/>
                      <w:color w:val="auto"/>
                      <w:kern w:val="2"/>
                      <w:sz w:val="18"/>
                      <w:szCs w:val="18"/>
                    </w:rPr>
                  </w:pPr>
                </w:p>
              </w:tc>
            </w:tr>
            <w:tr w14:paraId="4A2769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419" w:type="dxa"/>
                  <w:tcBorders>
                    <w:tl2br w:val="nil"/>
                    <w:tr2bl w:val="nil"/>
                  </w:tcBorders>
                  <w:vAlign w:val="center"/>
                </w:tcPr>
                <w:p w14:paraId="38B1BFAB">
                  <w:pPr>
                    <w:pStyle w:val="46"/>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1</w:t>
                  </w:r>
                </w:p>
              </w:tc>
              <w:tc>
                <w:tcPr>
                  <w:tcW w:w="513" w:type="dxa"/>
                  <w:tcBorders>
                    <w:tl2br w:val="nil"/>
                    <w:tr2bl w:val="nil"/>
                  </w:tcBorders>
                  <w:vAlign w:val="center"/>
                </w:tcPr>
                <w:p w14:paraId="4A6B0AF9">
                  <w:pPr>
                    <w:pStyle w:val="46"/>
                    <w:textAlignment w:val="auto"/>
                    <w:rPr>
                      <w:rFonts w:asciiTheme="minorEastAsia" w:hAnsiTheme="minorEastAsia" w:eastAsiaTheme="minorEastAsia" w:cstheme="minorEastAsia"/>
                      <w:bCs/>
                      <w:color w:val="auto"/>
                      <w:kern w:val="2"/>
                      <w:sz w:val="18"/>
                      <w:szCs w:val="18"/>
                    </w:rPr>
                  </w:pPr>
                  <w:r>
                    <w:rPr>
                      <w:rFonts w:hint="eastAsia" w:asciiTheme="minorEastAsia" w:hAnsiTheme="minorEastAsia" w:eastAsiaTheme="minorEastAsia" w:cstheme="minorEastAsia"/>
                      <w:bCs/>
                      <w:color w:val="auto"/>
                      <w:kern w:val="2"/>
                      <w:sz w:val="18"/>
                      <w:szCs w:val="18"/>
                    </w:rPr>
                    <w:t>热风炉房</w:t>
                  </w:r>
                </w:p>
              </w:tc>
              <w:tc>
                <w:tcPr>
                  <w:tcW w:w="537" w:type="dxa"/>
                  <w:tcBorders>
                    <w:tl2br w:val="nil"/>
                    <w:tr2bl w:val="nil"/>
                  </w:tcBorders>
                  <w:vAlign w:val="center"/>
                </w:tcPr>
                <w:p w14:paraId="49074981">
                  <w:pPr>
                    <w:pStyle w:val="46"/>
                    <w:textAlignment w:val="auto"/>
                    <w:rPr>
                      <w:rFonts w:asciiTheme="minorEastAsia" w:hAnsiTheme="minorEastAsia" w:eastAsiaTheme="minorEastAsia" w:cstheme="minorEastAsia"/>
                      <w:bCs/>
                      <w:color w:val="auto"/>
                      <w:kern w:val="2"/>
                      <w:sz w:val="18"/>
                      <w:szCs w:val="18"/>
                    </w:rPr>
                  </w:pPr>
                  <w:r>
                    <w:rPr>
                      <w:rFonts w:hint="eastAsia" w:asciiTheme="minorEastAsia" w:hAnsiTheme="minorEastAsia" w:eastAsiaTheme="minorEastAsia" w:cstheme="minorEastAsia"/>
                      <w:bCs/>
                      <w:color w:val="auto"/>
                      <w:sz w:val="18"/>
                      <w:szCs w:val="18"/>
                    </w:rPr>
                    <w:t>热风炉</w:t>
                  </w:r>
                </w:p>
              </w:tc>
              <w:tc>
                <w:tcPr>
                  <w:tcW w:w="484" w:type="dxa"/>
                  <w:tcBorders>
                    <w:tl2br w:val="nil"/>
                    <w:tr2bl w:val="nil"/>
                  </w:tcBorders>
                  <w:vAlign w:val="center"/>
                </w:tcPr>
                <w:p w14:paraId="12189756">
                  <w:pPr>
                    <w:pStyle w:val="46"/>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w:t>
                  </w:r>
                </w:p>
              </w:tc>
              <w:tc>
                <w:tcPr>
                  <w:tcW w:w="620" w:type="dxa"/>
                  <w:tcBorders>
                    <w:tl2br w:val="nil"/>
                    <w:tr2bl w:val="nil"/>
                  </w:tcBorders>
                  <w:vAlign w:val="center"/>
                </w:tcPr>
                <w:p w14:paraId="0FBD4815">
                  <w:pPr>
                    <w:pStyle w:val="46"/>
                    <w:textAlignment w:val="auto"/>
                    <w:rPr>
                      <w:rFonts w:ascii="Times New Roman" w:hAnsi="Times New Roman" w:cs="Times New Roman"/>
                      <w:bCs/>
                      <w:color w:val="auto"/>
                      <w:kern w:val="2"/>
                      <w:sz w:val="18"/>
                      <w:szCs w:val="18"/>
                    </w:rPr>
                  </w:pPr>
                  <w:r>
                    <w:rPr>
                      <w:rFonts w:hint="eastAsia" w:ascii="Times New Roman" w:hAnsi="Times New Roman" w:cs="Times New Roman"/>
                      <w:bCs/>
                      <w:color w:val="auto"/>
                      <w:kern w:val="2"/>
                      <w:sz w:val="18"/>
                      <w:szCs w:val="18"/>
                    </w:rPr>
                    <w:t>75</w:t>
                  </w:r>
                </w:p>
              </w:tc>
              <w:tc>
                <w:tcPr>
                  <w:tcW w:w="629" w:type="dxa"/>
                  <w:tcBorders>
                    <w:tl2br w:val="nil"/>
                    <w:tr2bl w:val="nil"/>
                  </w:tcBorders>
                  <w:vAlign w:val="center"/>
                </w:tcPr>
                <w:p w14:paraId="35787F0B">
                  <w:pPr>
                    <w:pStyle w:val="46"/>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基础减振、厂房隔声等</w:t>
                  </w:r>
                </w:p>
              </w:tc>
              <w:tc>
                <w:tcPr>
                  <w:tcW w:w="450" w:type="dxa"/>
                  <w:tcBorders>
                    <w:tl2br w:val="nil"/>
                    <w:tr2bl w:val="nil"/>
                  </w:tcBorders>
                  <w:shd w:val="clear" w:color="auto" w:fill="auto"/>
                  <w:vAlign w:val="center"/>
                </w:tcPr>
                <w:p w14:paraId="1A8B73BA">
                  <w:pPr>
                    <w:pStyle w:val="46"/>
                    <w:textAlignment w:val="auto"/>
                    <w:rPr>
                      <w:rFonts w:ascii="Times New Roman" w:hAnsi="Times New Roman" w:cs="Times New Roman"/>
                      <w:bCs/>
                      <w:color w:val="auto"/>
                      <w:kern w:val="2"/>
                      <w:sz w:val="18"/>
                      <w:szCs w:val="18"/>
                    </w:rPr>
                  </w:pPr>
                  <w:r>
                    <w:rPr>
                      <w:rFonts w:hint="eastAsia" w:hAnsi="Times New Roman" w:cs="Times New Roman"/>
                      <w:bCs/>
                      <w:color w:val="auto"/>
                      <w:kern w:val="2"/>
                      <w:sz w:val="18"/>
                      <w:szCs w:val="18"/>
                    </w:rPr>
                    <w:t>65</w:t>
                  </w:r>
                </w:p>
              </w:tc>
              <w:tc>
                <w:tcPr>
                  <w:tcW w:w="460" w:type="dxa"/>
                  <w:tcBorders>
                    <w:tl2br w:val="nil"/>
                    <w:tr2bl w:val="nil"/>
                  </w:tcBorders>
                  <w:shd w:val="clear" w:color="auto" w:fill="auto"/>
                  <w:vAlign w:val="center"/>
                </w:tcPr>
                <w:p w14:paraId="087B65FE">
                  <w:pPr>
                    <w:pStyle w:val="46"/>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55</w:t>
                  </w:r>
                </w:p>
              </w:tc>
              <w:tc>
                <w:tcPr>
                  <w:tcW w:w="485" w:type="dxa"/>
                  <w:tcBorders>
                    <w:tl2br w:val="nil"/>
                    <w:tr2bl w:val="nil"/>
                  </w:tcBorders>
                  <w:shd w:val="clear" w:color="auto" w:fill="auto"/>
                  <w:vAlign w:val="center"/>
                </w:tcPr>
                <w:p w14:paraId="1310E10F">
                  <w:pPr>
                    <w:pStyle w:val="46"/>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0.5</w:t>
                  </w:r>
                </w:p>
              </w:tc>
              <w:tc>
                <w:tcPr>
                  <w:tcW w:w="406" w:type="dxa"/>
                  <w:tcBorders>
                    <w:tl2br w:val="nil"/>
                    <w:tr2bl w:val="nil"/>
                  </w:tcBorders>
                  <w:vAlign w:val="center"/>
                </w:tcPr>
                <w:p w14:paraId="6BC1EE62">
                  <w:pPr>
                    <w:pStyle w:val="46"/>
                    <w:textAlignment w:val="auto"/>
                    <w:rPr>
                      <w:rFonts w:ascii="Times New Roman" w:hAnsi="Times New Roman" w:cs="Times New Roman"/>
                      <w:bCs/>
                      <w:color w:val="auto"/>
                      <w:kern w:val="2"/>
                      <w:sz w:val="18"/>
                      <w:szCs w:val="18"/>
                    </w:rPr>
                  </w:pPr>
                  <w:r>
                    <w:rPr>
                      <w:rFonts w:hint="eastAsia" w:ascii="Times New Roman" w:hAnsi="Times New Roman" w:cs="Times New Roman"/>
                      <w:bCs/>
                      <w:color w:val="auto"/>
                      <w:kern w:val="2"/>
                      <w:sz w:val="18"/>
                      <w:szCs w:val="18"/>
                    </w:rPr>
                    <w:t>2</w:t>
                  </w:r>
                </w:p>
              </w:tc>
              <w:tc>
                <w:tcPr>
                  <w:tcW w:w="471" w:type="dxa"/>
                  <w:tcBorders>
                    <w:tl2br w:val="nil"/>
                    <w:tr2bl w:val="nil"/>
                  </w:tcBorders>
                  <w:vAlign w:val="center"/>
                </w:tcPr>
                <w:p w14:paraId="2BBD329A">
                  <w:pPr>
                    <w:pStyle w:val="46"/>
                    <w:textAlignment w:val="auto"/>
                    <w:rPr>
                      <w:rFonts w:ascii="Times New Roman" w:hAnsi="Times New Roman" w:cs="Times New Roman"/>
                      <w:bCs/>
                      <w:color w:val="auto"/>
                      <w:kern w:val="2"/>
                      <w:sz w:val="18"/>
                      <w:szCs w:val="18"/>
                    </w:rPr>
                  </w:pPr>
                  <w:r>
                    <w:rPr>
                      <w:rFonts w:hint="eastAsia" w:ascii="Times New Roman" w:hAnsi="Times New Roman" w:cs="Times New Roman"/>
                      <w:bCs/>
                      <w:color w:val="auto"/>
                      <w:kern w:val="2"/>
                      <w:sz w:val="18"/>
                      <w:szCs w:val="18"/>
                    </w:rPr>
                    <w:t>69</w:t>
                  </w:r>
                </w:p>
              </w:tc>
              <w:tc>
                <w:tcPr>
                  <w:tcW w:w="473" w:type="dxa"/>
                  <w:tcBorders>
                    <w:tl2br w:val="nil"/>
                    <w:tr2bl w:val="nil"/>
                  </w:tcBorders>
                  <w:vAlign w:val="center"/>
                </w:tcPr>
                <w:p w14:paraId="29A79B4F">
                  <w:pPr>
                    <w:pStyle w:val="46"/>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昼间、夜间</w:t>
                  </w:r>
                </w:p>
              </w:tc>
              <w:tc>
                <w:tcPr>
                  <w:tcW w:w="648" w:type="dxa"/>
                  <w:tcBorders>
                    <w:tl2br w:val="nil"/>
                    <w:tr2bl w:val="nil"/>
                  </w:tcBorders>
                  <w:vAlign w:val="center"/>
                </w:tcPr>
                <w:p w14:paraId="4F8909E7">
                  <w:pPr>
                    <w:pStyle w:val="46"/>
                    <w:textAlignment w:val="auto"/>
                    <w:rPr>
                      <w:rFonts w:ascii="Times New Roman" w:hAnsi="Times New Roman" w:cs="Times New Roman"/>
                      <w:bCs/>
                      <w:color w:val="auto"/>
                      <w:kern w:val="2"/>
                      <w:sz w:val="18"/>
                      <w:szCs w:val="18"/>
                    </w:rPr>
                  </w:pPr>
                  <w:r>
                    <w:rPr>
                      <w:rFonts w:hint="eastAsia" w:ascii="Times New Roman" w:hAnsi="Times New Roman" w:cs="Times New Roman"/>
                      <w:bCs/>
                      <w:color w:val="auto"/>
                      <w:kern w:val="2"/>
                      <w:sz w:val="18"/>
                      <w:szCs w:val="18"/>
                    </w:rPr>
                    <w:t>20</w:t>
                  </w:r>
                </w:p>
              </w:tc>
              <w:tc>
                <w:tcPr>
                  <w:tcW w:w="625" w:type="dxa"/>
                  <w:tcBorders>
                    <w:tl2br w:val="nil"/>
                    <w:tr2bl w:val="nil"/>
                  </w:tcBorders>
                  <w:vAlign w:val="center"/>
                </w:tcPr>
                <w:p w14:paraId="37B40C42">
                  <w:pPr>
                    <w:widowControl/>
                    <w:jc w:val="center"/>
                    <w:textAlignment w:val="center"/>
                    <w:rPr>
                      <w:bCs/>
                      <w:sz w:val="18"/>
                      <w:szCs w:val="18"/>
                    </w:rPr>
                  </w:pPr>
                  <w:r>
                    <w:rPr>
                      <w:rFonts w:hint="eastAsia"/>
                      <w:bCs/>
                      <w:kern w:val="0"/>
                      <w:sz w:val="18"/>
                      <w:szCs w:val="18"/>
                      <w:lang w:bidi="ar"/>
                    </w:rPr>
                    <w:t>49</w:t>
                  </w:r>
                </w:p>
              </w:tc>
              <w:tc>
                <w:tcPr>
                  <w:tcW w:w="627" w:type="dxa"/>
                  <w:tcBorders>
                    <w:tl2br w:val="nil"/>
                    <w:tr2bl w:val="nil"/>
                  </w:tcBorders>
                  <w:vAlign w:val="center"/>
                </w:tcPr>
                <w:p w14:paraId="3AFE1B1B">
                  <w:pPr>
                    <w:pStyle w:val="46"/>
                    <w:textAlignment w:val="auto"/>
                    <w:rPr>
                      <w:rFonts w:ascii="Times New Roman" w:hAnsi="Times New Roman" w:cs="Times New Roman"/>
                      <w:bCs/>
                      <w:color w:val="auto"/>
                      <w:kern w:val="2"/>
                      <w:sz w:val="18"/>
                      <w:szCs w:val="18"/>
                    </w:rPr>
                  </w:pPr>
                  <w:r>
                    <w:rPr>
                      <w:rFonts w:ascii="Times New Roman" w:hAnsi="Times New Roman" w:cs="Times New Roman"/>
                      <w:bCs/>
                      <w:color w:val="auto"/>
                      <w:kern w:val="2"/>
                      <w:sz w:val="18"/>
                      <w:szCs w:val="18"/>
                    </w:rPr>
                    <w:t>1</w:t>
                  </w:r>
                </w:p>
              </w:tc>
            </w:tr>
          </w:tbl>
          <w:p w14:paraId="15C48007">
            <w:pPr>
              <w:adjustRightInd w:val="0"/>
              <w:snapToGrid w:val="0"/>
              <w:jc w:val="center"/>
              <w:rPr>
                <w:b/>
                <w:szCs w:val="21"/>
              </w:rPr>
            </w:pPr>
          </w:p>
          <w:p w14:paraId="7EE291D2">
            <w:pPr>
              <w:adjustRightInd w:val="0"/>
              <w:snapToGrid w:val="0"/>
              <w:spacing w:line="360" w:lineRule="auto"/>
              <w:ind w:firstLine="480" w:firstLineChars="200"/>
              <w:rPr>
                <w:sz w:val="24"/>
              </w:rPr>
            </w:pPr>
            <w:r>
              <w:rPr>
                <w:sz w:val="24"/>
              </w:rPr>
              <w:t>（二）噪声影响预测</w:t>
            </w:r>
          </w:p>
          <w:p w14:paraId="6932EFA3">
            <w:pPr>
              <w:pStyle w:val="109"/>
              <w:adjustRightInd/>
              <w:ind w:firstLine="480"/>
              <w:rPr>
                <w:sz w:val="24"/>
              </w:rPr>
            </w:pPr>
            <w:r>
              <w:rPr>
                <w:sz w:val="24"/>
              </w:rPr>
              <w:t>预测模式采用《环境影响评价技术导则-声环境》（HJ2.4-2021）中推荐的预测模式。</w:t>
            </w:r>
          </w:p>
          <w:p w14:paraId="5236E48A">
            <w:pPr>
              <w:adjustRightInd w:val="0"/>
              <w:snapToGrid w:val="0"/>
              <w:spacing w:line="360" w:lineRule="auto"/>
              <w:ind w:firstLine="480" w:firstLineChars="200"/>
              <w:rPr>
                <w:kern w:val="0"/>
                <w:sz w:val="24"/>
              </w:rPr>
            </w:pPr>
            <w:r>
              <w:rPr>
                <w:kern w:val="0"/>
                <w:sz w:val="24"/>
              </w:rPr>
              <w:t>根据《环境影响评价技术导则声环境》（HJ2.4-2021）的技术要求，本次评价采取导则上推荐模式。</w:t>
            </w:r>
          </w:p>
          <w:p w14:paraId="1F330C59">
            <w:pPr>
              <w:adjustRightInd w:val="0"/>
              <w:snapToGrid w:val="0"/>
              <w:spacing w:line="360" w:lineRule="auto"/>
              <w:ind w:firstLine="480" w:firstLineChars="200"/>
              <w:rPr>
                <w:kern w:val="0"/>
                <w:sz w:val="24"/>
              </w:rPr>
            </w:pPr>
            <w:r>
              <w:rPr>
                <w:kern w:val="0"/>
                <w:sz w:val="24"/>
              </w:rPr>
              <w:t>1）室内点声源</w:t>
            </w:r>
          </w:p>
          <w:p w14:paraId="4AE3D8E1">
            <w:pPr>
              <w:adjustRightInd w:val="0"/>
              <w:snapToGrid w:val="0"/>
              <w:spacing w:line="360" w:lineRule="auto"/>
              <w:ind w:firstLine="480" w:firstLineChars="200"/>
              <w:rPr>
                <w:kern w:val="0"/>
                <w:sz w:val="24"/>
              </w:rPr>
            </w:pPr>
            <w:r>
              <w:rPr>
                <w:kern w:val="0"/>
                <w:sz w:val="24"/>
              </w:rPr>
              <w:t>室内声源采用等效室外声源声功率级法进行计算。先计算出某个室内靠近围护结构处产生的倍频带声压级：</w:t>
            </w:r>
          </w:p>
          <w:p w14:paraId="5D9BABE0">
            <w:pPr>
              <w:adjustRightInd w:val="0"/>
              <w:snapToGrid w:val="0"/>
              <w:spacing w:line="360" w:lineRule="auto"/>
              <w:jc w:val="center"/>
              <w:rPr>
                <w:kern w:val="0"/>
                <w:sz w:val="24"/>
              </w:rPr>
            </w:pPr>
            <w:r>
              <w:rPr>
                <w:kern w:val="0"/>
                <w:sz w:val="24"/>
              </w:rPr>
              <w:drawing>
                <wp:inline distT="0" distB="0" distL="114300" distR="114300">
                  <wp:extent cx="1750060" cy="444500"/>
                  <wp:effectExtent l="0" t="0" r="2540" b="13335"/>
                  <wp:docPr id="7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7"/>
                          <pic:cNvPicPr>
                            <a:picLocks noChangeAspect="1"/>
                          </pic:cNvPicPr>
                        </pic:nvPicPr>
                        <pic:blipFill>
                          <a:blip r:embed="rId26"/>
                          <a:stretch>
                            <a:fillRect/>
                          </a:stretch>
                        </pic:blipFill>
                        <pic:spPr>
                          <a:xfrm>
                            <a:off x="0" y="0"/>
                            <a:ext cx="1750060" cy="444500"/>
                          </a:xfrm>
                          <a:prstGeom prst="rect">
                            <a:avLst/>
                          </a:prstGeom>
                          <a:noFill/>
                          <a:ln>
                            <a:noFill/>
                          </a:ln>
                        </pic:spPr>
                      </pic:pic>
                    </a:graphicData>
                  </a:graphic>
                </wp:inline>
              </w:drawing>
            </w:r>
          </w:p>
          <w:p w14:paraId="22F7965C">
            <w:pPr>
              <w:adjustRightInd w:val="0"/>
              <w:snapToGrid w:val="0"/>
              <w:spacing w:line="360" w:lineRule="auto"/>
              <w:ind w:firstLine="480" w:firstLineChars="200"/>
              <w:rPr>
                <w:kern w:val="0"/>
                <w:sz w:val="24"/>
              </w:rPr>
            </w:pPr>
            <w:r>
              <w:rPr>
                <w:kern w:val="0"/>
                <w:sz w:val="24"/>
              </w:rPr>
              <w:t>然后计算出所有室内声源在围护结构处产生的i倍频带叠加声压级：</w:t>
            </w:r>
          </w:p>
          <w:p w14:paraId="071350B9">
            <w:pPr>
              <w:adjustRightInd w:val="0"/>
              <w:snapToGrid w:val="0"/>
              <w:spacing w:line="360" w:lineRule="auto"/>
              <w:jc w:val="center"/>
              <w:rPr>
                <w:kern w:val="0"/>
                <w:sz w:val="24"/>
              </w:rPr>
            </w:pPr>
            <w:r>
              <w:rPr>
                <w:kern w:val="0"/>
                <w:sz w:val="24"/>
              </w:rPr>
              <w:drawing>
                <wp:inline distT="0" distB="0" distL="114300" distR="114300">
                  <wp:extent cx="1687195" cy="523875"/>
                  <wp:effectExtent l="0" t="0" r="8255" b="8890"/>
                  <wp:docPr id="7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8"/>
                          <pic:cNvPicPr>
                            <a:picLocks noChangeAspect="1"/>
                          </pic:cNvPicPr>
                        </pic:nvPicPr>
                        <pic:blipFill>
                          <a:blip r:embed="rId27"/>
                          <a:stretch>
                            <a:fillRect/>
                          </a:stretch>
                        </pic:blipFill>
                        <pic:spPr>
                          <a:xfrm>
                            <a:off x="0" y="0"/>
                            <a:ext cx="1687195" cy="523875"/>
                          </a:xfrm>
                          <a:prstGeom prst="rect">
                            <a:avLst/>
                          </a:prstGeom>
                          <a:noFill/>
                          <a:ln>
                            <a:noFill/>
                          </a:ln>
                        </pic:spPr>
                      </pic:pic>
                    </a:graphicData>
                  </a:graphic>
                </wp:inline>
              </w:drawing>
            </w:r>
          </w:p>
          <w:p w14:paraId="0B81BD24">
            <w:pPr>
              <w:adjustRightInd w:val="0"/>
              <w:snapToGrid w:val="0"/>
              <w:spacing w:line="360" w:lineRule="auto"/>
              <w:ind w:firstLine="480" w:firstLineChars="200"/>
              <w:rPr>
                <w:kern w:val="0"/>
                <w:sz w:val="24"/>
              </w:rPr>
            </w:pPr>
            <w:r>
              <w:rPr>
                <w:kern w:val="0"/>
                <w:sz w:val="24"/>
              </w:rPr>
              <w:t>在室内近似为扩散声场时，按下式计算出靠近室外围护结构处的声压级：</w:t>
            </w:r>
          </w:p>
          <w:p w14:paraId="50CF4E31">
            <w:pPr>
              <w:adjustRightInd w:val="0"/>
              <w:snapToGrid w:val="0"/>
              <w:spacing w:line="360" w:lineRule="auto"/>
              <w:jc w:val="center"/>
              <w:rPr>
                <w:kern w:val="0"/>
                <w:sz w:val="24"/>
              </w:rPr>
            </w:pPr>
            <w:r>
              <w:rPr>
                <w:kern w:val="0"/>
                <w:sz w:val="24"/>
              </w:rPr>
              <w:drawing>
                <wp:inline distT="0" distB="0" distL="114300" distR="114300">
                  <wp:extent cx="1750060" cy="222250"/>
                  <wp:effectExtent l="0" t="0" r="0" b="5080"/>
                  <wp:docPr id="7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9"/>
                          <pic:cNvPicPr>
                            <a:picLocks noChangeAspect="1"/>
                          </pic:cNvPicPr>
                        </pic:nvPicPr>
                        <pic:blipFill>
                          <a:blip r:embed="rId28"/>
                          <a:stretch>
                            <a:fillRect/>
                          </a:stretch>
                        </pic:blipFill>
                        <pic:spPr>
                          <a:xfrm>
                            <a:off x="0" y="0"/>
                            <a:ext cx="1750060" cy="222250"/>
                          </a:xfrm>
                          <a:prstGeom prst="rect">
                            <a:avLst/>
                          </a:prstGeom>
                          <a:noFill/>
                          <a:ln>
                            <a:noFill/>
                          </a:ln>
                        </pic:spPr>
                      </pic:pic>
                    </a:graphicData>
                  </a:graphic>
                </wp:inline>
              </w:drawing>
            </w:r>
          </w:p>
          <w:p w14:paraId="41F33D9A">
            <w:pPr>
              <w:adjustRightInd w:val="0"/>
              <w:snapToGrid w:val="0"/>
              <w:spacing w:line="360" w:lineRule="auto"/>
              <w:ind w:firstLine="480" w:firstLineChars="200"/>
              <w:rPr>
                <w:kern w:val="0"/>
                <w:sz w:val="24"/>
              </w:rPr>
            </w:pPr>
            <w:r>
              <w:rPr>
                <w:kern w:val="0"/>
                <w:sz w:val="24"/>
              </w:rPr>
              <w:t>将室外声源的声压级和透过面积换算成等效的室外声源，计算出中心位置位于透声面积处的等效声源的倍频带声功率级：</w:t>
            </w:r>
          </w:p>
          <w:p w14:paraId="544F6C24">
            <w:pPr>
              <w:adjustRightInd w:val="0"/>
              <w:snapToGrid w:val="0"/>
              <w:spacing w:line="360" w:lineRule="auto"/>
              <w:jc w:val="center"/>
              <w:rPr>
                <w:kern w:val="0"/>
                <w:sz w:val="24"/>
              </w:rPr>
            </w:pPr>
            <w:r>
              <w:rPr>
                <w:kern w:val="0"/>
                <w:sz w:val="24"/>
              </w:rPr>
              <w:drawing>
                <wp:inline distT="0" distB="0" distL="114300" distR="114300">
                  <wp:extent cx="1327785" cy="222250"/>
                  <wp:effectExtent l="0" t="0" r="0" b="5080"/>
                  <wp:docPr id="7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0"/>
                          <pic:cNvPicPr>
                            <a:picLocks noChangeAspect="1"/>
                          </pic:cNvPicPr>
                        </pic:nvPicPr>
                        <pic:blipFill>
                          <a:blip r:embed="rId29"/>
                          <a:stretch>
                            <a:fillRect/>
                          </a:stretch>
                        </pic:blipFill>
                        <pic:spPr>
                          <a:xfrm>
                            <a:off x="0" y="0"/>
                            <a:ext cx="1327785" cy="222250"/>
                          </a:xfrm>
                          <a:prstGeom prst="rect">
                            <a:avLst/>
                          </a:prstGeom>
                          <a:noFill/>
                          <a:ln>
                            <a:noFill/>
                          </a:ln>
                        </pic:spPr>
                      </pic:pic>
                    </a:graphicData>
                  </a:graphic>
                </wp:inline>
              </w:drawing>
            </w:r>
          </w:p>
          <w:p w14:paraId="7005D216">
            <w:pPr>
              <w:adjustRightInd w:val="0"/>
              <w:snapToGrid w:val="0"/>
              <w:spacing w:line="360" w:lineRule="auto"/>
              <w:ind w:firstLine="480" w:firstLineChars="200"/>
              <w:rPr>
                <w:kern w:val="0"/>
                <w:sz w:val="24"/>
              </w:rPr>
            </w:pPr>
            <w:r>
              <w:rPr>
                <w:kern w:val="0"/>
                <w:sz w:val="24"/>
              </w:rPr>
              <w:t>然后按室外声源预测方法计算预测点处的A声级。</w:t>
            </w:r>
          </w:p>
          <w:p w14:paraId="11C18863">
            <w:pPr>
              <w:adjustRightInd w:val="0"/>
              <w:snapToGrid w:val="0"/>
              <w:spacing w:line="360" w:lineRule="auto"/>
              <w:ind w:firstLine="480" w:firstLineChars="200"/>
              <w:rPr>
                <w:kern w:val="0"/>
                <w:sz w:val="24"/>
              </w:rPr>
            </w:pPr>
            <w:r>
              <w:rPr>
                <w:kern w:val="0"/>
                <w:sz w:val="24"/>
              </w:rPr>
              <w:t>2）噪声贡献值计算</w:t>
            </w:r>
          </w:p>
          <w:p w14:paraId="11F6EC3C">
            <w:pPr>
              <w:adjustRightInd w:val="0"/>
              <w:snapToGrid w:val="0"/>
              <w:spacing w:line="360" w:lineRule="auto"/>
              <w:ind w:firstLine="480" w:firstLineChars="200"/>
              <w:rPr>
                <w:kern w:val="0"/>
                <w:sz w:val="24"/>
              </w:rPr>
            </w:pPr>
            <w:r>
              <w:rPr>
                <w:kern w:val="0"/>
                <w:sz w:val="24"/>
              </w:rPr>
              <w:t>设第i个室外声源在预测点产生的A声级为LAi，在T时间内该声源工作时间为ti；第j个等效室外声源在预测点产生的A声级为LAj，在T时间内该声源工作时间为tj，则拟建工程声源对预测点产生的贡献值为：</w:t>
            </w:r>
          </w:p>
          <w:p w14:paraId="48F1F22F">
            <w:pPr>
              <w:adjustRightInd w:val="0"/>
              <w:snapToGrid w:val="0"/>
              <w:spacing w:line="360" w:lineRule="auto"/>
              <w:jc w:val="center"/>
              <w:rPr>
                <w:kern w:val="0"/>
                <w:sz w:val="24"/>
              </w:rPr>
            </w:pPr>
            <w:r>
              <w:rPr>
                <w:kern w:val="0"/>
                <w:sz w:val="24"/>
              </w:rPr>
              <w:drawing>
                <wp:inline distT="0" distB="0" distL="114300" distR="114300">
                  <wp:extent cx="2608580" cy="523875"/>
                  <wp:effectExtent l="0" t="0" r="1270" b="8890"/>
                  <wp:docPr id="7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1"/>
                          <pic:cNvPicPr>
                            <a:picLocks noChangeAspect="1"/>
                          </pic:cNvPicPr>
                        </pic:nvPicPr>
                        <pic:blipFill>
                          <a:blip r:embed="rId30"/>
                          <a:stretch>
                            <a:fillRect/>
                          </a:stretch>
                        </pic:blipFill>
                        <pic:spPr>
                          <a:xfrm>
                            <a:off x="0" y="0"/>
                            <a:ext cx="2608580" cy="523875"/>
                          </a:xfrm>
                          <a:prstGeom prst="rect">
                            <a:avLst/>
                          </a:prstGeom>
                          <a:noFill/>
                          <a:ln>
                            <a:noFill/>
                          </a:ln>
                        </pic:spPr>
                      </pic:pic>
                    </a:graphicData>
                  </a:graphic>
                </wp:inline>
              </w:drawing>
            </w:r>
          </w:p>
          <w:p w14:paraId="3564EC89">
            <w:pPr>
              <w:pStyle w:val="71"/>
            </w:pPr>
            <w:r>
              <w:rPr>
                <w:kern w:val="0"/>
              </w:rPr>
              <w:t>上式中各符号的意义和单位见HJ2.4-2021</w:t>
            </w:r>
            <w:r>
              <w:t>。</w:t>
            </w:r>
          </w:p>
          <w:p w14:paraId="7210044F">
            <w:pPr>
              <w:pStyle w:val="71"/>
              <w:rPr>
                <w:bCs/>
              </w:rPr>
            </w:pPr>
            <w:r>
              <w:t>（4）预测结果</w:t>
            </w:r>
          </w:p>
          <w:p w14:paraId="697AF396">
            <w:pPr>
              <w:adjustRightInd w:val="0"/>
              <w:spacing w:line="360" w:lineRule="auto"/>
              <w:ind w:firstLine="480" w:firstLineChars="200"/>
              <w:rPr>
                <w:sz w:val="24"/>
                <w:highlight w:val="yellow"/>
              </w:rPr>
            </w:pPr>
            <w:r>
              <w:rPr>
                <w:bCs/>
                <w:sz w:val="24"/>
              </w:rPr>
              <w:t>本项目采用了噪声治理措施，</w:t>
            </w:r>
            <w:r>
              <w:rPr>
                <w:sz w:val="24"/>
              </w:rPr>
              <w:t>根据项目的机械设备声级、所在位置，利用噪声预测模式和方法，对厂界噪声进行预测计算，得到项目建成后各预测点的昼间和夜间噪声级，</w:t>
            </w:r>
            <w:r>
              <w:rPr>
                <w:rFonts w:hint="eastAsia"/>
                <w:sz w:val="24"/>
              </w:rPr>
              <w:t>本次噪声预测</w:t>
            </w:r>
            <w:r>
              <w:rPr>
                <w:sz w:val="24"/>
              </w:rPr>
              <w:t>以</w:t>
            </w:r>
            <w:r>
              <w:rPr>
                <w:rFonts w:hint="eastAsia"/>
                <w:sz w:val="24"/>
              </w:rPr>
              <w:t>厂区内</w:t>
            </w:r>
            <w:r>
              <w:rPr>
                <w:sz w:val="24"/>
              </w:rPr>
              <w:t>产噪设备进行预测，所以用贡献值达标</w:t>
            </w:r>
            <w:r>
              <w:rPr>
                <w:rFonts w:hint="eastAsia"/>
                <w:sz w:val="24"/>
              </w:rPr>
              <w:t>来</w:t>
            </w:r>
            <w:r>
              <w:rPr>
                <w:sz w:val="24"/>
              </w:rPr>
              <w:t>判断</w:t>
            </w:r>
            <w:r>
              <w:rPr>
                <w:rFonts w:hint="eastAsia"/>
                <w:sz w:val="24"/>
              </w:rPr>
              <w:t>，</w:t>
            </w:r>
            <w:r>
              <w:rPr>
                <w:sz w:val="24"/>
              </w:rPr>
              <w:t>噪声影响预测结果见</w:t>
            </w:r>
            <w:r>
              <w:rPr>
                <w:rFonts w:hint="eastAsia"/>
                <w:sz w:val="24"/>
              </w:rPr>
              <w:t>下表</w:t>
            </w:r>
            <w:r>
              <w:rPr>
                <w:sz w:val="24"/>
              </w:rPr>
              <w:t>。</w:t>
            </w:r>
          </w:p>
          <w:p w14:paraId="1B8222F8">
            <w:pPr>
              <w:pStyle w:val="90"/>
              <w:rPr>
                <w:color w:val="C00000"/>
                <w:szCs w:val="21"/>
                <w:highlight w:val="none"/>
              </w:rPr>
            </w:pPr>
            <w:r>
              <w:drawing>
                <wp:inline distT="0" distB="0" distL="114300" distR="114300">
                  <wp:extent cx="5049520" cy="2600960"/>
                  <wp:effectExtent l="0" t="0" r="17780" b="8890"/>
                  <wp:docPr id="1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
                          <pic:cNvPicPr>
                            <a:picLocks noChangeAspect="1"/>
                          </pic:cNvPicPr>
                        </pic:nvPicPr>
                        <pic:blipFill>
                          <a:blip r:embed="rId31"/>
                          <a:stretch>
                            <a:fillRect/>
                          </a:stretch>
                        </pic:blipFill>
                        <pic:spPr>
                          <a:xfrm>
                            <a:off x="0" y="0"/>
                            <a:ext cx="5049520" cy="2600960"/>
                          </a:xfrm>
                          <a:prstGeom prst="rect">
                            <a:avLst/>
                          </a:prstGeom>
                          <a:noFill/>
                          <a:ln>
                            <a:noFill/>
                          </a:ln>
                        </pic:spPr>
                      </pic:pic>
                    </a:graphicData>
                  </a:graphic>
                </wp:inline>
              </w:drawing>
            </w:r>
          </w:p>
          <w:p w14:paraId="6E9B472D">
            <w:pPr>
              <w:pStyle w:val="90"/>
              <w:spacing w:line="360" w:lineRule="auto"/>
              <w:rPr>
                <w:rFonts w:hint="default" w:eastAsia="宋体"/>
                <w:color w:val="C00000"/>
                <w:szCs w:val="21"/>
                <w:highlight w:val="none"/>
                <w:lang w:val="en-US" w:eastAsia="zh-CN"/>
              </w:rPr>
            </w:pPr>
            <w:r>
              <w:rPr>
                <w:rFonts w:hint="eastAsia"/>
                <w:color w:val="C00000"/>
                <w:szCs w:val="21"/>
                <w:highlight w:val="none"/>
                <w:lang w:val="en-US" w:eastAsia="zh-CN"/>
              </w:rPr>
              <w:t>表4-1噪声预测结果图</w:t>
            </w:r>
          </w:p>
          <w:p w14:paraId="219E5062">
            <w:pPr>
              <w:pStyle w:val="90"/>
              <w:rPr>
                <w:color w:val="C00000"/>
                <w:szCs w:val="21"/>
                <w:highlight w:val="none"/>
              </w:rPr>
            </w:pPr>
            <w:r>
              <w:rPr>
                <w:color w:val="C00000"/>
                <w:szCs w:val="21"/>
                <w:highlight w:val="none"/>
              </w:rPr>
              <w:t>表4</w:t>
            </w:r>
            <w:r>
              <w:rPr>
                <w:rFonts w:hint="eastAsia"/>
                <w:color w:val="C00000"/>
                <w:szCs w:val="21"/>
                <w:highlight w:val="none"/>
              </w:rPr>
              <w:t>-7</w:t>
            </w:r>
            <w:r>
              <w:rPr>
                <w:color w:val="C00000"/>
                <w:szCs w:val="21"/>
                <w:highlight w:val="none"/>
              </w:rPr>
              <w:t>噪声预测结果   单位：dB(A)</w:t>
            </w:r>
          </w:p>
          <w:tbl>
            <w:tblPr>
              <w:tblStyle w:val="32"/>
              <w:tblW w:w="793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313"/>
              <w:gridCol w:w="822"/>
              <w:gridCol w:w="822"/>
              <w:gridCol w:w="822"/>
              <w:gridCol w:w="822"/>
              <w:gridCol w:w="822"/>
              <w:gridCol w:w="827"/>
              <w:gridCol w:w="840"/>
              <w:gridCol w:w="847"/>
            </w:tblGrid>
            <w:tr w14:paraId="2E3310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313" w:type="dxa"/>
                  <w:vMerge w:val="restart"/>
                  <w:tcBorders>
                    <w:tl2br w:val="nil"/>
                    <w:tr2bl w:val="nil"/>
                  </w:tcBorders>
                  <w:vAlign w:val="center"/>
                </w:tcPr>
                <w:p w14:paraId="5662AE2E">
                  <w:pPr>
                    <w:jc w:val="center"/>
                    <w:rPr>
                      <w:color w:val="C00000"/>
                      <w:szCs w:val="21"/>
                      <w:highlight w:val="none"/>
                    </w:rPr>
                  </w:pPr>
                  <w:r>
                    <w:rPr>
                      <w:color w:val="C00000"/>
                      <w:szCs w:val="21"/>
                      <w:highlight w:val="none"/>
                    </w:rPr>
                    <w:t>项目</w:t>
                  </w:r>
                </w:p>
              </w:tc>
              <w:tc>
                <w:tcPr>
                  <w:tcW w:w="1644" w:type="dxa"/>
                  <w:gridSpan w:val="2"/>
                  <w:tcBorders>
                    <w:tl2br w:val="nil"/>
                    <w:tr2bl w:val="nil"/>
                  </w:tcBorders>
                  <w:vAlign w:val="center"/>
                </w:tcPr>
                <w:p w14:paraId="7759B1FD">
                  <w:pPr>
                    <w:widowControl/>
                    <w:adjustRightInd w:val="0"/>
                    <w:snapToGrid w:val="0"/>
                    <w:jc w:val="center"/>
                    <w:rPr>
                      <w:color w:val="C00000"/>
                      <w:szCs w:val="21"/>
                      <w:highlight w:val="none"/>
                    </w:rPr>
                  </w:pPr>
                  <w:r>
                    <w:rPr>
                      <w:color w:val="C00000"/>
                      <w:szCs w:val="21"/>
                      <w:highlight w:val="none"/>
                    </w:rPr>
                    <w:t>现状值</w:t>
                  </w:r>
                </w:p>
              </w:tc>
              <w:tc>
                <w:tcPr>
                  <w:tcW w:w="1644" w:type="dxa"/>
                  <w:gridSpan w:val="2"/>
                  <w:tcBorders>
                    <w:tl2br w:val="nil"/>
                    <w:tr2bl w:val="nil"/>
                  </w:tcBorders>
                  <w:vAlign w:val="center"/>
                </w:tcPr>
                <w:p w14:paraId="4AD866CD">
                  <w:pPr>
                    <w:widowControl/>
                    <w:adjustRightInd w:val="0"/>
                    <w:snapToGrid w:val="0"/>
                    <w:jc w:val="center"/>
                    <w:rPr>
                      <w:color w:val="C00000"/>
                      <w:szCs w:val="21"/>
                      <w:highlight w:val="none"/>
                    </w:rPr>
                  </w:pPr>
                  <w:r>
                    <w:rPr>
                      <w:color w:val="C00000"/>
                      <w:szCs w:val="21"/>
                      <w:highlight w:val="none"/>
                    </w:rPr>
                    <w:t>贡献值</w:t>
                  </w:r>
                </w:p>
              </w:tc>
              <w:tc>
                <w:tcPr>
                  <w:tcW w:w="1649" w:type="dxa"/>
                  <w:gridSpan w:val="2"/>
                  <w:tcBorders>
                    <w:tl2br w:val="nil"/>
                    <w:tr2bl w:val="nil"/>
                  </w:tcBorders>
                  <w:vAlign w:val="center"/>
                </w:tcPr>
                <w:p w14:paraId="7F0B2B24">
                  <w:pPr>
                    <w:widowControl/>
                    <w:adjustRightInd w:val="0"/>
                    <w:snapToGrid w:val="0"/>
                    <w:jc w:val="center"/>
                    <w:rPr>
                      <w:color w:val="C00000"/>
                      <w:szCs w:val="21"/>
                      <w:highlight w:val="none"/>
                    </w:rPr>
                  </w:pPr>
                  <w:r>
                    <w:rPr>
                      <w:color w:val="C00000"/>
                      <w:szCs w:val="21"/>
                      <w:highlight w:val="none"/>
                    </w:rPr>
                    <w:t>预测值</w:t>
                  </w:r>
                </w:p>
              </w:tc>
              <w:tc>
                <w:tcPr>
                  <w:tcW w:w="1687" w:type="dxa"/>
                  <w:gridSpan w:val="2"/>
                  <w:tcBorders>
                    <w:tl2br w:val="nil"/>
                    <w:tr2bl w:val="nil"/>
                  </w:tcBorders>
                  <w:vAlign w:val="center"/>
                </w:tcPr>
                <w:p w14:paraId="643DBB5C">
                  <w:pPr>
                    <w:jc w:val="center"/>
                    <w:rPr>
                      <w:color w:val="C00000"/>
                      <w:szCs w:val="21"/>
                      <w:highlight w:val="none"/>
                    </w:rPr>
                  </w:pPr>
                  <w:r>
                    <w:rPr>
                      <w:color w:val="C00000"/>
                      <w:szCs w:val="21"/>
                      <w:highlight w:val="none"/>
                    </w:rPr>
                    <w:t>超标和达标情况</w:t>
                  </w:r>
                </w:p>
              </w:tc>
            </w:tr>
            <w:tr w14:paraId="7ABDB7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313" w:type="dxa"/>
                  <w:vMerge w:val="continue"/>
                  <w:tcBorders>
                    <w:tl2br w:val="nil"/>
                    <w:tr2bl w:val="nil"/>
                  </w:tcBorders>
                  <w:vAlign w:val="center"/>
                </w:tcPr>
                <w:p w14:paraId="4CB75272">
                  <w:pPr>
                    <w:jc w:val="center"/>
                    <w:rPr>
                      <w:color w:val="C00000"/>
                      <w:szCs w:val="21"/>
                      <w:highlight w:val="none"/>
                    </w:rPr>
                  </w:pPr>
                </w:p>
              </w:tc>
              <w:tc>
                <w:tcPr>
                  <w:tcW w:w="822" w:type="dxa"/>
                  <w:tcBorders>
                    <w:tl2br w:val="nil"/>
                    <w:tr2bl w:val="nil"/>
                  </w:tcBorders>
                  <w:vAlign w:val="center"/>
                </w:tcPr>
                <w:p w14:paraId="48840F69">
                  <w:pPr>
                    <w:widowControl/>
                    <w:adjustRightInd w:val="0"/>
                    <w:snapToGrid w:val="0"/>
                    <w:jc w:val="center"/>
                    <w:rPr>
                      <w:color w:val="C00000"/>
                      <w:szCs w:val="21"/>
                      <w:highlight w:val="none"/>
                    </w:rPr>
                  </w:pPr>
                  <w:r>
                    <w:rPr>
                      <w:color w:val="C00000"/>
                      <w:szCs w:val="21"/>
                      <w:highlight w:val="none"/>
                    </w:rPr>
                    <w:t>昼间</w:t>
                  </w:r>
                </w:p>
              </w:tc>
              <w:tc>
                <w:tcPr>
                  <w:tcW w:w="822" w:type="dxa"/>
                  <w:tcBorders>
                    <w:tl2br w:val="nil"/>
                    <w:tr2bl w:val="nil"/>
                  </w:tcBorders>
                  <w:vAlign w:val="center"/>
                </w:tcPr>
                <w:p w14:paraId="2813836F">
                  <w:pPr>
                    <w:widowControl/>
                    <w:adjustRightInd w:val="0"/>
                    <w:snapToGrid w:val="0"/>
                    <w:jc w:val="center"/>
                    <w:rPr>
                      <w:color w:val="C00000"/>
                      <w:szCs w:val="21"/>
                      <w:highlight w:val="none"/>
                    </w:rPr>
                  </w:pPr>
                  <w:r>
                    <w:rPr>
                      <w:color w:val="C00000"/>
                      <w:szCs w:val="21"/>
                      <w:highlight w:val="none"/>
                    </w:rPr>
                    <w:t>夜间</w:t>
                  </w:r>
                </w:p>
              </w:tc>
              <w:tc>
                <w:tcPr>
                  <w:tcW w:w="822" w:type="dxa"/>
                  <w:tcBorders>
                    <w:tl2br w:val="nil"/>
                    <w:tr2bl w:val="nil"/>
                  </w:tcBorders>
                  <w:vAlign w:val="center"/>
                </w:tcPr>
                <w:p w14:paraId="40813093">
                  <w:pPr>
                    <w:widowControl/>
                    <w:adjustRightInd w:val="0"/>
                    <w:snapToGrid w:val="0"/>
                    <w:jc w:val="center"/>
                    <w:rPr>
                      <w:color w:val="C00000"/>
                      <w:szCs w:val="21"/>
                      <w:highlight w:val="none"/>
                    </w:rPr>
                  </w:pPr>
                  <w:r>
                    <w:rPr>
                      <w:color w:val="C00000"/>
                      <w:szCs w:val="21"/>
                      <w:highlight w:val="none"/>
                    </w:rPr>
                    <w:t>昼间</w:t>
                  </w:r>
                </w:p>
              </w:tc>
              <w:tc>
                <w:tcPr>
                  <w:tcW w:w="822" w:type="dxa"/>
                  <w:tcBorders>
                    <w:tl2br w:val="nil"/>
                    <w:tr2bl w:val="nil"/>
                  </w:tcBorders>
                  <w:vAlign w:val="center"/>
                </w:tcPr>
                <w:p w14:paraId="75A92F2D">
                  <w:pPr>
                    <w:widowControl/>
                    <w:adjustRightInd w:val="0"/>
                    <w:snapToGrid w:val="0"/>
                    <w:jc w:val="center"/>
                    <w:rPr>
                      <w:color w:val="C00000"/>
                      <w:szCs w:val="21"/>
                      <w:highlight w:val="none"/>
                    </w:rPr>
                  </w:pPr>
                  <w:r>
                    <w:rPr>
                      <w:color w:val="C00000"/>
                      <w:szCs w:val="21"/>
                      <w:highlight w:val="none"/>
                    </w:rPr>
                    <w:t>夜间</w:t>
                  </w:r>
                </w:p>
              </w:tc>
              <w:tc>
                <w:tcPr>
                  <w:tcW w:w="822" w:type="dxa"/>
                  <w:tcBorders>
                    <w:tl2br w:val="nil"/>
                    <w:tr2bl w:val="nil"/>
                  </w:tcBorders>
                  <w:vAlign w:val="center"/>
                </w:tcPr>
                <w:p w14:paraId="62136CAD">
                  <w:pPr>
                    <w:widowControl/>
                    <w:adjustRightInd w:val="0"/>
                    <w:snapToGrid w:val="0"/>
                    <w:jc w:val="center"/>
                    <w:rPr>
                      <w:color w:val="C00000"/>
                      <w:szCs w:val="21"/>
                      <w:highlight w:val="none"/>
                    </w:rPr>
                  </w:pPr>
                  <w:r>
                    <w:rPr>
                      <w:color w:val="C00000"/>
                      <w:szCs w:val="21"/>
                      <w:highlight w:val="none"/>
                    </w:rPr>
                    <w:t>昼间</w:t>
                  </w:r>
                </w:p>
              </w:tc>
              <w:tc>
                <w:tcPr>
                  <w:tcW w:w="827" w:type="dxa"/>
                  <w:tcBorders>
                    <w:tl2br w:val="nil"/>
                    <w:tr2bl w:val="nil"/>
                  </w:tcBorders>
                  <w:vAlign w:val="center"/>
                </w:tcPr>
                <w:p w14:paraId="021E06CE">
                  <w:pPr>
                    <w:widowControl/>
                    <w:adjustRightInd w:val="0"/>
                    <w:snapToGrid w:val="0"/>
                    <w:jc w:val="center"/>
                    <w:rPr>
                      <w:color w:val="C00000"/>
                      <w:szCs w:val="21"/>
                      <w:highlight w:val="none"/>
                    </w:rPr>
                  </w:pPr>
                  <w:r>
                    <w:rPr>
                      <w:color w:val="C00000"/>
                      <w:szCs w:val="21"/>
                      <w:highlight w:val="none"/>
                    </w:rPr>
                    <w:t>夜间</w:t>
                  </w:r>
                </w:p>
              </w:tc>
              <w:tc>
                <w:tcPr>
                  <w:tcW w:w="840" w:type="dxa"/>
                  <w:tcBorders>
                    <w:tl2br w:val="nil"/>
                    <w:tr2bl w:val="nil"/>
                  </w:tcBorders>
                  <w:vAlign w:val="center"/>
                </w:tcPr>
                <w:p w14:paraId="672EA04F">
                  <w:pPr>
                    <w:jc w:val="center"/>
                    <w:rPr>
                      <w:color w:val="C00000"/>
                      <w:szCs w:val="21"/>
                      <w:highlight w:val="none"/>
                    </w:rPr>
                  </w:pPr>
                  <w:r>
                    <w:rPr>
                      <w:color w:val="C00000"/>
                      <w:szCs w:val="21"/>
                      <w:highlight w:val="none"/>
                    </w:rPr>
                    <w:t>昼间</w:t>
                  </w:r>
                </w:p>
              </w:tc>
              <w:tc>
                <w:tcPr>
                  <w:tcW w:w="847" w:type="dxa"/>
                  <w:tcBorders>
                    <w:tl2br w:val="nil"/>
                    <w:tr2bl w:val="nil"/>
                  </w:tcBorders>
                  <w:vAlign w:val="center"/>
                </w:tcPr>
                <w:p w14:paraId="13E3AD18">
                  <w:pPr>
                    <w:jc w:val="center"/>
                    <w:rPr>
                      <w:color w:val="C00000"/>
                      <w:szCs w:val="21"/>
                      <w:highlight w:val="none"/>
                    </w:rPr>
                  </w:pPr>
                  <w:r>
                    <w:rPr>
                      <w:color w:val="C00000"/>
                      <w:szCs w:val="21"/>
                      <w:highlight w:val="none"/>
                    </w:rPr>
                    <w:t>夜间</w:t>
                  </w:r>
                </w:p>
              </w:tc>
            </w:tr>
            <w:tr w14:paraId="4FC4E3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313" w:type="dxa"/>
                  <w:tcBorders>
                    <w:tl2br w:val="nil"/>
                    <w:tr2bl w:val="nil"/>
                  </w:tcBorders>
                  <w:vAlign w:val="center"/>
                </w:tcPr>
                <w:p w14:paraId="6D708868">
                  <w:pPr>
                    <w:jc w:val="center"/>
                    <w:rPr>
                      <w:color w:val="C00000"/>
                      <w:szCs w:val="21"/>
                      <w:highlight w:val="none"/>
                    </w:rPr>
                  </w:pPr>
                  <w:r>
                    <w:rPr>
                      <w:color w:val="C00000"/>
                      <w:szCs w:val="21"/>
                      <w:highlight w:val="none"/>
                    </w:rPr>
                    <w:t>厂界东侧</w:t>
                  </w:r>
                </w:p>
              </w:tc>
              <w:tc>
                <w:tcPr>
                  <w:tcW w:w="822" w:type="dxa"/>
                  <w:tcBorders>
                    <w:tl2br w:val="nil"/>
                    <w:tr2bl w:val="nil"/>
                  </w:tcBorders>
                  <w:vAlign w:val="center"/>
                </w:tcPr>
                <w:p w14:paraId="17FEC4A5">
                  <w:pPr>
                    <w:widowControl/>
                    <w:adjustRightInd w:val="0"/>
                    <w:snapToGrid w:val="0"/>
                    <w:jc w:val="center"/>
                    <w:rPr>
                      <w:color w:val="C00000"/>
                      <w:szCs w:val="21"/>
                      <w:highlight w:val="none"/>
                    </w:rPr>
                  </w:pPr>
                  <w:r>
                    <w:rPr>
                      <w:rFonts w:hint="eastAsia"/>
                      <w:color w:val="C00000"/>
                      <w:szCs w:val="21"/>
                      <w:highlight w:val="none"/>
                    </w:rPr>
                    <w:t>/</w:t>
                  </w:r>
                </w:p>
              </w:tc>
              <w:tc>
                <w:tcPr>
                  <w:tcW w:w="822" w:type="dxa"/>
                  <w:tcBorders>
                    <w:tl2br w:val="nil"/>
                    <w:tr2bl w:val="nil"/>
                  </w:tcBorders>
                  <w:vAlign w:val="center"/>
                </w:tcPr>
                <w:p w14:paraId="5AB848A6">
                  <w:pPr>
                    <w:widowControl/>
                    <w:adjustRightInd w:val="0"/>
                    <w:snapToGrid w:val="0"/>
                    <w:jc w:val="center"/>
                    <w:rPr>
                      <w:color w:val="C00000"/>
                      <w:szCs w:val="21"/>
                      <w:highlight w:val="none"/>
                    </w:rPr>
                  </w:pPr>
                  <w:r>
                    <w:rPr>
                      <w:rFonts w:hint="eastAsia"/>
                      <w:color w:val="C00000"/>
                      <w:szCs w:val="21"/>
                      <w:highlight w:val="none"/>
                    </w:rPr>
                    <w:t>/</w:t>
                  </w:r>
                </w:p>
              </w:tc>
              <w:tc>
                <w:tcPr>
                  <w:tcW w:w="822" w:type="dxa"/>
                  <w:tcBorders>
                    <w:tl2br w:val="nil"/>
                    <w:tr2bl w:val="nil"/>
                  </w:tcBorders>
                  <w:vAlign w:val="center"/>
                </w:tcPr>
                <w:p w14:paraId="32AB72E3">
                  <w:pPr>
                    <w:widowControl/>
                    <w:adjustRightInd w:val="0"/>
                    <w:snapToGrid w:val="0"/>
                    <w:jc w:val="center"/>
                    <w:rPr>
                      <w:rFonts w:hint="default" w:eastAsia="宋体"/>
                      <w:color w:val="C00000"/>
                      <w:szCs w:val="21"/>
                      <w:highlight w:val="none"/>
                      <w:lang w:val="en-US" w:eastAsia="zh-CN"/>
                    </w:rPr>
                  </w:pPr>
                  <w:r>
                    <w:rPr>
                      <w:rFonts w:hint="eastAsia"/>
                      <w:color w:val="C00000"/>
                      <w:szCs w:val="21"/>
                      <w:highlight w:val="none"/>
                      <w:lang w:val="en-US" w:eastAsia="zh-CN"/>
                    </w:rPr>
                    <w:t>23</w:t>
                  </w:r>
                </w:p>
              </w:tc>
              <w:tc>
                <w:tcPr>
                  <w:tcW w:w="822" w:type="dxa"/>
                  <w:tcBorders>
                    <w:tl2br w:val="nil"/>
                    <w:tr2bl w:val="nil"/>
                  </w:tcBorders>
                  <w:vAlign w:val="center"/>
                </w:tcPr>
                <w:p w14:paraId="58638908">
                  <w:pPr>
                    <w:widowControl/>
                    <w:adjustRightInd w:val="0"/>
                    <w:snapToGrid w:val="0"/>
                    <w:jc w:val="center"/>
                    <w:rPr>
                      <w:rFonts w:hint="default" w:eastAsia="宋体"/>
                      <w:color w:val="C00000"/>
                      <w:szCs w:val="21"/>
                      <w:highlight w:val="none"/>
                      <w:lang w:val="en-US" w:eastAsia="zh-CN"/>
                    </w:rPr>
                  </w:pPr>
                  <w:r>
                    <w:rPr>
                      <w:rFonts w:hint="eastAsia"/>
                      <w:color w:val="C00000"/>
                      <w:szCs w:val="21"/>
                      <w:highlight w:val="none"/>
                      <w:lang w:val="en-US" w:eastAsia="zh-CN"/>
                    </w:rPr>
                    <w:t>23</w:t>
                  </w:r>
                </w:p>
              </w:tc>
              <w:tc>
                <w:tcPr>
                  <w:tcW w:w="822" w:type="dxa"/>
                  <w:tcBorders>
                    <w:tl2br w:val="nil"/>
                    <w:tr2bl w:val="nil"/>
                  </w:tcBorders>
                  <w:vAlign w:val="center"/>
                </w:tcPr>
                <w:p w14:paraId="65C319CD">
                  <w:pPr>
                    <w:widowControl/>
                    <w:adjustRightInd w:val="0"/>
                    <w:snapToGrid w:val="0"/>
                    <w:jc w:val="center"/>
                    <w:rPr>
                      <w:color w:val="C00000"/>
                      <w:szCs w:val="21"/>
                      <w:highlight w:val="none"/>
                    </w:rPr>
                  </w:pPr>
                  <w:r>
                    <w:rPr>
                      <w:rFonts w:hint="eastAsia"/>
                      <w:color w:val="C00000"/>
                      <w:szCs w:val="21"/>
                      <w:highlight w:val="none"/>
                    </w:rPr>
                    <w:t>/</w:t>
                  </w:r>
                </w:p>
              </w:tc>
              <w:tc>
                <w:tcPr>
                  <w:tcW w:w="827" w:type="dxa"/>
                  <w:tcBorders>
                    <w:tl2br w:val="nil"/>
                    <w:tr2bl w:val="nil"/>
                  </w:tcBorders>
                  <w:vAlign w:val="center"/>
                </w:tcPr>
                <w:p w14:paraId="7916CE3F">
                  <w:pPr>
                    <w:widowControl/>
                    <w:adjustRightInd w:val="0"/>
                    <w:snapToGrid w:val="0"/>
                    <w:jc w:val="center"/>
                    <w:rPr>
                      <w:color w:val="C00000"/>
                      <w:szCs w:val="21"/>
                      <w:highlight w:val="none"/>
                    </w:rPr>
                  </w:pPr>
                  <w:r>
                    <w:rPr>
                      <w:rFonts w:hint="eastAsia"/>
                      <w:color w:val="C00000"/>
                      <w:szCs w:val="21"/>
                      <w:highlight w:val="none"/>
                    </w:rPr>
                    <w:t>/</w:t>
                  </w:r>
                </w:p>
              </w:tc>
              <w:tc>
                <w:tcPr>
                  <w:tcW w:w="840" w:type="dxa"/>
                  <w:tcBorders>
                    <w:tl2br w:val="nil"/>
                    <w:tr2bl w:val="nil"/>
                  </w:tcBorders>
                  <w:vAlign w:val="center"/>
                </w:tcPr>
                <w:p w14:paraId="2E0B0C01">
                  <w:pPr>
                    <w:jc w:val="center"/>
                    <w:rPr>
                      <w:color w:val="C00000"/>
                      <w:szCs w:val="21"/>
                      <w:highlight w:val="none"/>
                    </w:rPr>
                  </w:pPr>
                  <w:r>
                    <w:rPr>
                      <w:color w:val="C00000"/>
                      <w:szCs w:val="21"/>
                      <w:highlight w:val="none"/>
                    </w:rPr>
                    <w:t>达标</w:t>
                  </w:r>
                </w:p>
              </w:tc>
              <w:tc>
                <w:tcPr>
                  <w:tcW w:w="847" w:type="dxa"/>
                  <w:tcBorders>
                    <w:tl2br w:val="nil"/>
                    <w:tr2bl w:val="nil"/>
                  </w:tcBorders>
                  <w:vAlign w:val="center"/>
                </w:tcPr>
                <w:p w14:paraId="149246FD">
                  <w:pPr>
                    <w:jc w:val="center"/>
                    <w:rPr>
                      <w:color w:val="C00000"/>
                      <w:szCs w:val="21"/>
                      <w:highlight w:val="none"/>
                    </w:rPr>
                  </w:pPr>
                  <w:r>
                    <w:rPr>
                      <w:color w:val="C00000"/>
                      <w:szCs w:val="21"/>
                      <w:highlight w:val="none"/>
                    </w:rPr>
                    <w:t>达标</w:t>
                  </w:r>
                </w:p>
              </w:tc>
            </w:tr>
            <w:tr w14:paraId="398242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313" w:type="dxa"/>
                  <w:tcBorders>
                    <w:tl2br w:val="nil"/>
                    <w:tr2bl w:val="nil"/>
                  </w:tcBorders>
                  <w:vAlign w:val="center"/>
                </w:tcPr>
                <w:p w14:paraId="5A1B5968">
                  <w:pPr>
                    <w:jc w:val="center"/>
                    <w:rPr>
                      <w:color w:val="C00000"/>
                      <w:szCs w:val="21"/>
                      <w:highlight w:val="none"/>
                    </w:rPr>
                  </w:pPr>
                  <w:r>
                    <w:rPr>
                      <w:color w:val="C00000"/>
                      <w:szCs w:val="21"/>
                      <w:highlight w:val="none"/>
                    </w:rPr>
                    <w:t>厂界北侧</w:t>
                  </w:r>
                </w:p>
              </w:tc>
              <w:tc>
                <w:tcPr>
                  <w:tcW w:w="822" w:type="dxa"/>
                  <w:tcBorders>
                    <w:tl2br w:val="nil"/>
                    <w:tr2bl w:val="nil"/>
                  </w:tcBorders>
                  <w:vAlign w:val="center"/>
                </w:tcPr>
                <w:p w14:paraId="54287237">
                  <w:pPr>
                    <w:widowControl/>
                    <w:adjustRightInd w:val="0"/>
                    <w:snapToGrid w:val="0"/>
                    <w:jc w:val="center"/>
                    <w:rPr>
                      <w:color w:val="C00000"/>
                      <w:szCs w:val="21"/>
                      <w:highlight w:val="none"/>
                    </w:rPr>
                  </w:pPr>
                  <w:r>
                    <w:rPr>
                      <w:rFonts w:hint="eastAsia"/>
                      <w:color w:val="C00000"/>
                      <w:highlight w:val="none"/>
                    </w:rPr>
                    <w:t>/</w:t>
                  </w:r>
                </w:p>
              </w:tc>
              <w:tc>
                <w:tcPr>
                  <w:tcW w:w="822" w:type="dxa"/>
                  <w:tcBorders>
                    <w:tl2br w:val="nil"/>
                    <w:tr2bl w:val="nil"/>
                  </w:tcBorders>
                  <w:vAlign w:val="center"/>
                </w:tcPr>
                <w:p w14:paraId="45FE3B64">
                  <w:pPr>
                    <w:widowControl/>
                    <w:adjustRightInd w:val="0"/>
                    <w:snapToGrid w:val="0"/>
                    <w:jc w:val="center"/>
                    <w:rPr>
                      <w:color w:val="C00000"/>
                      <w:highlight w:val="none"/>
                    </w:rPr>
                  </w:pPr>
                  <w:r>
                    <w:rPr>
                      <w:rFonts w:hint="eastAsia"/>
                      <w:color w:val="C00000"/>
                      <w:highlight w:val="none"/>
                    </w:rPr>
                    <w:t>/</w:t>
                  </w:r>
                </w:p>
              </w:tc>
              <w:tc>
                <w:tcPr>
                  <w:tcW w:w="822" w:type="dxa"/>
                  <w:tcBorders>
                    <w:tl2br w:val="nil"/>
                    <w:tr2bl w:val="nil"/>
                  </w:tcBorders>
                  <w:vAlign w:val="center"/>
                </w:tcPr>
                <w:p w14:paraId="6058F24F">
                  <w:pPr>
                    <w:widowControl/>
                    <w:adjustRightInd w:val="0"/>
                    <w:snapToGrid w:val="0"/>
                    <w:jc w:val="center"/>
                    <w:rPr>
                      <w:rFonts w:hint="default" w:eastAsia="宋体"/>
                      <w:color w:val="C00000"/>
                      <w:highlight w:val="none"/>
                      <w:lang w:val="en-US" w:eastAsia="zh-CN"/>
                    </w:rPr>
                  </w:pPr>
                  <w:r>
                    <w:rPr>
                      <w:rFonts w:hint="eastAsia"/>
                      <w:color w:val="C00000"/>
                      <w:highlight w:val="none"/>
                      <w:lang w:val="en-US" w:eastAsia="zh-CN"/>
                    </w:rPr>
                    <w:t>38</w:t>
                  </w:r>
                </w:p>
              </w:tc>
              <w:tc>
                <w:tcPr>
                  <w:tcW w:w="822" w:type="dxa"/>
                  <w:tcBorders>
                    <w:tl2br w:val="nil"/>
                    <w:tr2bl w:val="nil"/>
                  </w:tcBorders>
                  <w:vAlign w:val="center"/>
                </w:tcPr>
                <w:p w14:paraId="7625D36A">
                  <w:pPr>
                    <w:widowControl/>
                    <w:adjustRightInd w:val="0"/>
                    <w:snapToGrid w:val="0"/>
                    <w:jc w:val="center"/>
                    <w:rPr>
                      <w:rFonts w:hint="default" w:eastAsia="宋体"/>
                      <w:color w:val="C00000"/>
                      <w:szCs w:val="21"/>
                      <w:highlight w:val="none"/>
                      <w:lang w:val="en-US" w:eastAsia="zh-CN"/>
                    </w:rPr>
                  </w:pPr>
                  <w:r>
                    <w:rPr>
                      <w:rFonts w:hint="eastAsia"/>
                      <w:color w:val="C00000"/>
                      <w:szCs w:val="21"/>
                      <w:highlight w:val="none"/>
                      <w:lang w:val="en-US" w:eastAsia="zh-CN"/>
                    </w:rPr>
                    <w:t>38</w:t>
                  </w:r>
                </w:p>
              </w:tc>
              <w:tc>
                <w:tcPr>
                  <w:tcW w:w="822" w:type="dxa"/>
                  <w:tcBorders>
                    <w:tl2br w:val="nil"/>
                    <w:tr2bl w:val="nil"/>
                  </w:tcBorders>
                  <w:vAlign w:val="center"/>
                </w:tcPr>
                <w:p w14:paraId="483A43D1">
                  <w:pPr>
                    <w:widowControl/>
                    <w:adjustRightInd w:val="0"/>
                    <w:snapToGrid w:val="0"/>
                    <w:jc w:val="center"/>
                    <w:rPr>
                      <w:color w:val="C00000"/>
                      <w:szCs w:val="21"/>
                      <w:highlight w:val="none"/>
                    </w:rPr>
                  </w:pPr>
                  <w:r>
                    <w:rPr>
                      <w:rFonts w:hint="eastAsia"/>
                      <w:color w:val="C00000"/>
                      <w:szCs w:val="21"/>
                      <w:highlight w:val="none"/>
                    </w:rPr>
                    <w:t>/</w:t>
                  </w:r>
                </w:p>
              </w:tc>
              <w:tc>
                <w:tcPr>
                  <w:tcW w:w="827" w:type="dxa"/>
                  <w:tcBorders>
                    <w:tl2br w:val="nil"/>
                    <w:tr2bl w:val="nil"/>
                  </w:tcBorders>
                  <w:vAlign w:val="center"/>
                </w:tcPr>
                <w:p w14:paraId="28DCD34E">
                  <w:pPr>
                    <w:widowControl/>
                    <w:adjustRightInd w:val="0"/>
                    <w:snapToGrid w:val="0"/>
                    <w:jc w:val="center"/>
                    <w:rPr>
                      <w:color w:val="C00000"/>
                      <w:szCs w:val="21"/>
                      <w:highlight w:val="none"/>
                    </w:rPr>
                  </w:pPr>
                  <w:r>
                    <w:rPr>
                      <w:rFonts w:hint="eastAsia"/>
                      <w:color w:val="C00000"/>
                      <w:szCs w:val="21"/>
                      <w:highlight w:val="none"/>
                    </w:rPr>
                    <w:t>/</w:t>
                  </w:r>
                </w:p>
              </w:tc>
              <w:tc>
                <w:tcPr>
                  <w:tcW w:w="840" w:type="dxa"/>
                  <w:tcBorders>
                    <w:tl2br w:val="nil"/>
                    <w:tr2bl w:val="nil"/>
                  </w:tcBorders>
                  <w:vAlign w:val="center"/>
                </w:tcPr>
                <w:p w14:paraId="65D1DFD8">
                  <w:pPr>
                    <w:jc w:val="center"/>
                    <w:rPr>
                      <w:color w:val="C00000"/>
                      <w:szCs w:val="21"/>
                      <w:highlight w:val="none"/>
                    </w:rPr>
                  </w:pPr>
                  <w:r>
                    <w:rPr>
                      <w:color w:val="C00000"/>
                      <w:szCs w:val="21"/>
                      <w:highlight w:val="none"/>
                    </w:rPr>
                    <w:t>达标</w:t>
                  </w:r>
                </w:p>
              </w:tc>
              <w:tc>
                <w:tcPr>
                  <w:tcW w:w="847" w:type="dxa"/>
                  <w:tcBorders>
                    <w:tl2br w:val="nil"/>
                    <w:tr2bl w:val="nil"/>
                  </w:tcBorders>
                  <w:vAlign w:val="center"/>
                </w:tcPr>
                <w:p w14:paraId="69403ED9">
                  <w:pPr>
                    <w:jc w:val="center"/>
                    <w:rPr>
                      <w:color w:val="C00000"/>
                      <w:szCs w:val="21"/>
                      <w:highlight w:val="none"/>
                    </w:rPr>
                  </w:pPr>
                  <w:r>
                    <w:rPr>
                      <w:color w:val="C00000"/>
                      <w:szCs w:val="21"/>
                      <w:highlight w:val="none"/>
                    </w:rPr>
                    <w:t>达标</w:t>
                  </w:r>
                </w:p>
              </w:tc>
            </w:tr>
            <w:tr w14:paraId="0E428A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313" w:type="dxa"/>
                  <w:tcBorders>
                    <w:tl2br w:val="nil"/>
                    <w:tr2bl w:val="nil"/>
                  </w:tcBorders>
                  <w:vAlign w:val="center"/>
                </w:tcPr>
                <w:p w14:paraId="1A6A7757">
                  <w:pPr>
                    <w:jc w:val="center"/>
                    <w:rPr>
                      <w:color w:val="C00000"/>
                      <w:szCs w:val="21"/>
                      <w:highlight w:val="none"/>
                    </w:rPr>
                  </w:pPr>
                  <w:r>
                    <w:rPr>
                      <w:color w:val="C00000"/>
                      <w:szCs w:val="21"/>
                      <w:highlight w:val="none"/>
                    </w:rPr>
                    <w:t>厂界西侧</w:t>
                  </w:r>
                </w:p>
              </w:tc>
              <w:tc>
                <w:tcPr>
                  <w:tcW w:w="822" w:type="dxa"/>
                  <w:tcBorders>
                    <w:tl2br w:val="nil"/>
                    <w:tr2bl w:val="nil"/>
                  </w:tcBorders>
                  <w:vAlign w:val="center"/>
                </w:tcPr>
                <w:p w14:paraId="6E9ABFE6">
                  <w:pPr>
                    <w:widowControl/>
                    <w:adjustRightInd w:val="0"/>
                    <w:snapToGrid w:val="0"/>
                    <w:jc w:val="center"/>
                    <w:rPr>
                      <w:color w:val="C00000"/>
                      <w:szCs w:val="21"/>
                      <w:highlight w:val="none"/>
                    </w:rPr>
                  </w:pPr>
                  <w:r>
                    <w:rPr>
                      <w:rFonts w:hint="eastAsia"/>
                      <w:color w:val="C00000"/>
                      <w:szCs w:val="21"/>
                      <w:highlight w:val="none"/>
                    </w:rPr>
                    <w:t>/</w:t>
                  </w:r>
                </w:p>
              </w:tc>
              <w:tc>
                <w:tcPr>
                  <w:tcW w:w="822" w:type="dxa"/>
                  <w:tcBorders>
                    <w:tl2br w:val="nil"/>
                    <w:tr2bl w:val="nil"/>
                  </w:tcBorders>
                  <w:vAlign w:val="center"/>
                </w:tcPr>
                <w:p w14:paraId="6589EE7A">
                  <w:pPr>
                    <w:widowControl/>
                    <w:adjustRightInd w:val="0"/>
                    <w:snapToGrid w:val="0"/>
                    <w:jc w:val="center"/>
                    <w:rPr>
                      <w:color w:val="C00000"/>
                      <w:szCs w:val="21"/>
                      <w:highlight w:val="none"/>
                    </w:rPr>
                  </w:pPr>
                  <w:r>
                    <w:rPr>
                      <w:rFonts w:hint="eastAsia"/>
                      <w:color w:val="C00000"/>
                      <w:szCs w:val="21"/>
                      <w:highlight w:val="none"/>
                    </w:rPr>
                    <w:t>/</w:t>
                  </w:r>
                </w:p>
              </w:tc>
              <w:tc>
                <w:tcPr>
                  <w:tcW w:w="822" w:type="dxa"/>
                  <w:tcBorders>
                    <w:tl2br w:val="nil"/>
                    <w:tr2bl w:val="nil"/>
                  </w:tcBorders>
                  <w:vAlign w:val="center"/>
                </w:tcPr>
                <w:p w14:paraId="799A7C8B">
                  <w:pPr>
                    <w:widowControl/>
                    <w:adjustRightInd w:val="0"/>
                    <w:snapToGrid w:val="0"/>
                    <w:jc w:val="center"/>
                    <w:rPr>
                      <w:rFonts w:hint="default" w:eastAsia="宋体"/>
                      <w:color w:val="C00000"/>
                      <w:szCs w:val="21"/>
                      <w:highlight w:val="none"/>
                      <w:lang w:val="en-US" w:eastAsia="zh-CN"/>
                    </w:rPr>
                  </w:pPr>
                  <w:r>
                    <w:rPr>
                      <w:rFonts w:hint="eastAsia"/>
                      <w:color w:val="C00000"/>
                      <w:szCs w:val="21"/>
                      <w:highlight w:val="none"/>
                      <w:lang w:val="en-US" w:eastAsia="zh-CN"/>
                    </w:rPr>
                    <w:t>28</w:t>
                  </w:r>
                </w:p>
              </w:tc>
              <w:tc>
                <w:tcPr>
                  <w:tcW w:w="822" w:type="dxa"/>
                  <w:tcBorders>
                    <w:tl2br w:val="nil"/>
                    <w:tr2bl w:val="nil"/>
                  </w:tcBorders>
                  <w:vAlign w:val="center"/>
                </w:tcPr>
                <w:p w14:paraId="5DD1C716">
                  <w:pPr>
                    <w:widowControl/>
                    <w:adjustRightInd w:val="0"/>
                    <w:snapToGrid w:val="0"/>
                    <w:jc w:val="center"/>
                    <w:rPr>
                      <w:rFonts w:hint="default" w:eastAsia="宋体"/>
                      <w:color w:val="C00000"/>
                      <w:szCs w:val="21"/>
                      <w:highlight w:val="none"/>
                      <w:lang w:val="en-US" w:eastAsia="zh-CN"/>
                    </w:rPr>
                  </w:pPr>
                  <w:r>
                    <w:rPr>
                      <w:rFonts w:hint="eastAsia"/>
                      <w:color w:val="C00000"/>
                      <w:szCs w:val="21"/>
                      <w:highlight w:val="none"/>
                      <w:lang w:val="en-US" w:eastAsia="zh-CN"/>
                    </w:rPr>
                    <w:t>28</w:t>
                  </w:r>
                </w:p>
              </w:tc>
              <w:tc>
                <w:tcPr>
                  <w:tcW w:w="822" w:type="dxa"/>
                  <w:tcBorders>
                    <w:tl2br w:val="nil"/>
                    <w:tr2bl w:val="nil"/>
                  </w:tcBorders>
                  <w:vAlign w:val="center"/>
                </w:tcPr>
                <w:p w14:paraId="10E4E453">
                  <w:pPr>
                    <w:widowControl/>
                    <w:adjustRightInd w:val="0"/>
                    <w:snapToGrid w:val="0"/>
                    <w:jc w:val="center"/>
                    <w:rPr>
                      <w:color w:val="C00000"/>
                      <w:szCs w:val="21"/>
                      <w:highlight w:val="none"/>
                    </w:rPr>
                  </w:pPr>
                  <w:r>
                    <w:rPr>
                      <w:rFonts w:hint="eastAsia"/>
                      <w:color w:val="C00000"/>
                      <w:szCs w:val="21"/>
                      <w:highlight w:val="none"/>
                    </w:rPr>
                    <w:t>/</w:t>
                  </w:r>
                </w:p>
              </w:tc>
              <w:tc>
                <w:tcPr>
                  <w:tcW w:w="827" w:type="dxa"/>
                  <w:tcBorders>
                    <w:tl2br w:val="nil"/>
                    <w:tr2bl w:val="nil"/>
                  </w:tcBorders>
                  <w:vAlign w:val="center"/>
                </w:tcPr>
                <w:p w14:paraId="7C1A123B">
                  <w:pPr>
                    <w:widowControl/>
                    <w:adjustRightInd w:val="0"/>
                    <w:snapToGrid w:val="0"/>
                    <w:jc w:val="center"/>
                    <w:rPr>
                      <w:color w:val="C00000"/>
                      <w:szCs w:val="21"/>
                      <w:highlight w:val="none"/>
                    </w:rPr>
                  </w:pPr>
                  <w:r>
                    <w:rPr>
                      <w:rFonts w:hint="eastAsia"/>
                      <w:color w:val="C00000"/>
                      <w:szCs w:val="21"/>
                      <w:highlight w:val="none"/>
                    </w:rPr>
                    <w:t>/</w:t>
                  </w:r>
                </w:p>
              </w:tc>
              <w:tc>
                <w:tcPr>
                  <w:tcW w:w="840" w:type="dxa"/>
                  <w:tcBorders>
                    <w:tl2br w:val="nil"/>
                    <w:tr2bl w:val="nil"/>
                  </w:tcBorders>
                  <w:vAlign w:val="center"/>
                </w:tcPr>
                <w:p w14:paraId="5FE166FD">
                  <w:pPr>
                    <w:jc w:val="center"/>
                    <w:rPr>
                      <w:color w:val="C00000"/>
                      <w:szCs w:val="21"/>
                      <w:highlight w:val="none"/>
                    </w:rPr>
                  </w:pPr>
                  <w:r>
                    <w:rPr>
                      <w:color w:val="C00000"/>
                      <w:szCs w:val="21"/>
                      <w:highlight w:val="none"/>
                    </w:rPr>
                    <w:t>达标</w:t>
                  </w:r>
                </w:p>
              </w:tc>
              <w:tc>
                <w:tcPr>
                  <w:tcW w:w="847" w:type="dxa"/>
                  <w:tcBorders>
                    <w:tl2br w:val="nil"/>
                    <w:tr2bl w:val="nil"/>
                  </w:tcBorders>
                  <w:vAlign w:val="center"/>
                </w:tcPr>
                <w:p w14:paraId="18ACF409">
                  <w:pPr>
                    <w:jc w:val="center"/>
                    <w:rPr>
                      <w:color w:val="C00000"/>
                      <w:szCs w:val="21"/>
                      <w:highlight w:val="none"/>
                    </w:rPr>
                  </w:pPr>
                  <w:r>
                    <w:rPr>
                      <w:color w:val="C00000"/>
                      <w:szCs w:val="21"/>
                      <w:highlight w:val="none"/>
                    </w:rPr>
                    <w:t>达标</w:t>
                  </w:r>
                </w:p>
              </w:tc>
            </w:tr>
            <w:tr w14:paraId="7492C0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313" w:type="dxa"/>
                  <w:tcBorders>
                    <w:tl2br w:val="nil"/>
                    <w:tr2bl w:val="nil"/>
                  </w:tcBorders>
                  <w:vAlign w:val="center"/>
                </w:tcPr>
                <w:p w14:paraId="6D0028D8">
                  <w:pPr>
                    <w:jc w:val="center"/>
                    <w:rPr>
                      <w:color w:val="C00000"/>
                      <w:szCs w:val="21"/>
                      <w:highlight w:val="none"/>
                    </w:rPr>
                  </w:pPr>
                  <w:r>
                    <w:rPr>
                      <w:color w:val="C00000"/>
                      <w:szCs w:val="21"/>
                      <w:highlight w:val="none"/>
                    </w:rPr>
                    <w:t>厂界南侧</w:t>
                  </w:r>
                </w:p>
              </w:tc>
              <w:tc>
                <w:tcPr>
                  <w:tcW w:w="822" w:type="dxa"/>
                  <w:tcBorders>
                    <w:tl2br w:val="nil"/>
                    <w:tr2bl w:val="nil"/>
                  </w:tcBorders>
                  <w:vAlign w:val="center"/>
                </w:tcPr>
                <w:p w14:paraId="09BB14F7">
                  <w:pPr>
                    <w:widowControl/>
                    <w:adjustRightInd w:val="0"/>
                    <w:snapToGrid w:val="0"/>
                    <w:jc w:val="center"/>
                    <w:rPr>
                      <w:color w:val="C00000"/>
                      <w:szCs w:val="21"/>
                      <w:highlight w:val="none"/>
                    </w:rPr>
                  </w:pPr>
                  <w:r>
                    <w:rPr>
                      <w:rFonts w:hint="eastAsia"/>
                      <w:color w:val="C00000"/>
                      <w:szCs w:val="21"/>
                      <w:highlight w:val="none"/>
                    </w:rPr>
                    <w:t>/</w:t>
                  </w:r>
                </w:p>
              </w:tc>
              <w:tc>
                <w:tcPr>
                  <w:tcW w:w="822" w:type="dxa"/>
                  <w:tcBorders>
                    <w:tl2br w:val="nil"/>
                    <w:tr2bl w:val="nil"/>
                  </w:tcBorders>
                  <w:vAlign w:val="center"/>
                </w:tcPr>
                <w:p w14:paraId="44F75E43">
                  <w:pPr>
                    <w:widowControl/>
                    <w:adjustRightInd w:val="0"/>
                    <w:snapToGrid w:val="0"/>
                    <w:jc w:val="center"/>
                    <w:rPr>
                      <w:color w:val="C00000"/>
                      <w:szCs w:val="21"/>
                      <w:highlight w:val="none"/>
                    </w:rPr>
                  </w:pPr>
                  <w:r>
                    <w:rPr>
                      <w:rFonts w:hint="eastAsia"/>
                      <w:color w:val="C00000"/>
                      <w:szCs w:val="21"/>
                      <w:highlight w:val="none"/>
                    </w:rPr>
                    <w:t>/</w:t>
                  </w:r>
                </w:p>
              </w:tc>
              <w:tc>
                <w:tcPr>
                  <w:tcW w:w="822" w:type="dxa"/>
                  <w:tcBorders>
                    <w:tl2br w:val="nil"/>
                    <w:tr2bl w:val="nil"/>
                  </w:tcBorders>
                  <w:vAlign w:val="center"/>
                </w:tcPr>
                <w:p w14:paraId="7853B134">
                  <w:pPr>
                    <w:widowControl/>
                    <w:adjustRightInd w:val="0"/>
                    <w:snapToGrid w:val="0"/>
                    <w:jc w:val="center"/>
                    <w:rPr>
                      <w:rFonts w:hint="default" w:eastAsia="宋体"/>
                      <w:color w:val="C00000"/>
                      <w:szCs w:val="21"/>
                      <w:highlight w:val="none"/>
                      <w:lang w:val="en-US" w:eastAsia="zh-CN"/>
                    </w:rPr>
                  </w:pPr>
                  <w:r>
                    <w:rPr>
                      <w:rFonts w:hint="eastAsia"/>
                      <w:color w:val="C00000"/>
                      <w:szCs w:val="21"/>
                      <w:highlight w:val="none"/>
                      <w:lang w:val="en-US" w:eastAsia="zh-CN"/>
                    </w:rPr>
                    <w:t>32</w:t>
                  </w:r>
                </w:p>
              </w:tc>
              <w:tc>
                <w:tcPr>
                  <w:tcW w:w="822" w:type="dxa"/>
                  <w:tcBorders>
                    <w:tl2br w:val="nil"/>
                    <w:tr2bl w:val="nil"/>
                  </w:tcBorders>
                  <w:vAlign w:val="center"/>
                </w:tcPr>
                <w:p w14:paraId="1104DCBA">
                  <w:pPr>
                    <w:widowControl/>
                    <w:adjustRightInd w:val="0"/>
                    <w:snapToGrid w:val="0"/>
                    <w:jc w:val="center"/>
                    <w:rPr>
                      <w:rFonts w:hint="default" w:eastAsia="宋体"/>
                      <w:color w:val="C00000"/>
                      <w:szCs w:val="21"/>
                      <w:highlight w:val="none"/>
                      <w:lang w:val="en-US" w:eastAsia="zh-CN"/>
                    </w:rPr>
                  </w:pPr>
                  <w:r>
                    <w:rPr>
                      <w:rFonts w:hint="eastAsia"/>
                      <w:color w:val="C00000"/>
                      <w:szCs w:val="21"/>
                      <w:highlight w:val="none"/>
                      <w:lang w:val="en-US" w:eastAsia="zh-CN"/>
                    </w:rPr>
                    <w:t>32</w:t>
                  </w:r>
                </w:p>
              </w:tc>
              <w:tc>
                <w:tcPr>
                  <w:tcW w:w="822" w:type="dxa"/>
                  <w:tcBorders>
                    <w:tl2br w:val="nil"/>
                    <w:tr2bl w:val="nil"/>
                  </w:tcBorders>
                  <w:vAlign w:val="center"/>
                </w:tcPr>
                <w:p w14:paraId="6DC5EE48">
                  <w:pPr>
                    <w:widowControl/>
                    <w:adjustRightInd w:val="0"/>
                    <w:snapToGrid w:val="0"/>
                    <w:jc w:val="center"/>
                    <w:rPr>
                      <w:color w:val="C00000"/>
                      <w:szCs w:val="21"/>
                      <w:highlight w:val="none"/>
                    </w:rPr>
                  </w:pPr>
                  <w:r>
                    <w:rPr>
                      <w:rFonts w:hint="eastAsia"/>
                      <w:color w:val="C00000"/>
                      <w:szCs w:val="21"/>
                      <w:highlight w:val="none"/>
                    </w:rPr>
                    <w:t>/</w:t>
                  </w:r>
                </w:p>
              </w:tc>
              <w:tc>
                <w:tcPr>
                  <w:tcW w:w="827" w:type="dxa"/>
                  <w:tcBorders>
                    <w:tl2br w:val="nil"/>
                    <w:tr2bl w:val="nil"/>
                  </w:tcBorders>
                  <w:vAlign w:val="center"/>
                </w:tcPr>
                <w:p w14:paraId="3C048C5F">
                  <w:pPr>
                    <w:widowControl/>
                    <w:adjustRightInd w:val="0"/>
                    <w:snapToGrid w:val="0"/>
                    <w:jc w:val="center"/>
                    <w:rPr>
                      <w:color w:val="C00000"/>
                      <w:szCs w:val="21"/>
                      <w:highlight w:val="none"/>
                    </w:rPr>
                  </w:pPr>
                  <w:r>
                    <w:rPr>
                      <w:rFonts w:hint="eastAsia"/>
                      <w:color w:val="C00000"/>
                      <w:szCs w:val="21"/>
                      <w:highlight w:val="none"/>
                    </w:rPr>
                    <w:t>/</w:t>
                  </w:r>
                </w:p>
              </w:tc>
              <w:tc>
                <w:tcPr>
                  <w:tcW w:w="840" w:type="dxa"/>
                  <w:tcBorders>
                    <w:tl2br w:val="nil"/>
                    <w:tr2bl w:val="nil"/>
                  </w:tcBorders>
                  <w:vAlign w:val="center"/>
                </w:tcPr>
                <w:p w14:paraId="29F5B4C7">
                  <w:pPr>
                    <w:jc w:val="center"/>
                    <w:rPr>
                      <w:color w:val="C00000"/>
                      <w:szCs w:val="21"/>
                      <w:highlight w:val="none"/>
                    </w:rPr>
                  </w:pPr>
                  <w:r>
                    <w:rPr>
                      <w:color w:val="C00000"/>
                      <w:szCs w:val="21"/>
                      <w:highlight w:val="none"/>
                    </w:rPr>
                    <w:t>达标</w:t>
                  </w:r>
                </w:p>
              </w:tc>
              <w:tc>
                <w:tcPr>
                  <w:tcW w:w="847" w:type="dxa"/>
                  <w:tcBorders>
                    <w:tl2br w:val="nil"/>
                    <w:tr2bl w:val="nil"/>
                  </w:tcBorders>
                  <w:vAlign w:val="center"/>
                </w:tcPr>
                <w:p w14:paraId="043341D9">
                  <w:pPr>
                    <w:jc w:val="center"/>
                    <w:rPr>
                      <w:color w:val="C00000"/>
                      <w:szCs w:val="21"/>
                      <w:highlight w:val="none"/>
                    </w:rPr>
                  </w:pPr>
                  <w:r>
                    <w:rPr>
                      <w:color w:val="C00000"/>
                      <w:szCs w:val="21"/>
                      <w:highlight w:val="none"/>
                    </w:rPr>
                    <w:t>达标</w:t>
                  </w:r>
                </w:p>
              </w:tc>
            </w:tr>
            <w:tr w14:paraId="0F6744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313" w:type="dxa"/>
                  <w:tcBorders>
                    <w:tl2br w:val="nil"/>
                    <w:tr2bl w:val="nil"/>
                  </w:tcBorders>
                  <w:vAlign w:val="center"/>
                </w:tcPr>
                <w:p w14:paraId="5527BD64">
                  <w:pPr>
                    <w:jc w:val="center"/>
                    <w:rPr>
                      <w:color w:val="C00000"/>
                      <w:szCs w:val="21"/>
                      <w:highlight w:val="none"/>
                    </w:rPr>
                  </w:pPr>
                  <w:r>
                    <w:rPr>
                      <w:rFonts w:hint="eastAsia"/>
                      <w:color w:val="C00000"/>
                      <w:szCs w:val="21"/>
                      <w:highlight w:val="none"/>
                    </w:rPr>
                    <w:t>东</w:t>
                  </w:r>
                  <w:r>
                    <w:rPr>
                      <w:color w:val="C00000"/>
                      <w:szCs w:val="21"/>
                      <w:highlight w:val="none"/>
                    </w:rPr>
                    <w:t>侧居民</w:t>
                  </w:r>
                  <w:r>
                    <w:rPr>
                      <w:rFonts w:hint="eastAsia"/>
                      <w:color w:val="C00000"/>
                      <w:szCs w:val="21"/>
                      <w:highlight w:val="none"/>
                      <w:lang w:val="en-US" w:eastAsia="zh-CN"/>
                    </w:rPr>
                    <w:t>区</w:t>
                  </w:r>
                </w:p>
              </w:tc>
              <w:tc>
                <w:tcPr>
                  <w:tcW w:w="822" w:type="dxa"/>
                  <w:tcBorders>
                    <w:tl2br w:val="nil"/>
                    <w:tr2bl w:val="nil"/>
                  </w:tcBorders>
                  <w:vAlign w:val="center"/>
                </w:tcPr>
                <w:p w14:paraId="7C90886A">
                  <w:pPr>
                    <w:jc w:val="center"/>
                    <w:rPr>
                      <w:rFonts w:hint="default" w:eastAsia="宋体"/>
                      <w:color w:val="C00000"/>
                      <w:szCs w:val="21"/>
                      <w:highlight w:val="none"/>
                      <w:lang w:val="en-US" w:eastAsia="zh-CN"/>
                    </w:rPr>
                  </w:pPr>
                  <w:r>
                    <w:rPr>
                      <w:rFonts w:hint="eastAsia"/>
                      <w:color w:val="C00000"/>
                      <w:szCs w:val="21"/>
                      <w:highlight w:val="none"/>
                      <w:lang w:val="en-US" w:eastAsia="zh-CN"/>
                    </w:rPr>
                    <w:t>51</w:t>
                  </w:r>
                </w:p>
              </w:tc>
              <w:tc>
                <w:tcPr>
                  <w:tcW w:w="822" w:type="dxa"/>
                  <w:tcBorders>
                    <w:tl2br w:val="nil"/>
                    <w:tr2bl w:val="nil"/>
                  </w:tcBorders>
                  <w:vAlign w:val="center"/>
                </w:tcPr>
                <w:p w14:paraId="7512EDF5">
                  <w:pPr>
                    <w:jc w:val="center"/>
                    <w:rPr>
                      <w:rFonts w:hint="default" w:eastAsia="宋体"/>
                      <w:color w:val="C00000"/>
                      <w:szCs w:val="21"/>
                      <w:highlight w:val="none"/>
                      <w:lang w:val="en-US" w:eastAsia="zh-CN"/>
                    </w:rPr>
                  </w:pPr>
                  <w:r>
                    <w:rPr>
                      <w:rFonts w:hint="eastAsia"/>
                      <w:color w:val="C00000"/>
                      <w:szCs w:val="21"/>
                      <w:highlight w:val="none"/>
                      <w:lang w:val="en-US" w:eastAsia="zh-CN"/>
                    </w:rPr>
                    <w:t>40</w:t>
                  </w:r>
                </w:p>
              </w:tc>
              <w:tc>
                <w:tcPr>
                  <w:tcW w:w="822" w:type="dxa"/>
                  <w:tcBorders>
                    <w:tl2br w:val="nil"/>
                    <w:tr2bl w:val="nil"/>
                  </w:tcBorders>
                  <w:vAlign w:val="center"/>
                </w:tcPr>
                <w:p w14:paraId="62619A3E">
                  <w:pPr>
                    <w:widowControl/>
                    <w:adjustRightInd w:val="0"/>
                    <w:snapToGrid w:val="0"/>
                    <w:jc w:val="center"/>
                    <w:rPr>
                      <w:rFonts w:hint="default" w:eastAsia="宋体"/>
                      <w:color w:val="C00000"/>
                      <w:szCs w:val="21"/>
                      <w:highlight w:val="none"/>
                      <w:lang w:val="en-US" w:eastAsia="zh-CN"/>
                    </w:rPr>
                  </w:pPr>
                  <w:r>
                    <w:rPr>
                      <w:rFonts w:hint="eastAsia"/>
                      <w:color w:val="C00000"/>
                      <w:szCs w:val="21"/>
                      <w:highlight w:val="none"/>
                      <w:lang w:val="en-US" w:eastAsia="zh-CN"/>
                    </w:rPr>
                    <w:t>23</w:t>
                  </w:r>
                </w:p>
              </w:tc>
              <w:tc>
                <w:tcPr>
                  <w:tcW w:w="822" w:type="dxa"/>
                  <w:tcBorders>
                    <w:tl2br w:val="nil"/>
                    <w:tr2bl w:val="nil"/>
                  </w:tcBorders>
                  <w:vAlign w:val="center"/>
                </w:tcPr>
                <w:p w14:paraId="1753766C">
                  <w:pPr>
                    <w:widowControl/>
                    <w:adjustRightInd w:val="0"/>
                    <w:snapToGrid w:val="0"/>
                    <w:jc w:val="center"/>
                    <w:rPr>
                      <w:rFonts w:hint="default" w:eastAsia="宋体"/>
                      <w:color w:val="C00000"/>
                      <w:szCs w:val="21"/>
                      <w:highlight w:val="none"/>
                      <w:lang w:val="en-US" w:eastAsia="zh-CN"/>
                    </w:rPr>
                  </w:pPr>
                  <w:r>
                    <w:rPr>
                      <w:rFonts w:hint="eastAsia"/>
                      <w:color w:val="C00000"/>
                      <w:szCs w:val="21"/>
                      <w:highlight w:val="none"/>
                      <w:lang w:val="en-US" w:eastAsia="zh-CN"/>
                    </w:rPr>
                    <w:t>23</w:t>
                  </w:r>
                </w:p>
              </w:tc>
              <w:tc>
                <w:tcPr>
                  <w:tcW w:w="822" w:type="dxa"/>
                  <w:tcBorders>
                    <w:tl2br w:val="nil"/>
                    <w:tr2bl w:val="nil"/>
                  </w:tcBorders>
                  <w:vAlign w:val="center"/>
                </w:tcPr>
                <w:p w14:paraId="02681AB2">
                  <w:pPr>
                    <w:widowControl/>
                    <w:jc w:val="center"/>
                    <w:textAlignment w:val="center"/>
                    <w:rPr>
                      <w:rFonts w:hint="default" w:eastAsia="宋体"/>
                      <w:color w:val="C00000"/>
                      <w:kern w:val="0"/>
                      <w:szCs w:val="21"/>
                      <w:highlight w:val="none"/>
                      <w:lang w:val="en-US" w:eastAsia="zh-CN" w:bidi="ar"/>
                    </w:rPr>
                  </w:pPr>
                  <w:r>
                    <w:rPr>
                      <w:rFonts w:hint="eastAsia"/>
                      <w:color w:val="C00000"/>
                      <w:kern w:val="0"/>
                      <w:szCs w:val="21"/>
                      <w:highlight w:val="none"/>
                      <w:lang w:val="en-US" w:eastAsia="zh-CN" w:bidi="ar"/>
                    </w:rPr>
                    <w:t>51</w:t>
                  </w:r>
                </w:p>
              </w:tc>
              <w:tc>
                <w:tcPr>
                  <w:tcW w:w="827" w:type="dxa"/>
                  <w:tcBorders>
                    <w:tl2br w:val="nil"/>
                    <w:tr2bl w:val="nil"/>
                  </w:tcBorders>
                  <w:vAlign w:val="center"/>
                </w:tcPr>
                <w:p w14:paraId="0D100EEA">
                  <w:pPr>
                    <w:widowControl/>
                    <w:jc w:val="center"/>
                    <w:textAlignment w:val="center"/>
                    <w:rPr>
                      <w:rFonts w:hint="default" w:eastAsia="宋体"/>
                      <w:color w:val="C00000"/>
                      <w:kern w:val="0"/>
                      <w:szCs w:val="21"/>
                      <w:highlight w:val="none"/>
                      <w:lang w:val="en-US" w:eastAsia="zh-CN" w:bidi="ar"/>
                    </w:rPr>
                  </w:pPr>
                  <w:r>
                    <w:rPr>
                      <w:rFonts w:hint="eastAsia"/>
                      <w:color w:val="C00000"/>
                      <w:kern w:val="0"/>
                      <w:szCs w:val="21"/>
                      <w:highlight w:val="none"/>
                      <w:lang w:val="en-US" w:eastAsia="zh-CN" w:bidi="ar"/>
                    </w:rPr>
                    <w:t>40</w:t>
                  </w:r>
                </w:p>
              </w:tc>
              <w:tc>
                <w:tcPr>
                  <w:tcW w:w="840" w:type="dxa"/>
                  <w:tcBorders>
                    <w:tl2br w:val="nil"/>
                    <w:tr2bl w:val="nil"/>
                  </w:tcBorders>
                  <w:vAlign w:val="center"/>
                </w:tcPr>
                <w:p w14:paraId="2C87A0C2">
                  <w:pPr>
                    <w:jc w:val="center"/>
                    <w:rPr>
                      <w:color w:val="C00000"/>
                      <w:szCs w:val="21"/>
                      <w:highlight w:val="none"/>
                    </w:rPr>
                  </w:pPr>
                  <w:r>
                    <w:rPr>
                      <w:color w:val="C00000"/>
                      <w:szCs w:val="21"/>
                      <w:highlight w:val="none"/>
                    </w:rPr>
                    <w:t>达标</w:t>
                  </w:r>
                </w:p>
              </w:tc>
              <w:tc>
                <w:tcPr>
                  <w:tcW w:w="847" w:type="dxa"/>
                  <w:tcBorders>
                    <w:tl2br w:val="nil"/>
                    <w:tr2bl w:val="nil"/>
                  </w:tcBorders>
                  <w:vAlign w:val="center"/>
                </w:tcPr>
                <w:p w14:paraId="7B45F8DE">
                  <w:pPr>
                    <w:jc w:val="center"/>
                    <w:rPr>
                      <w:color w:val="C00000"/>
                      <w:szCs w:val="21"/>
                      <w:highlight w:val="none"/>
                    </w:rPr>
                  </w:pPr>
                  <w:r>
                    <w:rPr>
                      <w:color w:val="C00000"/>
                      <w:szCs w:val="21"/>
                      <w:highlight w:val="none"/>
                    </w:rPr>
                    <w:t>达标</w:t>
                  </w:r>
                </w:p>
              </w:tc>
            </w:tr>
            <w:tr w14:paraId="25C176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313" w:type="dxa"/>
                  <w:tcBorders>
                    <w:tl2br w:val="nil"/>
                    <w:tr2bl w:val="nil"/>
                  </w:tcBorders>
                  <w:vAlign w:val="center"/>
                </w:tcPr>
                <w:p w14:paraId="3EABE694">
                  <w:pPr>
                    <w:jc w:val="center"/>
                    <w:rPr>
                      <w:rFonts w:hint="default" w:eastAsia="宋体"/>
                      <w:color w:val="C00000"/>
                      <w:szCs w:val="21"/>
                      <w:highlight w:val="none"/>
                      <w:lang w:val="en-US" w:eastAsia="zh-CN"/>
                    </w:rPr>
                  </w:pPr>
                  <w:r>
                    <w:rPr>
                      <w:rFonts w:hint="eastAsia"/>
                      <w:color w:val="C00000"/>
                      <w:szCs w:val="21"/>
                      <w:highlight w:val="none"/>
                      <w:lang w:val="en-US" w:eastAsia="zh-CN"/>
                    </w:rPr>
                    <w:t>西侧居民区</w:t>
                  </w:r>
                </w:p>
              </w:tc>
              <w:tc>
                <w:tcPr>
                  <w:tcW w:w="822" w:type="dxa"/>
                  <w:tcBorders>
                    <w:tl2br w:val="nil"/>
                    <w:tr2bl w:val="nil"/>
                  </w:tcBorders>
                  <w:vAlign w:val="center"/>
                </w:tcPr>
                <w:p w14:paraId="49457763">
                  <w:pPr>
                    <w:jc w:val="center"/>
                    <w:rPr>
                      <w:rFonts w:hint="default"/>
                      <w:color w:val="C00000"/>
                      <w:szCs w:val="21"/>
                      <w:highlight w:val="none"/>
                      <w:lang w:val="en-US" w:eastAsia="zh-CN"/>
                    </w:rPr>
                  </w:pPr>
                  <w:r>
                    <w:rPr>
                      <w:rFonts w:hint="eastAsia"/>
                      <w:color w:val="C00000"/>
                      <w:szCs w:val="21"/>
                      <w:highlight w:val="none"/>
                      <w:lang w:val="en-US" w:eastAsia="zh-CN"/>
                    </w:rPr>
                    <w:t>50</w:t>
                  </w:r>
                </w:p>
              </w:tc>
              <w:tc>
                <w:tcPr>
                  <w:tcW w:w="822" w:type="dxa"/>
                  <w:tcBorders>
                    <w:tl2br w:val="nil"/>
                    <w:tr2bl w:val="nil"/>
                  </w:tcBorders>
                  <w:vAlign w:val="center"/>
                </w:tcPr>
                <w:p w14:paraId="5A358273">
                  <w:pPr>
                    <w:jc w:val="center"/>
                    <w:rPr>
                      <w:rFonts w:hint="default"/>
                      <w:color w:val="C00000"/>
                      <w:szCs w:val="21"/>
                      <w:highlight w:val="none"/>
                      <w:lang w:val="en-US" w:eastAsia="zh-CN"/>
                    </w:rPr>
                  </w:pPr>
                  <w:r>
                    <w:rPr>
                      <w:rFonts w:hint="eastAsia"/>
                      <w:color w:val="C00000"/>
                      <w:szCs w:val="21"/>
                      <w:highlight w:val="none"/>
                      <w:lang w:val="en-US" w:eastAsia="zh-CN"/>
                    </w:rPr>
                    <w:t>41</w:t>
                  </w:r>
                </w:p>
              </w:tc>
              <w:tc>
                <w:tcPr>
                  <w:tcW w:w="822" w:type="dxa"/>
                  <w:tcBorders>
                    <w:tl2br w:val="nil"/>
                    <w:tr2bl w:val="nil"/>
                  </w:tcBorders>
                  <w:shd w:val="clear" w:color="auto" w:fill="auto"/>
                  <w:vAlign w:val="center"/>
                </w:tcPr>
                <w:p w14:paraId="0DE59BED">
                  <w:pPr>
                    <w:widowControl/>
                    <w:adjustRightInd w:val="0"/>
                    <w:snapToGrid w:val="0"/>
                    <w:jc w:val="center"/>
                    <w:rPr>
                      <w:rFonts w:hint="eastAsia" w:ascii="Times New Roman" w:hAnsi="Times New Roman" w:eastAsia="宋体" w:cs="Times New Roman"/>
                      <w:color w:val="C00000"/>
                      <w:kern w:val="2"/>
                      <w:sz w:val="21"/>
                      <w:szCs w:val="21"/>
                      <w:highlight w:val="none"/>
                      <w:lang w:val="en-US" w:eastAsia="zh-CN" w:bidi="ar-SA"/>
                    </w:rPr>
                  </w:pPr>
                  <w:r>
                    <w:rPr>
                      <w:rFonts w:hint="eastAsia"/>
                      <w:color w:val="C00000"/>
                      <w:szCs w:val="21"/>
                      <w:highlight w:val="none"/>
                      <w:lang w:val="en-US" w:eastAsia="zh-CN"/>
                    </w:rPr>
                    <w:t>28</w:t>
                  </w:r>
                </w:p>
              </w:tc>
              <w:tc>
                <w:tcPr>
                  <w:tcW w:w="822" w:type="dxa"/>
                  <w:tcBorders>
                    <w:tl2br w:val="nil"/>
                    <w:tr2bl w:val="nil"/>
                  </w:tcBorders>
                  <w:shd w:val="clear" w:color="auto" w:fill="auto"/>
                  <w:vAlign w:val="center"/>
                </w:tcPr>
                <w:p w14:paraId="70A65AB6">
                  <w:pPr>
                    <w:widowControl/>
                    <w:adjustRightInd w:val="0"/>
                    <w:snapToGrid w:val="0"/>
                    <w:jc w:val="center"/>
                    <w:rPr>
                      <w:rFonts w:hint="eastAsia" w:ascii="Times New Roman" w:hAnsi="Times New Roman" w:eastAsia="宋体" w:cs="Times New Roman"/>
                      <w:color w:val="C00000"/>
                      <w:kern w:val="2"/>
                      <w:sz w:val="21"/>
                      <w:szCs w:val="21"/>
                      <w:highlight w:val="none"/>
                      <w:lang w:val="en-US" w:eastAsia="zh-CN" w:bidi="ar-SA"/>
                    </w:rPr>
                  </w:pPr>
                  <w:r>
                    <w:rPr>
                      <w:rFonts w:hint="eastAsia"/>
                      <w:color w:val="C00000"/>
                      <w:szCs w:val="21"/>
                      <w:highlight w:val="none"/>
                      <w:lang w:val="en-US" w:eastAsia="zh-CN"/>
                    </w:rPr>
                    <w:t>28</w:t>
                  </w:r>
                </w:p>
              </w:tc>
              <w:tc>
                <w:tcPr>
                  <w:tcW w:w="822" w:type="dxa"/>
                  <w:tcBorders>
                    <w:tl2br w:val="nil"/>
                    <w:tr2bl w:val="nil"/>
                  </w:tcBorders>
                  <w:shd w:val="clear" w:color="auto" w:fill="auto"/>
                  <w:vAlign w:val="center"/>
                </w:tcPr>
                <w:p w14:paraId="3A8E5270">
                  <w:pPr>
                    <w:jc w:val="center"/>
                    <w:rPr>
                      <w:rFonts w:hint="eastAsia" w:ascii="Times New Roman" w:hAnsi="Times New Roman" w:eastAsia="宋体" w:cs="Times New Roman"/>
                      <w:color w:val="C00000"/>
                      <w:kern w:val="2"/>
                      <w:sz w:val="21"/>
                      <w:szCs w:val="21"/>
                      <w:highlight w:val="none"/>
                      <w:lang w:val="en-US" w:eastAsia="zh-CN" w:bidi="ar-SA"/>
                    </w:rPr>
                  </w:pPr>
                  <w:r>
                    <w:rPr>
                      <w:rFonts w:hint="eastAsia"/>
                      <w:color w:val="C00000"/>
                      <w:szCs w:val="21"/>
                      <w:highlight w:val="none"/>
                      <w:lang w:val="en-US" w:eastAsia="zh-CN"/>
                    </w:rPr>
                    <w:t>50</w:t>
                  </w:r>
                </w:p>
              </w:tc>
              <w:tc>
                <w:tcPr>
                  <w:tcW w:w="827" w:type="dxa"/>
                  <w:tcBorders>
                    <w:tl2br w:val="nil"/>
                    <w:tr2bl w:val="nil"/>
                  </w:tcBorders>
                  <w:shd w:val="clear" w:color="auto" w:fill="auto"/>
                  <w:vAlign w:val="center"/>
                </w:tcPr>
                <w:p w14:paraId="0FA8E97B">
                  <w:pPr>
                    <w:jc w:val="center"/>
                    <w:rPr>
                      <w:rFonts w:hint="eastAsia" w:ascii="Times New Roman" w:hAnsi="Times New Roman" w:eastAsia="宋体" w:cs="Times New Roman"/>
                      <w:color w:val="C00000"/>
                      <w:kern w:val="2"/>
                      <w:sz w:val="21"/>
                      <w:szCs w:val="21"/>
                      <w:highlight w:val="none"/>
                      <w:lang w:val="en-US" w:eastAsia="zh-CN" w:bidi="ar-SA"/>
                    </w:rPr>
                  </w:pPr>
                  <w:r>
                    <w:rPr>
                      <w:rFonts w:hint="eastAsia"/>
                      <w:color w:val="C00000"/>
                      <w:szCs w:val="21"/>
                      <w:highlight w:val="none"/>
                      <w:lang w:val="en-US" w:eastAsia="zh-CN"/>
                    </w:rPr>
                    <w:t>41</w:t>
                  </w:r>
                </w:p>
              </w:tc>
              <w:tc>
                <w:tcPr>
                  <w:tcW w:w="840" w:type="dxa"/>
                  <w:tcBorders>
                    <w:tl2br w:val="nil"/>
                    <w:tr2bl w:val="nil"/>
                  </w:tcBorders>
                  <w:shd w:val="clear" w:color="auto" w:fill="auto"/>
                  <w:vAlign w:val="center"/>
                </w:tcPr>
                <w:p w14:paraId="2FEB58C7">
                  <w:pPr>
                    <w:jc w:val="center"/>
                    <w:rPr>
                      <w:rFonts w:ascii="Times New Roman" w:hAnsi="Times New Roman" w:eastAsia="宋体" w:cs="Times New Roman"/>
                      <w:color w:val="C00000"/>
                      <w:kern w:val="2"/>
                      <w:sz w:val="21"/>
                      <w:szCs w:val="21"/>
                      <w:highlight w:val="none"/>
                      <w:lang w:val="en-US" w:eastAsia="zh-CN" w:bidi="ar-SA"/>
                    </w:rPr>
                  </w:pPr>
                  <w:r>
                    <w:rPr>
                      <w:color w:val="C00000"/>
                      <w:szCs w:val="21"/>
                      <w:highlight w:val="none"/>
                    </w:rPr>
                    <w:t>达标</w:t>
                  </w:r>
                </w:p>
              </w:tc>
              <w:tc>
                <w:tcPr>
                  <w:tcW w:w="847" w:type="dxa"/>
                  <w:tcBorders>
                    <w:tl2br w:val="nil"/>
                    <w:tr2bl w:val="nil"/>
                  </w:tcBorders>
                  <w:shd w:val="clear" w:color="auto" w:fill="auto"/>
                  <w:vAlign w:val="center"/>
                </w:tcPr>
                <w:p w14:paraId="4D5C20D4">
                  <w:pPr>
                    <w:jc w:val="center"/>
                    <w:rPr>
                      <w:rFonts w:ascii="Times New Roman" w:hAnsi="Times New Roman" w:eastAsia="宋体" w:cs="Times New Roman"/>
                      <w:color w:val="C00000"/>
                      <w:kern w:val="2"/>
                      <w:sz w:val="21"/>
                      <w:szCs w:val="21"/>
                      <w:highlight w:val="none"/>
                      <w:lang w:val="en-US" w:eastAsia="zh-CN" w:bidi="ar-SA"/>
                    </w:rPr>
                  </w:pPr>
                  <w:r>
                    <w:rPr>
                      <w:color w:val="C00000"/>
                      <w:szCs w:val="21"/>
                      <w:highlight w:val="none"/>
                    </w:rPr>
                    <w:t>达标</w:t>
                  </w:r>
                </w:p>
              </w:tc>
            </w:tr>
          </w:tbl>
          <w:p w14:paraId="48B2AB9E"/>
          <w:p w14:paraId="4737A19B">
            <w:pPr>
              <w:spacing w:line="360" w:lineRule="auto"/>
              <w:ind w:firstLine="480" w:firstLineChars="200"/>
              <w:rPr>
                <w:sz w:val="24"/>
              </w:rPr>
            </w:pPr>
            <w:r>
              <w:rPr>
                <w:sz w:val="24"/>
              </w:rPr>
              <w:t>（三）监测计划</w:t>
            </w:r>
          </w:p>
          <w:p w14:paraId="0F95693E">
            <w:pPr>
              <w:spacing w:line="360" w:lineRule="auto"/>
              <w:ind w:firstLine="480" w:firstLineChars="200"/>
              <w:rPr>
                <w:sz w:val="24"/>
              </w:rPr>
            </w:pPr>
            <w:r>
              <w:rPr>
                <w:sz w:val="24"/>
              </w:rPr>
              <w:t>依据《排污单位自行监测技术指南总则》(HJ819-2017)确定本项目监测计划，具体见下表。</w:t>
            </w:r>
          </w:p>
          <w:p w14:paraId="7497FA84">
            <w:pPr>
              <w:keepNext/>
              <w:widowControl/>
              <w:ind w:left="482" w:hanging="62"/>
              <w:jc w:val="center"/>
              <w:rPr>
                <w:b/>
                <w:szCs w:val="21"/>
              </w:rPr>
            </w:pPr>
            <w:r>
              <w:rPr>
                <w:b/>
                <w:szCs w:val="21"/>
              </w:rPr>
              <w:t>表4-</w:t>
            </w:r>
            <w:r>
              <w:rPr>
                <w:rFonts w:hint="eastAsia"/>
                <w:b/>
                <w:szCs w:val="21"/>
              </w:rPr>
              <w:t>8</w:t>
            </w:r>
            <w:r>
              <w:rPr>
                <w:b/>
                <w:szCs w:val="21"/>
              </w:rPr>
              <w:t>本项目污染源监测计划</w:t>
            </w:r>
          </w:p>
          <w:tbl>
            <w:tblPr>
              <w:tblStyle w:val="32"/>
              <w:tblW w:w="789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531"/>
              <w:gridCol w:w="1015"/>
              <w:gridCol w:w="1756"/>
              <w:gridCol w:w="1353"/>
              <w:gridCol w:w="2239"/>
            </w:tblGrid>
            <w:tr w14:paraId="17476F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531" w:type="dxa"/>
                  <w:tcBorders>
                    <w:tl2br w:val="nil"/>
                    <w:tr2bl w:val="nil"/>
                  </w:tcBorders>
                  <w:vAlign w:val="center"/>
                </w:tcPr>
                <w:p w14:paraId="0538523E">
                  <w:pPr>
                    <w:jc w:val="center"/>
                    <w:rPr>
                      <w:szCs w:val="21"/>
                    </w:rPr>
                  </w:pPr>
                  <w:r>
                    <w:rPr>
                      <w:szCs w:val="21"/>
                    </w:rPr>
                    <w:t>监测项目</w:t>
                  </w:r>
                </w:p>
              </w:tc>
              <w:tc>
                <w:tcPr>
                  <w:tcW w:w="1015" w:type="dxa"/>
                  <w:tcBorders>
                    <w:tl2br w:val="nil"/>
                    <w:tr2bl w:val="nil"/>
                  </w:tcBorders>
                  <w:vAlign w:val="center"/>
                </w:tcPr>
                <w:p w14:paraId="365B4034">
                  <w:pPr>
                    <w:jc w:val="center"/>
                    <w:rPr>
                      <w:szCs w:val="21"/>
                    </w:rPr>
                  </w:pPr>
                  <w:r>
                    <w:rPr>
                      <w:szCs w:val="21"/>
                    </w:rPr>
                    <w:t>监测指标</w:t>
                  </w:r>
                </w:p>
              </w:tc>
              <w:tc>
                <w:tcPr>
                  <w:tcW w:w="1756" w:type="dxa"/>
                  <w:tcBorders>
                    <w:tl2br w:val="nil"/>
                    <w:tr2bl w:val="nil"/>
                  </w:tcBorders>
                  <w:vAlign w:val="center"/>
                </w:tcPr>
                <w:p w14:paraId="7D2062AE">
                  <w:pPr>
                    <w:jc w:val="center"/>
                    <w:rPr>
                      <w:szCs w:val="21"/>
                    </w:rPr>
                  </w:pPr>
                  <w:r>
                    <w:rPr>
                      <w:szCs w:val="21"/>
                    </w:rPr>
                    <w:t>监测点位置</w:t>
                  </w:r>
                </w:p>
              </w:tc>
              <w:tc>
                <w:tcPr>
                  <w:tcW w:w="1353" w:type="dxa"/>
                  <w:tcBorders>
                    <w:tl2br w:val="nil"/>
                    <w:tr2bl w:val="nil"/>
                  </w:tcBorders>
                  <w:vAlign w:val="center"/>
                </w:tcPr>
                <w:p w14:paraId="5D8D7507">
                  <w:pPr>
                    <w:jc w:val="center"/>
                    <w:rPr>
                      <w:color w:val="C00000"/>
                      <w:szCs w:val="21"/>
                    </w:rPr>
                  </w:pPr>
                  <w:r>
                    <w:rPr>
                      <w:color w:val="C00000"/>
                      <w:szCs w:val="21"/>
                    </w:rPr>
                    <w:t>最低监测频率</w:t>
                  </w:r>
                </w:p>
              </w:tc>
              <w:tc>
                <w:tcPr>
                  <w:tcW w:w="2239" w:type="dxa"/>
                  <w:tcBorders>
                    <w:tl2br w:val="nil"/>
                    <w:tr2bl w:val="nil"/>
                  </w:tcBorders>
                  <w:vAlign w:val="center"/>
                </w:tcPr>
                <w:p w14:paraId="061D7DB2">
                  <w:pPr>
                    <w:jc w:val="center"/>
                    <w:rPr>
                      <w:szCs w:val="21"/>
                    </w:rPr>
                  </w:pPr>
                  <w:r>
                    <w:rPr>
                      <w:szCs w:val="21"/>
                    </w:rPr>
                    <w:t>执行标准</w:t>
                  </w:r>
                </w:p>
              </w:tc>
            </w:tr>
            <w:tr w14:paraId="2DD369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531" w:type="dxa"/>
                  <w:tcBorders>
                    <w:tl2br w:val="nil"/>
                    <w:tr2bl w:val="nil"/>
                  </w:tcBorders>
                  <w:vAlign w:val="center"/>
                </w:tcPr>
                <w:p w14:paraId="50E8C92F">
                  <w:pPr>
                    <w:jc w:val="center"/>
                    <w:rPr>
                      <w:szCs w:val="21"/>
                    </w:rPr>
                  </w:pPr>
                  <w:r>
                    <w:rPr>
                      <w:szCs w:val="21"/>
                    </w:rPr>
                    <w:t>厂界噪声</w:t>
                  </w:r>
                </w:p>
              </w:tc>
              <w:tc>
                <w:tcPr>
                  <w:tcW w:w="1015" w:type="dxa"/>
                  <w:tcBorders>
                    <w:tl2br w:val="nil"/>
                    <w:tr2bl w:val="nil"/>
                  </w:tcBorders>
                  <w:vAlign w:val="center"/>
                </w:tcPr>
                <w:p w14:paraId="16944BE5">
                  <w:pPr>
                    <w:jc w:val="center"/>
                    <w:rPr>
                      <w:szCs w:val="21"/>
                    </w:rPr>
                  </w:pPr>
                  <w:r>
                    <w:rPr>
                      <w:bCs/>
                      <w:szCs w:val="21"/>
                    </w:rPr>
                    <w:t>连续等效A声级</w:t>
                  </w:r>
                </w:p>
              </w:tc>
              <w:tc>
                <w:tcPr>
                  <w:tcW w:w="1756" w:type="dxa"/>
                  <w:tcBorders>
                    <w:tl2br w:val="nil"/>
                    <w:tr2bl w:val="nil"/>
                  </w:tcBorders>
                  <w:vAlign w:val="center"/>
                </w:tcPr>
                <w:p w14:paraId="0B0DF95F">
                  <w:pPr>
                    <w:jc w:val="center"/>
                    <w:rPr>
                      <w:szCs w:val="21"/>
                    </w:rPr>
                  </w:pPr>
                  <w:r>
                    <w:rPr>
                      <w:szCs w:val="21"/>
                    </w:rPr>
                    <w:t>厂界</w:t>
                  </w:r>
                </w:p>
              </w:tc>
              <w:tc>
                <w:tcPr>
                  <w:tcW w:w="1353" w:type="dxa"/>
                  <w:tcBorders>
                    <w:tl2br w:val="nil"/>
                    <w:tr2bl w:val="nil"/>
                  </w:tcBorders>
                  <w:vAlign w:val="center"/>
                </w:tcPr>
                <w:p w14:paraId="53882C28">
                  <w:pPr>
                    <w:jc w:val="center"/>
                    <w:rPr>
                      <w:rFonts w:hint="default" w:eastAsia="宋体"/>
                      <w:color w:val="C00000"/>
                      <w:szCs w:val="21"/>
                      <w:lang w:val="en-US" w:eastAsia="zh-CN"/>
                    </w:rPr>
                  </w:pPr>
                  <w:r>
                    <w:rPr>
                      <w:color w:val="C00000"/>
                      <w:szCs w:val="21"/>
                    </w:rPr>
                    <w:t>1次/季度</w:t>
                  </w:r>
                  <w:r>
                    <w:rPr>
                      <w:rFonts w:hint="eastAsia"/>
                      <w:color w:val="C00000"/>
                      <w:szCs w:val="21"/>
                      <w:lang w:eastAsia="zh-CN"/>
                    </w:rPr>
                    <w:t>（</w:t>
                  </w:r>
                  <w:r>
                    <w:rPr>
                      <w:rFonts w:hint="eastAsia"/>
                      <w:color w:val="C00000"/>
                      <w:szCs w:val="21"/>
                      <w:lang w:val="en-US" w:eastAsia="zh-CN"/>
                    </w:rPr>
                    <w:t>不足1季度，至少测1次）</w:t>
                  </w:r>
                </w:p>
              </w:tc>
              <w:tc>
                <w:tcPr>
                  <w:tcW w:w="2239" w:type="dxa"/>
                  <w:tcBorders>
                    <w:tl2br w:val="nil"/>
                    <w:tr2bl w:val="nil"/>
                  </w:tcBorders>
                  <w:vAlign w:val="center"/>
                </w:tcPr>
                <w:p w14:paraId="58A843B2">
                  <w:pPr>
                    <w:jc w:val="center"/>
                    <w:rPr>
                      <w:szCs w:val="21"/>
                    </w:rPr>
                  </w:pPr>
                  <w:r>
                    <w:rPr>
                      <w:szCs w:val="21"/>
                    </w:rPr>
                    <w:t>《工业企业厂界环境噪声排放标准》（GB12348-2008）2类标准</w:t>
                  </w:r>
                </w:p>
              </w:tc>
            </w:tr>
          </w:tbl>
          <w:p w14:paraId="0BA0016E">
            <w:pPr>
              <w:spacing w:line="360" w:lineRule="auto"/>
              <w:ind w:firstLine="480" w:firstLineChars="200"/>
              <w:rPr>
                <w:sz w:val="24"/>
              </w:rPr>
            </w:pPr>
            <w:r>
              <w:rPr>
                <w:sz w:val="24"/>
              </w:rPr>
              <w:t>（四）</w:t>
            </w:r>
            <w:r>
              <w:rPr>
                <w:sz w:val="24"/>
                <w:lang w:bidi="ar"/>
              </w:rPr>
              <w:t>污染防治措施及环境影响分析</w:t>
            </w:r>
          </w:p>
          <w:p w14:paraId="1FAA8CCD">
            <w:pPr>
              <w:spacing w:line="360" w:lineRule="auto"/>
              <w:ind w:firstLine="480" w:firstLineChars="200"/>
              <w:rPr>
                <w:sz w:val="24"/>
              </w:rPr>
            </w:pPr>
            <w:r>
              <w:rPr>
                <w:sz w:val="24"/>
              </w:rPr>
              <w:t>（1）选用低噪声设备：在满足项目生产工艺的前提下选择低噪声设备，从源头上降低噪声。</w:t>
            </w:r>
          </w:p>
          <w:p w14:paraId="535C64AC">
            <w:pPr>
              <w:spacing w:line="360" w:lineRule="auto"/>
              <w:ind w:firstLine="480" w:firstLineChars="200"/>
              <w:rPr>
                <w:sz w:val="24"/>
              </w:rPr>
            </w:pPr>
            <w:r>
              <w:rPr>
                <w:sz w:val="24"/>
              </w:rPr>
              <w:t>（2）合理布局：在满足生产的前提下综合考虑，设备布置时考虑声源方向性和车间噪声强弱等因素，进行合理布局，进一步降低厂界噪声，将高噪声设备安置在建筑物中部及远离厂界的位置，充分利用厂内建筑物的隔声作用，减轻各类声源对周围环境的影响。</w:t>
            </w:r>
          </w:p>
          <w:p w14:paraId="4434FEAB">
            <w:pPr>
              <w:spacing w:line="360" w:lineRule="auto"/>
              <w:ind w:firstLine="480" w:firstLineChars="200"/>
              <w:rPr>
                <w:sz w:val="24"/>
              </w:rPr>
            </w:pPr>
            <w:r>
              <w:rPr>
                <w:sz w:val="24"/>
              </w:rPr>
              <w:t>（3）加强设备的维护，确保设备处于良好的运转状态，杜绝因设备不正常运转时产生的高噪声现象。</w:t>
            </w:r>
          </w:p>
          <w:p w14:paraId="0B457270">
            <w:pPr>
              <w:spacing w:line="360" w:lineRule="auto"/>
              <w:ind w:firstLine="480" w:firstLineChars="200"/>
              <w:rPr>
                <w:sz w:val="24"/>
              </w:rPr>
            </w:pPr>
            <w:r>
              <w:rPr>
                <w:sz w:val="24"/>
              </w:rPr>
              <w:t>（4）对烘干塔、风机等高噪声设备加装减振基础，安装减振垫，风机设置减振底座，加装隔声罩，并在风机进、出风口装设消音器。</w:t>
            </w:r>
          </w:p>
          <w:p w14:paraId="3FF88CD7">
            <w:pPr>
              <w:spacing w:line="360" w:lineRule="auto"/>
              <w:ind w:firstLine="480" w:firstLineChars="200"/>
              <w:rPr>
                <w:sz w:val="24"/>
              </w:rPr>
            </w:pPr>
            <w:r>
              <w:rPr>
                <w:sz w:val="24"/>
              </w:rPr>
              <w:t>（5）维护路面，使路面状况良好，低速运行，禁止鸣笛，文明驾驶。</w:t>
            </w:r>
          </w:p>
          <w:p w14:paraId="55319EC0">
            <w:pPr>
              <w:pStyle w:val="59"/>
              <w:spacing w:line="360" w:lineRule="auto"/>
              <w:ind w:firstLine="480"/>
              <w:rPr>
                <w:highlight w:val="yellow"/>
              </w:rPr>
            </w:pPr>
            <w:r>
              <w:t>通过采取</w:t>
            </w:r>
            <w:r>
              <w:rPr>
                <w:szCs w:val="21"/>
              </w:rPr>
              <w:t>以上措施</w:t>
            </w:r>
            <w:r>
              <w:t>，可使厂界噪声满足《工业企业厂界环境噪声排放标准》（GB12348-2008）2类标准</w:t>
            </w:r>
            <w:r>
              <w:rPr>
                <w:szCs w:val="24"/>
              </w:rPr>
              <w:t>要求，</w:t>
            </w:r>
            <w:r>
              <w:t>综上所述，从噪声影响角度，本项目对周围声环境影响较小</w:t>
            </w:r>
            <w:r>
              <w:rPr>
                <w:rFonts w:hint="eastAsia"/>
              </w:rPr>
              <w:t>，</w:t>
            </w:r>
            <w:r>
              <w:t>本项目建设是可行的。</w:t>
            </w:r>
          </w:p>
          <w:p w14:paraId="7115714E">
            <w:pPr>
              <w:pStyle w:val="59"/>
              <w:spacing w:line="360" w:lineRule="auto"/>
              <w:ind w:firstLine="482"/>
              <w:rPr>
                <w:b/>
                <w:bCs/>
                <w:szCs w:val="24"/>
              </w:rPr>
            </w:pPr>
            <w:r>
              <w:rPr>
                <w:b/>
                <w:bCs/>
                <w:szCs w:val="24"/>
              </w:rPr>
              <w:t>4、固体废物</w:t>
            </w:r>
          </w:p>
          <w:p w14:paraId="14AE6BDD">
            <w:pPr>
              <w:spacing w:line="360" w:lineRule="auto"/>
              <w:ind w:firstLine="480" w:firstLineChars="200"/>
              <w:rPr>
                <w:sz w:val="24"/>
              </w:rPr>
            </w:pPr>
            <w:r>
              <w:rPr>
                <w:sz w:val="24"/>
              </w:rPr>
              <w:t>（一）主要污染物及源强</w:t>
            </w:r>
          </w:p>
          <w:p w14:paraId="2BB07C7F">
            <w:pPr>
              <w:spacing w:line="360" w:lineRule="auto"/>
              <w:ind w:firstLine="480" w:firstLineChars="200"/>
              <w:rPr>
                <w:rFonts w:ascii="Times New Roman" w:hAnsi="Times New Roman" w:eastAsia="宋体" w:cs="Times New Roman"/>
                <w:color w:val="C00000"/>
                <w:sz w:val="24"/>
              </w:rPr>
            </w:pPr>
            <w:r>
              <w:rPr>
                <w:rFonts w:ascii="Times New Roman" w:hAnsi="Times New Roman" w:eastAsia="宋体" w:cs="Times New Roman"/>
                <w:color w:val="C00000"/>
                <w:sz w:val="24"/>
              </w:rPr>
              <w:t>本项目固体废物主要为一般工业固体废物</w:t>
            </w:r>
            <w:r>
              <w:rPr>
                <w:rFonts w:hint="eastAsia" w:ascii="Times New Roman" w:hAnsi="Times New Roman" w:eastAsia="宋体" w:cs="Times New Roman"/>
                <w:color w:val="C00000"/>
                <w:sz w:val="24"/>
                <w:lang w:val="en-US" w:eastAsia="zh-CN"/>
              </w:rPr>
              <w:t>和危险废物</w:t>
            </w:r>
            <w:r>
              <w:rPr>
                <w:rFonts w:ascii="Times New Roman" w:hAnsi="Times New Roman" w:eastAsia="宋体" w:cs="Times New Roman"/>
                <w:color w:val="C00000"/>
                <w:sz w:val="24"/>
              </w:rPr>
              <w:t>。</w:t>
            </w:r>
            <w:r>
              <w:rPr>
                <w:rFonts w:hint="eastAsia" w:ascii="Times New Roman" w:hAnsi="Times New Roman" w:eastAsia="宋体" w:cs="Times New Roman"/>
                <w:color w:val="C00000"/>
                <w:sz w:val="24"/>
              </w:rPr>
              <w:t>筛分</w:t>
            </w:r>
            <w:r>
              <w:rPr>
                <w:rFonts w:ascii="Times New Roman" w:hAnsi="Times New Roman" w:eastAsia="宋体" w:cs="Times New Roman"/>
                <w:color w:val="C00000"/>
                <w:sz w:val="24"/>
              </w:rPr>
              <w:t>工序中产生的杂质，除尘系统</w:t>
            </w:r>
            <w:r>
              <w:rPr>
                <w:rFonts w:hint="eastAsia" w:ascii="Times New Roman" w:hAnsi="Times New Roman" w:eastAsia="宋体" w:cs="Times New Roman"/>
                <w:color w:val="C00000"/>
                <w:sz w:val="24"/>
              </w:rPr>
              <w:t>收集的粉尘</w:t>
            </w:r>
            <w:r>
              <w:rPr>
                <w:rFonts w:hint="eastAsia" w:ascii="Times New Roman" w:hAnsi="Times New Roman" w:eastAsia="宋体" w:cs="Times New Roman"/>
                <w:color w:val="C00000"/>
                <w:sz w:val="24"/>
                <w:lang w:eastAsia="zh-CN"/>
              </w:rPr>
              <w:t>，</w:t>
            </w:r>
            <w:r>
              <w:rPr>
                <w:rFonts w:ascii="Times New Roman" w:hAnsi="Times New Roman" w:eastAsia="宋体" w:cs="Times New Roman"/>
                <w:color w:val="C00000"/>
                <w:sz w:val="24"/>
              </w:rPr>
              <w:t>热风炉</w:t>
            </w:r>
            <w:r>
              <w:rPr>
                <w:rFonts w:hint="eastAsia" w:ascii="Times New Roman" w:hAnsi="Times New Roman" w:eastAsia="宋体" w:cs="Times New Roman"/>
                <w:color w:val="C00000"/>
                <w:sz w:val="24"/>
                <w:lang w:val="en-US" w:eastAsia="zh-CN"/>
              </w:rPr>
              <w:t>产生的炉</w:t>
            </w:r>
            <w:r>
              <w:rPr>
                <w:rFonts w:ascii="Times New Roman" w:hAnsi="Times New Roman" w:eastAsia="宋体" w:cs="Times New Roman"/>
                <w:color w:val="C00000"/>
                <w:sz w:val="24"/>
              </w:rPr>
              <w:t>渣，</w:t>
            </w:r>
            <w:r>
              <w:rPr>
                <w:rFonts w:hint="eastAsia" w:ascii="Times New Roman" w:hAnsi="Times New Roman" w:eastAsia="宋体" w:cs="Times New Roman"/>
                <w:color w:val="C00000"/>
                <w:sz w:val="24"/>
              </w:rPr>
              <w:t>布袋除尘器产生的</w:t>
            </w:r>
            <w:r>
              <w:rPr>
                <w:rFonts w:ascii="Times New Roman" w:hAnsi="Times New Roman" w:eastAsia="宋体" w:cs="Times New Roman"/>
                <w:color w:val="C00000"/>
                <w:sz w:val="24"/>
              </w:rPr>
              <w:t>废布袋</w:t>
            </w:r>
            <w:r>
              <w:rPr>
                <w:rFonts w:hint="eastAsia" w:ascii="Times New Roman" w:hAnsi="Times New Roman" w:eastAsia="宋体" w:cs="Times New Roman"/>
                <w:color w:val="C00000"/>
                <w:sz w:val="24"/>
                <w:lang w:eastAsia="zh-CN"/>
              </w:rPr>
              <w:t>，</w:t>
            </w:r>
            <w:r>
              <w:rPr>
                <w:rFonts w:hint="eastAsia" w:ascii="Times New Roman" w:hAnsi="Times New Roman" w:eastAsia="宋体" w:cs="Times New Roman"/>
                <w:color w:val="C00000"/>
                <w:sz w:val="24"/>
                <w:lang w:val="en-US" w:eastAsia="zh-CN"/>
              </w:rPr>
              <w:t>设备检修、保养产生的废润滑油、废弃含油抹布</w:t>
            </w:r>
            <w:r>
              <w:rPr>
                <w:rFonts w:ascii="Times New Roman" w:hAnsi="Times New Roman" w:eastAsia="宋体" w:cs="Times New Roman"/>
                <w:color w:val="C00000"/>
                <w:sz w:val="24"/>
              </w:rPr>
              <w:t>。</w:t>
            </w:r>
          </w:p>
          <w:p w14:paraId="3B717C67">
            <w:pPr>
              <w:spacing w:line="360" w:lineRule="auto"/>
              <w:ind w:firstLine="480" w:firstLineChars="200"/>
              <w:rPr>
                <w:sz w:val="24"/>
              </w:rPr>
            </w:pPr>
            <w:r>
              <w:rPr>
                <w:sz w:val="24"/>
              </w:rPr>
              <w:t>（1）杂质</w:t>
            </w:r>
          </w:p>
          <w:p w14:paraId="41456115">
            <w:pPr>
              <w:pStyle w:val="25"/>
              <w:ind w:firstLine="480"/>
              <w:rPr>
                <w:sz w:val="24"/>
                <w:szCs w:val="24"/>
              </w:rPr>
            </w:pPr>
            <w:r>
              <w:rPr>
                <w:sz w:val="24"/>
                <w:szCs w:val="24"/>
              </w:rPr>
              <w:t>类比现有工程，原粮杂质产生量约为原料烘干量的0.1%，本项目</w:t>
            </w:r>
            <w:r>
              <w:rPr>
                <w:sz w:val="24"/>
              </w:rPr>
              <w:t>年烘干粮食</w:t>
            </w:r>
            <w:r>
              <w:rPr>
                <w:rFonts w:hint="eastAsia"/>
                <w:sz w:val="24"/>
              </w:rPr>
              <w:t>15000</w:t>
            </w:r>
            <w:r>
              <w:rPr>
                <w:sz w:val="24"/>
              </w:rPr>
              <w:t>t，则</w:t>
            </w:r>
            <w:r>
              <w:rPr>
                <w:sz w:val="24"/>
                <w:szCs w:val="24"/>
              </w:rPr>
              <w:t>原粮筛分除杂工序中产生的杂质量约为</w:t>
            </w:r>
            <w:r>
              <w:rPr>
                <w:rFonts w:hint="eastAsia"/>
                <w:sz w:val="24"/>
                <w:szCs w:val="24"/>
              </w:rPr>
              <w:t>15t</w:t>
            </w:r>
            <w:r>
              <w:rPr>
                <w:sz w:val="24"/>
                <w:szCs w:val="24"/>
              </w:rPr>
              <w:t>/a，对照</w:t>
            </w:r>
            <w:r>
              <w:rPr>
                <w:sz w:val="24"/>
              </w:rPr>
              <w:t>《固体废物分类与代码目录》（2024版）</w:t>
            </w:r>
            <w:r>
              <w:rPr>
                <w:sz w:val="24"/>
                <w:szCs w:val="24"/>
              </w:rPr>
              <w:t>，原粮杂质分类代码为“900-099-S64”，用编织袋装袋，交由环卫部门统一清理。</w:t>
            </w:r>
          </w:p>
          <w:p w14:paraId="5E39D761">
            <w:pPr>
              <w:spacing w:line="360" w:lineRule="auto"/>
              <w:ind w:firstLine="480" w:firstLineChars="200"/>
              <w:rPr>
                <w:sz w:val="24"/>
              </w:rPr>
            </w:pPr>
            <w:r>
              <w:rPr>
                <w:sz w:val="24"/>
              </w:rPr>
              <w:t>（2）炉渣</w:t>
            </w:r>
          </w:p>
          <w:p w14:paraId="23174A64">
            <w:pPr>
              <w:adjustRightInd w:val="0"/>
              <w:spacing w:line="360" w:lineRule="auto"/>
              <w:ind w:firstLine="480" w:firstLineChars="200"/>
              <w:rPr>
                <w:sz w:val="24"/>
              </w:rPr>
            </w:pPr>
            <w:r>
              <w:rPr>
                <w:sz w:val="24"/>
              </w:rPr>
              <w:t>本项目生物质燃料使用量共计</w:t>
            </w:r>
            <w:r>
              <w:rPr>
                <w:rFonts w:hint="eastAsia"/>
                <w:color w:val="C00000"/>
                <w:sz w:val="24"/>
                <w:lang w:eastAsia="zh-CN"/>
              </w:rPr>
              <w:t>1303</w:t>
            </w:r>
            <w:r>
              <w:rPr>
                <w:color w:val="C00000"/>
                <w:sz w:val="24"/>
              </w:rPr>
              <w:t>t，</w:t>
            </w:r>
            <w:r>
              <w:rPr>
                <w:sz w:val="24"/>
              </w:rPr>
              <w:t>根据《污染源源强核算技术指南 准则》（HJ884-2018）及《污染源源强核算技术指南 锅炉》（HJ 991-2018），本项目生物质蒸汽锅炉炉渣污染物采取物料衡算法计算。</w:t>
            </w:r>
          </w:p>
          <w:p w14:paraId="003A0D5E">
            <w:pPr>
              <w:adjustRightInd w:val="0"/>
              <w:snapToGrid w:val="0"/>
              <w:spacing w:line="500" w:lineRule="exact"/>
              <w:ind w:firstLine="480" w:firstLineChars="200"/>
              <w:rPr>
                <w:sz w:val="24"/>
                <w:highlight w:val="yellow"/>
              </w:rPr>
            </w:pPr>
            <w:r>
              <w:rPr>
                <w:sz w:val="24"/>
                <w:highlight w:val="yellow"/>
              </w:rPr>
              <w:drawing>
                <wp:anchor distT="0" distB="0" distL="114300" distR="114300" simplePos="0" relativeHeight="251663360" behindDoc="0" locked="0" layoutInCell="1" allowOverlap="1">
                  <wp:simplePos x="0" y="0"/>
                  <wp:positionH relativeFrom="column">
                    <wp:posOffset>768985</wp:posOffset>
                  </wp:positionH>
                  <wp:positionV relativeFrom="paragraph">
                    <wp:posOffset>60325</wp:posOffset>
                  </wp:positionV>
                  <wp:extent cx="2506345" cy="619125"/>
                  <wp:effectExtent l="0" t="0" r="8255" b="3175"/>
                  <wp:wrapNone/>
                  <wp:docPr id="8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60"/>
                          <pic:cNvPicPr>
                            <a:picLocks noChangeAspect="1"/>
                          </pic:cNvPicPr>
                        </pic:nvPicPr>
                        <pic:blipFill>
                          <a:blip r:embed="rId32"/>
                          <a:stretch>
                            <a:fillRect/>
                          </a:stretch>
                        </pic:blipFill>
                        <pic:spPr>
                          <a:xfrm>
                            <a:off x="0" y="0"/>
                            <a:ext cx="2506345" cy="619125"/>
                          </a:xfrm>
                          <a:prstGeom prst="rect">
                            <a:avLst/>
                          </a:prstGeom>
                          <a:noFill/>
                          <a:ln>
                            <a:noFill/>
                          </a:ln>
                        </pic:spPr>
                      </pic:pic>
                    </a:graphicData>
                  </a:graphic>
                </wp:anchor>
              </w:drawing>
            </w:r>
          </w:p>
          <w:p w14:paraId="1158A1C0">
            <w:pPr>
              <w:adjustRightInd w:val="0"/>
              <w:snapToGrid w:val="0"/>
              <w:spacing w:line="500" w:lineRule="exact"/>
              <w:ind w:firstLine="480" w:firstLineChars="200"/>
              <w:rPr>
                <w:sz w:val="24"/>
                <w:highlight w:val="yellow"/>
              </w:rPr>
            </w:pPr>
          </w:p>
          <w:p w14:paraId="7929B408">
            <w:pPr>
              <w:adjustRightInd w:val="0"/>
              <w:spacing w:line="360" w:lineRule="auto"/>
              <w:ind w:firstLine="480" w:firstLineChars="200"/>
              <w:rPr>
                <w:sz w:val="24"/>
                <w:highlight w:val="yellow"/>
              </w:rPr>
            </w:pPr>
          </w:p>
          <w:p w14:paraId="6A22AC8A">
            <w:pPr>
              <w:adjustRightInd w:val="0"/>
              <w:spacing w:line="360" w:lineRule="auto"/>
              <w:ind w:firstLine="480" w:firstLineChars="200"/>
              <w:rPr>
                <w:sz w:val="24"/>
              </w:rPr>
            </w:pPr>
            <w:r>
              <w:rPr>
                <w:sz w:val="24"/>
              </w:rPr>
              <w:t>式中：</w:t>
            </w:r>
          </w:p>
          <w:p w14:paraId="36576E8B">
            <w:pPr>
              <w:adjustRightInd w:val="0"/>
              <w:spacing w:line="360" w:lineRule="auto"/>
              <w:ind w:firstLine="480" w:firstLineChars="200"/>
              <w:rPr>
                <w:sz w:val="24"/>
              </w:rPr>
            </w:pPr>
            <w:r>
              <w:rPr>
                <w:i/>
                <w:iCs/>
                <w:sz w:val="24"/>
              </w:rPr>
              <w:t>E</w:t>
            </w:r>
            <w:r>
              <w:rPr>
                <w:i/>
                <w:iCs/>
                <w:sz w:val="24"/>
                <w:vertAlign w:val="subscript"/>
              </w:rPr>
              <w:t>hs</w:t>
            </w:r>
            <w:r>
              <w:rPr>
                <w:sz w:val="24"/>
              </w:rPr>
              <w:t>——核算时段内灰渣产生量，t；</w:t>
            </w:r>
          </w:p>
          <w:p w14:paraId="3B565F31">
            <w:pPr>
              <w:adjustRightInd w:val="0"/>
              <w:spacing w:line="360" w:lineRule="auto"/>
              <w:ind w:firstLine="480" w:firstLineChars="200"/>
              <w:rPr>
                <w:sz w:val="24"/>
              </w:rPr>
            </w:pPr>
            <w:r>
              <w:rPr>
                <w:i/>
                <w:iCs/>
                <w:sz w:val="24"/>
              </w:rPr>
              <w:t>R</w:t>
            </w:r>
            <w:r>
              <w:rPr>
                <w:sz w:val="24"/>
              </w:rPr>
              <w:t>——核算时段内锅炉燃料耗量，t</w:t>
            </w:r>
            <w:r>
              <w:rPr>
                <w:rStyle w:val="74"/>
              </w:rPr>
              <w:t>，</w:t>
            </w:r>
            <w:r>
              <w:rPr>
                <w:rStyle w:val="74"/>
                <w:rFonts w:hint="eastAsia"/>
                <w:lang w:eastAsia="zh-CN"/>
              </w:rPr>
              <w:t>1303</w:t>
            </w:r>
            <w:r>
              <w:rPr>
                <w:rStyle w:val="74"/>
              </w:rPr>
              <w:t>；</w:t>
            </w:r>
          </w:p>
          <w:p w14:paraId="2C23A8DA">
            <w:pPr>
              <w:adjustRightInd w:val="0"/>
              <w:spacing w:line="360" w:lineRule="auto"/>
              <w:ind w:firstLine="480" w:firstLineChars="200"/>
              <w:rPr>
                <w:sz w:val="24"/>
              </w:rPr>
            </w:pPr>
            <w:r>
              <w:rPr>
                <w:i/>
                <w:iCs/>
                <w:sz w:val="24"/>
              </w:rPr>
              <w:t>A</w:t>
            </w:r>
            <w:r>
              <w:rPr>
                <w:i/>
                <w:iCs/>
                <w:sz w:val="24"/>
                <w:vertAlign w:val="subscript"/>
              </w:rPr>
              <w:t>ar</w:t>
            </w:r>
            <w:r>
              <w:rPr>
                <w:sz w:val="24"/>
              </w:rPr>
              <w:t>——收到基灰分的质量分数，%，本项目</w:t>
            </w:r>
            <w:r>
              <w:rPr>
                <w:i/>
                <w:sz w:val="24"/>
              </w:rPr>
              <w:t>A</w:t>
            </w:r>
            <w:r>
              <w:rPr>
                <w:i/>
                <w:sz w:val="24"/>
                <w:vertAlign w:val="subscript"/>
              </w:rPr>
              <w:t>ar</w:t>
            </w:r>
            <w:r>
              <w:rPr>
                <w:iCs/>
                <w:sz w:val="24"/>
              </w:rPr>
              <w:t>取值</w:t>
            </w:r>
            <w:r>
              <w:rPr>
                <w:rFonts w:hint="eastAsia"/>
                <w:iCs/>
                <w:sz w:val="24"/>
              </w:rPr>
              <w:t>8.83</w:t>
            </w:r>
            <w:r>
              <w:rPr>
                <w:sz w:val="24"/>
              </w:rPr>
              <w:t>；</w:t>
            </w:r>
          </w:p>
          <w:p w14:paraId="7801DDD9">
            <w:pPr>
              <w:adjustRightInd w:val="0"/>
              <w:spacing w:line="360" w:lineRule="auto"/>
              <w:ind w:firstLine="480" w:firstLineChars="200"/>
              <w:rPr>
                <w:sz w:val="24"/>
              </w:rPr>
            </w:pPr>
            <w:r>
              <w:rPr>
                <w:i/>
                <w:iCs/>
                <w:sz w:val="24"/>
              </w:rPr>
              <w:t>q</w:t>
            </w:r>
            <w:r>
              <w:rPr>
                <w:i/>
                <w:iCs/>
                <w:sz w:val="24"/>
                <w:vertAlign w:val="subscript"/>
              </w:rPr>
              <w:t>4</w:t>
            </w:r>
            <w:r>
              <w:rPr>
                <w:sz w:val="24"/>
              </w:rPr>
              <w:t>——锅炉机械不完全燃烧热损失，%，本项目取</w:t>
            </w:r>
            <w:r>
              <w:rPr>
                <w:rFonts w:hint="eastAsia"/>
                <w:sz w:val="24"/>
              </w:rPr>
              <w:t>15</w:t>
            </w:r>
            <w:r>
              <w:rPr>
                <w:sz w:val="24"/>
              </w:rPr>
              <w:t>；</w:t>
            </w:r>
          </w:p>
          <w:p w14:paraId="5B413EFF">
            <w:pPr>
              <w:pStyle w:val="59"/>
              <w:spacing w:line="360" w:lineRule="auto"/>
              <w:ind w:firstLine="480"/>
              <w:rPr>
                <w:kern w:val="2"/>
                <w:szCs w:val="24"/>
              </w:rPr>
            </w:pPr>
            <w:r>
              <w:rPr>
                <w:i/>
                <w:iCs/>
              </w:rPr>
              <w:t>Q</w:t>
            </w:r>
            <w:r>
              <w:rPr>
                <w:i/>
                <w:iCs/>
                <w:vertAlign w:val="subscript"/>
              </w:rPr>
              <w:t>net，ar</w:t>
            </w:r>
            <w:r>
              <w:t>——收到基低位发热量，kJ/kg，取</w:t>
            </w:r>
            <w:r>
              <w:rPr>
                <w:rFonts w:hint="eastAsia"/>
              </w:rPr>
              <w:t>14083</w:t>
            </w:r>
            <w:r>
              <w:t>。</w:t>
            </w:r>
          </w:p>
          <w:p w14:paraId="78069DDA">
            <w:pPr>
              <w:pStyle w:val="59"/>
              <w:spacing w:line="360" w:lineRule="auto"/>
              <w:ind w:firstLine="480"/>
              <w:rPr>
                <w:kern w:val="2"/>
                <w:szCs w:val="24"/>
                <w:highlight w:val="yellow"/>
              </w:rPr>
            </w:pPr>
            <w:r>
              <w:rPr>
                <w:kern w:val="2"/>
                <w:szCs w:val="24"/>
              </w:rPr>
              <w:t>计算得到灰渣量为</w:t>
            </w:r>
            <w:r>
              <w:rPr>
                <w:rFonts w:hint="eastAsia"/>
                <w:color w:val="C00000"/>
                <w:kern w:val="2"/>
                <w:szCs w:val="24"/>
                <w:lang w:val="en-US" w:eastAsia="zh-CN"/>
              </w:rPr>
              <w:t>196.38</w:t>
            </w:r>
            <w:r>
              <w:rPr>
                <w:color w:val="C00000"/>
                <w:kern w:val="2"/>
                <w:szCs w:val="24"/>
              </w:rPr>
              <w:t>t/a，</w:t>
            </w:r>
            <w:r>
              <w:rPr>
                <w:color w:val="C00000"/>
                <w:szCs w:val="22"/>
              </w:rPr>
              <w:t>其中飞灰量（即热风炉烟气中颗粒物产生量）</w:t>
            </w:r>
            <w:r>
              <w:rPr>
                <w:color w:val="C00000"/>
                <w:sz w:val="24"/>
                <w:szCs w:val="24"/>
              </w:rPr>
              <w:t>为</w:t>
            </w:r>
            <w:r>
              <w:rPr>
                <w:rStyle w:val="42"/>
                <w:rFonts w:hint="eastAsia"/>
                <w:color w:val="C00000"/>
                <w:kern w:val="2"/>
                <w:sz w:val="24"/>
                <w:szCs w:val="24"/>
                <w:lang w:val="en-US" w:eastAsia="zh-CN"/>
              </w:rPr>
              <w:t>64.74</w:t>
            </w:r>
            <w:r>
              <w:rPr>
                <w:color w:val="C00000"/>
                <w:sz w:val="24"/>
                <w:szCs w:val="24"/>
              </w:rPr>
              <w:t>t/a</w:t>
            </w:r>
            <w:r>
              <w:rPr>
                <w:color w:val="C00000"/>
                <w:szCs w:val="22"/>
              </w:rPr>
              <w:t>，则热风炉炉渣产生量为</w:t>
            </w:r>
            <w:r>
              <w:rPr>
                <w:rFonts w:hint="eastAsia"/>
                <w:color w:val="C00000"/>
                <w:szCs w:val="22"/>
                <w:lang w:val="en-US" w:eastAsia="zh-CN"/>
              </w:rPr>
              <w:t>131.64</w:t>
            </w:r>
            <w:r>
              <w:rPr>
                <w:color w:val="C00000"/>
                <w:szCs w:val="22"/>
              </w:rPr>
              <w:t>t/</w:t>
            </w:r>
            <w:r>
              <w:rPr>
                <w:color w:val="auto"/>
                <w:szCs w:val="22"/>
              </w:rPr>
              <w:t>a。</w:t>
            </w:r>
            <w:r>
              <w:rPr>
                <w:color w:val="auto"/>
                <w:kern w:val="2"/>
                <w:szCs w:val="24"/>
              </w:rPr>
              <w:t>根灰渣分类代码为“900-099-S03”，热风炉除尘系统收</w:t>
            </w:r>
            <w:r>
              <w:rPr>
                <w:kern w:val="2"/>
                <w:szCs w:val="24"/>
              </w:rPr>
              <w:t>尘和热风炉灰渣其成分属于草木灰，草木灰是由植物燃烧后的残余物形成的，主要成分是、硅酸盐、钙盐</w:t>
            </w:r>
            <w:r>
              <w:rPr>
                <w:rFonts w:hint="eastAsia"/>
                <w:kern w:val="2"/>
                <w:szCs w:val="24"/>
                <w:lang w:eastAsia="zh-CN"/>
              </w:rPr>
              <w:t>，以及</w:t>
            </w:r>
            <w:r>
              <w:rPr>
                <w:kern w:val="2"/>
                <w:szCs w:val="24"/>
              </w:rPr>
              <w:t>钾的化合物，是制砖铺路的原材料，热风炉除尘系统收尘和热风炉灰渣统一收集暂存于灰渣仓中，</w:t>
            </w:r>
            <w:r>
              <w:rPr>
                <w:rFonts w:hint="eastAsia"/>
                <w:kern w:val="2"/>
                <w:szCs w:val="24"/>
              </w:rPr>
              <w:t>统一</w:t>
            </w:r>
            <w:r>
              <w:rPr>
                <w:szCs w:val="24"/>
              </w:rPr>
              <w:t>外售</w:t>
            </w:r>
            <w:r>
              <w:rPr>
                <w:szCs w:val="21"/>
              </w:rPr>
              <w:t>综合利用</w:t>
            </w:r>
            <w:r>
              <w:rPr>
                <w:szCs w:val="24"/>
              </w:rPr>
              <w:t>。</w:t>
            </w:r>
          </w:p>
          <w:p w14:paraId="302E9036">
            <w:pPr>
              <w:pStyle w:val="59"/>
              <w:spacing w:line="360" w:lineRule="auto"/>
              <w:ind w:firstLine="480"/>
              <w:rPr>
                <w:kern w:val="2"/>
                <w:szCs w:val="24"/>
              </w:rPr>
            </w:pPr>
            <w:r>
              <w:t>（3）除尘系统收尘</w:t>
            </w:r>
          </w:p>
          <w:p w14:paraId="187B626E">
            <w:pPr>
              <w:pStyle w:val="59"/>
              <w:spacing w:line="360" w:lineRule="auto"/>
              <w:ind w:firstLine="480"/>
              <w:rPr>
                <w:kern w:val="2"/>
                <w:szCs w:val="24"/>
                <w:highlight w:val="yellow"/>
              </w:rPr>
            </w:pPr>
            <w:r>
              <w:rPr>
                <w:kern w:val="2"/>
                <w:szCs w:val="24"/>
              </w:rPr>
              <w:t>热风炉除尘系统收尘</w:t>
            </w:r>
            <w:r>
              <w:rPr>
                <w:color w:val="auto"/>
                <w:kern w:val="2"/>
                <w:szCs w:val="24"/>
              </w:rPr>
              <w:t>量为</w:t>
            </w:r>
            <w:r>
              <w:rPr>
                <w:rStyle w:val="42"/>
                <w:rFonts w:hint="eastAsia"/>
                <w:color w:val="C00000"/>
                <w:kern w:val="2"/>
                <w:sz w:val="24"/>
                <w:szCs w:val="24"/>
                <w:lang w:val="en-US" w:eastAsia="zh-CN"/>
              </w:rPr>
              <w:t>64.48</w:t>
            </w:r>
            <w:r>
              <w:rPr>
                <w:color w:val="C00000"/>
                <w:kern w:val="2"/>
                <w:szCs w:val="24"/>
              </w:rPr>
              <w:t>t/a</w:t>
            </w:r>
            <w:r>
              <w:rPr>
                <w:color w:val="auto"/>
                <w:kern w:val="2"/>
                <w:szCs w:val="24"/>
              </w:rPr>
              <w:t>。</w:t>
            </w:r>
            <w:r>
              <w:rPr>
                <w:kern w:val="2"/>
                <w:szCs w:val="24"/>
              </w:rPr>
              <w:t>对照</w:t>
            </w:r>
            <w:r>
              <w:t>《固体废物分类与代码目录》（2024版）</w:t>
            </w:r>
            <w:r>
              <w:rPr>
                <w:kern w:val="2"/>
                <w:szCs w:val="24"/>
              </w:rPr>
              <w:t>，</w:t>
            </w:r>
            <w:r>
              <w:rPr>
                <w:szCs w:val="24"/>
              </w:rPr>
              <w:t>除尘系统收尘</w:t>
            </w:r>
            <w:r>
              <w:rPr>
                <w:kern w:val="2"/>
                <w:szCs w:val="24"/>
              </w:rPr>
              <w:t>分类代码为“900-099-S03”。</w:t>
            </w:r>
          </w:p>
          <w:p w14:paraId="22AFAE6E">
            <w:pPr>
              <w:pStyle w:val="59"/>
              <w:spacing w:line="360" w:lineRule="auto"/>
              <w:ind w:firstLine="480"/>
              <w:rPr>
                <w:szCs w:val="24"/>
              </w:rPr>
            </w:pPr>
            <w:r>
              <w:rPr>
                <w:szCs w:val="24"/>
              </w:rPr>
              <w:t>（</w:t>
            </w:r>
            <w:r>
              <w:rPr>
                <w:rFonts w:hint="eastAsia"/>
                <w:szCs w:val="24"/>
                <w:lang w:val="en-US" w:eastAsia="zh-CN"/>
              </w:rPr>
              <w:t>4</w:t>
            </w:r>
            <w:r>
              <w:rPr>
                <w:szCs w:val="24"/>
              </w:rPr>
              <w:t>）废布袋</w:t>
            </w:r>
          </w:p>
          <w:p w14:paraId="41F6F449">
            <w:pPr>
              <w:pStyle w:val="59"/>
              <w:spacing w:line="360" w:lineRule="auto"/>
              <w:ind w:firstLine="480"/>
              <w:rPr>
                <w:color w:val="C00000"/>
                <w:kern w:val="2"/>
                <w:szCs w:val="24"/>
              </w:rPr>
            </w:pPr>
            <w:r>
              <w:rPr>
                <w:kern w:val="2"/>
                <w:szCs w:val="24"/>
              </w:rPr>
              <w:t>本项目除尘系统所用布袋需要定期更换，类比现有工程，每年更换一次，一次产生量约为0.1t/a，</w:t>
            </w:r>
            <w:r>
              <w:rPr>
                <w:szCs w:val="24"/>
              </w:rPr>
              <w:t>对照</w:t>
            </w:r>
            <w:r>
              <w:t>《固体废物分类与代码目录》（2024版）</w:t>
            </w:r>
            <w:r>
              <w:rPr>
                <w:szCs w:val="24"/>
              </w:rPr>
              <w:t>，</w:t>
            </w:r>
            <w:r>
              <w:rPr>
                <w:kern w:val="2"/>
                <w:szCs w:val="24"/>
              </w:rPr>
              <w:t>废布袋</w:t>
            </w:r>
            <w:r>
              <w:rPr>
                <w:color w:val="C00000"/>
                <w:kern w:val="2"/>
                <w:szCs w:val="24"/>
              </w:rPr>
              <w:t>分类代码为“900-099-S59”，</w:t>
            </w:r>
            <w:r>
              <w:rPr>
                <w:rFonts w:hint="eastAsia"/>
                <w:color w:val="C00000"/>
                <w:szCs w:val="24"/>
              </w:rPr>
              <w:t>废布袋由更换厂家回收处置</w:t>
            </w:r>
            <w:r>
              <w:rPr>
                <w:color w:val="C00000"/>
                <w:kern w:val="2"/>
                <w:szCs w:val="24"/>
              </w:rPr>
              <w:t>，</w:t>
            </w:r>
            <w:r>
              <w:rPr>
                <w:bCs/>
                <w:color w:val="C00000"/>
                <w:szCs w:val="24"/>
              </w:rPr>
              <w:t>不在厂内暂存</w:t>
            </w:r>
            <w:r>
              <w:rPr>
                <w:color w:val="C00000"/>
                <w:kern w:val="2"/>
                <w:szCs w:val="24"/>
              </w:rPr>
              <w:t>。</w:t>
            </w:r>
          </w:p>
          <w:p w14:paraId="5FA86546">
            <w:pPr>
              <w:pStyle w:val="131"/>
              <w:numPr>
                <w:ilvl w:val="0"/>
                <w:numId w:val="0"/>
              </w:numPr>
              <w:ind w:firstLine="480" w:firstLineChars="200"/>
              <w:rPr>
                <w:rFonts w:hint="default" w:ascii="Times New Roman" w:hAnsi="Times New Roman" w:eastAsia="宋体" w:cs="Times New Roman"/>
                <w:color w:val="C00000"/>
                <w:highlight w:val="none"/>
                <w:lang w:val="en-US" w:eastAsia="zh-CN"/>
              </w:rPr>
            </w:pPr>
            <w:r>
              <w:rPr>
                <w:rFonts w:hint="eastAsia"/>
                <w:color w:val="C00000"/>
                <w:kern w:val="2"/>
                <w:szCs w:val="24"/>
                <w:lang w:eastAsia="zh-CN"/>
              </w:rPr>
              <w:t>（</w:t>
            </w:r>
            <w:r>
              <w:rPr>
                <w:rFonts w:hint="eastAsia"/>
                <w:color w:val="C00000"/>
                <w:kern w:val="2"/>
                <w:szCs w:val="24"/>
                <w:lang w:val="en-US" w:eastAsia="zh-CN"/>
              </w:rPr>
              <w:t>5）</w:t>
            </w:r>
            <w:r>
              <w:rPr>
                <w:rFonts w:hint="eastAsia" w:ascii="Times New Roman" w:hAnsi="Times New Roman" w:eastAsia="宋体" w:cs="Times New Roman"/>
                <w:color w:val="C00000"/>
                <w:highlight w:val="none"/>
                <w:lang w:val="en-US" w:eastAsia="zh-CN"/>
              </w:rPr>
              <w:t>废润滑油</w:t>
            </w:r>
          </w:p>
          <w:p w14:paraId="2931446C">
            <w:pPr>
              <w:pStyle w:val="131"/>
              <w:bidi w:val="0"/>
              <w:rPr>
                <w:rFonts w:hint="default" w:ascii="Times New Roman" w:hAnsi="Times New Roman" w:eastAsia="宋体" w:cs="Times New Roman"/>
                <w:color w:val="C00000"/>
                <w:highlight w:val="none"/>
                <w:lang w:val="en-US" w:eastAsia="zh-CN"/>
              </w:rPr>
            </w:pPr>
            <w:r>
              <w:rPr>
                <w:rFonts w:hint="default" w:ascii="Times New Roman" w:hAnsi="Times New Roman" w:eastAsia="宋体" w:cs="Times New Roman"/>
                <w:color w:val="C00000"/>
                <w:sz w:val="24"/>
                <w:szCs w:val="24"/>
                <w:highlight w:val="none"/>
              </w:rPr>
              <w:t>设备维修时会产生</w:t>
            </w:r>
            <w:r>
              <w:rPr>
                <w:rFonts w:hint="eastAsia" w:ascii="Times New Roman" w:hAnsi="Times New Roman" w:eastAsia="宋体" w:cs="Times New Roman"/>
                <w:color w:val="C00000"/>
                <w:highlight w:val="none"/>
                <w:lang w:val="en-US" w:eastAsia="zh-CN"/>
              </w:rPr>
              <w:t>废润滑油</w:t>
            </w:r>
            <w:r>
              <w:rPr>
                <w:rFonts w:hint="default" w:ascii="Times New Roman" w:hAnsi="Times New Roman" w:eastAsia="宋体" w:cs="Times New Roman"/>
                <w:color w:val="C00000"/>
                <w:sz w:val="24"/>
                <w:szCs w:val="24"/>
                <w:highlight w:val="none"/>
              </w:rPr>
              <w:t>，产生量约为0.5t/a，</w:t>
            </w:r>
            <w:r>
              <w:rPr>
                <w:rFonts w:hint="default" w:ascii="Times New Roman" w:hAnsi="Times New Roman" w:eastAsia="宋体" w:cs="Times New Roman"/>
                <w:color w:val="C00000"/>
                <w:highlight w:val="none"/>
                <w:lang w:val="en-US" w:eastAsia="zh-CN"/>
              </w:rPr>
              <w:t>属于</w:t>
            </w:r>
            <w:r>
              <w:rPr>
                <w:rFonts w:hint="default" w:ascii="Times New Roman" w:hAnsi="Times New Roman" w:eastAsia="宋体" w:cs="Times New Roman"/>
                <w:bCs/>
                <w:color w:val="C00000"/>
                <w:kern w:val="0"/>
                <w:sz w:val="24"/>
                <w:szCs w:val="24"/>
                <w:highlight w:val="none"/>
              </w:rPr>
              <w:t>《国家危险废物名录（202</w:t>
            </w:r>
            <w:r>
              <w:rPr>
                <w:rFonts w:hint="eastAsia" w:ascii="Times New Roman" w:hAnsi="Times New Roman" w:eastAsia="宋体" w:cs="Times New Roman"/>
                <w:bCs/>
                <w:color w:val="C00000"/>
                <w:kern w:val="0"/>
                <w:sz w:val="24"/>
                <w:szCs w:val="24"/>
                <w:highlight w:val="none"/>
                <w:lang w:val="en-US" w:eastAsia="zh-CN"/>
              </w:rPr>
              <w:t>5</w:t>
            </w:r>
            <w:r>
              <w:rPr>
                <w:rFonts w:hint="default" w:ascii="Times New Roman" w:hAnsi="Times New Roman" w:eastAsia="宋体" w:cs="Times New Roman"/>
                <w:bCs/>
                <w:color w:val="C00000"/>
                <w:kern w:val="0"/>
                <w:sz w:val="24"/>
                <w:szCs w:val="24"/>
                <w:highlight w:val="none"/>
              </w:rPr>
              <w:t>年版）》</w:t>
            </w:r>
            <w:r>
              <w:rPr>
                <w:rFonts w:hint="default" w:ascii="Times New Roman" w:hAnsi="Times New Roman" w:eastAsia="宋体" w:cs="Times New Roman"/>
                <w:color w:val="C00000"/>
                <w:highlight w:val="none"/>
                <w:lang w:val="en-US" w:eastAsia="zh-CN"/>
              </w:rPr>
              <w:t>类别为HW08废矿物油与含矿物油废物（废物代码：900-2</w:t>
            </w:r>
            <w:r>
              <w:rPr>
                <w:rFonts w:hint="eastAsia" w:ascii="Times New Roman" w:hAnsi="Times New Roman" w:eastAsia="宋体" w:cs="Times New Roman"/>
                <w:color w:val="C00000"/>
                <w:highlight w:val="none"/>
                <w:lang w:val="en-US" w:eastAsia="zh-CN"/>
              </w:rPr>
              <w:t>14</w:t>
            </w:r>
            <w:r>
              <w:rPr>
                <w:rFonts w:hint="default" w:ascii="Times New Roman" w:hAnsi="Times New Roman" w:eastAsia="宋体" w:cs="Times New Roman"/>
                <w:color w:val="C00000"/>
                <w:highlight w:val="none"/>
                <w:lang w:val="en-US" w:eastAsia="zh-CN"/>
              </w:rPr>
              <w:t>-08，“车辆、轮船及其它机械维修过程中产生的废发动机油、制动器油、自动变速器油、齿轮油等废润滑油”），产生后</w:t>
            </w:r>
            <w:r>
              <w:rPr>
                <w:rFonts w:hint="default" w:ascii="Times New Roman" w:hAnsi="Times New Roman" w:eastAsia="宋体" w:cs="Times New Roman"/>
                <w:color w:val="C00000"/>
                <w:highlight w:val="none"/>
              </w:rPr>
              <w:t>暂存于</w:t>
            </w:r>
            <w:r>
              <w:rPr>
                <w:rFonts w:hint="eastAsia" w:ascii="Times New Roman" w:hAnsi="Times New Roman" w:eastAsia="宋体" w:cs="Times New Roman"/>
                <w:color w:val="C00000"/>
                <w:highlight w:val="none"/>
                <w:lang w:eastAsia="zh-CN"/>
              </w:rPr>
              <w:t>危险废物贮存点</w:t>
            </w:r>
            <w:r>
              <w:rPr>
                <w:rFonts w:hint="default" w:ascii="Times New Roman" w:hAnsi="Times New Roman" w:eastAsia="宋体" w:cs="Times New Roman"/>
                <w:color w:val="C00000"/>
                <w:highlight w:val="none"/>
              </w:rPr>
              <w:t>内，定期交由有资质的单位进行处置。</w:t>
            </w:r>
          </w:p>
          <w:p w14:paraId="0BCE8AB9">
            <w:pPr>
              <w:pStyle w:val="131"/>
              <w:ind w:firstLine="480"/>
              <w:rPr>
                <w:rFonts w:hint="default" w:ascii="Times New Roman" w:hAnsi="Times New Roman" w:eastAsia="宋体" w:cs="Times New Roman"/>
                <w:color w:val="C00000"/>
                <w:highlight w:val="none"/>
                <w:lang w:val="en-US" w:eastAsia="zh-CN"/>
              </w:rPr>
            </w:pPr>
            <w:r>
              <w:rPr>
                <w:rFonts w:hint="eastAsia" w:ascii="Times New Roman" w:hAnsi="Times New Roman" w:eastAsia="宋体" w:cs="Times New Roman"/>
                <w:color w:val="C00000"/>
                <w:highlight w:val="none"/>
                <w:lang w:val="en-US" w:eastAsia="zh-CN"/>
              </w:rPr>
              <w:t>（6）</w:t>
            </w:r>
            <w:r>
              <w:rPr>
                <w:rFonts w:hint="default" w:ascii="Times New Roman" w:hAnsi="Times New Roman" w:eastAsia="宋体" w:cs="Times New Roman"/>
                <w:color w:val="C00000"/>
                <w:highlight w:val="none"/>
                <w:lang w:val="en-US" w:eastAsia="zh-CN"/>
              </w:rPr>
              <w:t>废弃的含油抹布</w:t>
            </w:r>
          </w:p>
          <w:p w14:paraId="1952D7C1">
            <w:pPr>
              <w:pStyle w:val="131"/>
              <w:ind w:firstLine="480"/>
              <w:rPr>
                <w:rFonts w:hint="default" w:ascii="Times New Roman" w:hAnsi="Times New Roman" w:eastAsia="宋体" w:cs="Times New Roman"/>
                <w:color w:val="C00000"/>
                <w:highlight w:val="none"/>
              </w:rPr>
            </w:pPr>
            <w:r>
              <w:rPr>
                <w:rFonts w:hint="eastAsia" w:ascii="Times New Roman" w:hAnsi="Times New Roman" w:eastAsia="宋体" w:cs="Times New Roman"/>
                <w:color w:val="C00000"/>
                <w:highlight w:val="none"/>
                <w:lang w:val="en-US" w:eastAsia="zh-CN"/>
              </w:rPr>
              <w:t>本</w:t>
            </w:r>
            <w:r>
              <w:rPr>
                <w:rFonts w:hint="default" w:ascii="Times New Roman" w:hAnsi="Times New Roman" w:eastAsia="宋体" w:cs="Times New Roman"/>
                <w:color w:val="C00000"/>
                <w:highlight w:val="none"/>
                <w:lang w:val="en-US" w:eastAsia="zh-CN"/>
              </w:rPr>
              <w:t>项目废弃的含油抹布</w:t>
            </w:r>
            <w:r>
              <w:rPr>
                <w:rFonts w:hint="default" w:ascii="Times New Roman" w:hAnsi="Times New Roman" w:eastAsia="宋体" w:cs="Times New Roman"/>
                <w:color w:val="C00000"/>
                <w:highlight w:val="none"/>
              </w:rPr>
              <w:t>产生量</w:t>
            </w:r>
            <w:r>
              <w:rPr>
                <w:rFonts w:hint="default" w:ascii="Times New Roman" w:hAnsi="Times New Roman" w:eastAsia="宋体" w:cs="Times New Roman"/>
                <w:color w:val="C00000"/>
                <w:highlight w:val="none"/>
                <w:lang w:val="en-US" w:eastAsia="zh-CN"/>
              </w:rPr>
              <w:t>约</w:t>
            </w:r>
            <w:r>
              <w:rPr>
                <w:rFonts w:hint="default" w:ascii="Times New Roman" w:hAnsi="Times New Roman" w:eastAsia="宋体" w:cs="Times New Roman"/>
                <w:color w:val="C00000"/>
                <w:highlight w:val="none"/>
              </w:rPr>
              <w:t>为</w:t>
            </w:r>
            <w:r>
              <w:rPr>
                <w:rFonts w:hint="default" w:ascii="Times New Roman" w:hAnsi="Times New Roman" w:eastAsia="宋体" w:cs="Times New Roman"/>
                <w:color w:val="C00000"/>
                <w:highlight w:val="none"/>
                <w:lang w:val="en-US" w:eastAsia="zh-CN"/>
              </w:rPr>
              <w:t>0.</w:t>
            </w:r>
            <w:r>
              <w:rPr>
                <w:rFonts w:hint="eastAsia" w:ascii="Times New Roman" w:hAnsi="Times New Roman" w:eastAsia="宋体" w:cs="Times New Roman"/>
                <w:color w:val="C00000"/>
                <w:highlight w:val="none"/>
                <w:lang w:val="en-US" w:eastAsia="zh-CN"/>
              </w:rPr>
              <w:t>1</w:t>
            </w:r>
            <w:r>
              <w:rPr>
                <w:rFonts w:hint="default" w:ascii="Times New Roman" w:hAnsi="Times New Roman" w:eastAsia="宋体" w:cs="Times New Roman"/>
                <w:color w:val="C00000"/>
                <w:highlight w:val="none"/>
              </w:rPr>
              <w:t>t/a</w:t>
            </w:r>
            <w:r>
              <w:rPr>
                <w:rFonts w:hint="default" w:ascii="Times New Roman" w:hAnsi="Times New Roman" w:eastAsia="宋体" w:cs="Times New Roman"/>
                <w:color w:val="C00000"/>
                <w:highlight w:val="none"/>
                <w:lang w:eastAsia="zh-CN"/>
              </w:rPr>
              <w:t>，</w:t>
            </w:r>
            <w:r>
              <w:rPr>
                <w:rFonts w:hint="default" w:ascii="Times New Roman" w:hAnsi="Times New Roman" w:eastAsia="宋体" w:cs="Times New Roman"/>
                <w:color w:val="C00000"/>
                <w:highlight w:val="none"/>
                <w:lang w:val="en-US" w:eastAsia="zh-CN"/>
              </w:rPr>
              <w:t>根据</w:t>
            </w:r>
            <w:r>
              <w:rPr>
                <w:rFonts w:hint="default" w:ascii="Times New Roman" w:hAnsi="Times New Roman" w:eastAsia="宋体" w:cs="Times New Roman"/>
                <w:bCs/>
                <w:color w:val="C00000"/>
                <w:kern w:val="0"/>
                <w:sz w:val="24"/>
                <w:szCs w:val="24"/>
                <w:highlight w:val="none"/>
              </w:rPr>
              <w:t>《国家危险废物名录（202</w:t>
            </w:r>
            <w:r>
              <w:rPr>
                <w:rFonts w:hint="eastAsia" w:ascii="Times New Roman" w:hAnsi="Times New Roman" w:eastAsia="宋体" w:cs="Times New Roman"/>
                <w:bCs/>
                <w:color w:val="C00000"/>
                <w:kern w:val="0"/>
                <w:sz w:val="24"/>
                <w:szCs w:val="24"/>
                <w:highlight w:val="none"/>
                <w:lang w:val="en-US" w:eastAsia="zh-CN"/>
              </w:rPr>
              <w:t>5</w:t>
            </w:r>
            <w:r>
              <w:rPr>
                <w:rFonts w:hint="default" w:ascii="Times New Roman" w:hAnsi="Times New Roman" w:eastAsia="宋体" w:cs="Times New Roman"/>
                <w:bCs/>
                <w:color w:val="C00000"/>
                <w:kern w:val="0"/>
                <w:sz w:val="24"/>
                <w:szCs w:val="24"/>
                <w:highlight w:val="none"/>
              </w:rPr>
              <w:t>年版）》</w:t>
            </w:r>
            <w:r>
              <w:rPr>
                <w:rFonts w:hint="default" w:ascii="Times New Roman" w:hAnsi="Times New Roman" w:eastAsia="宋体" w:cs="Times New Roman"/>
                <w:color w:val="C00000"/>
                <w:highlight w:val="none"/>
                <w:lang w:val="en-US" w:eastAsia="zh-CN"/>
              </w:rPr>
              <w:t>废物代码为900-</w:t>
            </w:r>
            <w:r>
              <w:rPr>
                <w:rFonts w:hint="eastAsia" w:ascii="Times New Roman" w:hAnsi="Times New Roman" w:eastAsia="宋体" w:cs="Times New Roman"/>
                <w:color w:val="C00000"/>
                <w:highlight w:val="none"/>
                <w:lang w:val="en-US" w:eastAsia="zh-CN"/>
              </w:rPr>
              <w:t>049</w:t>
            </w:r>
            <w:r>
              <w:rPr>
                <w:rFonts w:hint="default" w:ascii="Times New Roman" w:hAnsi="Times New Roman" w:eastAsia="宋体" w:cs="Times New Roman"/>
                <w:color w:val="C00000"/>
                <w:highlight w:val="none"/>
                <w:lang w:val="en-US" w:eastAsia="zh-CN"/>
              </w:rPr>
              <w:t>-</w:t>
            </w:r>
            <w:r>
              <w:rPr>
                <w:rFonts w:hint="eastAsia" w:ascii="Times New Roman" w:hAnsi="Times New Roman" w:eastAsia="宋体" w:cs="Times New Roman"/>
                <w:color w:val="C00000"/>
                <w:highlight w:val="none"/>
                <w:lang w:val="en-US" w:eastAsia="zh-CN"/>
              </w:rPr>
              <w:t>08</w:t>
            </w:r>
            <w:r>
              <w:rPr>
                <w:rFonts w:hint="default" w:ascii="Times New Roman" w:hAnsi="Times New Roman" w:eastAsia="宋体" w:cs="Times New Roman"/>
                <w:color w:val="C00000"/>
                <w:highlight w:val="none"/>
                <w:lang w:val="en-US" w:eastAsia="zh-CN"/>
              </w:rPr>
              <w:t>，产生后</w:t>
            </w:r>
            <w:r>
              <w:rPr>
                <w:rFonts w:hint="default" w:ascii="Times New Roman" w:hAnsi="Times New Roman" w:eastAsia="宋体" w:cs="Times New Roman"/>
                <w:color w:val="C00000"/>
                <w:highlight w:val="none"/>
              </w:rPr>
              <w:t>暂存于</w:t>
            </w:r>
            <w:r>
              <w:rPr>
                <w:rFonts w:hint="eastAsia" w:ascii="Times New Roman" w:hAnsi="Times New Roman" w:eastAsia="宋体" w:cs="Times New Roman"/>
                <w:color w:val="C00000"/>
                <w:highlight w:val="none"/>
                <w:lang w:eastAsia="zh-CN"/>
              </w:rPr>
              <w:t>危险废物贮存点</w:t>
            </w:r>
            <w:r>
              <w:rPr>
                <w:rFonts w:hint="default" w:ascii="Times New Roman" w:hAnsi="Times New Roman" w:eastAsia="宋体" w:cs="Times New Roman"/>
                <w:color w:val="C00000"/>
                <w:highlight w:val="none"/>
              </w:rPr>
              <w:t>内，定期交由有资质的单位进行处置。</w:t>
            </w:r>
          </w:p>
          <w:p w14:paraId="3056871B">
            <w:pPr>
              <w:pStyle w:val="59"/>
              <w:spacing w:line="360" w:lineRule="auto"/>
              <w:ind w:firstLine="480"/>
              <w:rPr>
                <w:kern w:val="2"/>
                <w:szCs w:val="24"/>
              </w:rPr>
            </w:pPr>
            <w:r>
              <w:rPr>
                <w:szCs w:val="24"/>
              </w:rPr>
              <w:t>综上所述，本项目固体废物处置率100%</w:t>
            </w:r>
            <w:r>
              <w:rPr>
                <w:kern w:val="2"/>
                <w:szCs w:val="24"/>
              </w:rPr>
              <w:t>。</w:t>
            </w:r>
          </w:p>
          <w:p w14:paraId="4AC76711">
            <w:pPr>
              <w:spacing w:line="360" w:lineRule="auto"/>
              <w:ind w:firstLine="480" w:firstLineChars="200"/>
              <w:rPr>
                <w:sz w:val="24"/>
              </w:rPr>
            </w:pPr>
            <w:r>
              <w:rPr>
                <w:rFonts w:hint="eastAsia"/>
                <w:sz w:val="24"/>
                <w:lang w:eastAsia="zh-CN"/>
              </w:rPr>
              <w:t>（二）</w:t>
            </w:r>
            <w:r>
              <w:rPr>
                <w:rFonts w:hint="eastAsia"/>
                <w:sz w:val="24"/>
              </w:rPr>
              <w:t>环境管理要求</w:t>
            </w:r>
          </w:p>
          <w:p w14:paraId="314C6763">
            <w:pPr>
              <w:spacing w:line="360" w:lineRule="auto"/>
              <w:ind w:firstLine="480" w:firstLineChars="200"/>
              <w:contextualSpacing/>
              <w:rPr>
                <w:sz w:val="24"/>
                <w:szCs w:val="22"/>
              </w:rPr>
            </w:pPr>
            <w:r>
              <w:rPr>
                <w:sz w:val="24"/>
                <w:szCs w:val="22"/>
              </w:rPr>
              <w:t>（1）一般工业固体废物的环境管理</w:t>
            </w:r>
          </w:p>
          <w:p w14:paraId="7CEAFA8D">
            <w:pPr>
              <w:spacing w:line="360" w:lineRule="auto"/>
              <w:ind w:firstLine="480" w:firstLineChars="200"/>
              <w:contextualSpacing/>
              <w:rPr>
                <w:sz w:val="24"/>
                <w:szCs w:val="22"/>
              </w:rPr>
            </w:pPr>
            <w:r>
              <w:rPr>
                <w:sz w:val="24"/>
                <w:szCs w:val="22"/>
              </w:rPr>
              <w:fldChar w:fldCharType="begin"/>
            </w:r>
            <w:r>
              <w:rPr>
                <w:sz w:val="24"/>
                <w:szCs w:val="22"/>
              </w:rPr>
              <w:instrText xml:space="preserve">= 1 \* GB3</w:instrText>
            </w:r>
            <w:r>
              <w:rPr>
                <w:sz w:val="24"/>
                <w:szCs w:val="22"/>
              </w:rPr>
              <w:fldChar w:fldCharType="separate"/>
            </w:r>
            <w:r>
              <w:rPr>
                <w:sz w:val="24"/>
                <w:szCs w:val="22"/>
              </w:rPr>
              <w:t>①</w:t>
            </w:r>
            <w:r>
              <w:rPr>
                <w:sz w:val="24"/>
                <w:szCs w:val="22"/>
              </w:rPr>
              <w:fldChar w:fldCharType="end"/>
            </w:r>
            <w:r>
              <w:rPr>
                <w:sz w:val="24"/>
                <w:szCs w:val="22"/>
              </w:rPr>
              <w:t>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23660260">
            <w:pPr>
              <w:spacing w:line="360" w:lineRule="auto"/>
              <w:ind w:firstLine="480" w:firstLineChars="200"/>
              <w:contextualSpacing/>
              <w:rPr>
                <w:sz w:val="24"/>
                <w:szCs w:val="22"/>
              </w:rPr>
            </w:pPr>
            <w:r>
              <w:rPr>
                <w:sz w:val="24"/>
                <w:szCs w:val="22"/>
              </w:rPr>
              <w:fldChar w:fldCharType="begin"/>
            </w:r>
            <w:r>
              <w:rPr>
                <w:sz w:val="24"/>
                <w:szCs w:val="22"/>
              </w:rPr>
              <w:instrText xml:space="preserve">= 2 \* GB3</w:instrText>
            </w:r>
            <w:r>
              <w:rPr>
                <w:sz w:val="24"/>
                <w:szCs w:val="22"/>
              </w:rPr>
              <w:fldChar w:fldCharType="separate"/>
            </w:r>
            <w:r>
              <w:rPr>
                <w:sz w:val="24"/>
                <w:szCs w:val="22"/>
              </w:rPr>
              <w:t>②</w:t>
            </w:r>
            <w:r>
              <w:rPr>
                <w:sz w:val="24"/>
                <w:szCs w:val="22"/>
              </w:rPr>
              <w:fldChar w:fldCharType="end"/>
            </w:r>
            <w:r>
              <w:rPr>
                <w:sz w:val="24"/>
                <w:szCs w:val="22"/>
              </w:rPr>
              <w:t>禁止向生活垃圾收集设施中投放工业固体废物。</w:t>
            </w:r>
          </w:p>
          <w:p w14:paraId="0AD969DC">
            <w:pPr>
              <w:spacing w:line="360" w:lineRule="auto"/>
              <w:ind w:firstLine="480" w:firstLineChars="200"/>
              <w:contextualSpacing/>
              <w:rPr>
                <w:sz w:val="24"/>
                <w:szCs w:val="22"/>
              </w:rPr>
            </w:pPr>
            <w:r>
              <w:rPr>
                <w:sz w:val="24"/>
                <w:szCs w:val="22"/>
              </w:rPr>
              <w:fldChar w:fldCharType="begin"/>
            </w:r>
            <w:r>
              <w:rPr>
                <w:sz w:val="24"/>
                <w:szCs w:val="22"/>
              </w:rPr>
              <w:instrText xml:space="preserve">= 3 \* GB3</w:instrText>
            </w:r>
            <w:r>
              <w:rPr>
                <w:sz w:val="24"/>
                <w:szCs w:val="22"/>
              </w:rPr>
              <w:fldChar w:fldCharType="separate"/>
            </w:r>
            <w:r>
              <w:rPr>
                <w:sz w:val="24"/>
                <w:szCs w:val="22"/>
              </w:rPr>
              <w:t>③</w:t>
            </w:r>
            <w:r>
              <w:rPr>
                <w:sz w:val="24"/>
                <w:szCs w:val="22"/>
              </w:rPr>
              <w:fldChar w:fldCharType="end"/>
            </w:r>
            <w:r>
              <w:rPr>
                <w:sz w:val="24"/>
                <w:szCs w:val="22"/>
              </w:rPr>
              <w:t>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14:paraId="0A62A39E">
            <w:pPr>
              <w:spacing w:line="360" w:lineRule="auto"/>
              <w:ind w:firstLine="480" w:firstLineChars="200"/>
              <w:contextualSpacing/>
              <w:rPr>
                <w:sz w:val="24"/>
                <w:szCs w:val="22"/>
              </w:rPr>
            </w:pPr>
            <w:r>
              <w:rPr>
                <w:sz w:val="24"/>
                <w:szCs w:val="22"/>
              </w:rPr>
              <w:t>④一般固体废物储存处按《环境保护图形标志》（GB15562-1995）的相关规定要求设置环境保护图形标志。同时，一般固体废物储存处按《一般工业固体废物贮存和填埋污染控制标准》（GB18599-2020）要求的相关规定要求，采取相应的防渗漏措施。</w:t>
            </w:r>
          </w:p>
          <w:p w14:paraId="535A8A49">
            <w:pPr>
              <w:pStyle w:val="131"/>
              <w:ind w:firstLine="480"/>
              <w:rPr>
                <w:rFonts w:hint="default" w:ascii="Times New Roman" w:hAnsi="Times New Roman" w:eastAsia="宋体" w:cs="Times New Roman"/>
                <w:color w:val="C00000"/>
                <w:highlight w:val="none"/>
              </w:rPr>
            </w:pPr>
            <w:r>
              <w:rPr>
                <w:rFonts w:hint="eastAsia" w:ascii="Times New Roman" w:hAnsi="Times New Roman" w:eastAsia="宋体" w:cs="Times New Roman"/>
                <w:color w:val="C00000"/>
                <w:highlight w:val="none"/>
                <w:lang w:val="en-US" w:eastAsia="zh-CN"/>
              </w:rPr>
              <w:t>（2）</w:t>
            </w:r>
            <w:r>
              <w:rPr>
                <w:rFonts w:hint="default" w:ascii="Times New Roman" w:hAnsi="Times New Roman" w:eastAsia="宋体" w:cs="Times New Roman"/>
                <w:color w:val="C00000"/>
                <w:highlight w:val="none"/>
              </w:rPr>
              <w:t>本项目危险废物</w:t>
            </w:r>
            <w:r>
              <w:rPr>
                <w:rFonts w:hint="eastAsia" w:ascii="Times New Roman" w:hAnsi="Times New Roman" w:eastAsia="宋体" w:cs="Times New Roman"/>
                <w:color w:val="C00000"/>
                <w:highlight w:val="none"/>
                <w:lang w:val="en-US" w:eastAsia="zh-CN"/>
              </w:rPr>
              <w:t>环境</w:t>
            </w:r>
            <w:r>
              <w:rPr>
                <w:rFonts w:hint="default" w:ascii="Times New Roman" w:hAnsi="Times New Roman" w:eastAsia="宋体" w:cs="Times New Roman"/>
                <w:color w:val="C00000"/>
                <w:highlight w:val="none"/>
              </w:rPr>
              <w:t>管理</w:t>
            </w:r>
          </w:p>
          <w:p w14:paraId="7A198CF2">
            <w:pPr>
              <w:pStyle w:val="112"/>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val="0"/>
                <w:bCs w:val="0"/>
                <w:color w:val="C00000"/>
                <w:sz w:val="24"/>
                <w:szCs w:val="24"/>
                <w:highlight w:val="none"/>
                <w:lang w:val="en-US" w:eastAsia="zh-CN"/>
              </w:rPr>
            </w:pPr>
            <w:r>
              <w:rPr>
                <w:rFonts w:hint="eastAsia" w:ascii="Times New Roman" w:hAnsi="Times New Roman" w:eastAsia="宋体" w:cs="Times New Roman"/>
                <w:b w:val="0"/>
                <w:bCs w:val="0"/>
                <w:color w:val="C00000"/>
                <w:sz w:val="24"/>
                <w:szCs w:val="24"/>
                <w:highlight w:val="none"/>
                <w:lang w:val="en-US" w:eastAsia="zh-CN"/>
              </w:rPr>
              <w:t>①</w:t>
            </w:r>
            <w:r>
              <w:rPr>
                <w:rFonts w:hint="default" w:ascii="Times New Roman" w:hAnsi="Times New Roman" w:eastAsia="宋体" w:cs="Times New Roman"/>
                <w:b w:val="0"/>
                <w:bCs w:val="0"/>
                <w:color w:val="C00000"/>
                <w:sz w:val="24"/>
                <w:szCs w:val="24"/>
                <w:highlight w:val="none"/>
                <w:lang w:val="en-US" w:eastAsia="zh-CN"/>
              </w:rPr>
              <w:t>贮存场所（设施）污染防治措施管理要求</w:t>
            </w:r>
          </w:p>
          <w:p w14:paraId="454F0FF8">
            <w:pPr>
              <w:pStyle w:val="112"/>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C00000"/>
                <w:sz w:val="24"/>
                <w:szCs w:val="24"/>
                <w:highlight w:val="none"/>
                <w:lang w:val="en-US" w:eastAsia="zh-CN"/>
              </w:rPr>
            </w:pPr>
            <w:r>
              <w:rPr>
                <w:rFonts w:hint="default" w:ascii="Times New Roman" w:hAnsi="Times New Roman" w:eastAsia="宋体" w:cs="Times New Roman"/>
                <w:color w:val="C00000"/>
                <w:sz w:val="24"/>
                <w:szCs w:val="24"/>
                <w:highlight w:val="none"/>
                <w:lang w:val="en-US" w:eastAsia="zh-CN"/>
              </w:rPr>
              <w:t>本项目产生的危险废物暂存于危废</w:t>
            </w:r>
            <w:r>
              <w:rPr>
                <w:rFonts w:hint="eastAsia" w:ascii="Times New Roman" w:hAnsi="Times New Roman" w:cs="Times New Roman"/>
                <w:color w:val="C00000"/>
                <w:sz w:val="24"/>
                <w:szCs w:val="24"/>
                <w:highlight w:val="none"/>
                <w:lang w:val="en-US" w:eastAsia="zh-CN"/>
              </w:rPr>
              <w:t>贮存点</w:t>
            </w:r>
            <w:r>
              <w:rPr>
                <w:rFonts w:hint="default" w:ascii="Times New Roman" w:hAnsi="Times New Roman" w:eastAsia="宋体" w:cs="Times New Roman"/>
                <w:color w:val="C00000"/>
                <w:sz w:val="24"/>
                <w:szCs w:val="24"/>
                <w:highlight w:val="none"/>
                <w:lang w:val="en-US" w:eastAsia="zh-CN"/>
              </w:rPr>
              <w:t>内。为保证暂存的危险废物不对环境产生污染，依据《危险废物贮存污染控制标准》(GB18597-20</w:t>
            </w:r>
            <w:r>
              <w:rPr>
                <w:rFonts w:hint="default" w:ascii="Times New Roman" w:hAnsi="Times New Roman" w:cs="Times New Roman"/>
                <w:color w:val="C00000"/>
                <w:sz w:val="24"/>
                <w:szCs w:val="24"/>
                <w:highlight w:val="none"/>
                <w:lang w:val="en-US" w:eastAsia="zh-CN"/>
              </w:rPr>
              <w:t>23</w:t>
            </w:r>
            <w:r>
              <w:rPr>
                <w:rFonts w:hint="default" w:ascii="Times New Roman" w:hAnsi="Times New Roman" w:eastAsia="宋体" w:cs="Times New Roman"/>
                <w:color w:val="C00000"/>
                <w:sz w:val="24"/>
                <w:szCs w:val="24"/>
                <w:highlight w:val="none"/>
                <w:lang w:val="en-US" w:eastAsia="zh-CN"/>
              </w:rPr>
              <w:t>)</w:t>
            </w:r>
            <w:r>
              <w:rPr>
                <w:rFonts w:hint="default" w:ascii="Times New Roman" w:hAnsi="Times New Roman" w:cs="Times New Roman"/>
                <w:color w:val="C00000"/>
                <w:sz w:val="24"/>
                <w:szCs w:val="24"/>
                <w:highlight w:val="none"/>
                <w:lang w:val="en-US" w:eastAsia="zh-CN"/>
              </w:rPr>
              <w:t>、</w:t>
            </w:r>
            <w:r>
              <w:rPr>
                <w:rFonts w:hint="default" w:ascii="Times New Roman" w:hAnsi="Times New Roman" w:eastAsia="宋体" w:cs="Times New Roman"/>
                <w:color w:val="C00000"/>
                <w:sz w:val="24"/>
                <w:szCs w:val="24"/>
                <w:highlight w:val="none"/>
                <w:lang w:val="en-US" w:eastAsia="zh-CN"/>
              </w:rPr>
              <w:t>《危险废物收集贮存运输技术规范》 (HJ 2025-2012) 及相关法律法规，对危险废物</w:t>
            </w:r>
            <w:r>
              <w:rPr>
                <w:rFonts w:hint="eastAsia" w:ascii="Times New Roman" w:hAnsi="Times New Roman" w:cs="Times New Roman"/>
                <w:color w:val="C00000"/>
                <w:sz w:val="24"/>
                <w:szCs w:val="24"/>
                <w:highlight w:val="none"/>
                <w:lang w:val="en-US" w:eastAsia="zh-CN"/>
              </w:rPr>
              <w:t>贮存点</w:t>
            </w:r>
            <w:r>
              <w:rPr>
                <w:rFonts w:hint="default" w:ascii="Times New Roman" w:hAnsi="Times New Roman" w:eastAsia="宋体" w:cs="Times New Roman"/>
                <w:color w:val="C00000"/>
                <w:sz w:val="24"/>
                <w:szCs w:val="24"/>
                <w:highlight w:val="none"/>
                <w:lang w:val="en-US" w:eastAsia="zh-CN"/>
              </w:rPr>
              <w:t>提出如下安全措施</w:t>
            </w:r>
            <w:r>
              <w:rPr>
                <w:rFonts w:hint="eastAsia" w:ascii="Times New Roman" w:hAnsi="Times New Roman" w:cs="Times New Roman"/>
                <w:color w:val="C00000"/>
                <w:sz w:val="24"/>
                <w:szCs w:val="24"/>
                <w:highlight w:val="none"/>
                <w:lang w:val="en-US" w:eastAsia="zh-CN"/>
              </w:rPr>
              <w:t>：</w:t>
            </w:r>
          </w:p>
          <w:p w14:paraId="3CE1B2AE">
            <w:pPr>
              <w:pStyle w:val="112"/>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C00000"/>
                <w:sz w:val="24"/>
                <w:szCs w:val="24"/>
                <w:highlight w:val="none"/>
                <w:lang w:val="en-US" w:eastAsia="zh-CN"/>
              </w:rPr>
            </w:pPr>
            <w:r>
              <w:rPr>
                <w:rFonts w:hint="default" w:ascii="Times New Roman" w:hAnsi="Times New Roman" w:eastAsia="宋体" w:cs="Times New Roman"/>
                <w:color w:val="C00000"/>
                <w:sz w:val="24"/>
                <w:szCs w:val="24"/>
                <w:highlight w:val="none"/>
                <w:lang w:val="en-US" w:eastAsia="zh-CN"/>
              </w:rPr>
              <w:t>a.应设置单独的危险废物</w:t>
            </w:r>
            <w:r>
              <w:rPr>
                <w:rFonts w:hint="eastAsia" w:ascii="Times New Roman" w:hAnsi="Times New Roman" w:cs="Times New Roman"/>
                <w:color w:val="C00000"/>
                <w:sz w:val="24"/>
                <w:szCs w:val="24"/>
                <w:highlight w:val="none"/>
                <w:lang w:val="en-US" w:eastAsia="zh-CN"/>
              </w:rPr>
              <w:t>贮存</w:t>
            </w:r>
            <w:r>
              <w:rPr>
                <w:rFonts w:hint="default" w:ascii="Times New Roman" w:hAnsi="Times New Roman" w:eastAsia="宋体" w:cs="Times New Roman"/>
                <w:color w:val="C00000"/>
                <w:sz w:val="24"/>
                <w:szCs w:val="24"/>
                <w:highlight w:val="none"/>
                <w:lang w:val="en-US" w:eastAsia="zh-CN"/>
              </w:rPr>
              <w:t>点</w:t>
            </w:r>
            <w:r>
              <w:rPr>
                <w:rFonts w:hint="eastAsia" w:ascii="Times New Roman" w:hAnsi="Times New Roman" w:cs="Times New Roman"/>
                <w:color w:val="C00000"/>
                <w:sz w:val="24"/>
                <w:szCs w:val="24"/>
                <w:highlight w:val="none"/>
                <w:lang w:val="en-US" w:eastAsia="zh-CN"/>
              </w:rPr>
              <w:t>，</w:t>
            </w:r>
            <w:r>
              <w:rPr>
                <w:rFonts w:hint="default" w:ascii="Times New Roman" w:hAnsi="Times New Roman" w:eastAsia="宋体" w:cs="Times New Roman"/>
                <w:color w:val="C00000"/>
                <w:sz w:val="24"/>
                <w:szCs w:val="24"/>
                <w:highlight w:val="none"/>
                <w:lang w:val="en-US" w:eastAsia="zh-CN"/>
              </w:rPr>
              <w:t>贮存点应具有固定的区域边界，并应采取与其他区域进行隔离的措施</w:t>
            </w:r>
            <w:r>
              <w:rPr>
                <w:rFonts w:hint="eastAsia" w:ascii="Times New Roman" w:hAnsi="Times New Roman" w:eastAsia="宋体" w:cs="Times New Roman"/>
                <w:color w:val="C00000"/>
                <w:sz w:val="24"/>
                <w:szCs w:val="24"/>
                <w:highlight w:val="none"/>
                <w:lang w:val="en-US" w:eastAsia="zh-CN"/>
              </w:rPr>
              <w:t>；</w:t>
            </w:r>
          </w:p>
          <w:p w14:paraId="73AA8D06">
            <w:pPr>
              <w:pStyle w:val="112"/>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C00000"/>
                <w:sz w:val="24"/>
                <w:szCs w:val="24"/>
                <w:highlight w:val="none"/>
                <w:lang w:val="en-US" w:eastAsia="zh-CN"/>
              </w:rPr>
            </w:pPr>
            <w:r>
              <w:rPr>
                <w:rFonts w:hint="eastAsia" w:ascii="Times New Roman" w:hAnsi="Times New Roman" w:cs="Times New Roman"/>
                <w:color w:val="C00000"/>
                <w:sz w:val="24"/>
                <w:szCs w:val="24"/>
                <w:highlight w:val="none"/>
                <w:lang w:val="en-US" w:eastAsia="zh-CN"/>
              </w:rPr>
              <w:t>b.</w:t>
            </w:r>
            <w:r>
              <w:rPr>
                <w:rFonts w:hint="default" w:ascii="Times New Roman" w:hAnsi="Times New Roman" w:eastAsia="宋体" w:cs="Times New Roman"/>
                <w:color w:val="C00000"/>
                <w:sz w:val="24"/>
                <w:szCs w:val="24"/>
                <w:highlight w:val="none"/>
                <w:lang w:val="en-US" w:eastAsia="zh-CN"/>
              </w:rPr>
              <w:t>贮存点地面及裙角应做耐腐蚀硬化、防渗漏处理，且表面无裂隙，所使用的材料要与危险废物相容</w:t>
            </w:r>
            <w:r>
              <w:rPr>
                <w:rFonts w:hint="default" w:ascii="Times New Roman" w:hAnsi="Times New Roman" w:cs="Times New Roman"/>
                <w:color w:val="C00000"/>
                <w:sz w:val="24"/>
                <w:szCs w:val="24"/>
                <w:highlight w:val="none"/>
                <w:lang w:val="en-US" w:eastAsia="zh-CN"/>
              </w:rPr>
              <w:t>；</w:t>
            </w:r>
          </w:p>
          <w:p w14:paraId="11AFFEF9">
            <w:pPr>
              <w:pStyle w:val="112"/>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C00000"/>
                <w:sz w:val="24"/>
                <w:szCs w:val="24"/>
                <w:highlight w:val="none"/>
                <w:lang w:val="en-US" w:eastAsia="zh-CN"/>
              </w:rPr>
            </w:pPr>
            <w:r>
              <w:rPr>
                <w:rFonts w:hint="default" w:ascii="Times New Roman" w:hAnsi="Times New Roman" w:eastAsia="宋体" w:cs="Times New Roman"/>
                <w:color w:val="C00000"/>
                <w:sz w:val="24"/>
                <w:szCs w:val="24"/>
                <w:highlight w:val="none"/>
                <w:lang w:val="en-US" w:eastAsia="zh-CN"/>
              </w:rPr>
              <w:t>c.危险废物应选择防腐、防漏、防磕碰、密封严密的容器进行贮存和运输，储存于阴凉、通风良好的库房，远离火种、热源，库房应有专门人员看管</w:t>
            </w:r>
            <w:r>
              <w:rPr>
                <w:rFonts w:hint="eastAsia" w:ascii="Times New Roman" w:hAnsi="Times New Roman" w:eastAsia="宋体" w:cs="Times New Roman"/>
                <w:color w:val="C00000"/>
                <w:sz w:val="24"/>
                <w:szCs w:val="24"/>
                <w:highlight w:val="none"/>
                <w:lang w:val="en-US" w:eastAsia="zh-CN"/>
              </w:rPr>
              <w:t>；</w:t>
            </w:r>
          </w:p>
          <w:p w14:paraId="58B668DD">
            <w:pPr>
              <w:pStyle w:val="112"/>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C00000"/>
                <w:sz w:val="24"/>
                <w:szCs w:val="24"/>
                <w:highlight w:val="none"/>
                <w:lang w:val="en-US" w:eastAsia="zh-CN"/>
              </w:rPr>
              <w:t>d.贮存设施应防止无关人员进入。</w:t>
            </w:r>
          </w:p>
          <w:p w14:paraId="2A28EBF5">
            <w:pPr>
              <w:spacing w:line="360" w:lineRule="auto"/>
              <w:ind w:firstLine="480" w:firstLineChars="200"/>
              <w:contextualSpacing/>
              <w:rPr>
                <w:rFonts w:hint="eastAsia" w:eastAsia="宋体"/>
                <w:sz w:val="24"/>
                <w:szCs w:val="22"/>
                <w:lang w:eastAsia="zh-CN"/>
              </w:rPr>
            </w:pPr>
            <w:r>
              <w:rPr>
                <w:rFonts w:hint="eastAsia"/>
                <w:color w:val="auto"/>
                <w:sz w:val="24"/>
                <w:highlight w:val="none"/>
              </w:rPr>
              <w:t>因此，本项目</w:t>
            </w:r>
            <w:r>
              <w:rPr>
                <w:rFonts w:hint="eastAsia"/>
                <w:color w:val="auto"/>
                <w:sz w:val="24"/>
                <w:highlight w:val="none"/>
                <w:lang w:eastAsia="zh-CN"/>
              </w:rPr>
              <w:t>危险废物</w:t>
            </w:r>
            <w:r>
              <w:rPr>
                <w:rFonts w:hint="eastAsia"/>
                <w:color w:val="auto"/>
                <w:sz w:val="24"/>
                <w:highlight w:val="none"/>
              </w:rPr>
              <w:t>处置方案合理可行</w:t>
            </w:r>
            <w:r>
              <w:rPr>
                <w:rFonts w:hint="eastAsia"/>
                <w:color w:val="auto"/>
                <w:sz w:val="24"/>
                <w:highlight w:val="none"/>
                <w:lang w:eastAsia="zh-CN"/>
              </w:rPr>
              <w:t>。</w:t>
            </w:r>
          </w:p>
          <w:p w14:paraId="25DBB386">
            <w:pPr>
              <w:pStyle w:val="59"/>
              <w:spacing w:line="360" w:lineRule="auto"/>
              <w:ind w:firstLine="480"/>
              <w:rPr>
                <w:szCs w:val="24"/>
              </w:rPr>
            </w:pPr>
            <w:r>
              <w:rPr>
                <w:szCs w:val="24"/>
              </w:rPr>
              <w:t>项目固废产生情况详见表4-</w:t>
            </w:r>
            <w:r>
              <w:rPr>
                <w:rFonts w:hint="eastAsia"/>
                <w:szCs w:val="24"/>
              </w:rPr>
              <w:t>9</w:t>
            </w:r>
            <w:r>
              <w:rPr>
                <w:szCs w:val="24"/>
              </w:rPr>
              <w:t>。</w:t>
            </w:r>
          </w:p>
          <w:p w14:paraId="23BA5266">
            <w:pPr>
              <w:jc w:val="center"/>
              <w:rPr>
                <w:b/>
                <w:szCs w:val="21"/>
              </w:rPr>
            </w:pPr>
            <w:r>
              <w:rPr>
                <w:b/>
                <w:szCs w:val="21"/>
              </w:rPr>
              <w:t>表4-</w:t>
            </w:r>
            <w:r>
              <w:rPr>
                <w:rFonts w:hint="eastAsia"/>
                <w:b/>
                <w:szCs w:val="21"/>
              </w:rPr>
              <w:t>9</w:t>
            </w:r>
            <w:r>
              <w:rPr>
                <w:b/>
                <w:szCs w:val="21"/>
              </w:rPr>
              <w:t>固体废物污染源源强核算结果及相关参数一览表</w:t>
            </w:r>
          </w:p>
          <w:tbl>
            <w:tblPr>
              <w:tblStyle w:val="32"/>
              <w:tblW w:w="80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7"/>
              <w:gridCol w:w="784"/>
              <w:gridCol w:w="683"/>
              <w:gridCol w:w="860"/>
              <w:gridCol w:w="1098"/>
              <w:gridCol w:w="900"/>
              <w:gridCol w:w="409"/>
              <w:gridCol w:w="907"/>
              <w:gridCol w:w="1900"/>
            </w:tblGrid>
            <w:tr w14:paraId="4E2314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7" w:type="dxa"/>
                  <w:vMerge w:val="restart"/>
                  <w:vAlign w:val="center"/>
                </w:tcPr>
                <w:p w14:paraId="73615F84">
                  <w:pPr>
                    <w:jc w:val="center"/>
                    <w:rPr>
                      <w:szCs w:val="21"/>
                    </w:rPr>
                  </w:pPr>
                  <w:r>
                    <w:rPr>
                      <w:szCs w:val="21"/>
                    </w:rPr>
                    <w:t>来源</w:t>
                  </w:r>
                </w:p>
              </w:tc>
              <w:tc>
                <w:tcPr>
                  <w:tcW w:w="784" w:type="dxa"/>
                  <w:vMerge w:val="restart"/>
                  <w:vAlign w:val="center"/>
                </w:tcPr>
                <w:p w14:paraId="72A15ACC">
                  <w:pPr>
                    <w:jc w:val="center"/>
                    <w:rPr>
                      <w:szCs w:val="21"/>
                    </w:rPr>
                  </w:pPr>
                  <w:r>
                    <w:rPr>
                      <w:szCs w:val="21"/>
                    </w:rPr>
                    <w:t>种类</w:t>
                  </w:r>
                </w:p>
              </w:tc>
              <w:tc>
                <w:tcPr>
                  <w:tcW w:w="683" w:type="dxa"/>
                  <w:vMerge w:val="restart"/>
                  <w:vAlign w:val="center"/>
                </w:tcPr>
                <w:p w14:paraId="52789AE9">
                  <w:pPr>
                    <w:autoSpaceDE w:val="0"/>
                    <w:autoSpaceDN w:val="0"/>
                    <w:jc w:val="center"/>
                    <w:rPr>
                      <w:szCs w:val="21"/>
                    </w:rPr>
                  </w:pPr>
                  <w:r>
                    <w:rPr>
                      <w:szCs w:val="21"/>
                    </w:rPr>
                    <w:t>固废属性</w:t>
                  </w:r>
                </w:p>
              </w:tc>
              <w:tc>
                <w:tcPr>
                  <w:tcW w:w="860" w:type="dxa"/>
                  <w:vMerge w:val="restart"/>
                  <w:vAlign w:val="center"/>
                </w:tcPr>
                <w:p w14:paraId="7922B27B">
                  <w:pPr>
                    <w:autoSpaceDE w:val="0"/>
                    <w:autoSpaceDN w:val="0"/>
                    <w:jc w:val="center"/>
                    <w:rPr>
                      <w:szCs w:val="21"/>
                    </w:rPr>
                  </w:pPr>
                  <w:r>
                    <w:rPr>
                      <w:szCs w:val="21"/>
                    </w:rPr>
                    <w:t>代码</w:t>
                  </w:r>
                </w:p>
              </w:tc>
              <w:tc>
                <w:tcPr>
                  <w:tcW w:w="1998" w:type="dxa"/>
                  <w:gridSpan w:val="2"/>
                  <w:vAlign w:val="center"/>
                </w:tcPr>
                <w:p w14:paraId="0B40AABD">
                  <w:pPr>
                    <w:jc w:val="center"/>
                    <w:rPr>
                      <w:szCs w:val="21"/>
                    </w:rPr>
                  </w:pPr>
                  <w:r>
                    <w:rPr>
                      <w:szCs w:val="21"/>
                    </w:rPr>
                    <w:t>产生量</w:t>
                  </w:r>
                </w:p>
              </w:tc>
              <w:tc>
                <w:tcPr>
                  <w:tcW w:w="1316" w:type="dxa"/>
                  <w:gridSpan w:val="2"/>
                  <w:vAlign w:val="center"/>
                </w:tcPr>
                <w:p w14:paraId="5F10D11A">
                  <w:pPr>
                    <w:jc w:val="center"/>
                    <w:rPr>
                      <w:szCs w:val="21"/>
                    </w:rPr>
                  </w:pPr>
                  <w:r>
                    <w:rPr>
                      <w:szCs w:val="21"/>
                    </w:rPr>
                    <w:t>处置措施</w:t>
                  </w:r>
                </w:p>
              </w:tc>
              <w:tc>
                <w:tcPr>
                  <w:tcW w:w="1900" w:type="dxa"/>
                  <w:vMerge w:val="restart"/>
                  <w:vAlign w:val="center"/>
                </w:tcPr>
                <w:p w14:paraId="4AB85BB7">
                  <w:pPr>
                    <w:jc w:val="center"/>
                    <w:rPr>
                      <w:szCs w:val="21"/>
                    </w:rPr>
                  </w:pPr>
                  <w:r>
                    <w:rPr>
                      <w:szCs w:val="21"/>
                    </w:rPr>
                    <w:t>最终去向</w:t>
                  </w:r>
                </w:p>
              </w:tc>
            </w:tr>
            <w:tr w14:paraId="407B9A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497" w:type="dxa"/>
                  <w:vMerge w:val="continue"/>
                  <w:vAlign w:val="center"/>
                </w:tcPr>
                <w:p w14:paraId="0F1A5551">
                  <w:pPr>
                    <w:jc w:val="center"/>
                    <w:rPr>
                      <w:szCs w:val="21"/>
                    </w:rPr>
                  </w:pPr>
                </w:p>
              </w:tc>
              <w:tc>
                <w:tcPr>
                  <w:tcW w:w="784" w:type="dxa"/>
                  <w:vMerge w:val="continue"/>
                  <w:vAlign w:val="center"/>
                </w:tcPr>
                <w:p w14:paraId="25DEE04F">
                  <w:pPr>
                    <w:jc w:val="center"/>
                    <w:rPr>
                      <w:szCs w:val="21"/>
                    </w:rPr>
                  </w:pPr>
                </w:p>
              </w:tc>
              <w:tc>
                <w:tcPr>
                  <w:tcW w:w="683" w:type="dxa"/>
                  <w:vMerge w:val="continue"/>
                  <w:vAlign w:val="center"/>
                </w:tcPr>
                <w:p w14:paraId="6CDF400D">
                  <w:pPr>
                    <w:jc w:val="center"/>
                    <w:rPr>
                      <w:szCs w:val="21"/>
                    </w:rPr>
                  </w:pPr>
                </w:p>
              </w:tc>
              <w:tc>
                <w:tcPr>
                  <w:tcW w:w="860" w:type="dxa"/>
                  <w:vMerge w:val="continue"/>
                  <w:vAlign w:val="center"/>
                </w:tcPr>
                <w:p w14:paraId="3A480A78">
                  <w:pPr>
                    <w:jc w:val="center"/>
                    <w:rPr>
                      <w:szCs w:val="21"/>
                    </w:rPr>
                  </w:pPr>
                </w:p>
              </w:tc>
              <w:tc>
                <w:tcPr>
                  <w:tcW w:w="1098" w:type="dxa"/>
                  <w:vAlign w:val="center"/>
                </w:tcPr>
                <w:p w14:paraId="5D0AB915">
                  <w:pPr>
                    <w:jc w:val="center"/>
                    <w:rPr>
                      <w:szCs w:val="21"/>
                    </w:rPr>
                  </w:pPr>
                  <w:r>
                    <w:rPr>
                      <w:szCs w:val="21"/>
                    </w:rPr>
                    <w:t>核算方法</w:t>
                  </w:r>
                </w:p>
              </w:tc>
              <w:tc>
                <w:tcPr>
                  <w:tcW w:w="900" w:type="dxa"/>
                  <w:vAlign w:val="center"/>
                </w:tcPr>
                <w:p w14:paraId="7FD32663">
                  <w:pPr>
                    <w:autoSpaceDE w:val="0"/>
                    <w:autoSpaceDN w:val="0"/>
                    <w:jc w:val="center"/>
                    <w:rPr>
                      <w:szCs w:val="21"/>
                    </w:rPr>
                  </w:pPr>
                  <w:r>
                    <w:rPr>
                      <w:szCs w:val="21"/>
                    </w:rPr>
                    <w:t>产生量（t/a）</w:t>
                  </w:r>
                </w:p>
              </w:tc>
              <w:tc>
                <w:tcPr>
                  <w:tcW w:w="409" w:type="dxa"/>
                  <w:vAlign w:val="center"/>
                </w:tcPr>
                <w:p w14:paraId="34249D69">
                  <w:pPr>
                    <w:jc w:val="center"/>
                    <w:rPr>
                      <w:szCs w:val="21"/>
                    </w:rPr>
                  </w:pPr>
                  <w:r>
                    <w:rPr>
                      <w:szCs w:val="21"/>
                    </w:rPr>
                    <w:t>工艺</w:t>
                  </w:r>
                </w:p>
              </w:tc>
              <w:tc>
                <w:tcPr>
                  <w:tcW w:w="907" w:type="dxa"/>
                  <w:vAlign w:val="center"/>
                </w:tcPr>
                <w:p w14:paraId="694CDBD1">
                  <w:pPr>
                    <w:autoSpaceDE w:val="0"/>
                    <w:autoSpaceDN w:val="0"/>
                    <w:jc w:val="center"/>
                    <w:rPr>
                      <w:szCs w:val="21"/>
                    </w:rPr>
                  </w:pPr>
                  <w:r>
                    <w:rPr>
                      <w:szCs w:val="21"/>
                    </w:rPr>
                    <w:t>处置量（t/a）</w:t>
                  </w:r>
                </w:p>
              </w:tc>
              <w:tc>
                <w:tcPr>
                  <w:tcW w:w="1900" w:type="dxa"/>
                  <w:vMerge w:val="continue"/>
                  <w:vAlign w:val="center"/>
                </w:tcPr>
                <w:p w14:paraId="0F567DDF">
                  <w:pPr>
                    <w:jc w:val="center"/>
                    <w:rPr>
                      <w:szCs w:val="21"/>
                    </w:rPr>
                  </w:pPr>
                </w:p>
              </w:tc>
            </w:tr>
            <w:tr w14:paraId="4C8F96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497" w:type="dxa"/>
                  <w:vAlign w:val="center"/>
                </w:tcPr>
                <w:p w14:paraId="6C629725">
                  <w:pPr>
                    <w:jc w:val="center"/>
                    <w:rPr>
                      <w:szCs w:val="21"/>
                    </w:rPr>
                  </w:pPr>
                  <w:r>
                    <w:rPr>
                      <w:rFonts w:hint="eastAsia"/>
                      <w:szCs w:val="21"/>
                    </w:rPr>
                    <w:t>筛分工序</w:t>
                  </w:r>
                </w:p>
              </w:tc>
              <w:tc>
                <w:tcPr>
                  <w:tcW w:w="784" w:type="dxa"/>
                  <w:vAlign w:val="center"/>
                </w:tcPr>
                <w:p w14:paraId="56B58795">
                  <w:pPr>
                    <w:jc w:val="center"/>
                    <w:rPr>
                      <w:szCs w:val="21"/>
                    </w:rPr>
                  </w:pPr>
                  <w:r>
                    <w:rPr>
                      <w:rFonts w:hint="eastAsia"/>
                      <w:szCs w:val="21"/>
                    </w:rPr>
                    <w:t>筛分杂质</w:t>
                  </w:r>
                </w:p>
              </w:tc>
              <w:tc>
                <w:tcPr>
                  <w:tcW w:w="683" w:type="dxa"/>
                  <w:vAlign w:val="center"/>
                </w:tcPr>
                <w:p w14:paraId="5C4FF10F">
                  <w:pPr>
                    <w:jc w:val="center"/>
                    <w:rPr>
                      <w:szCs w:val="21"/>
                    </w:rPr>
                  </w:pPr>
                  <w:r>
                    <w:rPr>
                      <w:szCs w:val="21"/>
                    </w:rPr>
                    <w:t>一般工业固体废物</w:t>
                  </w:r>
                </w:p>
              </w:tc>
              <w:tc>
                <w:tcPr>
                  <w:tcW w:w="860" w:type="dxa"/>
                  <w:vAlign w:val="center"/>
                </w:tcPr>
                <w:p w14:paraId="554C7A89">
                  <w:pPr>
                    <w:jc w:val="center"/>
                    <w:rPr>
                      <w:szCs w:val="21"/>
                    </w:rPr>
                  </w:pPr>
                  <w:r>
                    <w:rPr>
                      <w:szCs w:val="21"/>
                    </w:rPr>
                    <w:t>900-099-S64</w:t>
                  </w:r>
                </w:p>
              </w:tc>
              <w:tc>
                <w:tcPr>
                  <w:tcW w:w="1098" w:type="dxa"/>
                  <w:vAlign w:val="center"/>
                </w:tcPr>
                <w:p w14:paraId="3FEA2B7C">
                  <w:pPr>
                    <w:jc w:val="center"/>
                    <w:rPr>
                      <w:szCs w:val="21"/>
                    </w:rPr>
                  </w:pPr>
                  <w:r>
                    <w:rPr>
                      <w:szCs w:val="21"/>
                    </w:rPr>
                    <w:t>类比法</w:t>
                  </w:r>
                </w:p>
              </w:tc>
              <w:tc>
                <w:tcPr>
                  <w:tcW w:w="900" w:type="dxa"/>
                  <w:vAlign w:val="center"/>
                </w:tcPr>
                <w:p w14:paraId="44564DD2">
                  <w:pPr>
                    <w:jc w:val="center"/>
                    <w:rPr>
                      <w:color w:val="C00000"/>
                      <w:kern w:val="0"/>
                      <w:szCs w:val="21"/>
                      <w:lang w:bidi="ar"/>
                    </w:rPr>
                  </w:pPr>
                  <w:r>
                    <w:rPr>
                      <w:rFonts w:hint="eastAsia"/>
                      <w:color w:val="C00000"/>
                      <w:kern w:val="0"/>
                      <w:szCs w:val="21"/>
                      <w:lang w:bidi="ar"/>
                    </w:rPr>
                    <w:t>15</w:t>
                  </w:r>
                </w:p>
              </w:tc>
              <w:tc>
                <w:tcPr>
                  <w:tcW w:w="409" w:type="dxa"/>
                  <w:vMerge w:val="restart"/>
                  <w:vAlign w:val="center"/>
                </w:tcPr>
                <w:p w14:paraId="406FE6B2">
                  <w:pPr>
                    <w:jc w:val="center"/>
                    <w:rPr>
                      <w:color w:val="C00000"/>
                      <w:szCs w:val="21"/>
                    </w:rPr>
                  </w:pPr>
                  <w:r>
                    <w:rPr>
                      <w:color w:val="C00000"/>
                      <w:szCs w:val="21"/>
                    </w:rPr>
                    <w:t>集中收集</w:t>
                  </w:r>
                </w:p>
                <w:p w14:paraId="17ABF652">
                  <w:pPr>
                    <w:jc w:val="center"/>
                    <w:rPr>
                      <w:color w:val="C00000"/>
                      <w:szCs w:val="21"/>
                    </w:rPr>
                  </w:pPr>
                </w:p>
              </w:tc>
              <w:tc>
                <w:tcPr>
                  <w:tcW w:w="907" w:type="dxa"/>
                  <w:vAlign w:val="center"/>
                </w:tcPr>
                <w:p w14:paraId="309C2406">
                  <w:pPr>
                    <w:jc w:val="center"/>
                    <w:rPr>
                      <w:color w:val="C00000"/>
                      <w:kern w:val="0"/>
                      <w:szCs w:val="21"/>
                      <w:lang w:bidi="ar"/>
                    </w:rPr>
                  </w:pPr>
                  <w:r>
                    <w:rPr>
                      <w:rFonts w:hint="eastAsia"/>
                      <w:color w:val="C00000"/>
                      <w:kern w:val="0"/>
                      <w:szCs w:val="21"/>
                      <w:lang w:bidi="ar"/>
                    </w:rPr>
                    <w:t>15</w:t>
                  </w:r>
                </w:p>
              </w:tc>
              <w:tc>
                <w:tcPr>
                  <w:tcW w:w="1900" w:type="dxa"/>
                  <w:vAlign w:val="center"/>
                </w:tcPr>
                <w:p w14:paraId="2F86BA9D">
                  <w:pPr>
                    <w:jc w:val="center"/>
                    <w:rPr>
                      <w:kern w:val="0"/>
                      <w:szCs w:val="21"/>
                      <w:lang w:bidi="ar"/>
                    </w:rPr>
                  </w:pPr>
                  <w:r>
                    <w:rPr>
                      <w:szCs w:val="21"/>
                    </w:rPr>
                    <w:t>环卫部门清运处理</w:t>
                  </w:r>
                </w:p>
              </w:tc>
            </w:tr>
            <w:tr w14:paraId="7EE6EB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497" w:type="dxa"/>
                  <w:vMerge w:val="restart"/>
                  <w:vAlign w:val="center"/>
                </w:tcPr>
                <w:p w14:paraId="72FE5E04">
                  <w:pPr>
                    <w:jc w:val="center"/>
                    <w:rPr>
                      <w:color w:val="auto"/>
                      <w:szCs w:val="21"/>
                    </w:rPr>
                  </w:pPr>
                  <w:r>
                    <w:rPr>
                      <w:color w:val="auto"/>
                      <w:szCs w:val="21"/>
                    </w:rPr>
                    <w:t>热风炉除尘器</w:t>
                  </w:r>
                </w:p>
              </w:tc>
              <w:tc>
                <w:tcPr>
                  <w:tcW w:w="784" w:type="dxa"/>
                  <w:vAlign w:val="center"/>
                </w:tcPr>
                <w:p w14:paraId="3A702636">
                  <w:pPr>
                    <w:jc w:val="center"/>
                    <w:rPr>
                      <w:color w:val="auto"/>
                      <w:szCs w:val="21"/>
                    </w:rPr>
                  </w:pPr>
                  <w:r>
                    <w:rPr>
                      <w:color w:val="auto"/>
                      <w:szCs w:val="21"/>
                    </w:rPr>
                    <w:t>收尘</w:t>
                  </w:r>
                </w:p>
              </w:tc>
              <w:tc>
                <w:tcPr>
                  <w:tcW w:w="683" w:type="dxa"/>
                  <w:vAlign w:val="center"/>
                </w:tcPr>
                <w:p w14:paraId="41770BDB">
                  <w:pPr>
                    <w:jc w:val="center"/>
                    <w:rPr>
                      <w:color w:val="auto"/>
                      <w:szCs w:val="21"/>
                    </w:rPr>
                  </w:pPr>
                  <w:r>
                    <w:rPr>
                      <w:color w:val="auto"/>
                      <w:szCs w:val="21"/>
                    </w:rPr>
                    <w:t>一般工业固体废物</w:t>
                  </w:r>
                </w:p>
              </w:tc>
              <w:tc>
                <w:tcPr>
                  <w:tcW w:w="860" w:type="dxa"/>
                  <w:vAlign w:val="center"/>
                </w:tcPr>
                <w:p w14:paraId="4DFA5F72">
                  <w:pPr>
                    <w:jc w:val="center"/>
                    <w:rPr>
                      <w:color w:val="auto"/>
                      <w:szCs w:val="21"/>
                    </w:rPr>
                  </w:pPr>
                  <w:r>
                    <w:rPr>
                      <w:color w:val="auto"/>
                      <w:szCs w:val="21"/>
                    </w:rPr>
                    <w:t>900-099-S03</w:t>
                  </w:r>
                </w:p>
              </w:tc>
              <w:tc>
                <w:tcPr>
                  <w:tcW w:w="1098" w:type="dxa"/>
                  <w:vAlign w:val="center"/>
                </w:tcPr>
                <w:p w14:paraId="39684791">
                  <w:pPr>
                    <w:jc w:val="center"/>
                    <w:rPr>
                      <w:color w:val="auto"/>
                      <w:szCs w:val="21"/>
                    </w:rPr>
                  </w:pPr>
                  <w:r>
                    <w:rPr>
                      <w:color w:val="auto"/>
                      <w:szCs w:val="21"/>
                    </w:rPr>
                    <w:t>物料衡算</w:t>
                  </w:r>
                </w:p>
              </w:tc>
              <w:tc>
                <w:tcPr>
                  <w:tcW w:w="900" w:type="dxa"/>
                  <w:vAlign w:val="center"/>
                </w:tcPr>
                <w:p w14:paraId="40B30F81">
                  <w:pPr>
                    <w:jc w:val="center"/>
                    <w:rPr>
                      <w:rFonts w:hint="default" w:eastAsia="宋体"/>
                      <w:color w:val="C00000"/>
                      <w:kern w:val="0"/>
                      <w:sz w:val="21"/>
                      <w:szCs w:val="21"/>
                      <w:lang w:val="en-US" w:eastAsia="zh-CN" w:bidi="ar"/>
                    </w:rPr>
                  </w:pPr>
                  <w:r>
                    <w:rPr>
                      <w:rStyle w:val="42"/>
                      <w:rFonts w:hint="eastAsia"/>
                      <w:color w:val="C00000"/>
                      <w:kern w:val="2"/>
                      <w:sz w:val="21"/>
                      <w:szCs w:val="21"/>
                      <w:lang w:val="en-US" w:eastAsia="zh-CN"/>
                    </w:rPr>
                    <w:t>64.48</w:t>
                  </w:r>
                </w:p>
              </w:tc>
              <w:tc>
                <w:tcPr>
                  <w:tcW w:w="409" w:type="dxa"/>
                  <w:vMerge w:val="continue"/>
                  <w:vAlign w:val="center"/>
                </w:tcPr>
                <w:p w14:paraId="1934A753">
                  <w:pPr>
                    <w:jc w:val="center"/>
                    <w:rPr>
                      <w:color w:val="C00000"/>
                      <w:sz w:val="21"/>
                      <w:szCs w:val="21"/>
                    </w:rPr>
                  </w:pPr>
                </w:p>
              </w:tc>
              <w:tc>
                <w:tcPr>
                  <w:tcW w:w="907" w:type="dxa"/>
                  <w:shd w:val="clear" w:color="auto" w:fill="auto"/>
                  <w:vAlign w:val="center"/>
                </w:tcPr>
                <w:p w14:paraId="24311D7B">
                  <w:pPr>
                    <w:jc w:val="center"/>
                    <w:rPr>
                      <w:rFonts w:hint="default" w:eastAsia="宋体"/>
                      <w:color w:val="C00000"/>
                      <w:kern w:val="0"/>
                      <w:sz w:val="21"/>
                      <w:szCs w:val="21"/>
                      <w:lang w:val="en-US" w:eastAsia="zh-CN" w:bidi="ar"/>
                    </w:rPr>
                  </w:pPr>
                  <w:r>
                    <w:rPr>
                      <w:rStyle w:val="42"/>
                      <w:rFonts w:hint="eastAsia"/>
                      <w:color w:val="C00000"/>
                      <w:kern w:val="2"/>
                      <w:sz w:val="21"/>
                      <w:szCs w:val="21"/>
                      <w:lang w:val="en-US" w:eastAsia="zh-CN"/>
                    </w:rPr>
                    <w:t>64.48</w:t>
                  </w:r>
                </w:p>
              </w:tc>
              <w:tc>
                <w:tcPr>
                  <w:tcW w:w="1900" w:type="dxa"/>
                  <w:vAlign w:val="center"/>
                </w:tcPr>
                <w:p w14:paraId="1B84B270">
                  <w:pPr>
                    <w:jc w:val="center"/>
                    <w:rPr>
                      <w:color w:val="auto"/>
                      <w:kern w:val="0"/>
                      <w:szCs w:val="21"/>
                      <w:lang w:bidi="ar"/>
                    </w:rPr>
                  </w:pPr>
                  <w:r>
                    <w:rPr>
                      <w:rFonts w:hint="eastAsia"/>
                      <w:color w:val="auto"/>
                      <w:kern w:val="0"/>
                      <w:szCs w:val="21"/>
                      <w:lang w:bidi="ar"/>
                    </w:rPr>
                    <w:t>外售</w:t>
                  </w:r>
                  <w:r>
                    <w:rPr>
                      <w:color w:val="auto"/>
                      <w:kern w:val="0"/>
                      <w:szCs w:val="21"/>
                      <w:lang w:bidi="ar"/>
                    </w:rPr>
                    <w:t>综合利用</w:t>
                  </w:r>
                </w:p>
              </w:tc>
            </w:tr>
            <w:tr w14:paraId="36D205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497" w:type="dxa"/>
                  <w:vMerge w:val="continue"/>
                  <w:vAlign w:val="center"/>
                </w:tcPr>
                <w:p w14:paraId="14643372">
                  <w:pPr>
                    <w:jc w:val="center"/>
                    <w:rPr>
                      <w:color w:val="auto"/>
                      <w:szCs w:val="21"/>
                    </w:rPr>
                  </w:pPr>
                </w:p>
              </w:tc>
              <w:tc>
                <w:tcPr>
                  <w:tcW w:w="784" w:type="dxa"/>
                  <w:vAlign w:val="center"/>
                </w:tcPr>
                <w:p w14:paraId="0B8BC7AB">
                  <w:pPr>
                    <w:jc w:val="center"/>
                    <w:rPr>
                      <w:color w:val="auto"/>
                      <w:szCs w:val="21"/>
                    </w:rPr>
                  </w:pPr>
                  <w:r>
                    <w:rPr>
                      <w:color w:val="auto"/>
                      <w:szCs w:val="21"/>
                    </w:rPr>
                    <w:t>废布袋</w:t>
                  </w:r>
                </w:p>
              </w:tc>
              <w:tc>
                <w:tcPr>
                  <w:tcW w:w="683" w:type="dxa"/>
                  <w:vAlign w:val="center"/>
                </w:tcPr>
                <w:p w14:paraId="431901A0">
                  <w:pPr>
                    <w:jc w:val="center"/>
                    <w:rPr>
                      <w:color w:val="auto"/>
                      <w:szCs w:val="21"/>
                    </w:rPr>
                  </w:pPr>
                  <w:r>
                    <w:rPr>
                      <w:color w:val="auto"/>
                      <w:szCs w:val="21"/>
                    </w:rPr>
                    <w:t>一般工业固体废物</w:t>
                  </w:r>
                </w:p>
              </w:tc>
              <w:tc>
                <w:tcPr>
                  <w:tcW w:w="860" w:type="dxa"/>
                  <w:vAlign w:val="center"/>
                </w:tcPr>
                <w:p w14:paraId="42056A5B">
                  <w:pPr>
                    <w:jc w:val="center"/>
                    <w:rPr>
                      <w:color w:val="auto"/>
                      <w:szCs w:val="21"/>
                    </w:rPr>
                  </w:pPr>
                  <w:r>
                    <w:rPr>
                      <w:color w:val="auto"/>
                      <w:szCs w:val="21"/>
                    </w:rPr>
                    <w:t>900-099-S59</w:t>
                  </w:r>
                </w:p>
              </w:tc>
              <w:tc>
                <w:tcPr>
                  <w:tcW w:w="1098" w:type="dxa"/>
                  <w:vAlign w:val="center"/>
                </w:tcPr>
                <w:p w14:paraId="06790ECD">
                  <w:pPr>
                    <w:jc w:val="center"/>
                    <w:rPr>
                      <w:color w:val="auto"/>
                      <w:szCs w:val="21"/>
                    </w:rPr>
                  </w:pPr>
                  <w:r>
                    <w:rPr>
                      <w:color w:val="auto"/>
                      <w:szCs w:val="21"/>
                    </w:rPr>
                    <w:t>类比法</w:t>
                  </w:r>
                </w:p>
              </w:tc>
              <w:tc>
                <w:tcPr>
                  <w:tcW w:w="900" w:type="dxa"/>
                  <w:vAlign w:val="center"/>
                </w:tcPr>
                <w:p w14:paraId="0694EACA">
                  <w:pPr>
                    <w:jc w:val="center"/>
                    <w:rPr>
                      <w:color w:val="C00000"/>
                      <w:kern w:val="0"/>
                      <w:szCs w:val="21"/>
                      <w:lang w:bidi="ar"/>
                    </w:rPr>
                  </w:pPr>
                  <w:r>
                    <w:rPr>
                      <w:color w:val="C00000"/>
                      <w:kern w:val="0"/>
                      <w:szCs w:val="21"/>
                      <w:lang w:bidi="ar"/>
                    </w:rPr>
                    <w:t>0.1</w:t>
                  </w:r>
                </w:p>
              </w:tc>
              <w:tc>
                <w:tcPr>
                  <w:tcW w:w="409" w:type="dxa"/>
                  <w:vMerge w:val="continue"/>
                  <w:vAlign w:val="center"/>
                </w:tcPr>
                <w:p w14:paraId="14CFAC10">
                  <w:pPr>
                    <w:jc w:val="center"/>
                    <w:rPr>
                      <w:color w:val="C00000"/>
                      <w:szCs w:val="21"/>
                    </w:rPr>
                  </w:pPr>
                </w:p>
              </w:tc>
              <w:tc>
                <w:tcPr>
                  <w:tcW w:w="907" w:type="dxa"/>
                  <w:shd w:val="clear" w:color="auto" w:fill="auto"/>
                  <w:vAlign w:val="center"/>
                </w:tcPr>
                <w:p w14:paraId="0D376FE9">
                  <w:pPr>
                    <w:jc w:val="center"/>
                    <w:rPr>
                      <w:color w:val="C00000"/>
                      <w:kern w:val="0"/>
                      <w:szCs w:val="21"/>
                      <w:lang w:bidi="ar"/>
                    </w:rPr>
                  </w:pPr>
                  <w:r>
                    <w:rPr>
                      <w:color w:val="C00000"/>
                      <w:kern w:val="0"/>
                      <w:szCs w:val="21"/>
                      <w:lang w:bidi="ar"/>
                    </w:rPr>
                    <w:t>0.1</w:t>
                  </w:r>
                </w:p>
              </w:tc>
              <w:tc>
                <w:tcPr>
                  <w:tcW w:w="1900" w:type="dxa"/>
                  <w:vAlign w:val="center"/>
                </w:tcPr>
                <w:p w14:paraId="3FDA0A90">
                  <w:pPr>
                    <w:jc w:val="center"/>
                    <w:rPr>
                      <w:color w:val="auto"/>
                      <w:kern w:val="0"/>
                      <w:szCs w:val="21"/>
                      <w:lang w:bidi="ar"/>
                    </w:rPr>
                  </w:pPr>
                  <w:r>
                    <w:rPr>
                      <w:rFonts w:hint="eastAsia"/>
                      <w:color w:val="auto"/>
                      <w:kern w:val="0"/>
                      <w:szCs w:val="21"/>
                      <w:lang w:bidi="ar"/>
                    </w:rPr>
                    <w:t>由更换厂家回收处置</w:t>
                  </w:r>
                </w:p>
              </w:tc>
            </w:tr>
            <w:tr w14:paraId="675D23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9" w:hRule="atLeast"/>
                <w:jc w:val="center"/>
              </w:trPr>
              <w:tc>
                <w:tcPr>
                  <w:tcW w:w="497" w:type="dxa"/>
                  <w:vAlign w:val="center"/>
                </w:tcPr>
                <w:p w14:paraId="09BD264D">
                  <w:pPr>
                    <w:jc w:val="center"/>
                    <w:rPr>
                      <w:color w:val="auto"/>
                      <w:szCs w:val="21"/>
                    </w:rPr>
                  </w:pPr>
                  <w:r>
                    <w:rPr>
                      <w:color w:val="auto"/>
                      <w:szCs w:val="21"/>
                    </w:rPr>
                    <w:t>热风炉</w:t>
                  </w:r>
                </w:p>
              </w:tc>
              <w:tc>
                <w:tcPr>
                  <w:tcW w:w="784" w:type="dxa"/>
                  <w:vAlign w:val="center"/>
                </w:tcPr>
                <w:p w14:paraId="7379E8A2">
                  <w:pPr>
                    <w:jc w:val="center"/>
                    <w:rPr>
                      <w:color w:val="auto"/>
                      <w:szCs w:val="21"/>
                    </w:rPr>
                  </w:pPr>
                  <w:r>
                    <w:rPr>
                      <w:rFonts w:hint="eastAsia"/>
                      <w:color w:val="auto"/>
                      <w:szCs w:val="21"/>
                      <w:lang w:val="en-US" w:eastAsia="zh-CN"/>
                    </w:rPr>
                    <w:t>炉</w:t>
                  </w:r>
                  <w:r>
                    <w:rPr>
                      <w:color w:val="auto"/>
                      <w:szCs w:val="21"/>
                    </w:rPr>
                    <w:t>渣</w:t>
                  </w:r>
                </w:p>
              </w:tc>
              <w:tc>
                <w:tcPr>
                  <w:tcW w:w="683" w:type="dxa"/>
                  <w:vAlign w:val="center"/>
                </w:tcPr>
                <w:p w14:paraId="30BEA70F">
                  <w:pPr>
                    <w:jc w:val="center"/>
                    <w:rPr>
                      <w:color w:val="auto"/>
                      <w:szCs w:val="21"/>
                    </w:rPr>
                  </w:pPr>
                  <w:r>
                    <w:rPr>
                      <w:color w:val="auto"/>
                      <w:szCs w:val="21"/>
                    </w:rPr>
                    <w:t>一般工业固体废物</w:t>
                  </w:r>
                </w:p>
              </w:tc>
              <w:tc>
                <w:tcPr>
                  <w:tcW w:w="860" w:type="dxa"/>
                  <w:vAlign w:val="center"/>
                </w:tcPr>
                <w:p w14:paraId="78298F63">
                  <w:pPr>
                    <w:jc w:val="center"/>
                    <w:rPr>
                      <w:color w:val="auto"/>
                      <w:szCs w:val="21"/>
                    </w:rPr>
                  </w:pPr>
                  <w:r>
                    <w:rPr>
                      <w:color w:val="auto"/>
                      <w:szCs w:val="21"/>
                    </w:rPr>
                    <w:t xml:space="preserve">900-099-S03 </w:t>
                  </w:r>
                </w:p>
              </w:tc>
              <w:tc>
                <w:tcPr>
                  <w:tcW w:w="1098" w:type="dxa"/>
                  <w:vAlign w:val="center"/>
                </w:tcPr>
                <w:p w14:paraId="3D8FE368">
                  <w:pPr>
                    <w:jc w:val="center"/>
                    <w:rPr>
                      <w:color w:val="auto"/>
                      <w:szCs w:val="21"/>
                    </w:rPr>
                  </w:pPr>
                  <w:r>
                    <w:rPr>
                      <w:color w:val="auto"/>
                      <w:szCs w:val="21"/>
                    </w:rPr>
                    <w:t>物料衡算</w:t>
                  </w:r>
                </w:p>
              </w:tc>
              <w:tc>
                <w:tcPr>
                  <w:tcW w:w="900" w:type="dxa"/>
                  <w:vAlign w:val="center"/>
                </w:tcPr>
                <w:p w14:paraId="57F951FD">
                  <w:pPr>
                    <w:jc w:val="center"/>
                    <w:rPr>
                      <w:rFonts w:hint="default" w:eastAsia="宋体"/>
                      <w:color w:val="C00000"/>
                      <w:kern w:val="0"/>
                      <w:szCs w:val="21"/>
                      <w:lang w:val="en-US" w:eastAsia="zh-CN" w:bidi="ar"/>
                    </w:rPr>
                  </w:pPr>
                  <w:r>
                    <w:rPr>
                      <w:rFonts w:hint="eastAsia"/>
                      <w:color w:val="C00000"/>
                      <w:kern w:val="0"/>
                      <w:szCs w:val="21"/>
                      <w:lang w:val="en-US" w:eastAsia="zh-CN" w:bidi="ar"/>
                    </w:rPr>
                    <w:t>131.64</w:t>
                  </w:r>
                </w:p>
              </w:tc>
              <w:tc>
                <w:tcPr>
                  <w:tcW w:w="409" w:type="dxa"/>
                  <w:vMerge w:val="continue"/>
                  <w:vAlign w:val="center"/>
                </w:tcPr>
                <w:p w14:paraId="56A8EEA3">
                  <w:pPr>
                    <w:jc w:val="center"/>
                    <w:rPr>
                      <w:color w:val="C00000"/>
                      <w:szCs w:val="21"/>
                    </w:rPr>
                  </w:pPr>
                </w:p>
              </w:tc>
              <w:tc>
                <w:tcPr>
                  <w:tcW w:w="907" w:type="dxa"/>
                  <w:shd w:val="clear" w:color="auto" w:fill="auto"/>
                  <w:vAlign w:val="center"/>
                </w:tcPr>
                <w:p w14:paraId="219897F9">
                  <w:pPr>
                    <w:jc w:val="center"/>
                    <w:rPr>
                      <w:rFonts w:hint="default" w:eastAsia="宋体"/>
                      <w:color w:val="C00000"/>
                      <w:kern w:val="0"/>
                      <w:szCs w:val="21"/>
                      <w:lang w:val="en-US" w:eastAsia="zh-CN" w:bidi="ar"/>
                    </w:rPr>
                  </w:pPr>
                  <w:r>
                    <w:rPr>
                      <w:rFonts w:hint="eastAsia"/>
                      <w:color w:val="C00000"/>
                      <w:kern w:val="0"/>
                      <w:szCs w:val="21"/>
                      <w:lang w:val="en-US" w:eastAsia="zh-CN" w:bidi="ar"/>
                    </w:rPr>
                    <w:t>131.64</w:t>
                  </w:r>
                </w:p>
              </w:tc>
              <w:tc>
                <w:tcPr>
                  <w:tcW w:w="1900" w:type="dxa"/>
                  <w:vAlign w:val="center"/>
                </w:tcPr>
                <w:p w14:paraId="339A18D3">
                  <w:pPr>
                    <w:jc w:val="center"/>
                    <w:rPr>
                      <w:color w:val="auto"/>
                      <w:kern w:val="0"/>
                      <w:szCs w:val="21"/>
                      <w:lang w:bidi="ar"/>
                    </w:rPr>
                  </w:pPr>
                  <w:r>
                    <w:rPr>
                      <w:rFonts w:hint="eastAsia"/>
                      <w:color w:val="auto"/>
                      <w:kern w:val="0"/>
                      <w:szCs w:val="21"/>
                      <w:lang w:bidi="ar"/>
                    </w:rPr>
                    <w:t>外售</w:t>
                  </w:r>
                  <w:r>
                    <w:rPr>
                      <w:color w:val="auto"/>
                      <w:kern w:val="0"/>
                      <w:szCs w:val="21"/>
                      <w:lang w:bidi="ar"/>
                    </w:rPr>
                    <w:t>综合利用</w:t>
                  </w:r>
                </w:p>
              </w:tc>
            </w:tr>
            <w:tr w14:paraId="588956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9" w:hRule="atLeast"/>
                <w:jc w:val="center"/>
              </w:trPr>
              <w:tc>
                <w:tcPr>
                  <w:tcW w:w="497" w:type="dxa"/>
                  <w:vMerge w:val="restart"/>
                  <w:vAlign w:val="center"/>
                </w:tcPr>
                <w:p w14:paraId="232B6834">
                  <w:pPr>
                    <w:jc w:val="center"/>
                    <w:rPr>
                      <w:rFonts w:hint="default" w:eastAsia="宋体"/>
                      <w:color w:val="C00000"/>
                      <w:szCs w:val="21"/>
                      <w:lang w:val="en-US" w:eastAsia="zh-CN"/>
                    </w:rPr>
                  </w:pPr>
                  <w:r>
                    <w:rPr>
                      <w:rFonts w:hint="eastAsia"/>
                      <w:color w:val="C00000"/>
                      <w:szCs w:val="21"/>
                      <w:lang w:val="en-US" w:eastAsia="zh-CN"/>
                    </w:rPr>
                    <w:t>设备检修、保养</w:t>
                  </w:r>
                </w:p>
              </w:tc>
              <w:tc>
                <w:tcPr>
                  <w:tcW w:w="784" w:type="dxa"/>
                  <w:vAlign w:val="center"/>
                </w:tcPr>
                <w:p w14:paraId="701649EB">
                  <w:pPr>
                    <w:jc w:val="center"/>
                    <w:rPr>
                      <w:rFonts w:hint="default"/>
                      <w:color w:val="C00000"/>
                      <w:szCs w:val="21"/>
                      <w:lang w:val="en-US" w:eastAsia="zh-CN"/>
                    </w:rPr>
                  </w:pPr>
                  <w:r>
                    <w:rPr>
                      <w:rFonts w:hint="eastAsia"/>
                      <w:color w:val="C00000"/>
                      <w:szCs w:val="21"/>
                      <w:lang w:val="en-US" w:eastAsia="zh-CN"/>
                    </w:rPr>
                    <w:t>废润滑油</w:t>
                  </w:r>
                </w:p>
              </w:tc>
              <w:tc>
                <w:tcPr>
                  <w:tcW w:w="683" w:type="dxa"/>
                  <w:vAlign w:val="center"/>
                </w:tcPr>
                <w:p w14:paraId="1FDBCA4A">
                  <w:pPr>
                    <w:jc w:val="center"/>
                    <w:rPr>
                      <w:rFonts w:hint="default" w:eastAsia="宋体"/>
                      <w:color w:val="C00000"/>
                      <w:szCs w:val="21"/>
                      <w:lang w:val="en-US" w:eastAsia="zh-CN"/>
                    </w:rPr>
                  </w:pPr>
                  <w:r>
                    <w:rPr>
                      <w:rFonts w:hint="eastAsia" w:eastAsia="宋体"/>
                      <w:color w:val="C00000"/>
                      <w:szCs w:val="21"/>
                      <w:lang w:val="en-US" w:eastAsia="zh-CN"/>
                    </w:rPr>
                    <w:t>危险废物</w:t>
                  </w:r>
                </w:p>
              </w:tc>
              <w:tc>
                <w:tcPr>
                  <w:tcW w:w="860" w:type="dxa"/>
                  <w:vAlign w:val="center"/>
                </w:tcPr>
                <w:p w14:paraId="06D7C2E5">
                  <w:pPr>
                    <w:jc w:val="center"/>
                    <w:rPr>
                      <w:color w:val="C00000"/>
                      <w:szCs w:val="21"/>
                    </w:rPr>
                  </w:pPr>
                  <w:r>
                    <w:rPr>
                      <w:rFonts w:hint="default" w:ascii="Times New Roman" w:hAnsi="Times New Roman" w:eastAsia="宋体" w:cs="Times New Roman"/>
                      <w:color w:val="C00000"/>
                      <w:highlight w:val="none"/>
                      <w:lang w:val="en-US" w:eastAsia="zh-CN"/>
                    </w:rPr>
                    <w:t>900-2</w:t>
                  </w:r>
                  <w:r>
                    <w:rPr>
                      <w:rFonts w:hint="eastAsia" w:ascii="Times New Roman" w:hAnsi="Times New Roman" w:eastAsia="宋体" w:cs="Times New Roman"/>
                      <w:color w:val="C00000"/>
                      <w:highlight w:val="none"/>
                      <w:lang w:val="en-US" w:eastAsia="zh-CN"/>
                    </w:rPr>
                    <w:t>14</w:t>
                  </w:r>
                  <w:r>
                    <w:rPr>
                      <w:rFonts w:hint="default" w:ascii="Times New Roman" w:hAnsi="Times New Roman" w:eastAsia="宋体" w:cs="Times New Roman"/>
                      <w:color w:val="C00000"/>
                      <w:highlight w:val="none"/>
                      <w:lang w:val="en-US" w:eastAsia="zh-CN"/>
                    </w:rPr>
                    <w:t>-08</w:t>
                  </w:r>
                </w:p>
              </w:tc>
              <w:tc>
                <w:tcPr>
                  <w:tcW w:w="1098" w:type="dxa"/>
                  <w:vAlign w:val="center"/>
                </w:tcPr>
                <w:p w14:paraId="264388F1">
                  <w:pPr>
                    <w:jc w:val="center"/>
                    <w:rPr>
                      <w:rFonts w:hint="eastAsia" w:eastAsia="宋体"/>
                      <w:color w:val="C00000"/>
                      <w:szCs w:val="21"/>
                      <w:lang w:val="en-US" w:eastAsia="zh-CN"/>
                    </w:rPr>
                  </w:pPr>
                  <w:r>
                    <w:rPr>
                      <w:color w:val="C00000"/>
                      <w:szCs w:val="21"/>
                    </w:rPr>
                    <w:t>类比法</w:t>
                  </w:r>
                </w:p>
              </w:tc>
              <w:tc>
                <w:tcPr>
                  <w:tcW w:w="900" w:type="dxa"/>
                  <w:vAlign w:val="center"/>
                </w:tcPr>
                <w:p w14:paraId="674AC5B0">
                  <w:pPr>
                    <w:jc w:val="center"/>
                    <w:rPr>
                      <w:rFonts w:hint="default"/>
                      <w:color w:val="C00000"/>
                      <w:kern w:val="0"/>
                      <w:szCs w:val="21"/>
                      <w:lang w:val="en-US" w:eastAsia="zh-CN" w:bidi="ar"/>
                    </w:rPr>
                  </w:pPr>
                  <w:r>
                    <w:rPr>
                      <w:rFonts w:hint="eastAsia"/>
                      <w:color w:val="C00000"/>
                      <w:kern w:val="0"/>
                      <w:szCs w:val="21"/>
                      <w:lang w:val="en-US" w:eastAsia="zh-CN" w:bidi="ar"/>
                    </w:rPr>
                    <w:t>0.5</w:t>
                  </w:r>
                </w:p>
              </w:tc>
              <w:tc>
                <w:tcPr>
                  <w:tcW w:w="409" w:type="dxa"/>
                  <w:vMerge w:val="continue"/>
                  <w:vAlign w:val="center"/>
                </w:tcPr>
                <w:p w14:paraId="5671FDF5">
                  <w:pPr>
                    <w:jc w:val="center"/>
                    <w:rPr>
                      <w:color w:val="C00000"/>
                      <w:szCs w:val="21"/>
                    </w:rPr>
                  </w:pPr>
                </w:p>
              </w:tc>
              <w:tc>
                <w:tcPr>
                  <w:tcW w:w="907" w:type="dxa"/>
                  <w:shd w:val="clear" w:color="auto" w:fill="auto"/>
                  <w:vAlign w:val="center"/>
                </w:tcPr>
                <w:p w14:paraId="2053F840">
                  <w:pPr>
                    <w:jc w:val="center"/>
                    <w:rPr>
                      <w:rFonts w:hint="default"/>
                      <w:color w:val="C00000"/>
                      <w:kern w:val="0"/>
                      <w:szCs w:val="21"/>
                      <w:lang w:val="en-US" w:eastAsia="zh-CN" w:bidi="ar"/>
                    </w:rPr>
                  </w:pPr>
                  <w:r>
                    <w:rPr>
                      <w:rFonts w:hint="eastAsia"/>
                      <w:color w:val="C00000"/>
                      <w:kern w:val="0"/>
                      <w:szCs w:val="21"/>
                      <w:lang w:val="en-US" w:eastAsia="zh-CN" w:bidi="ar"/>
                    </w:rPr>
                    <w:t>0.5</w:t>
                  </w:r>
                </w:p>
              </w:tc>
              <w:tc>
                <w:tcPr>
                  <w:tcW w:w="1900" w:type="dxa"/>
                  <w:vAlign w:val="center"/>
                </w:tcPr>
                <w:p w14:paraId="381579E7">
                  <w:pPr>
                    <w:jc w:val="center"/>
                    <w:rPr>
                      <w:rFonts w:hint="default" w:eastAsia="宋体"/>
                      <w:color w:val="C00000"/>
                      <w:kern w:val="0"/>
                      <w:szCs w:val="21"/>
                      <w:lang w:val="en-US" w:eastAsia="zh-CN" w:bidi="ar"/>
                    </w:rPr>
                  </w:pPr>
                  <w:r>
                    <w:rPr>
                      <w:rFonts w:hint="eastAsia"/>
                      <w:color w:val="C00000"/>
                      <w:kern w:val="0"/>
                      <w:szCs w:val="21"/>
                      <w:lang w:val="en-US" w:eastAsia="zh-CN" w:bidi="ar"/>
                    </w:rPr>
                    <w:t>交由有资质单位处置</w:t>
                  </w:r>
                </w:p>
              </w:tc>
            </w:tr>
            <w:tr w14:paraId="1DE8E7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9" w:hRule="atLeast"/>
                <w:jc w:val="center"/>
              </w:trPr>
              <w:tc>
                <w:tcPr>
                  <w:tcW w:w="497" w:type="dxa"/>
                  <w:vMerge w:val="continue"/>
                  <w:vAlign w:val="center"/>
                </w:tcPr>
                <w:p w14:paraId="42B06850">
                  <w:pPr>
                    <w:jc w:val="center"/>
                    <w:rPr>
                      <w:rFonts w:hint="eastAsia"/>
                      <w:color w:val="C00000"/>
                      <w:szCs w:val="21"/>
                      <w:lang w:val="en-US" w:eastAsia="zh-CN"/>
                    </w:rPr>
                  </w:pPr>
                </w:p>
              </w:tc>
              <w:tc>
                <w:tcPr>
                  <w:tcW w:w="784" w:type="dxa"/>
                  <w:vAlign w:val="center"/>
                </w:tcPr>
                <w:p w14:paraId="732D6745">
                  <w:pPr>
                    <w:jc w:val="center"/>
                    <w:rPr>
                      <w:rFonts w:hint="default"/>
                      <w:color w:val="C00000"/>
                      <w:szCs w:val="21"/>
                      <w:lang w:val="en-US" w:eastAsia="zh-CN"/>
                    </w:rPr>
                  </w:pPr>
                  <w:r>
                    <w:rPr>
                      <w:rFonts w:hint="eastAsia"/>
                      <w:color w:val="C00000"/>
                      <w:szCs w:val="21"/>
                      <w:lang w:val="en-US" w:eastAsia="zh-CN"/>
                    </w:rPr>
                    <w:t>废弃含油抹布</w:t>
                  </w:r>
                </w:p>
              </w:tc>
              <w:tc>
                <w:tcPr>
                  <w:tcW w:w="683" w:type="dxa"/>
                  <w:vAlign w:val="center"/>
                </w:tcPr>
                <w:p w14:paraId="481CD77A">
                  <w:pPr>
                    <w:jc w:val="center"/>
                    <w:rPr>
                      <w:color w:val="C00000"/>
                      <w:szCs w:val="21"/>
                    </w:rPr>
                  </w:pPr>
                  <w:r>
                    <w:rPr>
                      <w:rFonts w:hint="eastAsia"/>
                      <w:color w:val="C00000"/>
                      <w:szCs w:val="21"/>
                      <w:lang w:val="en-US" w:eastAsia="zh-CN"/>
                    </w:rPr>
                    <w:t>危废</w:t>
                  </w:r>
                </w:p>
              </w:tc>
              <w:tc>
                <w:tcPr>
                  <w:tcW w:w="860" w:type="dxa"/>
                  <w:vAlign w:val="center"/>
                </w:tcPr>
                <w:p w14:paraId="4D1DE31F">
                  <w:pPr>
                    <w:jc w:val="center"/>
                    <w:rPr>
                      <w:color w:val="C00000"/>
                      <w:szCs w:val="21"/>
                    </w:rPr>
                  </w:pPr>
                  <w:r>
                    <w:rPr>
                      <w:rFonts w:hint="default" w:ascii="Times New Roman" w:hAnsi="Times New Roman" w:eastAsia="宋体" w:cs="Times New Roman"/>
                      <w:color w:val="C00000"/>
                      <w:highlight w:val="none"/>
                      <w:lang w:val="en-US" w:eastAsia="zh-CN"/>
                    </w:rPr>
                    <w:t>900-</w:t>
                  </w:r>
                  <w:r>
                    <w:rPr>
                      <w:rFonts w:hint="eastAsia" w:ascii="Times New Roman" w:hAnsi="Times New Roman" w:eastAsia="宋体" w:cs="Times New Roman"/>
                      <w:color w:val="C00000"/>
                      <w:highlight w:val="none"/>
                      <w:lang w:val="en-US" w:eastAsia="zh-CN"/>
                    </w:rPr>
                    <w:t>049</w:t>
                  </w:r>
                  <w:r>
                    <w:rPr>
                      <w:rFonts w:hint="default" w:ascii="Times New Roman" w:hAnsi="Times New Roman" w:eastAsia="宋体" w:cs="Times New Roman"/>
                      <w:color w:val="C00000"/>
                      <w:highlight w:val="none"/>
                      <w:lang w:val="en-US" w:eastAsia="zh-CN"/>
                    </w:rPr>
                    <w:t>-</w:t>
                  </w:r>
                  <w:r>
                    <w:rPr>
                      <w:rFonts w:hint="eastAsia" w:ascii="Times New Roman" w:hAnsi="Times New Roman" w:eastAsia="宋体" w:cs="Times New Roman"/>
                      <w:color w:val="C00000"/>
                      <w:highlight w:val="none"/>
                      <w:lang w:val="en-US" w:eastAsia="zh-CN"/>
                    </w:rPr>
                    <w:t>08</w:t>
                  </w:r>
                </w:p>
              </w:tc>
              <w:tc>
                <w:tcPr>
                  <w:tcW w:w="1098" w:type="dxa"/>
                  <w:vAlign w:val="center"/>
                </w:tcPr>
                <w:p w14:paraId="5463457C">
                  <w:pPr>
                    <w:jc w:val="center"/>
                    <w:rPr>
                      <w:color w:val="C00000"/>
                      <w:szCs w:val="21"/>
                    </w:rPr>
                  </w:pPr>
                  <w:r>
                    <w:rPr>
                      <w:color w:val="C00000"/>
                      <w:szCs w:val="21"/>
                    </w:rPr>
                    <w:t>类比法</w:t>
                  </w:r>
                </w:p>
              </w:tc>
              <w:tc>
                <w:tcPr>
                  <w:tcW w:w="900" w:type="dxa"/>
                  <w:vAlign w:val="center"/>
                </w:tcPr>
                <w:p w14:paraId="1DBCE0AE">
                  <w:pPr>
                    <w:jc w:val="center"/>
                    <w:rPr>
                      <w:rFonts w:hint="default"/>
                      <w:color w:val="C00000"/>
                      <w:kern w:val="0"/>
                      <w:szCs w:val="21"/>
                      <w:lang w:val="en-US" w:eastAsia="zh-CN" w:bidi="ar"/>
                    </w:rPr>
                  </w:pPr>
                  <w:r>
                    <w:rPr>
                      <w:rFonts w:hint="eastAsia"/>
                      <w:color w:val="C00000"/>
                      <w:kern w:val="0"/>
                      <w:szCs w:val="21"/>
                      <w:lang w:val="en-US" w:eastAsia="zh-CN" w:bidi="ar"/>
                    </w:rPr>
                    <w:t>0.1</w:t>
                  </w:r>
                </w:p>
              </w:tc>
              <w:tc>
                <w:tcPr>
                  <w:tcW w:w="409" w:type="dxa"/>
                  <w:vMerge w:val="continue"/>
                  <w:vAlign w:val="center"/>
                </w:tcPr>
                <w:p w14:paraId="03D43A6C">
                  <w:pPr>
                    <w:jc w:val="center"/>
                    <w:rPr>
                      <w:color w:val="C00000"/>
                      <w:szCs w:val="21"/>
                    </w:rPr>
                  </w:pPr>
                </w:p>
              </w:tc>
              <w:tc>
                <w:tcPr>
                  <w:tcW w:w="907" w:type="dxa"/>
                  <w:shd w:val="clear" w:color="auto" w:fill="auto"/>
                  <w:vAlign w:val="center"/>
                </w:tcPr>
                <w:p w14:paraId="19DC4BD8">
                  <w:pPr>
                    <w:jc w:val="center"/>
                    <w:rPr>
                      <w:rFonts w:hint="default"/>
                      <w:color w:val="C00000"/>
                      <w:kern w:val="0"/>
                      <w:szCs w:val="21"/>
                      <w:lang w:val="en-US" w:eastAsia="zh-CN" w:bidi="ar"/>
                    </w:rPr>
                  </w:pPr>
                  <w:r>
                    <w:rPr>
                      <w:rFonts w:hint="eastAsia"/>
                      <w:color w:val="C00000"/>
                      <w:kern w:val="0"/>
                      <w:szCs w:val="21"/>
                      <w:lang w:val="en-US" w:eastAsia="zh-CN" w:bidi="ar"/>
                    </w:rPr>
                    <w:t>0.1</w:t>
                  </w:r>
                </w:p>
              </w:tc>
              <w:tc>
                <w:tcPr>
                  <w:tcW w:w="1900" w:type="dxa"/>
                  <w:vAlign w:val="center"/>
                </w:tcPr>
                <w:p w14:paraId="74A57FEA">
                  <w:pPr>
                    <w:jc w:val="center"/>
                    <w:rPr>
                      <w:rFonts w:hint="eastAsia"/>
                      <w:color w:val="C00000"/>
                      <w:kern w:val="0"/>
                      <w:szCs w:val="21"/>
                      <w:lang w:bidi="ar"/>
                    </w:rPr>
                  </w:pPr>
                  <w:r>
                    <w:rPr>
                      <w:rFonts w:hint="eastAsia"/>
                      <w:color w:val="C00000"/>
                      <w:kern w:val="0"/>
                      <w:szCs w:val="21"/>
                      <w:lang w:val="en-US" w:eastAsia="zh-CN" w:bidi="ar"/>
                    </w:rPr>
                    <w:t>交由有资质单位处置</w:t>
                  </w:r>
                </w:p>
              </w:tc>
            </w:tr>
          </w:tbl>
          <w:p w14:paraId="26E8C6BC">
            <w:pPr>
              <w:pStyle w:val="131"/>
              <w:ind w:firstLine="480"/>
              <w:rPr>
                <w:rFonts w:hint="eastAsia"/>
                <w:color w:val="C00000"/>
                <w:highlight w:val="none"/>
                <w:lang w:eastAsia="zh-CN"/>
              </w:rPr>
            </w:pPr>
            <w:r>
              <w:rPr>
                <w:rFonts w:hint="eastAsia"/>
                <w:b/>
                <w:bCs/>
                <w:color w:val="C00000"/>
                <w:highlight w:val="none"/>
                <w:lang w:val="en-US" w:eastAsia="zh-CN"/>
              </w:rPr>
              <w:t>5</w:t>
            </w:r>
            <w:r>
              <w:rPr>
                <w:b/>
                <w:bCs/>
                <w:color w:val="C00000"/>
                <w:highlight w:val="none"/>
              </w:rPr>
              <w:t>、地下水、土壤</w:t>
            </w:r>
            <w:r>
              <w:rPr>
                <w:rFonts w:hint="eastAsia"/>
                <w:b/>
                <w:bCs/>
                <w:color w:val="C00000"/>
                <w:highlight w:val="none"/>
                <w:lang w:eastAsia="zh-CN"/>
              </w:rPr>
              <w:t>环境</w:t>
            </w:r>
            <w:r>
              <w:rPr>
                <w:b/>
                <w:bCs/>
                <w:color w:val="C00000"/>
                <w:highlight w:val="none"/>
              </w:rPr>
              <w:t>影响分析</w:t>
            </w:r>
          </w:p>
          <w:p w14:paraId="1A3660DD">
            <w:pPr>
              <w:pStyle w:val="131"/>
              <w:ind w:firstLine="480"/>
              <w:rPr>
                <w:rFonts w:hint="default" w:ascii="Times New Roman" w:hAnsi="Times New Roman" w:cs="Times New Roman"/>
                <w:color w:val="C00000"/>
                <w:highlight w:val="none"/>
              </w:rPr>
            </w:pPr>
            <w:r>
              <w:rPr>
                <w:rFonts w:hint="default" w:ascii="Times New Roman" w:hAnsi="Times New Roman" w:cs="Times New Roman"/>
                <w:color w:val="C00000"/>
                <w:sz w:val="24"/>
                <w:szCs w:val="24"/>
                <w:highlight w:val="none"/>
                <w:lang w:val="en-US" w:eastAsia="zh-CN"/>
              </w:rPr>
              <w:t>本项目</w:t>
            </w:r>
            <w:r>
              <w:rPr>
                <w:rFonts w:hint="eastAsia" w:ascii="Times New Roman" w:hAnsi="Times New Roman" w:cs="Times New Roman"/>
                <w:color w:val="C00000"/>
                <w:sz w:val="24"/>
                <w:szCs w:val="24"/>
                <w:highlight w:val="none"/>
                <w:lang w:val="en-US" w:eastAsia="zh-CN"/>
              </w:rPr>
              <w:t>危险废物贮存点</w:t>
            </w:r>
            <w:r>
              <w:rPr>
                <w:rFonts w:hint="default" w:ascii="Times New Roman" w:hAnsi="Times New Roman" w:eastAsia="宋体" w:cs="Times New Roman"/>
                <w:color w:val="C00000"/>
                <w:highlight w:val="none"/>
              </w:rPr>
              <w:t>防渗层为至少1米厚粘土层（渗透系数≤1×10</w:t>
            </w:r>
            <w:r>
              <w:rPr>
                <w:rFonts w:hint="default" w:ascii="Times New Roman" w:hAnsi="Times New Roman" w:eastAsia="宋体" w:cs="Times New Roman"/>
                <w:color w:val="C00000"/>
                <w:highlight w:val="none"/>
                <w:vertAlign w:val="superscript"/>
              </w:rPr>
              <w:t>-7</w:t>
            </w:r>
            <w:r>
              <w:rPr>
                <w:rFonts w:hint="default" w:ascii="Times New Roman" w:hAnsi="Times New Roman" w:eastAsia="宋体" w:cs="Times New Roman"/>
                <w:color w:val="C00000"/>
                <w:highlight w:val="none"/>
              </w:rPr>
              <w:t>cm/s），或2mm厚高密度聚乙烯或至少2mm厚的其它人工材料，渗透系数≤1×10</w:t>
            </w:r>
            <w:r>
              <w:rPr>
                <w:rFonts w:hint="default" w:ascii="Times New Roman" w:hAnsi="Times New Roman" w:eastAsia="宋体" w:cs="Times New Roman"/>
                <w:color w:val="C00000"/>
                <w:highlight w:val="none"/>
                <w:vertAlign w:val="superscript"/>
              </w:rPr>
              <w:t>-10</w:t>
            </w:r>
            <w:r>
              <w:rPr>
                <w:rFonts w:hint="default" w:ascii="Times New Roman" w:hAnsi="Times New Roman" w:eastAsia="宋体" w:cs="Times New Roman"/>
                <w:color w:val="C00000"/>
                <w:highlight w:val="none"/>
              </w:rPr>
              <w:t>cm/s</w:t>
            </w:r>
            <w:r>
              <w:rPr>
                <w:rFonts w:hint="eastAsia" w:ascii="Times New Roman" w:hAnsi="Times New Roman" w:cs="Times New Roman"/>
                <w:color w:val="C00000"/>
                <w:sz w:val="24"/>
                <w:szCs w:val="24"/>
                <w:highlight w:val="none"/>
                <w:lang w:val="en-US" w:eastAsia="zh-CN"/>
              </w:rPr>
              <w:t>。根据</w:t>
            </w:r>
            <w:r>
              <w:rPr>
                <w:rFonts w:hint="default" w:ascii="Times New Roman" w:hAnsi="Times New Roman" w:cs="Times New Roman"/>
                <w:color w:val="C00000"/>
                <w:sz w:val="24"/>
                <w:szCs w:val="24"/>
                <w:highlight w:val="none"/>
              </w:rPr>
              <w:t>《环境影响评价技术导则 地下水环境》</w:t>
            </w:r>
            <w:r>
              <w:rPr>
                <w:rFonts w:hint="eastAsia" w:ascii="Times New Roman" w:hAnsi="Times New Roman" w:cs="Times New Roman"/>
                <w:color w:val="C00000"/>
                <w:sz w:val="24"/>
                <w:szCs w:val="24"/>
                <w:highlight w:val="none"/>
                <w:lang w:eastAsia="zh-CN"/>
              </w:rPr>
              <w:t>（</w:t>
            </w:r>
            <w:r>
              <w:rPr>
                <w:rFonts w:hint="default" w:ascii="Times New Roman" w:hAnsi="Times New Roman" w:cs="Times New Roman"/>
                <w:color w:val="C00000"/>
                <w:sz w:val="24"/>
                <w:szCs w:val="24"/>
                <w:highlight w:val="none"/>
              </w:rPr>
              <w:t>HJ 610-2016</w:t>
            </w:r>
            <w:r>
              <w:rPr>
                <w:rFonts w:hint="eastAsia" w:ascii="Times New Roman" w:hAnsi="Times New Roman" w:cs="Times New Roman"/>
                <w:color w:val="C00000"/>
                <w:sz w:val="24"/>
                <w:szCs w:val="24"/>
                <w:highlight w:val="none"/>
                <w:lang w:eastAsia="zh-CN"/>
              </w:rPr>
              <w:t>）</w:t>
            </w:r>
            <w:r>
              <w:rPr>
                <w:rFonts w:hint="default" w:ascii="Times New Roman" w:hAnsi="Times New Roman" w:cs="Times New Roman"/>
                <w:color w:val="C00000"/>
                <w:sz w:val="24"/>
                <w:szCs w:val="24"/>
                <w:highlight w:val="none"/>
              </w:rPr>
              <w:t>的防渗</w:t>
            </w:r>
            <w:r>
              <w:rPr>
                <w:rFonts w:hint="eastAsia" w:ascii="Times New Roman" w:hAnsi="Times New Roman" w:cs="Times New Roman"/>
                <w:color w:val="C00000"/>
                <w:sz w:val="24"/>
                <w:szCs w:val="24"/>
                <w:highlight w:val="none"/>
                <w:lang w:val="en-US" w:eastAsia="zh-CN"/>
              </w:rPr>
              <w:t>技术</w:t>
            </w:r>
            <w:r>
              <w:rPr>
                <w:rFonts w:hint="default" w:ascii="Times New Roman" w:hAnsi="Times New Roman" w:cs="Times New Roman"/>
                <w:color w:val="C00000"/>
                <w:sz w:val="24"/>
                <w:szCs w:val="24"/>
                <w:highlight w:val="none"/>
              </w:rPr>
              <w:t>要求</w:t>
            </w:r>
            <w:r>
              <w:rPr>
                <w:rFonts w:hint="eastAsia" w:ascii="Times New Roman" w:hAnsi="Times New Roman" w:cs="Times New Roman"/>
                <w:color w:val="C00000"/>
                <w:sz w:val="24"/>
                <w:szCs w:val="24"/>
                <w:highlight w:val="none"/>
                <w:lang w:eastAsia="zh-CN"/>
              </w:rPr>
              <w:t>，</w:t>
            </w:r>
            <w:r>
              <w:rPr>
                <w:rFonts w:hint="default" w:ascii="Times New Roman" w:hAnsi="Times New Roman" w:cs="Times New Roman"/>
                <w:color w:val="C00000"/>
                <w:highlight w:val="none"/>
              </w:rPr>
              <w:t>在采取防渗、防泄漏措施后，不会对</w:t>
            </w:r>
            <w:r>
              <w:rPr>
                <w:rFonts w:hint="eastAsia"/>
                <w:color w:val="C00000"/>
                <w:highlight w:val="none"/>
              </w:rPr>
              <w:t>地下水、土壤环境</w:t>
            </w:r>
            <w:r>
              <w:rPr>
                <w:rFonts w:hint="default" w:ascii="Times New Roman" w:hAnsi="Times New Roman" w:cs="Times New Roman"/>
                <w:color w:val="C00000"/>
                <w:highlight w:val="none"/>
              </w:rPr>
              <w:t>产生影响。</w:t>
            </w:r>
          </w:p>
          <w:p w14:paraId="3B5EDFCB">
            <w:pPr>
              <w:pStyle w:val="131"/>
              <w:ind w:firstLine="480"/>
              <w:rPr>
                <w:rFonts w:hint="default" w:ascii="Times New Roman" w:hAnsi="Times New Roman" w:cs="Times New Roman"/>
                <w:color w:val="auto"/>
                <w:highlight w:val="none"/>
              </w:rPr>
            </w:pPr>
          </w:p>
          <w:p w14:paraId="7865C6CD">
            <w:pPr>
              <w:pStyle w:val="59"/>
              <w:spacing w:line="360" w:lineRule="auto"/>
              <w:ind w:firstLine="0" w:firstLineChars="0"/>
              <w:rPr>
                <w:szCs w:val="24"/>
                <w:highlight w:val="yellow"/>
              </w:rPr>
            </w:pPr>
          </w:p>
          <w:p w14:paraId="71891B21">
            <w:pPr>
              <w:pStyle w:val="59"/>
              <w:spacing w:line="360" w:lineRule="auto"/>
              <w:ind w:firstLine="0" w:firstLineChars="0"/>
              <w:rPr>
                <w:szCs w:val="24"/>
                <w:highlight w:val="yellow"/>
              </w:rPr>
            </w:pPr>
          </w:p>
          <w:p w14:paraId="25B01BAC">
            <w:pPr>
              <w:pStyle w:val="59"/>
              <w:spacing w:line="360" w:lineRule="auto"/>
              <w:ind w:firstLine="0" w:firstLineChars="0"/>
              <w:rPr>
                <w:szCs w:val="24"/>
                <w:highlight w:val="yellow"/>
              </w:rPr>
            </w:pPr>
          </w:p>
          <w:p w14:paraId="1EEF9DE1">
            <w:pPr>
              <w:pStyle w:val="59"/>
              <w:spacing w:line="360" w:lineRule="auto"/>
              <w:ind w:firstLine="0" w:firstLineChars="0"/>
              <w:rPr>
                <w:szCs w:val="24"/>
                <w:highlight w:val="yellow"/>
              </w:rPr>
            </w:pPr>
          </w:p>
          <w:p w14:paraId="33BC6F62">
            <w:pPr>
              <w:pStyle w:val="59"/>
              <w:spacing w:line="360" w:lineRule="auto"/>
              <w:ind w:firstLine="0" w:firstLineChars="0"/>
              <w:rPr>
                <w:szCs w:val="24"/>
                <w:highlight w:val="yellow"/>
              </w:rPr>
            </w:pPr>
          </w:p>
          <w:p w14:paraId="20A1481A">
            <w:pPr>
              <w:pStyle w:val="59"/>
              <w:spacing w:line="360" w:lineRule="auto"/>
              <w:ind w:firstLine="0" w:firstLineChars="0"/>
              <w:rPr>
                <w:szCs w:val="24"/>
                <w:highlight w:val="yellow"/>
              </w:rPr>
            </w:pPr>
          </w:p>
          <w:p w14:paraId="53C5025D">
            <w:pPr>
              <w:pStyle w:val="59"/>
              <w:spacing w:line="360" w:lineRule="auto"/>
              <w:ind w:firstLine="0" w:firstLineChars="0"/>
              <w:rPr>
                <w:szCs w:val="24"/>
                <w:highlight w:val="yellow"/>
              </w:rPr>
            </w:pPr>
          </w:p>
          <w:p w14:paraId="169FB2D3">
            <w:pPr>
              <w:pStyle w:val="59"/>
              <w:spacing w:line="360" w:lineRule="auto"/>
              <w:ind w:firstLine="0" w:firstLineChars="0"/>
              <w:rPr>
                <w:szCs w:val="24"/>
                <w:highlight w:val="yellow"/>
              </w:rPr>
            </w:pPr>
          </w:p>
          <w:p w14:paraId="020EBE22">
            <w:pPr>
              <w:pStyle w:val="59"/>
              <w:spacing w:line="360" w:lineRule="auto"/>
              <w:ind w:firstLine="0" w:firstLineChars="0"/>
              <w:rPr>
                <w:szCs w:val="24"/>
                <w:highlight w:val="yellow"/>
              </w:rPr>
            </w:pPr>
          </w:p>
          <w:p w14:paraId="55713EF0">
            <w:pPr>
              <w:pStyle w:val="59"/>
              <w:spacing w:line="360" w:lineRule="auto"/>
              <w:ind w:firstLine="0" w:firstLineChars="0"/>
              <w:rPr>
                <w:szCs w:val="24"/>
                <w:highlight w:val="yellow"/>
              </w:rPr>
            </w:pPr>
          </w:p>
          <w:p w14:paraId="2C339FB7">
            <w:pPr>
              <w:pStyle w:val="59"/>
              <w:spacing w:line="360" w:lineRule="auto"/>
              <w:ind w:firstLine="0" w:firstLineChars="0"/>
              <w:rPr>
                <w:szCs w:val="24"/>
                <w:highlight w:val="yellow"/>
              </w:rPr>
            </w:pPr>
          </w:p>
          <w:p w14:paraId="2F480AA6">
            <w:pPr>
              <w:pStyle w:val="59"/>
              <w:spacing w:line="360" w:lineRule="auto"/>
              <w:ind w:firstLine="0" w:firstLineChars="0"/>
              <w:rPr>
                <w:szCs w:val="24"/>
                <w:highlight w:val="yellow"/>
              </w:rPr>
            </w:pPr>
          </w:p>
          <w:p w14:paraId="59E8B023">
            <w:pPr>
              <w:pStyle w:val="59"/>
              <w:spacing w:line="360" w:lineRule="auto"/>
              <w:ind w:firstLine="0" w:firstLineChars="0"/>
              <w:rPr>
                <w:szCs w:val="24"/>
                <w:highlight w:val="yellow"/>
              </w:rPr>
            </w:pPr>
          </w:p>
          <w:p w14:paraId="05B28A24">
            <w:pPr>
              <w:pStyle w:val="59"/>
              <w:spacing w:line="360" w:lineRule="auto"/>
              <w:ind w:firstLine="0" w:firstLineChars="0"/>
              <w:rPr>
                <w:szCs w:val="24"/>
                <w:highlight w:val="yellow"/>
              </w:rPr>
            </w:pPr>
          </w:p>
          <w:p w14:paraId="6556F961">
            <w:pPr>
              <w:pStyle w:val="59"/>
              <w:spacing w:line="360" w:lineRule="auto"/>
              <w:ind w:firstLine="0" w:firstLineChars="0"/>
              <w:rPr>
                <w:szCs w:val="24"/>
                <w:highlight w:val="yellow"/>
              </w:rPr>
            </w:pPr>
          </w:p>
          <w:p w14:paraId="6FC83FE9">
            <w:pPr>
              <w:pStyle w:val="59"/>
              <w:spacing w:line="360" w:lineRule="auto"/>
              <w:ind w:firstLine="0" w:firstLineChars="0"/>
              <w:rPr>
                <w:szCs w:val="24"/>
                <w:highlight w:val="yellow"/>
              </w:rPr>
            </w:pPr>
          </w:p>
          <w:p w14:paraId="3B60662E">
            <w:pPr>
              <w:pStyle w:val="59"/>
              <w:spacing w:line="360" w:lineRule="auto"/>
              <w:ind w:firstLine="0" w:firstLineChars="0"/>
              <w:rPr>
                <w:szCs w:val="24"/>
                <w:highlight w:val="yellow"/>
              </w:rPr>
            </w:pPr>
          </w:p>
          <w:p w14:paraId="42F6F9E0">
            <w:pPr>
              <w:pStyle w:val="59"/>
              <w:spacing w:line="360" w:lineRule="auto"/>
              <w:ind w:firstLine="0" w:firstLineChars="0"/>
              <w:rPr>
                <w:szCs w:val="24"/>
                <w:highlight w:val="yellow"/>
              </w:rPr>
            </w:pPr>
          </w:p>
          <w:p w14:paraId="564C988D">
            <w:pPr>
              <w:pStyle w:val="59"/>
              <w:spacing w:line="360" w:lineRule="auto"/>
              <w:ind w:firstLine="0" w:firstLineChars="0"/>
              <w:rPr>
                <w:szCs w:val="24"/>
                <w:highlight w:val="yellow"/>
              </w:rPr>
            </w:pPr>
          </w:p>
          <w:p w14:paraId="20AB8F1A">
            <w:pPr>
              <w:pStyle w:val="59"/>
              <w:spacing w:line="360" w:lineRule="auto"/>
              <w:ind w:firstLine="0" w:firstLineChars="0"/>
              <w:rPr>
                <w:szCs w:val="24"/>
                <w:highlight w:val="yellow"/>
              </w:rPr>
            </w:pPr>
          </w:p>
          <w:p w14:paraId="40D15779">
            <w:pPr>
              <w:pStyle w:val="59"/>
              <w:spacing w:line="360" w:lineRule="auto"/>
              <w:ind w:firstLine="0" w:firstLineChars="0"/>
              <w:rPr>
                <w:szCs w:val="24"/>
                <w:highlight w:val="yellow"/>
              </w:rPr>
            </w:pPr>
          </w:p>
          <w:p w14:paraId="14047576">
            <w:pPr>
              <w:pStyle w:val="59"/>
              <w:spacing w:line="360" w:lineRule="auto"/>
              <w:ind w:firstLine="0" w:firstLineChars="0"/>
              <w:rPr>
                <w:szCs w:val="24"/>
                <w:highlight w:val="yellow"/>
              </w:rPr>
            </w:pPr>
          </w:p>
          <w:p w14:paraId="757665BE">
            <w:pPr>
              <w:pStyle w:val="59"/>
              <w:spacing w:line="360" w:lineRule="auto"/>
              <w:ind w:firstLine="0" w:firstLineChars="0"/>
              <w:rPr>
                <w:szCs w:val="24"/>
                <w:highlight w:val="yellow"/>
              </w:rPr>
            </w:pPr>
          </w:p>
        </w:tc>
      </w:tr>
    </w:tbl>
    <w:p w14:paraId="4CBFCF0B">
      <w:pPr>
        <w:adjustRightInd w:val="0"/>
        <w:snapToGrid w:val="0"/>
        <w:spacing w:line="360" w:lineRule="auto"/>
        <w:rPr>
          <w:b/>
          <w:kern w:val="0"/>
          <w:sz w:val="28"/>
          <w:szCs w:val="28"/>
        </w:rPr>
        <w:sectPr>
          <w:pgSz w:w="11907" w:h="16840"/>
          <w:pgMar w:top="1701" w:right="1531" w:bottom="2127" w:left="1531" w:header="851" w:footer="851" w:gutter="0"/>
          <w:cols w:space="720" w:num="1"/>
          <w:docGrid w:linePitch="312" w:charSpace="0"/>
        </w:sectPr>
      </w:pPr>
    </w:p>
    <w:p w14:paraId="2435F32A">
      <w:pPr>
        <w:pStyle w:val="27"/>
        <w:jc w:val="center"/>
        <w:outlineLvl w:val="0"/>
        <w:rPr>
          <w:rFonts w:ascii="Times New Roman" w:hAnsi="Times New Roman"/>
          <w:snapToGrid w:val="0"/>
          <w:sz w:val="30"/>
          <w:szCs w:val="30"/>
        </w:rPr>
      </w:pPr>
      <w:bookmarkStart w:id="22" w:name="_Toc5918"/>
      <w:bookmarkStart w:id="23" w:name="_Toc14906"/>
      <w:r>
        <w:rPr>
          <w:rFonts w:ascii="Times New Roman" w:hAnsi="Times New Roman"/>
          <w:snapToGrid w:val="0"/>
          <w:sz w:val="30"/>
          <w:szCs w:val="30"/>
        </w:rPr>
        <w:t>五、</w:t>
      </w:r>
      <w:bookmarkStart w:id="24" w:name="_Hlk54167917"/>
      <w:r>
        <w:rPr>
          <w:rFonts w:ascii="Times New Roman" w:hAnsi="Times New Roman"/>
          <w:snapToGrid w:val="0"/>
          <w:sz w:val="30"/>
          <w:szCs w:val="30"/>
        </w:rPr>
        <w:t>环境保护措施监督检查清单</w:t>
      </w:r>
      <w:bookmarkEnd w:id="22"/>
      <w:bookmarkEnd w:id="23"/>
      <w:bookmarkEnd w:id="24"/>
    </w:p>
    <w:tbl>
      <w:tblPr>
        <w:tblStyle w:val="32"/>
        <w:tblW w:w="885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57"/>
        <w:gridCol w:w="1617"/>
        <w:gridCol w:w="1183"/>
        <w:gridCol w:w="2767"/>
        <w:gridCol w:w="2229"/>
      </w:tblGrid>
      <w:tr w14:paraId="674916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tcBorders>
              <w:tl2br w:val="single" w:color="auto" w:sz="4" w:space="0"/>
            </w:tcBorders>
          </w:tcPr>
          <w:p w14:paraId="473752E6">
            <w:pPr>
              <w:adjustRightInd w:val="0"/>
              <w:snapToGrid w:val="0"/>
              <w:jc w:val="right"/>
              <w:textAlignment w:val="center"/>
              <w:rPr>
                <w:sz w:val="24"/>
              </w:rPr>
            </w:pPr>
            <w:r>
              <w:rPr>
                <w:sz w:val="24"/>
              </w:rPr>
              <w:t>内容</w:t>
            </w:r>
          </w:p>
          <w:p w14:paraId="6AAFAA83">
            <w:pPr>
              <w:adjustRightInd w:val="0"/>
              <w:snapToGrid w:val="0"/>
              <w:textAlignment w:val="center"/>
              <w:rPr>
                <w:sz w:val="24"/>
              </w:rPr>
            </w:pPr>
            <w:r>
              <w:rPr>
                <w:sz w:val="24"/>
              </w:rPr>
              <w:t>要素</w:t>
            </w:r>
          </w:p>
        </w:tc>
        <w:tc>
          <w:tcPr>
            <w:tcW w:w="1617" w:type="dxa"/>
            <w:vAlign w:val="center"/>
          </w:tcPr>
          <w:p w14:paraId="75808D30">
            <w:pPr>
              <w:adjustRightInd w:val="0"/>
              <w:snapToGrid w:val="0"/>
              <w:jc w:val="center"/>
              <w:textAlignment w:val="center"/>
              <w:rPr>
                <w:sz w:val="24"/>
              </w:rPr>
            </w:pPr>
            <w:r>
              <w:rPr>
                <w:sz w:val="24"/>
              </w:rPr>
              <w:t>排放口</w:t>
            </w:r>
            <w:r>
              <w:rPr>
                <w:rFonts w:hint="eastAsia"/>
                <w:sz w:val="24"/>
                <w:lang w:eastAsia="zh-CN"/>
              </w:rPr>
              <w:t>（</w:t>
            </w:r>
            <w:r>
              <w:rPr>
                <w:sz w:val="24"/>
              </w:rPr>
              <w:t>编号、</w:t>
            </w:r>
          </w:p>
          <w:p w14:paraId="187EEF4F">
            <w:pPr>
              <w:adjustRightInd w:val="0"/>
              <w:snapToGrid w:val="0"/>
              <w:jc w:val="center"/>
              <w:textAlignment w:val="center"/>
              <w:rPr>
                <w:sz w:val="24"/>
              </w:rPr>
            </w:pPr>
            <w:r>
              <w:rPr>
                <w:sz w:val="24"/>
              </w:rPr>
              <w:t>名称</w:t>
            </w:r>
            <w:r>
              <w:rPr>
                <w:rFonts w:hint="eastAsia"/>
                <w:sz w:val="24"/>
                <w:lang w:eastAsia="zh-CN"/>
              </w:rPr>
              <w:t>）</w:t>
            </w:r>
            <w:r>
              <w:rPr>
                <w:sz w:val="24"/>
              </w:rPr>
              <w:t>/污染源</w:t>
            </w:r>
          </w:p>
        </w:tc>
        <w:tc>
          <w:tcPr>
            <w:tcW w:w="1183" w:type="dxa"/>
            <w:vAlign w:val="center"/>
          </w:tcPr>
          <w:p w14:paraId="3CF10725">
            <w:pPr>
              <w:adjustRightInd w:val="0"/>
              <w:snapToGrid w:val="0"/>
              <w:jc w:val="center"/>
              <w:textAlignment w:val="center"/>
              <w:rPr>
                <w:sz w:val="24"/>
              </w:rPr>
            </w:pPr>
            <w:r>
              <w:rPr>
                <w:sz w:val="24"/>
              </w:rPr>
              <w:t>污染物项目</w:t>
            </w:r>
          </w:p>
        </w:tc>
        <w:tc>
          <w:tcPr>
            <w:tcW w:w="2767" w:type="dxa"/>
            <w:vAlign w:val="center"/>
          </w:tcPr>
          <w:p w14:paraId="729482E6">
            <w:pPr>
              <w:adjustRightInd w:val="0"/>
              <w:snapToGrid w:val="0"/>
              <w:jc w:val="center"/>
              <w:textAlignment w:val="center"/>
              <w:rPr>
                <w:sz w:val="24"/>
              </w:rPr>
            </w:pPr>
            <w:r>
              <w:rPr>
                <w:sz w:val="24"/>
              </w:rPr>
              <w:t>环境保护措施</w:t>
            </w:r>
          </w:p>
        </w:tc>
        <w:tc>
          <w:tcPr>
            <w:tcW w:w="2229" w:type="dxa"/>
            <w:vAlign w:val="center"/>
          </w:tcPr>
          <w:p w14:paraId="3017BD8C">
            <w:pPr>
              <w:adjustRightInd w:val="0"/>
              <w:snapToGrid w:val="0"/>
              <w:jc w:val="center"/>
              <w:textAlignment w:val="center"/>
              <w:rPr>
                <w:sz w:val="24"/>
              </w:rPr>
            </w:pPr>
            <w:r>
              <w:rPr>
                <w:sz w:val="24"/>
              </w:rPr>
              <w:t>执行标准</w:t>
            </w:r>
          </w:p>
        </w:tc>
      </w:tr>
      <w:tr w14:paraId="7888CA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1057" w:type="dxa"/>
            <w:vMerge w:val="restart"/>
            <w:vAlign w:val="center"/>
          </w:tcPr>
          <w:p w14:paraId="2862DB1B">
            <w:pPr>
              <w:adjustRightInd w:val="0"/>
              <w:snapToGrid w:val="0"/>
              <w:jc w:val="center"/>
              <w:textAlignment w:val="center"/>
              <w:rPr>
                <w:sz w:val="24"/>
              </w:rPr>
            </w:pPr>
            <w:r>
              <w:rPr>
                <w:sz w:val="24"/>
              </w:rPr>
              <w:t>大气</w:t>
            </w:r>
          </w:p>
          <w:p w14:paraId="4F0879FF">
            <w:pPr>
              <w:adjustRightInd w:val="0"/>
              <w:snapToGrid w:val="0"/>
              <w:jc w:val="center"/>
              <w:textAlignment w:val="center"/>
              <w:rPr>
                <w:sz w:val="24"/>
              </w:rPr>
            </w:pPr>
            <w:r>
              <w:rPr>
                <w:sz w:val="24"/>
              </w:rPr>
              <w:t>环境</w:t>
            </w:r>
          </w:p>
        </w:tc>
        <w:tc>
          <w:tcPr>
            <w:tcW w:w="1617" w:type="dxa"/>
            <w:vMerge w:val="restart"/>
            <w:vAlign w:val="center"/>
          </w:tcPr>
          <w:p w14:paraId="32B4F11F">
            <w:pPr>
              <w:pStyle w:val="61"/>
              <w:adjustRightInd w:val="0"/>
              <w:snapToGrid w:val="0"/>
              <w:spacing w:line="240" w:lineRule="auto"/>
              <w:rPr>
                <w:sz w:val="24"/>
                <w:szCs w:val="24"/>
              </w:rPr>
            </w:pPr>
            <w:r>
              <w:rPr>
                <w:sz w:val="24"/>
                <w:szCs w:val="24"/>
              </w:rPr>
              <w:t>热风炉</w:t>
            </w:r>
          </w:p>
        </w:tc>
        <w:tc>
          <w:tcPr>
            <w:tcW w:w="1183" w:type="dxa"/>
            <w:vAlign w:val="center"/>
          </w:tcPr>
          <w:p w14:paraId="29BCB054">
            <w:pPr>
              <w:widowControl/>
              <w:jc w:val="center"/>
              <w:textAlignment w:val="center"/>
              <w:rPr>
                <w:kern w:val="0"/>
                <w:sz w:val="24"/>
                <w:lang w:bidi="ar"/>
              </w:rPr>
            </w:pPr>
            <w:r>
              <w:rPr>
                <w:kern w:val="0"/>
                <w:sz w:val="24"/>
                <w:lang w:bidi="ar"/>
              </w:rPr>
              <w:t xml:space="preserve">颗粒物 </w:t>
            </w:r>
          </w:p>
        </w:tc>
        <w:tc>
          <w:tcPr>
            <w:tcW w:w="2767" w:type="dxa"/>
            <w:vMerge w:val="restart"/>
            <w:vAlign w:val="center"/>
          </w:tcPr>
          <w:p w14:paraId="612C7381">
            <w:pPr>
              <w:pStyle w:val="85"/>
              <w:spacing w:line="240" w:lineRule="auto"/>
              <w:rPr>
                <w:sz w:val="24"/>
                <w:szCs w:val="24"/>
              </w:rPr>
            </w:pPr>
            <w:r>
              <w:rPr>
                <w:sz w:val="24"/>
                <w:szCs w:val="24"/>
              </w:rPr>
              <w:t>布袋除尘器（效率</w:t>
            </w:r>
            <w:r>
              <w:rPr>
                <w:rFonts w:hint="eastAsia"/>
                <w:sz w:val="24"/>
                <w:szCs w:val="24"/>
                <w:lang w:eastAsia="zh-CN"/>
              </w:rPr>
              <w:t>99.6</w:t>
            </w:r>
            <w:r>
              <w:rPr>
                <w:rFonts w:hint="eastAsia"/>
                <w:sz w:val="24"/>
                <w:szCs w:val="24"/>
              </w:rPr>
              <w:t>%</w:t>
            </w:r>
            <w:r>
              <w:rPr>
                <w:sz w:val="24"/>
                <w:szCs w:val="24"/>
              </w:rPr>
              <w:t>）+</w:t>
            </w:r>
            <w:r>
              <w:rPr>
                <w:rFonts w:hint="eastAsia"/>
                <w:sz w:val="24"/>
                <w:szCs w:val="24"/>
                <w:lang w:eastAsia="zh-CN"/>
              </w:rPr>
              <w:t>20m</w:t>
            </w:r>
            <w:r>
              <w:rPr>
                <w:sz w:val="24"/>
                <w:szCs w:val="24"/>
              </w:rPr>
              <w:t>高烟囱</w:t>
            </w:r>
          </w:p>
        </w:tc>
        <w:tc>
          <w:tcPr>
            <w:tcW w:w="2229" w:type="dxa"/>
            <w:vMerge w:val="restart"/>
            <w:vAlign w:val="center"/>
          </w:tcPr>
          <w:p w14:paraId="67C9C565">
            <w:pPr>
              <w:pStyle w:val="85"/>
              <w:spacing w:line="240" w:lineRule="auto"/>
              <w:rPr>
                <w:sz w:val="24"/>
                <w:szCs w:val="24"/>
              </w:rPr>
            </w:pPr>
            <w:r>
              <w:rPr>
                <w:sz w:val="24"/>
                <w:szCs w:val="24"/>
              </w:rPr>
              <w:t>《工业炉窑大气污染物排放标准》（GB9078-1996）表2中二级标准</w:t>
            </w:r>
          </w:p>
        </w:tc>
      </w:tr>
      <w:tr w14:paraId="04EF63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vMerge w:val="continue"/>
            <w:vAlign w:val="center"/>
          </w:tcPr>
          <w:p w14:paraId="4089ABE3">
            <w:pPr>
              <w:adjustRightInd w:val="0"/>
              <w:snapToGrid w:val="0"/>
              <w:ind w:firstLine="480" w:firstLineChars="200"/>
              <w:jc w:val="center"/>
              <w:textAlignment w:val="center"/>
              <w:rPr>
                <w:sz w:val="24"/>
              </w:rPr>
            </w:pPr>
          </w:p>
        </w:tc>
        <w:tc>
          <w:tcPr>
            <w:tcW w:w="1617" w:type="dxa"/>
            <w:vMerge w:val="continue"/>
            <w:vAlign w:val="center"/>
          </w:tcPr>
          <w:p w14:paraId="314C7C41">
            <w:pPr>
              <w:pStyle w:val="61"/>
              <w:adjustRightInd w:val="0"/>
              <w:snapToGrid w:val="0"/>
              <w:spacing w:line="240" w:lineRule="auto"/>
              <w:rPr>
                <w:sz w:val="24"/>
                <w:szCs w:val="24"/>
              </w:rPr>
            </w:pPr>
          </w:p>
        </w:tc>
        <w:tc>
          <w:tcPr>
            <w:tcW w:w="1183" w:type="dxa"/>
            <w:vAlign w:val="center"/>
          </w:tcPr>
          <w:p w14:paraId="16E431B7">
            <w:pPr>
              <w:widowControl/>
              <w:jc w:val="center"/>
              <w:textAlignment w:val="center"/>
              <w:rPr>
                <w:kern w:val="0"/>
                <w:sz w:val="24"/>
                <w:lang w:bidi="ar"/>
              </w:rPr>
            </w:pPr>
            <w:r>
              <w:rPr>
                <w:kern w:val="0"/>
                <w:sz w:val="24"/>
                <w:lang w:bidi="ar"/>
              </w:rPr>
              <w:t>烟气黑度</w:t>
            </w:r>
          </w:p>
        </w:tc>
        <w:tc>
          <w:tcPr>
            <w:tcW w:w="2767" w:type="dxa"/>
            <w:vMerge w:val="continue"/>
            <w:vAlign w:val="center"/>
          </w:tcPr>
          <w:p w14:paraId="7C77D251">
            <w:pPr>
              <w:adjustRightInd w:val="0"/>
              <w:snapToGrid w:val="0"/>
              <w:jc w:val="center"/>
              <w:textAlignment w:val="center"/>
              <w:rPr>
                <w:sz w:val="24"/>
              </w:rPr>
            </w:pPr>
          </w:p>
        </w:tc>
        <w:tc>
          <w:tcPr>
            <w:tcW w:w="2229" w:type="dxa"/>
            <w:vMerge w:val="continue"/>
            <w:vAlign w:val="center"/>
          </w:tcPr>
          <w:p w14:paraId="074A5947">
            <w:pPr>
              <w:adjustRightInd w:val="0"/>
              <w:snapToGrid w:val="0"/>
              <w:ind w:firstLine="480" w:firstLineChars="200"/>
              <w:jc w:val="center"/>
              <w:textAlignment w:val="center"/>
              <w:rPr>
                <w:sz w:val="24"/>
              </w:rPr>
            </w:pPr>
          </w:p>
        </w:tc>
      </w:tr>
      <w:tr w14:paraId="208279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1057" w:type="dxa"/>
            <w:vMerge w:val="continue"/>
            <w:vAlign w:val="center"/>
          </w:tcPr>
          <w:p w14:paraId="5B4B1D4B">
            <w:pPr>
              <w:adjustRightInd w:val="0"/>
              <w:snapToGrid w:val="0"/>
              <w:ind w:firstLine="480" w:firstLineChars="200"/>
              <w:jc w:val="center"/>
              <w:textAlignment w:val="center"/>
              <w:rPr>
                <w:sz w:val="24"/>
              </w:rPr>
            </w:pPr>
          </w:p>
        </w:tc>
        <w:tc>
          <w:tcPr>
            <w:tcW w:w="1617" w:type="dxa"/>
            <w:vMerge w:val="continue"/>
            <w:vAlign w:val="center"/>
          </w:tcPr>
          <w:p w14:paraId="5271AB70">
            <w:pPr>
              <w:pStyle w:val="61"/>
              <w:adjustRightInd w:val="0"/>
              <w:snapToGrid w:val="0"/>
              <w:spacing w:line="240" w:lineRule="auto"/>
              <w:rPr>
                <w:sz w:val="24"/>
                <w:szCs w:val="24"/>
              </w:rPr>
            </w:pPr>
          </w:p>
        </w:tc>
        <w:tc>
          <w:tcPr>
            <w:tcW w:w="1183" w:type="dxa"/>
            <w:vAlign w:val="center"/>
          </w:tcPr>
          <w:p w14:paraId="2F11C634">
            <w:pPr>
              <w:widowControl/>
              <w:jc w:val="center"/>
              <w:textAlignment w:val="center"/>
              <w:rPr>
                <w:kern w:val="0"/>
                <w:sz w:val="24"/>
                <w:lang w:bidi="ar"/>
              </w:rPr>
            </w:pPr>
            <w:r>
              <w:rPr>
                <w:kern w:val="0"/>
                <w:sz w:val="24"/>
                <w:lang w:bidi="ar"/>
              </w:rPr>
              <w:t>SO</w:t>
            </w:r>
            <w:r>
              <w:rPr>
                <w:kern w:val="0"/>
                <w:sz w:val="24"/>
                <w:vertAlign w:val="subscript"/>
                <w:lang w:bidi="ar"/>
              </w:rPr>
              <w:t>2</w:t>
            </w:r>
          </w:p>
        </w:tc>
        <w:tc>
          <w:tcPr>
            <w:tcW w:w="2767" w:type="dxa"/>
            <w:vMerge w:val="continue"/>
            <w:vAlign w:val="center"/>
          </w:tcPr>
          <w:p w14:paraId="5EED4405">
            <w:pPr>
              <w:adjustRightInd w:val="0"/>
              <w:snapToGrid w:val="0"/>
              <w:jc w:val="center"/>
              <w:textAlignment w:val="center"/>
              <w:rPr>
                <w:sz w:val="24"/>
              </w:rPr>
            </w:pPr>
          </w:p>
        </w:tc>
        <w:tc>
          <w:tcPr>
            <w:tcW w:w="2229" w:type="dxa"/>
            <w:vAlign w:val="center"/>
          </w:tcPr>
          <w:p w14:paraId="1072998A">
            <w:pPr>
              <w:adjustRightInd w:val="0"/>
              <w:snapToGrid w:val="0"/>
              <w:textAlignment w:val="center"/>
              <w:rPr>
                <w:sz w:val="24"/>
              </w:rPr>
            </w:pPr>
            <w:r>
              <w:rPr>
                <w:sz w:val="24"/>
              </w:rPr>
              <w:t>《工业炉窑大气污染物排放标准》（GB9078-1996）表4中二级标准</w:t>
            </w:r>
          </w:p>
        </w:tc>
      </w:tr>
      <w:tr w14:paraId="414D0A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1057" w:type="dxa"/>
            <w:vMerge w:val="continue"/>
            <w:vAlign w:val="center"/>
          </w:tcPr>
          <w:p w14:paraId="4012967E">
            <w:pPr>
              <w:widowControl/>
              <w:jc w:val="center"/>
              <w:textAlignment w:val="center"/>
            </w:pPr>
          </w:p>
        </w:tc>
        <w:tc>
          <w:tcPr>
            <w:tcW w:w="1617" w:type="dxa"/>
            <w:vMerge w:val="continue"/>
            <w:vAlign w:val="center"/>
          </w:tcPr>
          <w:p w14:paraId="7C11BAA1">
            <w:pPr>
              <w:widowControl/>
              <w:jc w:val="center"/>
              <w:textAlignment w:val="center"/>
            </w:pPr>
          </w:p>
        </w:tc>
        <w:tc>
          <w:tcPr>
            <w:tcW w:w="1183" w:type="dxa"/>
            <w:vAlign w:val="center"/>
          </w:tcPr>
          <w:p w14:paraId="3A43B503">
            <w:pPr>
              <w:widowControl/>
              <w:jc w:val="center"/>
              <w:textAlignment w:val="center"/>
              <w:rPr>
                <w:kern w:val="0"/>
                <w:sz w:val="24"/>
                <w:lang w:bidi="ar"/>
              </w:rPr>
            </w:pPr>
            <w:r>
              <w:rPr>
                <w:sz w:val="24"/>
              </w:rPr>
              <w:t>NO</w:t>
            </w:r>
            <w:r>
              <w:rPr>
                <w:sz w:val="24"/>
                <w:vertAlign w:val="subscript"/>
              </w:rPr>
              <w:t>x</w:t>
            </w:r>
          </w:p>
        </w:tc>
        <w:tc>
          <w:tcPr>
            <w:tcW w:w="2767" w:type="dxa"/>
            <w:vMerge w:val="continue"/>
            <w:vAlign w:val="center"/>
          </w:tcPr>
          <w:p w14:paraId="099B5DD3">
            <w:pPr>
              <w:widowControl/>
              <w:jc w:val="center"/>
              <w:textAlignment w:val="center"/>
              <w:rPr>
                <w:kern w:val="0"/>
                <w:sz w:val="24"/>
                <w:lang w:bidi="ar"/>
              </w:rPr>
            </w:pPr>
          </w:p>
        </w:tc>
        <w:tc>
          <w:tcPr>
            <w:tcW w:w="2229" w:type="dxa"/>
            <w:vAlign w:val="center"/>
          </w:tcPr>
          <w:p w14:paraId="4539C71A">
            <w:pPr>
              <w:widowControl/>
              <w:jc w:val="center"/>
              <w:textAlignment w:val="center"/>
              <w:rPr>
                <w:kern w:val="0"/>
                <w:sz w:val="24"/>
                <w:lang w:bidi="ar"/>
              </w:rPr>
            </w:pPr>
            <w:r>
              <w:rPr>
                <w:rFonts w:hint="eastAsia"/>
                <w:kern w:val="0"/>
                <w:sz w:val="24"/>
                <w:lang w:bidi="ar"/>
              </w:rPr>
              <w:t>/</w:t>
            </w:r>
          </w:p>
        </w:tc>
      </w:tr>
      <w:tr w14:paraId="6BE595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1057" w:type="dxa"/>
            <w:vMerge w:val="continue"/>
            <w:vAlign w:val="center"/>
          </w:tcPr>
          <w:p w14:paraId="5096173E">
            <w:pPr>
              <w:adjustRightInd w:val="0"/>
              <w:snapToGrid w:val="0"/>
              <w:ind w:firstLine="480" w:firstLineChars="200"/>
              <w:jc w:val="center"/>
              <w:textAlignment w:val="center"/>
              <w:rPr>
                <w:sz w:val="24"/>
              </w:rPr>
            </w:pPr>
          </w:p>
        </w:tc>
        <w:tc>
          <w:tcPr>
            <w:tcW w:w="1617" w:type="dxa"/>
            <w:vAlign w:val="center"/>
          </w:tcPr>
          <w:p w14:paraId="31625C1E">
            <w:pPr>
              <w:pStyle w:val="61"/>
              <w:adjustRightInd w:val="0"/>
              <w:snapToGrid w:val="0"/>
              <w:spacing w:line="240" w:lineRule="auto"/>
              <w:rPr>
                <w:sz w:val="24"/>
                <w:szCs w:val="24"/>
              </w:rPr>
            </w:pPr>
            <w:r>
              <w:rPr>
                <w:sz w:val="24"/>
                <w:szCs w:val="24"/>
              </w:rPr>
              <w:t>热风炉房门窗处颗粒物</w:t>
            </w:r>
          </w:p>
        </w:tc>
        <w:tc>
          <w:tcPr>
            <w:tcW w:w="1183" w:type="dxa"/>
            <w:vAlign w:val="center"/>
          </w:tcPr>
          <w:p w14:paraId="5A8674E2">
            <w:pPr>
              <w:widowControl/>
              <w:jc w:val="center"/>
              <w:textAlignment w:val="center"/>
              <w:rPr>
                <w:kern w:val="0"/>
                <w:sz w:val="24"/>
                <w:lang w:bidi="ar"/>
              </w:rPr>
            </w:pPr>
            <w:r>
              <w:rPr>
                <w:kern w:val="0"/>
                <w:sz w:val="24"/>
                <w:lang w:bidi="ar"/>
              </w:rPr>
              <w:t>颗粒物</w:t>
            </w:r>
          </w:p>
        </w:tc>
        <w:tc>
          <w:tcPr>
            <w:tcW w:w="2767" w:type="dxa"/>
            <w:vAlign w:val="center"/>
          </w:tcPr>
          <w:p w14:paraId="01DD18E5">
            <w:pPr>
              <w:adjustRightInd w:val="0"/>
              <w:snapToGrid w:val="0"/>
              <w:jc w:val="center"/>
              <w:textAlignment w:val="center"/>
              <w:rPr>
                <w:sz w:val="24"/>
              </w:rPr>
            </w:pPr>
            <w:r>
              <w:rPr>
                <w:sz w:val="24"/>
              </w:rPr>
              <w:t>/</w:t>
            </w:r>
          </w:p>
        </w:tc>
        <w:tc>
          <w:tcPr>
            <w:tcW w:w="2229" w:type="dxa"/>
            <w:vAlign w:val="center"/>
          </w:tcPr>
          <w:p w14:paraId="3894CB4A">
            <w:pPr>
              <w:adjustRightInd w:val="0"/>
              <w:snapToGrid w:val="0"/>
              <w:textAlignment w:val="center"/>
              <w:rPr>
                <w:sz w:val="24"/>
              </w:rPr>
            </w:pPr>
            <w:r>
              <w:rPr>
                <w:sz w:val="24"/>
              </w:rPr>
              <w:t>《工业窑炉大气污染物排放标准》（GB9078-1996）表3中标准限值</w:t>
            </w:r>
          </w:p>
        </w:tc>
      </w:tr>
      <w:tr w14:paraId="08DF49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7" w:type="dxa"/>
            <w:vMerge w:val="continue"/>
            <w:vAlign w:val="center"/>
          </w:tcPr>
          <w:p w14:paraId="192CDF5D">
            <w:pPr>
              <w:adjustRightInd w:val="0"/>
              <w:snapToGrid w:val="0"/>
              <w:ind w:firstLine="480" w:firstLineChars="200"/>
              <w:jc w:val="center"/>
              <w:textAlignment w:val="center"/>
              <w:rPr>
                <w:sz w:val="24"/>
              </w:rPr>
            </w:pPr>
          </w:p>
        </w:tc>
        <w:tc>
          <w:tcPr>
            <w:tcW w:w="1617" w:type="dxa"/>
            <w:vAlign w:val="center"/>
          </w:tcPr>
          <w:p w14:paraId="4FDFE8A3">
            <w:pPr>
              <w:jc w:val="center"/>
              <w:rPr>
                <w:sz w:val="24"/>
              </w:rPr>
            </w:pPr>
            <w:r>
              <w:rPr>
                <w:sz w:val="24"/>
              </w:rPr>
              <w:t>原粮卸粮</w:t>
            </w:r>
          </w:p>
        </w:tc>
        <w:tc>
          <w:tcPr>
            <w:tcW w:w="1183" w:type="dxa"/>
            <w:vAlign w:val="center"/>
          </w:tcPr>
          <w:p w14:paraId="70E73D4F">
            <w:pPr>
              <w:jc w:val="center"/>
              <w:rPr>
                <w:sz w:val="24"/>
              </w:rPr>
            </w:pPr>
            <w:r>
              <w:rPr>
                <w:sz w:val="24"/>
              </w:rPr>
              <w:t>颗粒物</w:t>
            </w:r>
          </w:p>
        </w:tc>
        <w:tc>
          <w:tcPr>
            <w:tcW w:w="2767" w:type="dxa"/>
            <w:vAlign w:val="center"/>
          </w:tcPr>
          <w:p w14:paraId="2B21C50A">
            <w:pPr>
              <w:jc w:val="center"/>
              <w:rPr>
                <w:sz w:val="24"/>
              </w:rPr>
            </w:pPr>
            <w:r>
              <w:rPr>
                <w:sz w:val="24"/>
              </w:rPr>
              <w:t>减小装卸高度、</w:t>
            </w:r>
            <w:r>
              <w:rPr>
                <w:rFonts w:hint="eastAsia"/>
                <w:sz w:val="24"/>
              </w:rPr>
              <w:t>临时围挡</w:t>
            </w:r>
          </w:p>
        </w:tc>
        <w:tc>
          <w:tcPr>
            <w:tcW w:w="2229" w:type="dxa"/>
            <w:vMerge w:val="restart"/>
            <w:vAlign w:val="center"/>
          </w:tcPr>
          <w:p w14:paraId="47E5F5A3">
            <w:pPr>
              <w:jc w:val="center"/>
              <w:rPr>
                <w:sz w:val="24"/>
              </w:rPr>
            </w:pPr>
            <w:r>
              <w:rPr>
                <w:sz w:val="24"/>
              </w:rPr>
              <w:t>《大气污染物综合排放标准》（GB16297-1996）表2无组织排放监控浓度限值标准</w:t>
            </w:r>
          </w:p>
        </w:tc>
      </w:tr>
      <w:tr w14:paraId="786CD8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7" w:type="dxa"/>
            <w:vMerge w:val="continue"/>
            <w:vAlign w:val="center"/>
          </w:tcPr>
          <w:p w14:paraId="35F7A2DE">
            <w:pPr>
              <w:adjustRightInd w:val="0"/>
              <w:snapToGrid w:val="0"/>
              <w:ind w:firstLine="480" w:firstLineChars="200"/>
              <w:jc w:val="center"/>
              <w:textAlignment w:val="center"/>
              <w:rPr>
                <w:sz w:val="24"/>
              </w:rPr>
            </w:pPr>
          </w:p>
        </w:tc>
        <w:tc>
          <w:tcPr>
            <w:tcW w:w="1617" w:type="dxa"/>
            <w:vAlign w:val="center"/>
          </w:tcPr>
          <w:p w14:paraId="587351AF">
            <w:pPr>
              <w:jc w:val="center"/>
              <w:rPr>
                <w:sz w:val="24"/>
              </w:rPr>
            </w:pPr>
            <w:r>
              <w:rPr>
                <w:sz w:val="24"/>
              </w:rPr>
              <w:t>原粮筛分</w:t>
            </w:r>
          </w:p>
        </w:tc>
        <w:tc>
          <w:tcPr>
            <w:tcW w:w="1183" w:type="dxa"/>
            <w:vAlign w:val="center"/>
          </w:tcPr>
          <w:p w14:paraId="0D1E849E">
            <w:pPr>
              <w:jc w:val="center"/>
              <w:rPr>
                <w:sz w:val="24"/>
              </w:rPr>
            </w:pPr>
            <w:r>
              <w:rPr>
                <w:sz w:val="24"/>
              </w:rPr>
              <w:t>颗粒物</w:t>
            </w:r>
          </w:p>
        </w:tc>
        <w:tc>
          <w:tcPr>
            <w:tcW w:w="2767" w:type="dxa"/>
            <w:vAlign w:val="center"/>
          </w:tcPr>
          <w:p w14:paraId="4656D55A">
            <w:pPr>
              <w:jc w:val="center"/>
              <w:rPr>
                <w:sz w:val="24"/>
              </w:rPr>
            </w:pPr>
            <w:r>
              <w:rPr>
                <w:sz w:val="24"/>
              </w:rPr>
              <w:t>密闭设备</w:t>
            </w:r>
          </w:p>
        </w:tc>
        <w:tc>
          <w:tcPr>
            <w:tcW w:w="2229" w:type="dxa"/>
            <w:vMerge w:val="continue"/>
            <w:vAlign w:val="center"/>
          </w:tcPr>
          <w:p w14:paraId="66A24260">
            <w:pPr>
              <w:jc w:val="center"/>
              <w:rPr>
                <w:sz w:val="24"/>
              </w:rPr>
            </w:pPr>
          </w:p>
        </w:tc>
      </w:tr>
      <w:tr w14:paraId="2156AF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vMerge w:val="continue"/>
            <w:vAlign w:val="center"/>
          </w:tcPr>
          <w:p w14:paraId="174CFA2E">
            <w:pPr>
              <w:adjustRightInd w:val="0"/>
              <w:snapToGrid w:val="0"/>
              <w:ind w:firstLine="480" w:firstLineChars="200"/>
              <w:jc w:val="center"/>
              <w:textAlignment w:val="center"/>
              <w:rPr>
                <w:sz w:val="24"/>
              </w:rPr>
            </w:pPr>
          </w:p>
        </w:tc>
        <w:tc>
          <w:tcPr>
            <w:tcW w:w="1617" w:type="dxa"/>
            <w:vAlign w:val="center"/>
          </w:tcPr>
          <w:p w14:paraId="1BF0460E">
            <w:pPr>
              <w:jc w:val="center"/>
              <w:rPr>
                <w:sz w:val="24"/>
              </w:rPr>
            </w:pPr>
            <w:r>
              <w:rPr>
                <w:sz w:val="24"/>
              </w:rPr>
              <w:t>烘干塔</w:t>
            </w:r>
          </w:p>
        </w:tc>
        <w:tc>
          <w:tcPr>
            <w:tcW w:w="1183" w:type="dxa"/>
            <w:vAlign w:val="center"/>
          </w:tcPr>
          <w:p w14:paraId="50A098B4">
            <w:pPr>
              <w:jc w:val="center"/>
              <w:rPr>
                <w:sz w:val="24"/>
              </w:rPr>
            </w:pPr>
            <w:r>
              <w:rPr>
                <w:sz w:val="24"/>
              </w:rPr>
              <w:t>颗粒物</w:t>
            </w:r>
          </w:p>
        </w:tc>
        <w:tc>
          <w:tcPr>
            <w:tcW w:w="2767" w:type="dxa"/>
            <w:vAlign w:val="center"/>
          </w:tcPr>
          <w:p w14:paraId="00F069F9">
            <w:pPr>
              <w:jc w:val="center"/>
              <w:rPr>
                <w:sz w:val="24"/>
              </w:rPr>
            </w:pPr>
            <w:r>
              <w:rPr>
                <w:rFonts w:hint="eastAsia" w:ascii="Times New Roman" w:hAnsi="Times New Roman" w:eastAsia="宋体" w:cs="Times New Roman"/>
                <w:sz w:val="24"/>
                <w:lang w:val="en-US" w:eastAsia="zh-CN"/>
              </w:rPr>
              <w:t>烘干塔塔体外设置铁皮塔衣，塔顶设置抑尘网</w:t>
            </w:r>
          </w:p>
        </w:tc>
        <w:tc>
          <w:tcPr>
            <w:tcW w:w="2229" w:type="dxa"/>
            <w:vMerge w:val="continue"/>
            <w:vAlign w:val="center"/>
          </w:tcPr>
          <w:p w14:paraId="1CFFD0B0">
            <w:pPr>
              <w:jc w:val="center"/>
              <w:rPr>
                <w:sz w:val="24"/>
              </w:rPr>
            </w:pPr>
          </w:p>
        </w:tc>
      </w:tr>
      <w:tr w14:paraId="780F34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vAlign w:val="center"/>
          </w:tcPr>
          <w:p w14:paraId="69B44280">
            <w:pPr>
              <w:adjustRightInd w:val="0"/>
              <w:snapToGrid w:val="0"/>
              <w:jc w:val="center"/>
              <w:textAlignment w:val="center"/>
              <w:rPr>
                <w:sz w:val="24"/>
              </w:rPr>
            </w:pPr>
            <w:r>
              <w:rPr>
                <w:sz w:val="24"/>
              </w:rPr>
              <w:t>地表水环境</w:t>
            </w:r>
          </w:p>
        </w:tc>
        <w:tc>
          <w:tcPr>
            <w:tcW w:w="1617" w:type="dxa"/>
            <w:vAlign w:val="center"/>
          </w:tcPr>
          <w:p w14:paraId="68E2997F">
            <w:pPr>
              <w:jc w:val="center"/>
              <w:rPr>
                <w:rFonts w:hint="eastAsia" w:eastAsia="宋体"/>
                <w:color w:val="auto"/>
                <w:sz w:val="24"/>
                <w:lang w:val="en-US" w:eastAsia="zh-CN"/>
              </w:rPr>
            </w:pPr>
            <w:r>
              <w:rPr>
                <w:rFonts w:hint="eastAsia"/>
                <w:color w:val="auto"/>
                <w:sz w:val="24"/>
                <w:lang w:val="en-US" w:eastAsia="zh-CN"/>
              </w:rPr>
              <w:t>/</w:t>
            </w:r>
          </w:p>
        </w:tc>
        <w:tc>
          <w:tcPr>
            <w:tcW w:w="1183" w:type="dxa"/>
            <w:vAlign w:val="center"/>
          </w:tcPr>
          <w:p w14:paraId="414DC409">
            <w:pPr>
              <w:jc w:val="center"/>
              <w:rPr>
                <w:rFonts w:hint="eastAsia" w:eastAsia="宋体"/>
                <w:color w:val="auto"/>
                <w:sz w:val="24"/>
                <w:lang w:val="en-US" w:eastAsia="zh-CN"/>
              </w:rPr>
            </w:pPr>
            <w:r>
              <w:rPr>
                <w:rFonts w:hint="eastAsia"/>
                <w:color w:val="auto"/>
                <w:sz w:val="24"/>
                <w:lang w:val="en-US" w:eastAsia="zh-CN"/>
              </w:rPr>
              <w:t>/</w:t>
            </w:r>
          </w:p>
        </w:tc>
        <w:tc>
          <w:tcPr>
            <w:tcW w:w="2767" w:type="dxa"/>
            <w:vAlign w:val="center"/>
          </w:tcPr>
          <w:p w14:paraId="3DF5E172">
            <w:pPr>
              <w:jc w:val="center"/>
              <w:rPr>
                <w:rFonts w:hint="eastAsia" w:eastAsia="宋体"/>
                <w:color w:val="auto"/>
                <w:sz w:val="24"/>
                <w:lang w:val="en-US" w:eastAsia="zh-CN"/>
              </w:rPr>
            </w:pPr>
            <w:r>
              <w:rPr>
                <w:rFonts w:hint="eastAsia"/>
                <w:color w:val="auto"/>
                <w:sz w:val="24"/>
                <w:lang w:val="en-US" w:eastAsia="zh-CN"/>
              </w:rPr>
              <w:t>/</w:t>
            </w:r>
          </w:p>
        </w:tc>
        <w:tc>
          <w:tcPr>
            <w:tcW w:w="2229" w:type="dxa"/>
            <w:vAlign w:val="center"/>
          </w:tcPr>
          <w:p w14:paraId="37ED4C6A">
            <w:pPr>
              <w:jc w:val="center"/>
              <w:rPr>
                <w:rFonts w:hint="eastAsia" w:eastAsia="宋体"/>
                <w:color w:val="auto"/>
                <w:sz w:val="24"/>
                <w:lang w:val="en-US" w:eastAsia="zh-CN"/>
              </w:rPr>
            </w:pPr>
            <w:r>
              <w:rPr>
                <w:rFonts w:hint="eastAsia"/>
                <w:color w:val="auto"/>
                <w:sz w:val="24"/>
                <w:lang w:val="en-US" w:eastAsia="zh-CN"/>
              </w:rPr>
              <w:t>/</w:t>
            </w:r>
          </w:p>
        </w:tc>
      </w:tr>
      <w:tr w14:paraId="3BF37D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vAlign w:val="center"/>
          </w:tcPr>
          <w:p w14:paraId="2DA20BC3">
            <w:pPr>
              <w:adjustRightInd w:val="0"/>
              <w:snapToGrid w:val="0"/>
              <w:jc w:val="center"/>
              <w:textAlignment w:val="center"/>
              <w:rPr>
                <w:sz w:val="24"/>
              </w:rPr>
            </w:pPr>
            <w:r>
              <w:rPr>
                <w:sz w:val="24"/>
              </w:rPr>
              <w:t>声环境</w:t>
            </w:r>
          </w:p>
        </w:tc>
        <w:tc>
          <w:tcPr>
            <w:tcW w:w="1617" w:type="dxa"/>
            <w:vAlign w:val="center"/>
          </w:tcPr>
          <w:p w14:paraId="4319742D">
            <w:pPr>
              <w:widowControl/>
              <w:jc w:val="center"/>
              <w:textAlignment w:val="center"/>
              <w:rPr>
                <w:sz w:val="24"/>
              </w:rPr>
            </w:pPr>
            <w:r>
              <w:rPr>
                <w:kern w:val="0"/>
                <w:sz w:val="24"/>
                <w:lang w:bidi="ar"/>
              </w:rPr>
              <w:t>设备</w:t>
            </w:r>
          </w:p>
        </w:tc>
        <w:tc>
          <w:tcPr>
            <w:tcW w:w="1183" w:type="dxa"/>
            <w:vAlign w:val="center"/>
          </w:tcPr>
          <w:p w14:paraId="0E2251BB">
            <w:pPr>
              <w:widowControl/>
              <w:jc w:val="center"/>
              <w:textAlignment w:val="center"/>
              <w:rPr>
                <w:sz w:val="24"/>
              </w:rPr>
            </w:pPr>
            <w:r>
              <w:rPr>
                <w:kern w:val="0"/>
                <w:sz w:val="24"/>
                <w:lang w:bidi="ar"/>
              </w:rPr>
              <w:t>噪声</w:t>
            </w:r>
          </w:p>
        </w:tc>
        <w:tc>
          <w:tcPr>
            <w:tcW w:w="2767" w:type="dxa"/>
            <w:vAlign w:val="center"/>
          </w:tcPr>
          <w:p w14:paraId="50717879">
            <w:pPr>
              <w:widowControl/>
              <w:jc w:val="center"/>
              <w:textAlignment w:val="center"/>
              <w:rPr>
                <w:sz w:val="24"/>
              </w:rPr>
            </w:pPr>
            <w:r>
              <w:rPr>
                <w:sz w:val="24"/>
              </w:rPr>
              <w:t>低噪声设备、隔声、减振</w:t>
            </w:r>
          </w:p>
        </w:tc>
        <w:tc>
          <w:tcPr>
            <w:tcW w:w="2229" w:type="dxa"/>
            <w:vAlign w:val="center"/>
          </w:tcPr>
          <w:p w14:paraId="51888347">
            <w:pPr>
              <w:adjustRightInd w:val="0"/>
              <w:snapToGrid w:val="0"/>
              <w:jc w:val="center"/>
              <w:textAlignment w:val="center"/>
              <w:rPr>
                <w:sz w:val="24"/>
              </w:rPr>
            </w:pPr>
            <w:r>
              <w:rPr>
                <w:sz w:val="24"/>
              </w:rPr>
              <w:t>《工业企业厂界环境噪声排放标准》（GB12348-2008）中2类标准</w:t>
            </w:r>
          </w:p>
        </w:tc>
      </w:tr>
      <w:tr w14:paraId="236D98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57" w:type="dxa"/>
            <w:vAlign w:val="center"/>
          </w:tcPr>
          <w:p w14:paraId="0E6C0D5B">
            <w:pPr>
              <w:adjustRightInd w:val="0"/>
              <w:snapToGrid w:val="0"/>
              <w:jc w:val="center"/>
              <w:textAlignment w:val="center"/>
              <w:rPr>
                <w:sz w:val="24"/>
              </w:rPr>
            </w:pPr>
            <w:r>
              <w:rPr>
                <w:sz w:val="24"/>
              </w:rPr>
              <w:t>电磁辐射</w:t>
            </w:r>
          </w:p>
        </w:tc>
        <w:tc>
          <w:tcPr>
            <w:tcW w:w="1617" w:type="dxa"/>
            <w:vAlign w:val="center"/>
          </w:tcPr>
          <w:p w14:paraId="6E8E655B">
            <w:pPr>
              <w:adjustRightInd w:val="0"/>
              <w:snapToGrid w:val="0"/>
              <w:jc w:val="center"/>
              <w:textAlignment w:val="center"/>
              <w:rPr>
                <w:sz w:val="24"/>
              </w:rPr>
            </w:pPr>
            <w:r>
              <w:rPr>
                <w:sz w:val="24"/>
              </w:rPr>
              <w:t>/</w:t>
            </w:r>
          </w:p>
        </w:tc>
        <w:tc>
          <w:tcPr>
            <w:tcW w:w="1183" w:type="dxa"/>
            <w:vAlign w:val="center"/>
          </w:tcPr>
          <w:p w14:paraId="1D570572">
            <w:pPr>
              <w:adjustRightInd w:val="0"/>
              <w:snapToGrid w:val="0"/>
              <w:jc w:val="center"/>
              <w:textAlignment w:val="center"/>
              <w:rPr>
                <w:sz w:val="24"/>
              </w:rPr>
            </w:pPr>
            <w:r>
              <w:rPr>
                <w:sz w:val="24"/>
              </w:rPr>
              <w:t>/</w:t>
            </w:r>
          </w:p>
        </w:tc>
        <w:tc>
          <w:tcPr>
            <w:tcW w:w="2767" w:type="dxa"/>
            <w:vAlign w:val="center"/>
          </w:tcPr>
          <w:p w14:paraId="7BE2D14F">
            <w:pPr>
              <w:adjustRightInd w:val="0"/>
              <w:snapToGrid w:val="0"/>
              <w:jc w:val="center"/>
              <w:textAlignment w:val="center"/>
              <w:rPr>
                <w:sz w:val="24"/>
              </w:rPr>
            </w:pPr>
            <w:r>
              <w:rPr>
                <w:sz w:val="24"/>
              </w:rPr>
              <w:t>/</w:t>
            </w:r>
          </w:p>
        </w:tc>
        <w:tc>
          <w:tcPr>
            <w:tcW w:w="2229" w:type="dxa"/>
            <w:vAlign w:val="center"/>
          </w:tcPr>
          <w:p w14:paraId="45EE20C4">
            <w:pPr>
              <w:adjustRightInd w:val="0"/>
              <w:snapToGrid w:val="0"/>
              <w:jc w:val="center"/>
              <w:textAlignment w:val="center"/>
              <w:rPr>
                <w:sz w:val="24"/>
              </w:rPr>
            </w:pPr>
            <w:r>
              <w:rPr>
                <w:sz w:val="24"/>
              </w:rPr>
              <w:t>/</w:t>
            </w:r>
          </w:p>
        </w:tc>
      </w:tr>
      <w:tr w14:paraId="3C1C9B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1057" w:type="dxa"/>
            <w:vAlign w:val="center"/>
          </w:tcPr>
          <w:p w14:paraId="473EBA92">
            <w:pPr>
              <w:adjustRightInd w:val="0"/>
              <w:snapToGrid w:val="0"/>
              <w:jc w:val="center"/>
              <w:textAlignment w:val="center"/>
              <w:rPr>
                <w:sz w:val="24"/>
              </w:rPr>
            </w:pPr>
            <w:r>
              <w:rPr>
                <w:sz w:val="24"/>
              </w:rPr>
              <w:t>固体废物</w:t>
            </w:r>
          </w:p>
        </w:tc>
        <w:tc>
          <w:tcPr>
            <w:tcW w:w="7796" w:type="dxa"/>
            <w:gridSpan w:val="4"/>
            <w:vAlign w:val="center"/>
          </w:tcPr>
          <w:p w14:paraId="6C82661A">
            <w:pPr>
              <w:adjustRightInd w:val="0"/>
              <w:snapToGrid w:val="0"/>
              <w:jc w:val="left"/>
              <w:textAlignment w:val="center"/>
              <w:rPr>
                <w:rFonts w:hint="eastAsia" w:eastAsia="宋体"/>
                <w:lang w:eastAsia="zh-CN"/>
              </w:rPr>
            </w:pPr>
            <w:r>
              <w:rPr>
                <w:rFonts w:hint="eastAsia"/>
                <w:sz w:val="24"/>
              </w:rPr>
              <w:t xml:space="preserve">    </w:t>
            </w:r>
            <w:r>
              <w:rPr>
                <w:sz w:val="24"/>
              </w:rPr>
              <w:t>热风炉除尘系统收尘、热风炉灰渣装袋后统一收集暂存于</w:t>
            </w:r>
            <w:r>
              <w:rPr>
                <w:rFonts w:hint="eastAsia"/>
                <w:sz w:val="24"/>
                <w:lang w:val="en-US" w:eastAsia="zh-CN"/>
              </w:rPr>
              <w:t>灰渣仓</w:t>
            </w:r>
            <w:r>
              <w:rPr>
                <w:sz w:val="24"/>
              </w:rPr>
              <w:t>中，定期外售综合利用</w:t>
            </w:r>
            <w:r>
              <w:rPr>
                <w:rFonts w:hint="eastAsia"/>
                <w:sz w:val="24"/>
              </w:rPr>
              <w:t>；</w:t>
            </w:r>
            <w:r>
              <w:rPr>
                <w:sz w:val="24"/>
              </w:rPr>
              <w:t>废布袋更换时由厂家回收处置</w:t>
            </w:r>
            <w:r>
              <w:rPr>
                <w:rFonts w:hint="eastAsia"/>
                <w:sz w:val="24"/>
              </w:rPr>
              <w:t>；生活垃圾和生产过程中产生的杂质集中收集，由市政部门统一清运</w:t>
            </w:r>
            <w:r>
              <w:rPr>
                <w:rFonts w:hint="eastAsia"/>
                <w:sz w:val="24"/>
                <w:szCs w:val="24"/>
                <w:lang w:eastAsia="zh-CN"/>
              </w:rPr>
              <w:t>；</w:t>
            </w:r>
            <w:r>
              <w:rPr>
                <w:rFonts w:hint="eastAsia" w:cs="Times New Roman"/>
                <w:color w:val="C00000"/>
                <w:sz w:val="24"/>
                <w:szCs w:val="24"/>
                <w:lang w:val="en-US" w:eastAsia="zh-CN"/>
              </w:rPr>
              <w:t>设备检修、保养产生的废润滑油、废弃含有抹布暂存于危险废物贮存点内，定期交由有资质单位处置。</w:t>
            </w:r>
          </w:p>
        </w:tc>
      </w:tr>
      <w:tr w14:paraId="59157B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1057" w:type="dxa"/>
            <w:vAlign w:val="center"/>
          </w:tcPr>
          <w:p w14:paraId="6141E104">
            <w:pPr>
              <w:adjustRightInd w:val="0"/>
              <w:snapToGrid w:val="0"/>
              <w:jc w:val="center"/>
              <w:textAlignment w:val="center"/>
              <w:rPr>
                <w:sz w:val="24"/>
              </w:rPr>
            </w:pPr>
            <w:r>
              <w:rPr>
                <w:sz w:val="24"/>
              </w:rPr>
              <w:t>土壤及地下水污染防治措施</w:t>
            </w:r>
          </w:p>
        </w:tc>
        <w:tc>
          <w:tcPr>
            <w:tcW w:w="7796" w:type="dxa"/>
            <w:gridSpan w:val="4"/>
            <w:vAlign w:val="center"/>
          </w:tcPr>
          <w:p w14:paraId="4510C677">
            <w:pPr>
              <w:adjustRightInd w:val="0"/>
              <w:snapToGrid w:val="0"/>
              <w:jc w:val="left"/>
              <w:rPr>
                <w:sz w:val="24"/>
              </w:rPr>
            </w:pPr>
            <w:r>
              <w:rPr>
                <w:rFonts w:hint="eastAsia" w:ascii="Times New Roman" w:hAnsi="Times New Roman" w:eastAsia="宋体" w:cs="Times New Roman"/>
                <w:color w:val="C00000"/>
                <w:sz w:val="24"/>
                <w:szCs w:val="24"/>
                <w:highlight w:val="none"/>
                <w:lang w:val="en-US" w:eastAsia="zh-CN"/>
              </w:rPr>
              <w:t>危险废物贮存点</w:t>
            </w:r>
            <w:r>
              <w:rPr>
                <w:rFonts w:hint="default" w:ascii="Times New Roman" w:hAnsi="Times New Roman" w:eastAsia="宋体" w:cs="Times New Roman"/>
                <w:color w:val="C00000"/>
                <w:sz w:val="24"/>
                <w:szCs w:val="24"/>
                <w:highlight w:val="none"/>
              </w:rPr>
              <w:t>防渗层为至少1米厚粘土层（渗透系数≤1×10</w:t>
            </w:r>
            <w:r>
              <w:rPr>
                <w:rFonts w:hint="default" w:ascii="Times New Roman" w:hAnsi="Times New Roman" w:eastAsia="宋体" w:cs="Times New Roman"/>
                <w:color w:val="C00000"/>
                <w:sz w:val="24"/>
                <w:szCs w:val="24"/>
                <w:highlight w:val="none"/>
                <w:vertAlign w:val="superscript"/>
              </w:rPr>
              <w:t>-7</w:t>
            </w:r>
            <w:r>
              <w:rPr>
                <w:rFonts w:hint="default" w:ascii="Times New Roman" w:hAnsi="Times New Roman" w:eastAsia="宋体" w:cs="Times New Roman"/>
                <w:color w:val="C00000"/>
                <w:sz w:val="24"/>
                <w:szCs w:val="24"/>
                <w:highlight w:val="none"/>
              </w:rPr>
              <w:t>cm/s），或2mm厚高密度聚乙烯或至少2mm厚的其它人工材料，渗透系数≤1×10</w:t>
            </w:r>
            <w:r>
              <w:rPr>
                <w:rFonts w:hint="default" w:ascii="Times New Roman" w:hAnsi="Times New Roman" w:eastAsia="宋体" w:cs="Times New Roman"/>
                <w:color w:val="C00000"/>
                <w:sz w:val="24"/>
                <w:szCs w:val="24"/>
                <w:highlight w:val="none"/>
                <w:vertAlign w:val="superscript"/>
              </w:rPr>
              <w:t>-10</w:t>
            </w:r>
            <w:r>
              <w:rPr>
                <w:rFonts w:hint="default" w:ascii="Times New Roman" w:hAnsi="Times New Roman" w:eastAsia="宋体" w:cs="Times New Roman"/>
                <w:color w:val="C00000"/>
                <w:sz w:val="24"/>
                <w:szCs w:val="24"/>
                <w:highlight w:val="none"/>
              </w:rPr>
              <w:t>cm/s</w:t>
            </w:r>
            <w:r>
              <w:rPr>
                <w:rFonts w:hint="eastAsia" w:ascii="Times New Roman" w:hAnsi="Times New Roman" w:eastAsia="宋体" w:cs="Times New Roman"/>
                <w:color w:val="C00000"/>
                <w:sz w:val="24"/>
                <w:szCs w:val="24"/>
                <w:highlight w:val="none"/>
                <w:lang w:eastAsia="zh-CN"/>
              </w:rPr>
              <w:t>。</w:t>
            </w:r>
          </w:p>
        </w:tc>
      </w:tr>
      <w:tr w14:paraId="378BEA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057" w:type="dxa"/>
            <w:vAlign w:val="center"/>
          </w:tcPr>
          <w:p w14:paraId="0426DDB5">
            <w:pPr>
              <w:adjustRightInd w:val="0"/>
              <w:snapToGrid w:val="0"/>
              <w:jc w:val="center"/>
              <w:textAlignment w:val="center"/>
              <w:rPr>
                <w:sz w:val="24"/>
              </w:rPr>
            </w:pPr>
            <w:r>
              <w:rPr>
                <w:sz w:val="24"/>
              </w:rPr>
              <w:t>生态保护措施</w:t>
            </w:r>
          </w:p>
        </w:tc>
        <w:tc>
          <w:tcPr>
            <w:tcW w:w="7796" w:type="dxa"/>
            <w:gridSpan w:val="4"/>
            <w:vAlign w:val="center"/>
          </w:tcPr>
          <w:p w14:paraId="7366C55B">
            <w:pPr>
              <w:adjustRightInd w:val="0"/>
              <w:snapToGrid w:val="0"/>
              <w:jc w:val="center"/>
              <w:rPr>
                <w:sz w:val="24"/>
              </w:rPr>
            </w:pPr>
            <w:r>
              <w:rPr>
                <w:sz w:val="24"/>
              </w:rPr>
              <w:t>/</w:t>
            </w:r>
          </w:p>
        </w:tc>
      </w:tr>
      <w:tr w14:paraId="03E032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3" w:hRule="atLeast"/>
          <w:jc w:val="center"/>
        </w:trPr>
        <w:tc>
          <w:tcPr>
            <w:tcW w:w="1057" w:type="dxa"/>
            <w:vAlign w:val="center"/>
          </w:tcPr>
          <w:p w14:paraId="7BE05D04">
            <w:pPr>
              <w:adjustRightInd w:val="0"/>
              <w:snapToGrid w:val="0"/>
              <w:jc w:val="center"/>
              <w:textAlignment w:val="center"/>
              <w:rPr>
                <w:sz w:val="24"/>
              </w:rPr>
            </w:pPr>
            <w:r>
              <w:rPr>
                <w:sz w:val="24"/>
              </w:rPr>
              <w:t>环境风险防范措施</w:t>
            </w:r>
          </w:p>
        </w:tc>
        <w:tc>
          <w:tcPr>
            <w:tcW w:w="7796" w:type="dxa"/>
            <w:gridSpan w:val="4"/>
            <w:vAlign w:val="center"/>
          </w:tcPr>
          <w:p w14:paraId="153CB5B3">
            <w:pPr>
              <w:rPr>
                <w:rFonts w:hint="eastAsia" w:ascii="Times New Roman" w:hAnsi="Times New Roman" w:eastAsia="宋体" w:cs="Times New Roman"/>
                <w:color w:val="C00000"/>
                <w:sz w:val="24"/>
                <w:szCs w:val="24"/>
                <w:lang w:val="en-US" w:eastAsia="zh-CN"/>
              </w:rPr>
            </w:pPr>
            <w:r>
              <w:rPr>
                <w:rFonts w:hint="eastAsia" w:ascii="Times New Roman" w:hAnsi="Times New Roman" w:eastAsia="宋体" w:cs="Times New Roman"/>
                <w:color w:val="C00000"/>
                <w:sz w:val="24"/>
                <w:szCs w:val="24"/>
                <w:lang w:val="en-US" w:eastAsia="zh-CN"/>
              </w:rPr>
              <w:t>①制定设备维护计划，对设备定期维护、保养；</w:t>
            </w:r>
          </w:p>
          <w:p w14:paraId="6577E60B">
            <w:pPr>
              <w:rPr>
                <w:rFonts w:hint="eastAsia" w:ascii="Times New Roman" w:hAnsi="Times New Roman" w:eastAsia="宋体" w:cs="Times New Roman"/>
                <w:color w:val="C00000"/>
                <w:sz w:val="24"/>
                <w:szCs w:val="24"/>
                <w:lang w:val="en-US" w:eastAsia="zh-CN"/>
              </w:rPr>
            </w:pPr>
            <w:r>
              <w:rPr>
                <w:rFonts w:hint="eastAsia" w:ascii="Times New Roman" w:hAnsi="Times New Roman" w:eastAsia="宋体" w:cs="Times New Roman"/>
                <w:color w:val="C00000"/>
                <w:sz w:val="24"/>
                <w:szCs w:val="24"/>
                <w:lang w:val="en-US" w:eastAsia="zh-CN"/>
              </w:rPr>
              <w:t>②明确安全生产的责任和职责，制定安全生产管理制度；</w:t>
            </w:r>
          </w:p>
          <w:p w14:paraId="40AC0171">
            <w:pPr>
              <w:rPr>
                <w:rFonts w:hint="eastAsia" w:ascii="Times New Roman" w:hAnsi="Times New Roman" w:eastAsia="宋体" w:cs="Times New Roman"/>
                <w:color w:val="C00000"/>
                <w:sz w:val="24"/>
                <w:szCs w:val="24"/>
                <w:lang w:val="en-US" w:eastAsia="zh-CN"/>
              </w:rPr>
            </w:pPr>
            <w:r>
              <w:rPr>
                <w:rFonts w:hint="eastAsia" w:ascii="Times New Roman" w:hAnsi="Times New Roman" w:eastAsia="宋体" w:cs="Times New Roman"/>
                <w:color w:val="C00000"/>
                <w:sz w:val="24"/>
                <w:szCs w:val="24"/>
                <w:lang w:val="en-US" w:eastAsia="zh-CN"/>
              </w:rPr>
              <w:t>③操作人员必须具备操作技能、熟悉本机型的结构、性能及操作要求方可上岗进行操作</w:t>
            </w:r>
            <w:r>
              <w:rPr>
                <w:rFonts w:hint="eastAsia" w:cs="Times New Roman"/>
                <w:color w:val="C00000"/>
                <w:sz w:val="24"/>
                <w:szCs w:val="24"/>
                <w:lang w:val="en-US" w:eastAsia="zh-CN"/>
              </w:rPr>
              <w:t>；</w:t>
            </w:r>
          </w:p>
          <w:p w14:paraId="11FCBB98">
            <w:pPr>
              <w:adjustRightInd w:val="0"/>
              <w:snapToGrid w:val="0"/>
              <w:jc w:val="left"/>
              <w:rPr>
                <w:sz w:val="24"/>
              </w:rPr>
            </w:pPr>
            <w:r>
              <w:rPr>
                <w:rFonts w:hint="eastAsia" w:ascii="Times New Roman" w:hAnsi="Times New Roman" w:cs="Times New Roman"/>
                <w:color w:val="C00000"/>
                <w:sz w:val="24"/>
                <w:szCs w:val="24"/>
                <w:lang w:val="en-US" w:eastAsia="zh-CN"/>
              </w:rPr>
              <w:t>④</w:t>
            </w:r>
            <w:r>
              <w:rPr>
                <w:rFonts w:hint="eastAsia" w:cs="Times New Roman"/>
                <w:color w:val="C00000"/>
                <w:sz w:val="24"/>
                <w:szCs w:val="24"/>
                <w:highlight w:val="none"/>
                <w:lang w:val="en-US" w:eastAsia="zh-CN"/>
              </w:rPr>
              <w:t>危险废物贮存点</w:t>
            </w:r>
            <w:r>
              <w:rPr>
                <w:rFonts w:hint="default" w:ascii="Times New Roman" w:hAnsi="Times New Roman" w:eastAsia="宋体" w:cs="Times New Roman"/>
                <w:color w:val="C00000"/>
                <w:sz w:val="24"/>
                <w:szCs w:val="24"/>
                <w:highlight w:val="none"/>
              </w:rPr>
              <w:t>建设严格按照《危险废物贮存污染控制标准》（GB18597-20</w:t>
            </w:r>
            <w:r>
              <w:rPr>
                <w:rFonts w:hint="eastAsia" w:ascii="Times New Roman" w:hAnsi="Times New Roman" w:eastAsia="宋体" w:cs="Times New Roman"/>
                <w:color w:val="C00000"/>
                <w:sz w:val="24"/>
                <w:szCs w:val="24"/>
                <w:highlight w:val="none"/>
                <w:lang w:val="en-US" w:eastAsia="zh-CN"/>
              </w:rPr>
              <w:t>23</w:t>
            </w:r>
            <w:r>
              <w:rPr>
                <w:rFonts w:hint="default" w:ascii="Times New Roman" w:hAnsi="Times New Roman" w:eastAsia="宋体" w:cs="Times New Roman"/>
                <w:color w:val="C00000"/>
                <w:sz w:val="24"/>
                <w:szCs w:val="24"/>
                <w:highlight w:val="none"/>
              </w:rPr>
              <w:t>）中相关规定进行设置，</w:t>
            </w:r>
            <w:r>
              <w:rPr>
                <w:rFonts w:hint="eastAsia" w:cs="Times New Roman"/>
                <w:color w:val="C00000"/>
                <w:sz w:val="24"/>
                <w:szCs w:val="24"/>
                <w:highlight w:val="none"/>
                <w:lang w:val="en-US" w:eastAsia="zh-CN"/>
              </w:rPr>
              <w:t>危险废物贮存点</w:t>
            </w:r>
            <w:r>
              <w:rPr>
                <w:rFonts w:hint="eastAsia" w:ascii="Times New Roman" w:hAnsi="Times New Roman" w:cs="Times New Roman"/>
                <w:color w:val="C00000"/>
                <w:sz w:val="24"/>
                <w:szCs w:val="24"/>
                <w:highlight w:val="none"/>
                <w:lang w:val="en-US" w:eastAsia="zh-CN"/>
              </w:rPr>
              <w:t>要做到防风、防晒、防雨、防漏、防渗、防腐，危险废物不得露天堆放。</w:t>
            </w:r>
          </w:p>
        </w:tc>
      </w:tr>
      <w:tr w14:paraId="698069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057" w:type="dxa"/>
            <w:vAlign w:val="center"/>
          </w:tcPr>
          <w:p w14:paraId="1243ADB6">
            <w:pPr>
              <w:adjustRightInd w:val="0"/>
              <w:snapToGrid w:val="0"/>
              <w:jc w:val="center"/>
              <w:textAlignment w:val="center"/>
              <w:rPr>
                <w:sz w:val="24"/>
              </w:rPr>
            </w:pPr>
            <w:r>
              <w:rPr>
                <w:sz w:val="24"/>
              </w:rPr>
              <w:t>其他环境管理要求</w:t>
            </w:r>
          </w:p>
        </w:tc>
        <w:tc>
          <w:tcPr>
            <w:tcW w:w="7796" w:type="dxa"/>
            <w:gridSpan w:val="4"/>
            <w:vAlign w:val="center"/>
          </w:tcPr>
          <w:p w14:paraId="697AB1DE">
            <w:pPr>
              <w:adjustRightInd w:val="0"/>
              <w:snapToGrid w:val="0"/>
              <w:spacing w:line="240" w:lineRule="auto"/>
              <w:ind w:firstLine="480" w:firstLineChars="200"/>
              <w:rPr>
                <w:bCs/>
                <w:sz w:val="24"/>
              </w:rPr>
            </w:pPr>
            <w:r>
              <w:rPr>
                <w:bCs/>
                <w:sz w:val="24"/>
              </w:rPr>
              <w:t>①根据《关于做好环境影响评价制度与排污许可制衔接相关工作的通知》（环办环评</w:t>
            </w:r>
            <w:r>
              <w:rPr>
                <w:rFonts w:hint="eastAsia"/>
                <w:bCs/>
                <w:sz w:val="24"/>
                <w:lang w:eastAsia="zh-CN"/>
              </w:rPr>
              <w:t>〔2017〕84号</w:t>
            </w:r>
            <w:r>
              <w:rPr>
                <w:bCs/>
                <w:sz w:val="24"/>
              </w:rPr>
              <w:t>），建设项目发生实际排污行为之前，排污单位应当按照国家环境保护相关法律法规以及排污许可证申请与核发技术规范要求申请排污许可证，不得无证排污或不按证排污。环境影响报告书（表）2015年1月1日（含）后获得批准的建设项目，其环境影响报告书（表）以及审批文件中与污染物排放相关的主要内容应当纳入排污许可证。为此，下阶段应将项目建设内容、产品方案、建设规模，采用的工艺流程、工艺技术方案，污染预防和清洁生产措施，环保设施和治理措施，各类污染物排放总量，在线监测和自主监测要求，环境安全防范措施，环境应急体系和应急设施等，全部按装置、设施载入排污许可证。企业在设计，建设和运营过程中，需按照许可证管理要求进行监测和申报，自证守法；许可证内容发生变更应进行申报，重大变更应重新环评和申请许可证变更。环保管理部门对许可证内容进行定期和不定期的监督核查。</w:t>
            </w:r>
          </w:p>
          <w:p w14:paraId="51DAAB9B">
            <w:pPr>
              <w:adjustRightInd w:val="0"/>
              <w:snapToGrid w:val="0"/>
              <w:spacing w:line="240" w:lineRule="auto"/>
              <w:ind w:firstLine="480" w:firstLineChars="200"/>
              <w:rPr>
                <w:bCs/>
                <w:sz w:val="24"/>
              </w:rPr>
            </w:pPr>
            <w:r>
              <w:rPr>
                <w:bCs/>
                <w:sz w:val="24"/>
              </w:rPr>
              <w:t>本项目应在环评文件审批后，根据《固定污染源排污许可分类管理名录（2019年版）》实行简化管理，按照简化管理要求申领排污许可证。</w:t>
            </w:r>
          </w:p>
          <w:p w14:paraId="4FED2329">
            <w:pPr>
              <w:adjustRightInd w:val="0"/>
              <w:snapToGrid w:val="0"/>
              <w:spacing w:line="240" w:lineRule="auto"/>
              <w:ind w:firstLine="480" w:firstLineChars="200"/>
              <w:rPr>
                <w:bCs/>
                <w:sz w:val="24"/>
              </w:rPr>
            </w:pPr>
            <w:r>
              <w:rPr>
                <w:bCs/>
                <w:sz w:val="24"/>
              </w:rPr>
              <w:t>②工作区内需指定专门的人员，在本项目实施时严格执行“三同时”制度，保证项目运营时三废均能得到有效处理后达标排放。在日常生产中，应加强环保管理，大力推行清洁生产，并加强职工对污染要“以防为主，防治结合”的认识。另外，应加强对设备运行状况的检查，对三废处理装置要定期检修，以确保污染物达标排放。按照相关要求，对排污口进行规范化管理，在正确的排放点位设置标识，以便进行自主验收和规范化管理。</w:t>
            </w:r>
            <w:r>
              <w:rPr>
                <w:rFonts w:hint="eastAsia"/>
                <w:bCs/>
                <w:sz w:val="24"/>
              </w:rPr>
              <w:t xml:space="preserve">             </w:t>
            </w:r>
          </w:p>
          <w:p w14:paraId="6344D7CC">
            <w:pPr>
              <w:adjustRightInd w:val="0"/>
              <w:snapToGrid w:val="0"/>
              <w:spacing w:line="360" w:lineRule="auto"/>
              <w:ind w:firstLine="480" w:firstLineChars="200"/>
              <w:rPr>
                <w:sz w:val="24"/>
              </w:rPr>
            </w:pPr>
          </w:p>
          <w:p w14:paraId="4A496801">
            <w:pPr>
              <w:pStyle w:val="9"/>
              <w:rPr>
                <w:rFonts w:eastAsia="宋体"/>
                <w:sz w:val="24"/>
              </w:rPr>
            </w:pPr>
          </w:p>
          <w:p w14:paraId="3144F525">
            <w:pPr>
              <w:rPr>
                <w:rFonts w:eastAsia="宋体"/>
                <w:sz w:val="24"/>
              </w:rPr>
            </w:pPr>
          </w:p>
          <w:p w14:paraId="2ACA4302">
            <w:pPr>
              <w:rPr>
                <w:rFonts w:eastAsia="宋体"/>
                <w:sz w:val="24"/>
              </w:rPr>
            </w:pPr>
          </w:p>
          <w:p w14:paraId="0B8FD375">
            <w:pPr>
              <w:rPr>
                <w:rFonts w:eastAsia="宋体"/>
                <w:sz w:val="24"/>
              </w:rPr>
            </w:pPr>
          </w:p>
          <w:p w14:paraId="03AFE329">
            <w:pPr>
              <w:rPr>
                <w:rFonts w:eastAsia="宋体"/>
                <w:sz w:val="24"/>
              </w:rPr>
            </w:pPr>
          </w:p>
          <w:p w14:paraId="61196424">
            <w:pPr>
              <w:rPr>
                <w:rFonts w:eastAsia="宋体"/>
                <w:sz w:val="24"/>
              </w:rPr>
            </w:pPr>
          </w:p>
          <w:p w14:paraId="2AC60B98">
            <w:pPr>
              <w:rPr>
                <w:rFonts w:eastAsia="宋体"/>
                <w:sz w:val="24"/>
              </w:rPr>
            </w:pPr>
          </w:p>
          <w:p w14:paraId="71AC80E1">
            <w:pPr>
              <w:pStyle w:val="48"/>
            </w:pPr>
          </w:p>
        </w:tc>
      </w:tr>
    </w:tbl>
    <w:p w14:paraId="65C11556">
      <w:pPr>
        <w:pStyle w:val="27"/>
        <w:jc w:val="center"/>
        <w:outlineLvl w:val="0"/>
        <w:rPr>
          <w:rFonts w:ascii="Times New Roman" w:hAnsi="Times New Roman"/>
          <w:snapToGrid w:val="0"/>
          <w:sz w:val="30"/>
          <w:szCs w:val="30"/>
        </w:rPr>
      </w:pPr>
      <w:r>
        <w:rPr>
          <w:rFonts w:ascii="Times New Roman" w:hAnsi="Times New Roman"/>
          <w:snapToGrid w:val="0"/>
        </w:rPr>
        <w:br w:type="page"/>
      </w:r>
      <w:bookmarkStart w:id="25" w:name="_Toc18741"/>
      <w:bookmarkStart w:id="26" w:name="_Toc7756"/>
      <w:r>
        <w:rPr>
          <w:rFonts w:ascii="Times New Roman" w:hAnsi="Times New Roman"/>
          <w:snapToGrid w:val="0"/>
          <w:sz w:val="30"/>
          <w:szCs w:val="30"/>
        </w:rPr>
        <w:t>六、结论</w:t>
      </w:r>
      <w:bookmarkEnd w:id="25"/>
      <w:bookmarkEnd w:id="26"/>
    </w:p>
    <w:tbl>
      <w:tblPr>
        <w:tblStyle w:val="32"/>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3A292D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23E9C554">
            <w:pPr>
              <w:spacing w:line="360" w:lineRule="auto"/>
              <w:ind w:firstLine="480" w:firstLineChars="200"/>
              <w:rPr>
                <w:sz w:val="24"/>
              </w:rPr>
            </w:pPr>
          </w:p>
          <w:p w14:paraId="731A3311">
            <w:pPr>
              <w:spacing w:line="360" w:lineRule="auto"/>
              <w:ind w:firstLine="480" w:firstLineChars="200"/>
              <w:rPr>
                <w:sz w:val="24"/>
              </w:rPr>
            </w:pPr>
            <w:r>
              <w:rPr>
                <w:sz w:val="24"/>
              </w:rPr>
              <w:t>项目符合国家产业政策要求，符合</w:t>
            </w:r>
            <w:r>
              <w:rPr>
                <w:rFonts w:hint="eastAsia"/>
                <w:sz w:val="24"/>
              </w:rPr>
              <w:t>双鸭山市</w:t>
            </w:r>
            <w:r>
              <w:rPr>
                <w:sz w:val="24"/>
              </w:rPr>
              <w:t>“三线一单”及其他环保政策相关规定，选址合理，污染防治措施合理有效，污染物能够达标排放，对周围环境影响较小。在采纳本报告表所提出的污染治理，并在各种污染治理措施落实良好的前提下，从环保角度考虑，本项目建设可行。</w:t>
            </w:r>
          </w:p>
          <w:p w14:paraId="3BFE26A7">
            <w:pPr>
              <w:spacing w:line="360" w:lineRule="auto"/>
              <w:rPr>
                <w:sz w:val="24"/>
              </w:rPr>
            </w:pPr>
          </w:p>
        </w:tc>
      </w:tr>
    </w:tbl>
    <w:p w14:paraId="62BE4CD4">
      <w:pPr>
        <w:sectPr>
          <w:pgSz w:w="11906" w:h="16838"/>
          <w:pgMar w:top="1701" w:right="1531" w:bottom="1701" w:left="1531" w:header="851" w:footer="851" w:gutter="0"/>
          <w:cols w:space="720" w:num="1"/>
          <w:docGrid w:linePitch="312" w:charSpace="0"/>
        </w:sectPr>
      </w:pPr>
    </w:p>
    <w:p w14:paraId="05F4BBF6">
      <w:pPr>
        <w:pStyle w:val="27"/>
        <w:adjustRightInd w:val="0"/>
        <w:snapToGrid w:val="0"/>
        <w:spacing w:before="0" w:beforeAutospacing="0" w:after="0" w:afterAutospacing="0"/>
        <w:outlineLvl w:val="0"/>
        <w:rPr>
          <w:rFonts w:ascii="Times New Roman" w:hAnsi="Times New Roman"/>
          <w:snapToGrid w:val="0"/>
          <w:sz w:val="32"/>
          <w:szCs w:val="32"/>
        </w:rPr>
      </w:pPr>
      <w:bookmarkStart w:id="27" w:name="_Toc19871"/>
      <w:bookmarkStart w:id="28" w:name="_Toc17412"/>
      <w:r>
        <w:rPr>
          <w:rFonts w:ascii="Times New Roman" w:hAnsi="Times New Roman"/>
          <w:snapToGrid w:val="0"/>
          <w:sz w:val="32"/>
          <w:szCs w:val="32"/>
        </w:rPr>
        <w:t>附表</w:t>
      </w:r>
      <w:bookmarkEnd w:id="27"/>
      <w:bookmarkEnd w:id="28"/>
    </w:p>
    <w:p w14:paraId="5774ECDA">
      <w:pPr>
        <w:pStyle w:val="27"/>
        <w:adjustRightInd w:val="0"/>
        <w:snapToGrid w:val="0"/>
        <w:spacing w:before="0" w:beforeAutospacing="0" w:after="0" w:afterAutospacing="0"/>
        <w:outlineLvl w:val="0"/>
        <w:rPr>
          <w:rFonts w:ascii="Times New Roman" w:hAnsi="Times New Roman"/>
          <w:snapToGrid w:val="0"/>
          <w:sz w:val="32"/>
          <w:szCs w:val="32"/>
        </w:rPr>
      </w:pPr>
    </w:p>
    <w:p w14:paraId="4E3CA9A2">
      <w:pPr>
        <w:pStyle w:val="27"/>
        <w:adjustRightInd w:val="0"/>
        <w:snapToGrid w:val="0"/>
        <w:spacing w:before="0" w:beforeAutospacing="0" w:after="0" w:afterAutospacing="0"/>
        <w:jc w:val="center"/>
        <w:outlineLvl w:val="0"/>
        <w:rPr>
          <w:rFonts w:ascii="Times New Roman" w:hAnsi="Times New Roman"/>
          <w:snapToGrid w:val="0"/>
          <w:sz w:val="38"/>
          <w:szCs w:val="38"/>
        </w:rPr>
      </w:pPr>
      <w:bookmarkStart w:id="29" w:name="_Toc9604"/>
      <w:bookmarkStart w:id="30" w:name="_Toc18819"/>
      <w:bookmarkStart w:id="31" w:name="_Toc29567"/>
      <w:r>
        <w:rPr>
          <w:rFonts w:ascii="Times New Roman" w:hAnsi="Times New Roman"/>
          <w:snapToGrid w:val="0"/>
          <w:sz w:val="38"/>
          <w:szCs w:val="38"/>
        </w:rPr>
        <w:t>建设项目污染物排放量汇总表</w:t>
      </w:r>
      <w:bookmarkEnd w:id="29"/>
      <w:bookmarkEnd w:id="30"/>
      <w:bookmarkEnd w:id="31"/>
    </w:p>
    <w:tbl>
      <w:tblPr>
        <w:tblStyle w:val="32"/>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88"/>
        <w:gridCol w:w="1630"/>
        <w:gridCol w:w="1276"/>
        <w:gridCol w:w="1701"/>
        <w:gridCol w:w="1559"/>
        <w:gridCol w:w="1761"/>
        <w:gridCol w:w="1573"/>
        <w:gridCol w:w="1212"/>
      </w:tblGrid>
      <w:tr w14:paraId="09E266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tcBorders>
              <w:tl2br w:val="single" w:color="auto" w:sz="4" w:space="0"/>
            </w:tcBorders>
            <w:tcMar>
              <w:left w:w="28" w:type="dxa"/>
              <w:right w:w="28" w:type="dxa"/>
            </w:tcMar>
            <w:vAlign w:val="center"/>
          </w:tcPr>
          <w:p w14:paraId="76BA3AB2">
            <w:pPr>
              <w:jc w:val="right"/>
              <w:rPr>
                <w:rFonts w:eastAsia="黑体"/>
                <w:snapToGrid w:val="0"/>
                <w:spacing w:val="-6"/>
                <w:kern w:val="21"/>
                <w:szCs w:val="21"/>
              </w:rPr>
            </w:pPr>
            <w:r>
              <w:rPr>
                <w:rFonts w:eastAsia="黑体"/>
                <w:snapToGrid w:val="0"/>
                <w:spacing w:val="-6"/>
                <w:kern w:val="21"/>
                <w:szCs w:val="21"/>
              </w:rPr>
              <w:t>项目</w:t>
            </w:r>
          </w:p>
          <w:p w14:paraId="2E40E023">
            <w:pPr>
              <w:jc w:val="left"/>
              <w:rPr>
                <w:rFonts w:eastAsia="黑体"/>
                <w:snapToGrid w:val="0"/>
                <w:spacing w:val="-6"/>
                <w:kern w:val="21"/>
                <w:szCs w:val="21"/>
              </w:rPr>
            </w:pPr>
            <w:r>
              <w:rPr>
                <w:rFonts w:eastAsia="黑体"/>
                <w:snapToGrid w:val="0"/>
                <w:spacing w:val="-6"/>
                <w:kern w:val="21"/>
                <w:szCs w:val="21"/>
              </w:rPr>
              <w:t>分类</w:t>
            </w:r>
          </w:p>
        </w:tc>
        <w:tc>
          <w:tcPr>
            <w:tcW w:w="1488" w:type="dxa"/>
            <w:tcMar>
              <w:left w:w="28" w:type="dxa"/>
              <w:right w:w="28" w:type="dxa"/>
            </w:tcMar>
            <w:vAlign w:val="center"/>
          </w:tcPr>
          <w:p w14:paraId="1D189060">
            <w:pPr>
              <w:jc w:val="center"/>
              <w:rPr>
                <w:rFonts w:eastAsia="黑体"/>
                <w:snapToGrid w:val="0"/>
                <w:spacing w:val="-6"/>
                <w:kern w:val="21"/>
                <w:szCs w:val="21"/>
              </w:rPr>
            </w:pPr>
            <w:r>
              <w:rPr>
                <w:rFonts w:eastAsia="黑体"/>
                <w:snapToGrid w:val="0"/>
                <w:spacing w:val="-6"/>
                <w:kern w:val="21"/>
                <w:szCs w:val="21"/>
              </w:rPr>
              <w:t>污染物名称</w:t>
            </w:r>
          </w:p>
        </w:tc>
        <w:tc>
          <w:tcPr>
            <w:tcW w:w="1630" w:type="dxa"/>
            <w:tcMar>
              <w:left w:w="28" w:type="dxa"/>
              <w:right w:w="28" w:type="dxa"/>
            </w:tcMar>
            <w:vAlign w:val="center"/>
          </w:tcPr>
          <w:p w14:paraId="327C88A2">
            <w:pPr>
              <w:jc w:val="center"/>
              <w:rPr>
                <w:rFonts w:eastAsia="黑体"/>
                <w:snapToGrid w:val="0"/>
                <w:spacing w:val="-6"/>
                <w:kern w:val="21"/>
                <w:szCs w:val="21"/>
              </w:rPr>
            </w:pPr>
            <w:r>
              <w:rPr>
                <w:rFonts w:eastAsia="黑体"/>
                <w:snapToGrid w:val="0"/>
                <w:spacing w:val="-6"/>
                <w:kern w:val="21"/>
                <w:szCs w:val="21"/>
              </w:rPr>
              <w:t>现有工程</w:t>
            </w:r>
          </w:p>
          <w:p w14:paraId="3759EB2D">
            <w:pPr>
              <w:jc w:val="center"/>
              <w:rPr>
                <w:rFonts w:eastAsia="黑体"/>
                <w:snapToGrid w:val="0"/>
                <w:spacing w:val="-6"/>
                <w:kern w:val="21"/>
                <w:szCs w:val="21"/>
              </w:rPr>
            </w:pPr>
            <w:r>
              <w:rPr>
                <w:rFonts w:eastAsia="黑体"/>
                <w:snapToGrid w:val="0"/>
                <w:spacing w:val="-6"/>
                <w:kern w:val="21"/>
                <w:szCs w:val="21"/>
              </w:rPr>
              <w:t>排放量（固体废物产生量）</w:t>
            </w:r>
            <w:r>
              <w:rPr>
                <w:rFonts w:eastAsia="黑体"/>
                <w:snapToGrid w:val="0"/>
                <w:spacing w:val="-6"/>
                <w:kern w:val="21"/>
                <w:szCs w:val="21"/>
              </w:rPr>
              <w:fldChar w:fldCharType="begin"/>
            </w:r>
            <w:r>
              <w:rPr>
                <w:rFonts w:eastAsia="黑体"/>
                <w:snapToGrid w:val="0"/>
                <w:spacing w:val="-6"/>
                <w:kern w:val="21"/>
                <w:szCs w:val="21"/>
              </w:rPr>
              <w:instrText xml:space="preserve"> = 1 \* GB3 \* MERGEFORMAT </w:instrText>
            </w:r>
            <w:r>
              <w:rPr>
                <w:rFonts w:eastAsia="黑体"/>
                <w:snapToGrid w:val="0"/>
                <w:spacing w:val="-6"/>
                <w:kern w:val="21"/>
                <w:szCs w:val="21"/>
              </w:rPr>
              <w:fldChar w:fldCharType="separate"/>
            </w:r>
            <w:r>
              <w:rPr>
                <w:rFonts w:eastAsia="黑体"/>
                <w:szCs w:val="21"/>
              </w:rPr>
              <w:t>①</w:t>
            </w:r>
            <w:r>
              <w:rPr>
                <w:rFonts w:eastAsia="黑体"/>
                <w:snapToGrid w:val="0"/>
                <w:spacing w:val="-6"/>
                <w:kern w:val="21"/>
                <w:szCs w:val="21"/>
              </w:rPr>
              <w:fldChar w:fldCharType="end"/>
            </w:r>
          </w:p>
        </w:tc>
        <w:tc>
          <w:tcPr>
            <w:tcW w:w="1276" w:type="dxa"/>
            <w:tcMar>
              <w:left w:w="28" w:type="dxa"/>
              <w:right w:w="28" w:type="dxa"/>
            </w:tcMar>
            <w:vAlign w:val="center"/>
          </w:tcPr>
          <w:p w14:paraId="5D2FC166">
            <w:pPr>
              <w:jc w:val="center"/>
              <w:rPr>
                <w:rFonts w:eastAsia="黑体"/>
                <w:snapToGrid w:val="0"/>
                <w:spacing w:val="-6"/>
                <w:kern w:val="21"/>
                <w:szCs w:val="21"/>
              </w:rPr>
            </w:pPr>
            <w:r>
              <w:rPr>
                <w:rFonts w:eastAsia="黑体"/>
                <w:snapToGrid w:val="0"/>
                <w:spacing w:val="-6"/>
                <w:kern w:val="21"/>
                <w:szCs w:val="21"/>
              </w:rPr>
              <w:t>现有工程</w:t>
            </w:r>
          </w:p>
          <w:p w14:paraId="18E35A7F">
            <w:pPr>
              <w:jc w:val="center"/>
              <w:rPr>
                <w:rFonts w:eastAsia="黑体"/>
                <w:snapToGrid w:val="0"/>
                <w:spacing w:val="-6"/>
                <w:kern w:val="21"/>
                <w:szCs w:val="21"/>
              </w:rPr>
            </w:pPr>
            <w:r>
              <w:rPr>
                <w:rFonts w:eastAsia="黑体"/>
                <w:snapToGrid w:val="0"/>
                <w:spacing w:val="-6"/>
                <w:kern w:val="21"/>
                <w:szCs w:val="21"/>
              </w:rPr>
              <w:t>许可排放量</w:t>
            </w:r>
          </w:p>
          <w:p w14:paraId="3E6569AD">
            <w:pPr>
              <w:jc w:val="center"/>
              <w:rPr>
                <w:rFonts w:eastAsia="黑体"/>
                <w:snapToGrid w:val="0"/>
                <w:spacing w:val="-6"/>
                <w:kern w:val="21"/>
                <w:szCs w:val="21"/>
              </w:rPr>
            </w:pPr>
            <w:r>
              <w:rPr>
                <w:rFonts w:eastAsia="黑体"/>
                <w:snapToGrid w:val="0"/>
                <w:spacing w:val="-6"/>
                <w:kern w:val="21"/>
                <w:szCs w:val="21"/>
              </w:rPr>
              <w:fldChar w:fldCharType="begin"/>
            </w:r>
            <w:r>
              <w:rPr>
                <w:rFonts w:eastAsia="黑体"/>
                <w:snapToGrid w:val="0"/>
                <w:spacing w:val="-6"/>
                <w:kern w:val="21"/>
                <w:szCs w:val="21"/>
              </w:rPr>
              <w:instrText xml:space="preserve"> = 2 \* GB3 \* MERGEFORMAT </w:instrText>
            </w:r>
            <w:r>
              <w:rPr>
                <w:rFonts w:eastAsia="黑体"/>
                <w:snapToGrid w:val="0"/>
                <w:spacing w:val="-6"/>
                <w:kern w:val="21"/>
                <w:szCs w:val="21"/>
              </w:rPr>
              <w:fldChar w:fldCharType="separate"/>
            </w:r>
            <w:r>
              <w:rPr>
                <w:rFonts w:eastAsia="黑体"/>
                <w:snapToGrid w:val="0"/>
                <w:spacing w:val="-6"/>
                <w:kern w:val="21"/>
                <w:szCs w:val="21"/>
              </w:rPr>
              <w:t>②</w:t>
            </w:r>
            <w:r>
              <w:rPr>
                <w:rFonts w:eastAsia="黑体"/>
                <w:snapToGrid w:val="0"/>
                <w:spacing w:val="-6"/>
                <w:kern w:val="21"/>
                <w:szCs w:val="21"/>
              </w:rPr>
              <w:fldChar w:fldCharType="end"/>
            </w:r>
          </w:p>
        </w:tc>
        <w:tc>
          <w:tcPr>
            <w:tcW w:w="1701" w:type="dxa"/>
            <w:tcMar>
              <w:left w:w="28" w:type="dxa"/>
              <w:right w:w="28" w:type="dxa"/>
            </w:tcMar>
            <w:vAlign w:val="center"/>
          </w:tcPr>
          <w:p w14:paraId="745912BD">
            <w:pPr>
              <w:jc w:val="center"/>
              <w:rPr>
                <w:rFonts w:eastAsia="黑体"/>
                <w:snapToGrid w:val="0"/>
                <w:spacing w:val="-6"/>
                <w:kern w:val="21"/>
                <w:szCs w:val="21"/>
              </w:rPr>
            </w:pPr>
            <w:r>
              <w:rPr>
                <w:rFonts w:eastAsia="黑体"/>
                <w:snapToGrid w:val="0"/>
                <w:spacing w:val="-6"/>
                <w:kern w:val="21"/>
                <w:szCs w:val="21"/>
              </w:rPr>
              <w:t>在建工程</w:t>
            </w:r>
          </w:p>
          <w:p w14:paraId="6A25C781">
            <w:pPr>
              <w:jc w:val="center"/>
              <w:rPr>
                <w:rFonts w:eastAsia="黑体"/>
                <w:snapToGrid w:val="0"/>
                <w:spacing w:val="-6"/>
                <w:kern w:val="21"/>
                <w:szCs w:val="21"/>
              </w:rPr>
            </w:pPr>
            <w:r>
              <w:rPr>
                <w:rFonts w:eastAsia="黑体"/>
                <w:snapToGrid w:val="0"/>
                <w:spacing w:val="-6"/>
                <w:kern w:val="21"/>
                <w:szCs w:val="21"/>
              </w:rPr>
              <w:t>排放量（固体废物产生量）</w:t>
            </w:r>
            <w:r>
              <w:rPr>
                <w:rFonts w:eastAsia="黑体"/>
                <w:snapToGrid w:val="0"/>
                <w:spacing w:val="-6"/>
                <w:kern w:val="21"/>
                <w:szCs w:val="21"/>
              </w:rPr>
              <w:fldChar w:fldCharType="begin"/>
            </w:r>
            <w:r>
              <w:rPr>
                <w:rFonts w:eastAsia="黑体"/>
                <w:snapToGrid w:val="0"/>
                <w:spacing w:val="-6"/>
                <w:kern w:val="21"/>
                <w:szCs w:val="21"/>
              </w:rPr>
              <w:instrText xml:space="preserve"> = 3 \* GB3 \* MERGEFORMAT </w:instrText>
            </w:r>
            <w:r>
              <w:rPr>
                <w:rFonts w:eastAsia="黑体"/>
                <w:snapToGrid w:val="0"/>
                <w:spacing w:val="-6"/>
                <w:kern w:val="21"/>
                <w:szCs w:val="21"/>
              </w:rPr>
              <w:fldChar w:fldCharType="separate"/>
            </w:r>
            <w:r>
              <w:rPr>
                <w:rFonts w:eastAsia="黑体"/>
                <w:szCs w:val="21"/>
              </w:rPr>
              <w:t>③</w:t>
            </w:r>
            <w:r>
              <w:rPr>
                <w:rFonts w:eastAsia="黑体"/>
                <w:snapToGrid w:val="0"/>
                <w:spacing w:val="-6"/>
                <w:kern w:val="21"/>
                <w:szCs w:val="21"/>
              </w:rPr>
              <w:fldChar w:fldCharType="end"/>
            </w:r>
          </w:p>
        </w:tc>
        <w:tc>
          <w:tcPr>
            <w:tcW w:w="1559" w:type="dxa"/>
            <w:tcMar>
              <w:left w:w="28" w:type="dxa"/>
              <w:right w:w="28" w:type="dxa"/>
            </w:tcMar>
            <w:vAlign w:val="center"/>
          </w:tcPr>
          <w:p w14:paraId="33583D99">
            <w:pPr>
              <w:jc w:val="center"/>
              <w:rPr>
                <w:rFonts w:eastAsia="黑体"/>
                <w:snapToGrid w:val="0"/>
                <w:spacing w:val="-6"/>
                <w:kern w:val="21"/>
                <w:szCs w:val="21"/>
              </w:rPr>
            </w:pPr>
            <w:r>
              <w:rPr>
                <w:rFonts w:eastAsia="黑体"/>
                <w:snapToGrid w:val="0"/>
                <w:spacing w:val="-6"/>
                <w:kern w:val="21"/>
                <w:szCs w:val="21"/>
              </w:rPr>
              <w:t>本项目</w:t>
            </w:r>
          </w:p>
          <w:p w14:paraId="6A185E77">
            <w:pPr>
              <w:jc w:val="center"/>
              <w:rPr>
                <w:rFonts w:eastAsia="黑体"/>
                <w:snapToGrid w:val="0"/>
                <w:spacing w:val="-6"/>
                <w:kern w:val="21"/>
                <w:szCs w:val="21"/>
              </w:rPr>
            </w:pPr>
            <w:r>
              <w:rPr>
                <w:rFonts w:eastAsia="黑体"/>
                <w:snapToGrid w:val="0"/>
                <w:spacing w:val="-6"/>
                <w:kern w:val="21"/>
                <w:szCs w:val="21"/>
              </w:rPr>
              <w:t>排放量（固体废物产生量）</w:t>
            </w:r>
            <w:r>
              <w:rPr>
                <w:rFonts w:eastAsia="黑体"/>
                <w:snapToGrid w:val="0"/>
                <w:spacing w:val="-6"/>
                <w:kern w:val="21"/>
                <w:szCs w:val="21"/>
              </w:rPr>
              <w:fldChar w:fldCharType="begin"/>
            </w:r>
            <w:r>
              <w:rPr>
                <w:rFonts w:eastAsia="黑体"/>
                <w:snapToGrid w:val="0"/>
                <w:spacing w:val="-6"/>
                <w:kern w:val="21"/>
                <w:szCs w:val="21"/>
              </w:rPr>
              <w:instrText xml:space="preserve"> = 4 \* GB3 \* MERGEFORMAT </w:instrText>
            </w:r>
            <w:r>
              <w:rPr>
                <w:rFonts w:eastAsia="黑体"/>
                <w:snapToGrid w:val="0"/>
                <w:spacing w:val="-6"/>
                <w:kern w:val="21"/>
                <w:szCs w:val="21"/>
              </w:rPr>
              <w:fldChar w:fldCharType="separate"/>
            </w:r>
            <w:r>
              <w:rPr>
                <w:rFonts w:eastAsia="黑体"/>
                <w:szCs w:val="21"/>
              </w:rPr>
              <w:t>④</w:t>
            </w:r>
            <w:r>
              <w:rPr>
                <w:rFonts w:eastAsia="黑体"/>
                <w:snapToGrid w:val="0"/>
                <w:spacing w:val="-6"/>
                <w:kern w:val="21"/>
                <w:szCs w:val="21"/>
              </w:rPr>
              <w:fldChar w:fldCharType="end"/>
            </w:r>
          </w:p>
        </w:tc>
        <w:tc>
          <w:tcPr>
            <w:tcW w:w="1761" w:type="dxa"/>
            <w:tcMar>
              <w:left w:w="28" w:type="dxa"/>
              <w:right w:w="28" w:type="dxa"/>
            </w:tcMar>
            <w:vAlign w:val="center"/>
          </w:tcPr>
          <w:p w14:paraId="0389CC04">
            <w:pPr>
              <w:jc w:val="center"/>
              <w:rPr>
                <w:rFonts w:eastAsia="黑体"/>
                <w:snapToGrid w:val="0"/>
                <w:spacing w:val="-16"/>
                <w:kern w:val="21"/>
                <w:szCs w:val="21"/>
              </w:rPr>
            </w:pPr>
            <w:r>
              <w:rPr>
                <w:rFonts w:eastAsia="黑体"/>
                <w:snapToGrid w:val="0"/>
                <w:spacing w:val="-16"/>
                <w:kern w:val="21"/>
                <w:szCs w:val="21"/>
              </w:rPr>
              <w:t>以新带老削减量</w:t>
            </w:r>
          </w:p>
          <w:p w14:paraId="3E4EEBEE">
            <w:pPr>
              <w:jc w:val="center"/>
              <w:rPr>
                <w:rFonts w:eastAsia="黑体"/>
                <w:snapToGrid w:val="0"/>
                <w:spacing w:val="-16"/>
                <w:kern w:val="21"/>
                <w:szCs w:val="21"/>
              </w:rPr>
            </w:pPr>
            <w:r>
              <w:rPr>
                <w:rFonts w:eastAsia="黑体"/>
                <w:snapToGrid w:val="0"/>
                <w:spacing w:val="-16"/>
                <w:kern w:val="21"/>
                <w:szCs w:val="21"/>
              </w:rPr>
              <w:t>（新建项目不填）</w:t>
            </w:r>
            <w:r>
              <w:rPr>
                <w:rFonts w:eastAsia="黑体"/>
                <w:snapToGrid w:val="0"/>
                <w:spacing w:val="-16"/>
                <w:kern w:val="21"/>
                <w:szCs w:val="21"/>
              </w:rPr>
              <w:fldChar w:fldCharType="begin"/>
            </w:r>
            <w:r>
              <w:rPr>
                <w:rFonts w:eastAsia="黑体"/>
                <w:snapToGrid w:val="0"/>
                <w:spacing w:val="-16"/>
                <w:kern w:val="21"/>
                <w:szCs w:val="21"/>
              </w:rPr>
              <w:instrText xml:space="preserve"> = 5 \* GB3 \* MERGEFORMAT </w:instrText>
            </w:r>
            <w:r>
              <w:rPr>
                <w:rFonts w:eastAsia="黑体"/>
                <w:snapToGrid w:val="0"/>
                <w:spacing w:val="-16"/>
                <w:kern w:val="21"/>
                <w:szCs w:val="21"/>
              </w:rPr>
              <w:fldChar w:fldCharType="separate"/>
            </w:r>
            <w:r>
              <w:rPr>
                <w:rFonts w:eastAsia="黑体"/>
                <w:szCs w:val="21"/>
              </w:rPr>
              <w:t>⑤</w:t>
            </w:r>
            <w:r>
              <w:rPr>
                <w:rFonts w:eastAsia="黑体"/>
                <w:snapToGrid w:val="0"/>
                <w:spacing w:val="-16"/>
                <w:kern w:val="21"/>
                <w:szCs w:val="21"/>
              </w:rPr>
              <w:fldChar w:fldCharType="end"/>
            </w:r>
          </w:p>
        </w:tc>
        <w:tc>
          <w:tcPr>
            <w:tcW w:w="1573" w:type="dxa"/>
            <w:tcMar>
              <w:left w:w="28" w:type="dxa"/>
              <w:right w:w="28" w:type="dxa"/>
            </w:tcMar>
            <w:vAlign w:val="center"/>
          </w:tcPr>
          <w:p w14:paraId="421B2EC5">
            <w:pPr>
              <w:jc w:val="center"/>
              <w:rPr>
                <w:rFonts w:eastAsia="黑体"/>
                <w:snapToGrid w:val="0"/>
                <w:spacing w:val="-16"/>
                <w:kern w:val="21"/>
                <w:szCs w:val="21"/>
              </w:rPr>
            </w:pPr>
            <w:r>
              <w:rPr>
                <w:rFonts w:eastAsia="黑体"/>
                <w:snapToGrid w:val="0"/>
                <w:spacing w:val="-16"/>
                <w:kern w:val="21"/>
                <w:szCs w:val="21"/>
              </w:rPr>
              <w:t>本项目建成后</w:t>
            </w:r>
          </w:p>
          <w:p w14:paraId="390330F6">
            <w:pPr>
              <w:jc w:val="center"/>
              <w:rPr>
                <w:rFonts w:eastAsia="黑体"/>
                <w:snapToGrid w:val="0"/>
                <w:spacing w:val="-16"/>
                <w:kern w:val="21"/>
                <w:szCs w:val="21"/>
              </w:rPr>
            </w:pPr>
            <w:r>
              <w:rPr>
                <w:rFonts w:eastAsia="黑体"/>
                <w:snapToGrid w:val="0"/>
                <w:spacing w:val="-16"/>
                <w:kern w:val="21"/>
                <w:szCs w:val="21"/>
              </w:rPr>
              <w:t>全厂排放量（固体废物产生量）</w:t>
            </w:r>
            <w:r>
              <w:rPr>
                <w:rFonts w:eastAsia="黑体"/>
                <w:snapToGrid w:val="0"/>
                <w:spacing w:val="-16"/>
                <w:kern w:val="21"/>
                <w:szCs w:val="21"/>
              </w:rPr>
              <w:fldChar w:fldCharType="begin"/>
            </w:r>
            <w:r>
              <w:rPr>
                <w:rFonts w:eastAsia="黑体"/>
                <w:snapToGrid w:val="0"/>
                <w:spacing w:val="-16"/>
                <w:kern w:val="21"/>
                <w:szCs w:val="21"/>
              </w:rPr>
              <w:instrText xml:space="preserve"> = 6 \* GB3 \* MERGEFORMAT </w:instrText>
            </w:r>
            <w:r>
              <w:rPr>
                <w:rFonts w:eastAsia="黑体"/>
                <w:snapToGrid w:val="0"/>
                <w:spacing w:val="-16"/>
                <w:kern w:val="21"/>
                <w:szCs w:val="21"/>
              </w:rPr>
              <w:fldChar w:fldCharType="separate"/>
            </w:r>
            <w:r>
              <w:rPr>
                <w:rFonts w:eastAsia="黑体"/>
                <w:szCs w:val="21"/>
              </w:rPr>
              <w:t>⑥</w:t>
            </w:r>
            <w:r>
              <w:rPr>
                <w:rFonts w:eastAsia="黑体"/>
                <w:snapToGrid w:val="0"/>
                <w:spacing w:val="-16"/>
                <w:kern w:val="21"/>
                <w:szCs w:val="21"/>
              </w:rPr>
              <w:fldChar w:fldCharType="end"/>
            </w:r>
          </w:p>
        </w:tc>
        <w:tc>
          <w:tcPr>
            <w:tcW w:w="1212" w:type="dxa"/>
            <w:tcMar>
              <w:left w:w="28" w:type="dxa"/>
              <w:right w:w="28" w:type="dxa"/>
            </w:tcMar>
            <w:vAlign w:val="center"/>
          </w:tcPr>
          <w:p w14:paraId="5838D0C3">
            <w:pPr>
              <w:jc w:val="center"/>
              <w:rPr>
                <w:rFonts w:eastAsia="黑体"/>
                <w:snapToGrid w:val="0"/>
                <w:spacing w:val="-6"/>
                <w:kern w:val="21"/>
                <w:szCs w:val="21"/>
              </w:rPr>
            </w:pPr>
            <w:r>
              <w:rPr>
                <w:rFonts w:eastAsia="黑体"/>
                <w:snapToGrid w:val="0"/>
                <w:spacing w:val="-6"/>
                <w:kern w:val="21"/>
                <w:szCs w:val="21"/>
              </w:rPr>
              <w:t>变化量</w:t>
            </w:r>
          </w:p>
          <w:p w14:paraId="039C7694">
            <w:pPr>
              <w:jc w:val="center"/>
              <w:rPr>
                <w:rFonts w:eastAsia="黑体"/>
                <w:snapToGrid w:val="0"/>
                <w:spacing w:val="-6"/>
                <w:kern w:val="21"/>
                <w:szCs w:val="21"/>
              </w:rPr>
            </w:pPr>
            <w:r>
              <w:rPr>
                <w:rFonts w:eastAsia="黑体"/>
                <w:snapToGrid w:val="0"/>
                <w:spacing w:val="-6"/>
                <w:kern w:val="21"/>
                <w:szCs w:val="21"/>
              </w:rPr>
              <w:fldChar w:fldCharType="begin"/>
            </w:r>
            <w:r>
              <w:rPr>
                <w:rFonts w:eastAsia="黑体"/>
                <w:snapToGrid w:val="0"/>
                <w:spacing w:val="-6"/>
                <w:kern w:val="21"/>
                <w:szCs w:val="21"/>
              </w:rPr>
              <w:instrText xml:space="preserve"> = 7 \* GB3 \* MERGEFORMAT </w:instrText>
            </w:r>
            <w:r>
              <w:rPr>
                <w:rFonts w:eastAsia="黑体"/>
                <w:snapToGrid w:val="0"/>
                <w:spacing w:val="-6"/>
                <w:kern w:val="21"/>
                <w:szCs w:val="21"/>
              </w:rPr>
              <w:fldChar w:fldCharType="separate"/>
            </w:r>
            <w:r>
              <w:rPr>
                <w:rFonts w:eastAsia="黑体"/>
                <w:szCs w:val="21"/>
              </w:rPr>
              <w:t>⑦</w:t>
            </w:r>
            <w:r>
              <w:rPr>
                <w:rFonts w:eastAsia="黑体"/>
                <w:snapToGrid w:val="0"/>
                <w:spacing w:val="-6"/>
                <w:kern w:val="21"/>
                <w:szCs w:val="21"/>
              </w:rPr>
              <w:fldChar w:fldCharType="end"/>
            </w:r>
          </w:p>
        </w:tc>
      </w:tr>
      <w:tr w14:paraId="714614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vMerge w:val="restart"/>
            <w:vAlign w:val="center"/>
          </w:tcPr>
          <w:p w14:paraId="050C5612">
            <w:pPr>
              <w:jc w:val="center"/>
              <w:rPr>
                <w:snapToGrid w:val="0"/>
                <w:kern w:val="21"/>
                <w:szCs w:val="21"/>
              </w:rPr>
            </w:pPr>
            <w:r>
              <w:rPr>
                <w:snapToGrid w:val="0"/>
                <w:kern w:val="21"/>
                <w:szCs w:val="21"/>
              </w:rPr>
              <w:t>废气</w:t>
            </w:r>
          </w:p>
        </w:tc>
        <w:tc>
          <w:tcPr>
            <w:tcW w:w="1488" w:type="dxa"/>
            <w:vAlign w:val="center"/>
          </w:tcPr>
          <w:p w14:paraId="6BFD383D">
            <w:pPr>
              <w:jc w:val="center"/>
              <w:rPr>
                <w:snapToGrid w:val="0"/>
                <w:kern w:val="21"/>
                <w:szCs w:val="21"/>
              </w:rPr>
            </w:pPr>
            <w:r>
              <w:rPr>
                <w:szCs w:val="21"/>
              </w:rPr>
              <w:t>颗粒物</w:t>
            </w:r>
          </w:p>
        </w:tc>
        <w:tc>
          <w:tcPr>
            <w:tcW w:w="1630" w:type="dxa"/>
            <w:shd w:val="clear" w:color="auto" w:fill="auto"/>
            <w:vAlign w:val="center"/>
          </w:tcPr>
          <w:p w14:paraId="6C000F94">
            <w:pPr>
              <w:keepNext w:val="0"/>
              <w:keepLines w:val="0"/>
              <w:widowControl/>
              <w:suppressLineNumbers w:val="0"/>
              <w:jc w:val="center"/>
              <w:textAlignment w:val="center"/>
              <w:rPr>
                <w:spacing w:val="-1"/>
                <w:szCs w:val="21"/>
              </w:rPr>
            </w:pPr>
            <w:r>
              <w:rPr>
                <w:rFonts w:hint="default" w:ascii="Times New Roman" w:hAnsi="Times New Roman" w:eastAsia="宋体" w:cs="Times New Roman"/>
                <w:i w:val="0"/>
                <w:iCs w:val="0"/>
                <w:color w:val="C00000"/>
                <w:kern w:val="0"/>
                <w:sz w:val="21"/>
                <w:szCs w:val="21"/>
                <w:u w:val="none"/>
                <w:lang w:val="en-US" w:eastAsia="zh-CN" w:bidi="ar"/>
              </w:rPr>
              <w:t>0.908</w:t>
            </w:r>
            <w:r>
              <w:rPr>
                <w:rFonts w:hint="eastAsia"/>
                <w:color w:val="C00000"/>
                <w:szCs w:val="21"/>
              </w:rPr>
              <w:t>t/a</w:t>
            </w:r>
          </w:p>
        </w:tc>
        <w:tc>
          <w:tcPr>
            <w:tcW w:w="1276" w:type="dxa"/>
            <w:shd w:val="clear" w:color="auto" w:fill="auto"/>
            <w:vAlign w:val="center"/>
          </w:tcPr>
          <w:p w14:paraId="312126FC">
            <w:pPr>
              <w:adjustRightInd w:val="0"/>
              <w:snapToGrid w:val="0"/>
              <w:jc w:val="center"/>
              <w:rPr>
                <w:szCs w:val="21"/>
              </w:rPr>
            </w:pPr>
            <w:r>
              <w:rPr>
                <w:rFonts w:hint="eastAsia"/>
                <w:szCs w:val="21"/>
              </w:rPr>
              <w:t>-</w:t>
            </w:r>
          </w:p>
        </w:tc>
        <w:tc>
          <w:tcPr>
            <w:tcW w:w="1701" w:type="dxa"/>
            <w:vAlign w:val="center"/>
          </w:tcPr>
          <w:p w14:paraId="2640C593">
            <w:pPr>
              <w:jc w:val="center"/>
              <w:rPr>
                <w:snapToGrid w:val="0"/>
                <w:kern w:val="21"/>
                <w:szCs w:val="21"/>
              </w:rPr>
            </w:pPr>
            <w:r>
              <w:rPr>
                <w:rFonts w:hint="eastAsia"/>
                <w:szCs w:val="21"/>
              </w:rPr>
              <w:t>-</w:t>
            </w:r>
          </w:p>
        </w:tc>
        <w:tc>
          <w:tcPr>
            <w:tcW w:w="1559" w:type="dxa"/>
            <w:shd w:val="clear" w:color="auto" w:fill="auto"/>
            <w:vAlign w:val="center"/>
          </w:tcPr>
          <w:p w14:paraId="2512EE27">
            <w:pPr>
              <w:widowControl/>
              <w:jc w:val="center"/>
              <w:textAlignment w:val="center"/>
              <w:rPr>
                <w:snapToGrid w:val="0"/>
                <w:color w:val="C00000"/>
                <w:kern w:val="21"/>
                <w:szCs w:val="21"/>
              </w:rPr>
            </w:pPr>
            <w:r>
              <w:rPr>
                <w:rFonts w:hint="eastAsia"/>
                <w:color w:val="C00000"/>
                <w:kern w:val="0"/>
                <w:szCs w:val="21"/>
                <w:lang w:val="en-US" w:eastAsia="zh-CN" w:bidi="ar"/>
              </w:rPr>
              <w:t>0.259</w:t>
            </w:r>
            <w:r>
              <w:rPr>
                <w:rFonts w:hint="eastAsia"/>
                <w:color w:val="C00000"/>
                <w:szCs w:val="21"/>
              </w:rPr>
              <w:t>t/a</w:t>
            </w:r>
          </w:p>
        </w:tc>
        <w:tc>
          <w:tcPr>
            <w:tcW w:w="1761" w:type="dxa"/>
            <w:shd w:val="clear" w:color="auto" w:fill="auto"/>
            <w:vAlign w:val="center"/>
          </w:tcPr>
          <w:p w14:paraId="5B9E91D7">
            <w:pPr>
              <w:keepNext w:val="0"/>
              <w:keepLines w:val="0"/>
              <w:widowControl/>
              <w:suppressLineNumbers w:val="0"/>
              <w:jc w:val="center"/>
              <w:textAlignment w:val="center"/>
              <w:rPr>
                <w:snapToGrid w:val="0"/>
                <w:color w:val="auto"/>
                <w:kern w:val="21"/>
                <w:szCs w:val="21"/>
                <w:highlight w:val="yellow"/>
              </w:rPr>
            </w:pPr>
            <w:r>
              <w:rPr>
                <w:rFonts w:hint="default" w:ascii="Times New Roman" w:hAnsi="Times New Roman" w:eastAsia="宋体" w:cs="Times New Roman"/>
                <w:i w:val="0"/>
                <w:iCs w:val="0"/>
                <w:color w:val="C00000"/>
                <w:kern w:val="0"/>
                <w:sz w:val="21"/>
                <w:szCs w:val="21"/>
                <w:u w:val="none"/>
                <w:lang w:val="en-US" w:eastAsia="zh-CN" w:bidi="ar"/>
              </w:rPr>
              <w:t>0.908</w:t>
            </w:r>
            <w:r>
              <w:rPr>
                <w:rFonts w:hint="eastAsia"/>
                <w:color w:val="C00000"/>
                <w:szCs w:val="21"/>
              </w:rPr>
              <w:t>t/a</w:t>
            </w:r>
          </w:p>
        </w:tc>
        <w:tc>
          <w:tcPr>
            <w:tcW w:w="1573" w:type="dxa"/>
            <w:shd w:val="clear" w:color="auto" w:fill="auto"/>
            <w:vAlign w:val="center"/>
          </w:tcPr>
          <w:p w14:paraId="356FDC3F">
            <w:pPr>
              <w:widowControl/>
              <w:jc w:val="center"/>
              <w:textAlignment w:val="center"/>
              <w:rPr>
                <w:snapToGrid w:val="0"/>
                <w:color w:val="C00000"/>
                <w:kern w:val="21"/>
                <w:szCs w:val="21"/>
              </w:rPr>
            </w:pPr>
            <w:r>
              <w:rPr>
                <w:rFonts w:hint="eastAsia"/>
                <w:color w:val="C00000"/>
                <w:kern w:val="0"/>
                <w:szCs w:val="21"/>
                <w:lang w:val="en-US" w:eastAsia="zh-CN" w:bidi="ar"/>
              </w:rPr>
              <w:t>0.259</w:t>
            </w:r>
            <w:r>
              <w:rPr>
                <w:rFonts w:hint="eastAsia"/>
                <w:color w:val="C00000"/>
                <w:szCs w:val="21"/>
              </w:rPr>
              <w:t>t/a</w:t>
            </w:r>
          </w:p>
        </w:tc>
        <w:tc>
          <w:tcPr>
            <w:tcW w:w="1212" w:type="dxa"/>
            <w:vAlign w:val="center"/>
          </w:tcPr>
          <w:p w14:paraId="26E6C2BB">
            <w:pPr>
              <w:keepNext w:val="0"/>
              <w:keepLines w:val="0"/>
              <w:widowControl/>
              <w:suppressLineNumbers w:val="0"/>
              <w:jc w:val="center"/>
              <w:textAlignment w:val="center"/>
              <w:rPr>
                <w:rFonts w:hint="eastAsia"/>
                <w:color w:val="C00000"/>
                <w:kern w:val="0"/>
                <w:szCs w:val="21"/>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-0.649</w:t>
            </w:r>
            <w:r>
              <w:rPr>
                <w:rFonts w:hint="eastAsia"/>
                <w:color w:val="C00000"/>
                <w:szCs w:val="21"/>
              </w:rPr>
              <w:t>t/a</w:t>
            </w:r>
          </w:p>
        </w:tc>
      </w:tr>
      <w:tr w14:paraId="4FBCDA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vMerge w:val="continue"/>
            <w:vAlign w:val="center"/>
          </w:tcPr>
          <w:p w14:paraId="508EAB20">
            <w:pPr>
              <w:jc w:val="center"/>
              <w:rPr>
                <w:snapToGrid w:val="0"/>
                <w:kern w:val="21"/>
                <w:szCs w:val="21"/>
              </w:rPr>
            </w:pPr>
          </w:p>
        </w:tc>
        <w:tc>
          <w:tcPr>
            <w:tcW w:w="1488" w:type="dxa"/>
            <w:vAlign w:val="center"/>
          </w:tcPr>
          <w:p w14:paraId="2ECC9455">
            <w:pPr>
              <w:jc w:val="center"/>
              <w:rPr>
                <w:snapToGrid w:val="0"/>
                <w:kern w:val="21"/>
                <w:szCs w:val="21"/>
              </w:rPr>
            </w:pPr>
            <w:r>
              <w:rPr>
                <w:szCs w:val="21"/>
              </w:rPr>
              <w:t>SO</w:t>
            </w:r>
            <w:r>
              <w:rPr>
                <w:szCs w:val="21"/>
                <w:vertAlign w:val="subscript"/>
              </w:rPr>
              <w:t>2</w:t>
            </w:r>
          </w:p>
        </w:tc>
        <w:tc>
          <w:tcPr>
            <w:tcW w:w="1630" w:type="dxa"/>
            <w:shd w:val="clear" w:color="auto" w:fill="auto"/>
            <w:vAlign w:val="center"/>
          </w:tcPr>
          <w:p w14:paraId="2DE2B035">
            <w:pPr>
              <w:keepNext w:val="0"/>
              <w:keepLines w:val="0"/>
              <w:widowControl/>
              <w:suppressLineNumbers w:val="0"/>
              <w:jc w:val="center"/>
              <w:textAlignment w:val="center"/>
              <w:rPr>
                <w:spacing w:val="-1"/>
                <w:szCs w:val="21"/>
              </w:rPr>
            </w:pPr>
            <w:r>
              <w:rPr>
                <w:rFonts w:hint="default" w:ascii="Times New Roman" w:hAnsi="Times New Roman" w:eastAsia="宋体" w:cs="Times New Roman"/>
                <w:i w:val="0"/>
                <w:iCs w:val="0"/>
                <w:color w:val="C00000"/>
                <w:kern w:val="0"/>
                <w:sz w:val="21"/>
                <w:szCs w:val="21"/>
                <w:u w:val="none"/>
                <w:lang w:val="en-US" w:eastAsia="zh-CN" w:bidi="ar"/>
              </w:rPr>
              <w:t>0.615</w:t>
            </w:r>
            <w:r>
              <w:rPr>
                <w:rFonts w:hint="eastAsia"/>
                <w:color w:val="C00000"/>
                <w:szCs w:val="21"/>
              </w:rPr>
              <w:t>t/a</w:t>
            </w:r>
          </w:p>
        </w:tc>
        <w:tc>
          <w:tcPr>
            <w:tcW w:w="1276" w:type="dxa"/>
            <w:shd w:val="clear" w:color="auto" w:fill="auto"/>
            <w:vAlign w:val="center"/>
          </w:tcPr>
          <w:p w14:paraId="13E8CB24">
            <w:pPr>
              <w:adjustRightInd w:val="0"/>
              <w:snapToGrid w:val="0"/>
              <w:jc w:val="center"/>
              <w:rPr>
                <w:szCs w:val="21"/>
              </w:rPr>
            </w:pPr>
            <w:r>
              <w:rPr>
                <w:rFonts w:hint="eastAsia"/>
                <w:szCs w:val="21"/>
              </w:rPr>
              <w:t>-</w:t>
            </w:r>
          </w:p>
        </w:tc>
        <w:tc>
          <w:tcPr>
            <w:tcW w:w="1701" w:type="dxa"/>
            <w:vAlign w:val="center"/>
          </w:tcPr>
          <w:p w14:paraId="1F4D3643">
            <w:pPr>
              <w:jc w:val="center"/>
              <w:rPr>
                <w:snapToGrid w:val="0"/>
                <w:kern w:val="21"/>
                <w:szCs w:val="21"/>
              </w:rPr>
            </w:pPr>
            <w:r>
              <w:rPr>
                <w:rFonts w:hint="eastAsia"/>
                <w:szCs w:val="21"/>
              </w:rPr>
              <w:t>-</w:t>
            </w:r>
          </w:p>
        </w:tc>
        <w:tc>
          <w:tcPr>
            <w:tcW w:w="1559" w:type="dxa"/>
            <w:shd w:val="clear" w:color="auto" w:fill="auto"/>
            <w:vAlign w:val="center"/>
          </w:tcPr>
          <w:p w14:paraId="2D377579">
            <w:pPr>
              <w:widowControl/>
              <w:jc w:val="center"/>
              <w:textAlignment w:val="center"/>
              <w:rPr>
                <w:snapToGrid w:val="0"/>
                <w:color w:val="C00000"/>
                <w:kern w:val="21"/>
                <w:szCs w:val="21"/>
              </w:rPr>
            </w:pPr>
            <w:r>
              <w:rPr>
                <w:rFonts w:hint="eastAsia"/>
                <w:color w:val="C00000"/>
                <w:kern w:val="0"/>
                <w:szCs w:val="21"/>
                <w:lang w:val="en-US" w:eastAsia="zh-CN" w:bidi="ar"/>
              </w:rPr>
              <w:t>0.776</w:t>
            </w:r>
            <w:r>
              <w:rPr>
                <w:rFonts w:hint="eastAsia"/>
                <w:color w:val="C00000"/>
                <w:szCs w:val="21"/>
              </w:rPr>
              <w:t>t/a</w:t>
            </w:r>
          </w:p>
        </w:tc>
        <w:tc>
          <w:tcPr>
            <w:tcW w:w="1761" w:type="dxa"/>
            <w:shd w:val="clear" w:color="auto" w:fill="auto"/>
            <w:vAlign w:val="center"/>
          </w:tcPr>
          <w:p w14:paraId="48DE6FD3">
            <w:pPr>
              <w:keepNext w:val="0"/>
              <w:keepLines w:val="0"/>
              <w:widowControl/>
              <w:suppressLineNumbers w:val="0"/>
              <w:jc w:val="center"/>
              <w:textAlignment w:val="center"/>
              <w:rPr>
                <w:snapToGrid w:val="0"/>
                <w:color w:val="auto"/>
                <w:kern w:val="21"/>
                <w:szCs w:val="21"/>
                <w:highlight w:val="yellow"/>
              </w:rPr>
            </w:pPr>
            <w:r>
              <w:rPr>
                <w:rFonts w:hint="default" w:ascii="Times New Roman" w:hAnsi="Times New Roman" w:eastAsia="宋体" w:cs="Times New Roman"/>
                <w:i w:val="0"/>
                <w:iCs w:val="0"/>
                <w:color w:val="C00000"/>
                <w:kern w:val="0"/>
                <w:sz w:val="21"/>
                <w:szCs w:val="21"/>
                <w:u w:val="none"/>
                <w:lang w:val="en-US" w:eastAsia="zh-CN" w:bidi="ar"/>
              </w:rPr>
              <w:t>0.615</w:t>
            </w:r>
            <w:r>
              <w:rPr>
                <w:rFonts w:hint="eastAsia"/>
                <w:color w:val="C00000"/>
                <w:szCs w:val="21"/>
              </w:rPr>
              <w:t>t/a</w:t>
            </w:r>
          </w:p>
        </w:tc>
        <w:tc>
          <w:tcPr>
            <w:tcW w:w="1573" w:type="dxa"/>
            <w:shd w:val="clear" w:color="auto" w:fill="auto"/>
            <w:vAlign w:val="center"/>
          </w:tcPr>
          <w:p w14:paraId="1D55577F">
            <w:pPr>
              <w:widowControl/>
              <w:jc w:val="center"/>
              <w:textAlignment w:val="center"/>
              <w:rPr>
                <w:snapToGrid w:val="0"/>
                <w:color w:val="C00000"/>
                <w:kern w:val="21"/>
                <w:szCs w:val="21"/>
              </w:rPr>
            </w:pPr>
            <w:r>
              <w:rPr>
                <w:rFonts w:hint="eastAsia"/>
                <w:color w:val="C00000"/>
                <w:kern w:val="0"/>
                <w:szCs w:val="21"/>
                <w:lang w:val="en-US" w:eastAsia="zh-CN" w:bidi="ar"/>
              </w:rPr>
              <w:t>0.776</w:t>
            </w:r>
            <w:r>
              <w:rPr>
                <w:rFonts w:hint="eastAsia"/>
                <w:color w:val="C00000"/>
                <w:szCs w:val="21"/>
              </w:rPr>
              <w:t>t/a</w:t>
            </w:r>
          </w:p>
        </w:tc>
        <w:tc>
          <w:tcPr>
            <w:tcW w:w="1212" w:type="dxa"/>
            <w:vAlign w:val="center"/>
          </w:tcPr>
          <w:p w14:paraId="701A1C5F">
            <w:pPr>
              <w:keepNext w:val="0"/>
              <w:keepLines w:val="0"/>
              <w:widowControl/>
              <w:suppressLineNumbers w:val="0"/>
              <w:jc w:val="center"/>
              <w:textAlignment w:val="center"/>
              <w:rPr>
                <w:rFonts w:hint="eastAsia"/>
                <w:color w:val="C00000"/>
                <w:kern w:val="0"/>
                <w:szCs w:val="21"/>
                <w:lang w:val="en-US" w:eastAsia="zh-CN" w:bidi="ar"/>
              </w:rPr>
            </w:pPr>
            <w:r>
              <w:rPr>
                <w:rFonts w:hint="eastAsia" w:cs="Times New Roman"/>
                <w:i w:val="0"/>
                <w:iCs w:val="0"/>
                <w:color w:val="C00000"/>
                <w:kern w:val="0"/>
                <w:sz w:val="21"/>
                <w:szCs w:val="21"/>
                <w:u w:val="none"/>
                <w:lang w:val="en-US" w:eastAsia="zh-CN" w:bidi="ar"/>
              </w:rPr>
              <w:t>+</w:t>
            </w:r>
            <w:r>
              <w:rPr>
                <w:rFonts w:hint="default" w:ascii="Times New Roman" w:hAnsi="Times New Roman" w:eastAsia="宋体" w:cs="Times New Roman"/>
                <w:i w:val="0"/>
                <w:iCs w:val="0"/>
                <w:color w:val="C00000"/>
                <w:kern w:val="0"/>
                <w:sz w:val="21"/>
                <w:szCs w:val="21"/>
                <w:u w:val="none"/>
                <w:lang w:val="en-US" w:eastAsia="zh-CN" w:bidi="ar"/>
              </w:rPr>
              <w:t>0.161</w:t>
            </w:r>
            <w:r>
              <w:rPr>
                <w:rFonts w:hint="eastAsia"/>
                <w:color w:val="C00000"/>
                <w:szCs w:val="21"/>
              </w:rPr>
              <w:t>t/a</w:t>
            </w:r>
          </w:p>
        </w:tc>
      </w:tr>
      <w:tr w14:paraId="1BC04B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vMerge w:val="continue"/>
            <w:vAlign w:val="center"/>
          </w:tcPr>
          <w:p w14:paraId="70BA85C4">
            <w:pPr>
              <w:jc w:val="center"/>
              <w:rPr>
                <w:snapToGrid w:val="0"/>
                <w:kern w:val="21"/>
                <w:szCs w:val="21"/>
              </w:rPr>
            </w:pPr>
          </w:p>
        </w:tc>
        <w:tc>
          <w:tcPr>
            <w:tcW w:w="1488" w:type="dxa"/>
            <w:vAlign w:val="center"/>
          </w:tcPr>
          <w:p w14:paraId="49387000">
            <w:pPr>
              <w:jc w:val="center"/>
              <w:rPr>
                <w:snapToGrid w:val="0"/>
                <w:kern w:val="21"/>
                <w:szCs w:val="21"/>
              </w:rPr>
            </w:pPr>
            <w:r>
              <w:rPr>
                <w:szCs w:val="21"/>
              </w:rPr>
              <w:t>NO</w:t>
            </w:r>
            <w:r>
              <w:rPr>
                <w:szCs w:val="21"/>
                <w:vertAlign w:val="subscript"/>
              </w:rPr>
              <w:t>x</w:t>
            </w:r>
          </w:p>
        </w:tc>
        <w:tc>
          <w:tcPr>
            <w:tcW w:w="1630" w:type="dxa"/>
            <w:shd w:val="clear" w:color="auto" w:fill="auto"/>
            <w:vAlign w:val="center"/>
          </w:tcPr>
          <w:p w14:paraId="114A6954">
            <w:pPr>
              <w:keepNext w:val="0"/>
              <w:keepLines w:val="0"/>
              <w:widowControl/>
              <w:suppressLineNumbers w:val="0"/>
              <w:jc w:val="center"/>
              <w:textAlignment w:val="center"/>
              <w:rPr>
                <w:spacing w:val="-1"/>
                <w:szCs w:val="21"/>
              </w:rPr>
            </w:pPr>
            <w:r>
              <w:rPr>
                <w:rFonts w:hint="default" w:ascii="Times New Roman" w:hAnsi="Times New Roman" w:eastAsia="宋体" w:cs="Times New Roman"/>
                <w:i w:val="0"/>
                <w:iCs w:val="0"/>
                <w:color w:val="C00000"/>
                <w:kern w:val="0"/>
                <w:sz w:val="21"/>
                <w:szCs w:val="21"/>
                <w:u w:val="none"/>
                <w:lang w:val="en-US" w:eastAsia="zh-CN" w:bidi="ar"/>
              </w:rPr>
              <w:t>1.037</w:t>
            </w:r>
            <w:r>
              <w:rPr>
                <w:rFonts w:hint="eastAsia"/>
                <w:color w:val="C00000"/>
                <w:szCs w:val="21"/>
              </w:rPr>
              <w:t>t/a</w:t>
            </w:r>
          </w:p>
        </w:tc>
        <w:tc>
          <w:tcPr>
            <w:tcW w:w="1276" w:type="dxa"/>
            <w:shd w:val="clear" w:color="auto" w:fill="auto"/>
            <w:vAlign w:val="center"/>
          </w:tcPr>
          <w:p w14:paraId="1E7F2D52">
            <w:pPr>
              <w:adjustRightInd w:val="0"/>
              <w:snapToGrid w:val="0"/>
              <w:jc w:val="center"/>
              <w:rPr>
                <w:szCs w:val="21"/>
              </w:rPr>
            </w:pPr>
            <w:r>
              <w:rPr>
                <w:rFonts w:hint="eastAsia"/>
                <w:szCs w:val="21"/>
              </w:rPr>
              <w:t>-</w:t>
            </w:r>
          </w:p>
        </w:tc>
        <w:tc>
          <w:tcPr>
            <w:tcW w:w="1701" w:type="dxa"/>
            <w:vAlign w:val="center"/>
          </w:tcPr>
          <w:p w14:paraId="50E3E7C4">
            <w:pPr>
              <w:jc w:val="center"/>
              <w:rPr>
                <w:snapToGrid w:val="0"/>
                <w:kern w:val="21"/>
                <w:szCs w:val="21"/>
              </w:rPr>
            </w:pPr>
            <w:r>
              <w:rPr>
                <w:rFonts w:hint="eastAsia"/>
                <w:szCs w:val="21"/>
              </w:rPr>
              <w:t>-</w:t>
            </w:r>
          </w:p>
        </w:tc>
        <w:tc>
          <w:tcPr>
            <w:tcW w:w="1559" w:type="dxa"/>
            <w:shd w:val="clear" w:color="auto" w:fill="auto"/>
            <w:vAlign w:val="center"/>
          </w:tcPr>
          <w:p w14:paraId="545B71F0">
            <w:pPr>
              <w:widowControl/>
              <w:jc w:val="center"/>
              <w:textAlignment w:val="center"/>
              <w:rPr>
                <w:snapToGrid w:val="0"/>
                <w:color w:val="C00000"/>
                <w:kern w:val="21"/>
                <w:szCs w:val="21"/>
              </w:rPr>
            </w:pPr>
            <w:r>
              <w:rPr>
                <w:rFonts w:hint="eastAsia"/>
                <w:color w:val="C00000"/>
                <w:kern w:val="0"/>
                <w:sz w:val="22"/>
                <w:szCs w:val="22"/>
                <w:lang w:val="en-US" w:eastAsia="zh-CN" w:bidi="ar"/>
              </w:rPr>
              <w:t>2.347</w:t>
            </w:r>
            <w:r>
              <w:rPr>
                <w:rFonts w:hint="eastAsia"/>
                <w:color w:val="C00000"/>
                <w:szCs w:val="21"/>
              </w:rPr>
              <w:t>t/a</w:t>
            </w:r>
            <w:r>
              <w:rPr>
                <w:color w:val="C00000"/>
                <w:kern w:val="0"/>
                <w:sz w:val="22"/>
                <w:szCs w:val="22"/>
                <w:lang w:bidi="ar"/>
              </w:rPr>
              <w:t xml:space="preserve"> </w:t>
            </w:r>
          </w:p>
        </w:tc>
        <w:tc>
          <w:tcPr>
            <w:tcW w:w="1761" w:type="dxa"/>
            <w:shd w:val="clear" w:color="auto" w:fill="auto"/>
            <w:vAlign w:val="center"/>
          </w:tcPr>
          <w:p w14:paraId="7E8B517B">
            <w:pPr>
              <w:keepNext w:val="0"/>
              <w:keepLines w:val="0"/>
              <w:widowControl/>
              <w:suppressLineNumbers w:val="0"/>
              <w:jc w:val="center"/>
              <w:textAlignment w:val="center"/>
              <w:rPr>
                <w:snapToGrid w:val="0"/>
                <w:color w:val="auto"/>
                <w:kern w:val="21"/>
                <w:szCs w:val="21"/>
                <w:highlight w:val="yellow"/>
              </w:rPr>
            </w:pPr>
            <w:r>
              <w:rPr>
                <w:rFonts w:hint="default" w:ascii="Times New Roman" w:hAnsi="Times New Roman" w:eastAsia="宋体" w:cs="Times New Roman"/>
                <w:i w:val="0"/>
                <w:iCs w:val="0"/>
                <w:color w:val="C00000"/>
                <w:kern w:val="0"/>
                <w:sz w:val="21"/>
                <w:szCs w:val="21"/>
                <w:u w:val="none"/>
                <w:lang w:val="en-US" w:eastAsia="zh-CN" w:bidi="ar"/>
              </w:rPr>
              <w:t>1.037</w:t>
            </w:r>
            <w:r>
              <w:rPr>
                <w:rFonts w:hint="eastAsia"/>
                <w:color w:val="C00000"/>
                <w:szCs w:val="21"/>
              </w:rPr>
              <w:t>t/a</w:t>
            </w:r>
          </w:p>
        </w:tc>
        <w:tc>
          <w:tcPr>
            <w:tcW w:w="1573" w:type="dxa"/>
            <w:shd w:val="clear" w:color="auto" w:fill="auto"/>
            <w:vAlign w:val="center"/>
          </w:tcPr>
          <w:p w14:paraId="2A2C4C9B">
            <w:pPr>
              <w:widowControl/>
              <w:jc w:val="center"/>
              <w:textAlignment w:val="center"/>
              <w:rPr>
                <w:snapToGrid w:val="0"/>
                <w:color w:val="C00000"/>
                <w:kern w:val="21"/>
                <w:szCs w:val="21"/>
              </w:rPr>
            </w:pPr>
            <w:r>
              <w:rPr>
                <w:rFonts w:hint="eastAsia"/>
                <w:color w:val="C00000"/>
                <w:kern w:val="0"/>
                <w:sz w:val="22"/>
                <w:szCs w:val="22"/>
                <w:lang w:val="en-US" w:eastAsia="zh-CN" w:bidi="ar"/>
              </w:rPr>
              <w:t>2.347</w:t>
            </w:r>
            <w:r>
              <w:rPr>
                <w:rFonts w:hint="eastAsia"/>
                <w:color w:val="C00000"/>
                <w:szCs w:val="21"/>
              </w:rPr>
              <w:t>t/a</w:t>
            </w:r>
            <w:r>
              <w:rPr>
                <w:color w:val="C00000"/>
                <w:kern w:val="0"/>
                <w:sz w:val="22"/>
                <w:szCs w:val="22"/>
                <w:lang w:bidi="ar"/>
              </w:rPr>
              <w:t xml:space="preserve"> </w:t>
            </w:r>
          </w:p>
        </w:tc>
        <w:tc>
          <w:tcPr>
            <w:tcW w:w="1212" w:type="dxa"/>
            <w:vAlign w:val="center"/>
          </w:tcPr>
          <w:p w14:paraId="5351E108">
            <w:pPr>
              <w:keepNext w:val="0"/>
              <w:keepLines w:val="0"/>
              <w:widowControl/>
              <w:suppressLineNumbers w:val="0"/>
              <w:jc w:val="center"/>
              <w:textAlignment w:val="center"/>
              <w:rPr>
                <w:rFonts w:hint="eastAsia"/>
                <w:color w:val="C00000"/>
                <w:kern w:val="0"/>
                <w:szCs w:val="21"/>
                <w:lang w:val="en-US" w:eastAsia="zh-CN" w:bidi="ar"/>
              </w:rPr>
            </w:pPr>
            <w:r>
              <w:rPr>
                <w:rFonts w:hint="eastAsia" w:cs="Times New Roman"/>
                <w:i w:val="0"/>
                <w:iCs w:val="0"/>
                <w:color w:val="C00000"/>
                <w:kern w:val="0"/>
                <w:sz w:val="21"/>
                <w:szCs w:val="21"/>
                <w:u w:val="none"/>
                <w:lang w:val="en-US" w:eastAsia="zh-CN" w:bidi="ar"/>
              </w:rPr>
              <w:t>+</w:t>
            </w:r>
            <w:r>
              <w:rPr>
                <w:rFonts w:hint="default" w:ascii="Times New Roman" w:hAnsi="Times New Roman" w:eastAsia="宋体" w:cs="Times New Roman"/>
                <w:i w:val="0"/>
                <w:iCs w:val="0"/>
                <w:color w:val="C00000"/>
                <w:kern w:val="0"/>
                <w:sz w:val="21"/>
                <w:szCs w:val="21"/>
                <w:u w:val="none"/>
                <w:lang w:val="en-US" w:eastAsia="zh-CN" w:bidi="ar"/>
              </w:rPr>
              <w:t>1.31</w:t>
            </w:r>
            <w:r>
              <w:rPr>
                <w:rFonts w:hint="eastAsia"/>
                <w:color w:val="C00000"/>
                <w:szCs w:val="21"/>
              </w:rPr>
              <w:t>t/a</w:t>
            </w:r>
          </w:p>
        </w:tc>
      </w:tr>
      <w:tr w14:paraId="30A907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vMerge w:val="restart"/>
            <w:vAlign w:val="center"/>
          </w:tcPr>
          <w:p w14:paraId="59D4FB4A">
            <w:pPr>
              <w:jc w:val="center"/>
              <w:rPr>
                <w:snapToGrid w:val="0"/>
                <w:kern w:val="21"/>
                <w:szCs w:val="21"/>
              </w:rPr>
            </w:pPr>
            <w:r>
              <w:rPr>
                <w:snapToGrid w:val="0"/>
                <w:kern w:val="21"/>
                <w:szCs w:val="21"/>
              </w:rPr>
              <w:t>一般工业</w:t>
            </w:r>
          </w:p>
          <w:p w14:paraId="67B5CE37">
            <w:pPr>
              <w:jc w:val="center"/>
              <w:rPr>
                <w:snapToGrid w:val="0"/>
                <w:kern w:val="21"/>
                <w:szCs w:val="21"/>
              </w:rPr>
            </w:pPr>
            <w:r>
              <w:rPr>
                <w:snapToGrid w:val="0"/>
                <w:kern w:val="21"/>
                <w:szCs w:val="21"/>
              </w:rPr>
              <w:t>固体废物</w:t>
            </w:r>
          </w:p>
        </w:tc>
        <w:tc>
          <w:tcPr>
            <w:tcW w:w="1488" w:type="dxa"/>
            <w:vAlign w:val="center"/>
          </w:tcPr>
          <w:p w14:paraId="10A97D7D">
            <w:pPr>
              <w:adjustRightInd w:val="0"/>
              <w:snapToGrid w:val="0"/>
              <w:jc w:val="center"/>
              <w:rPr>
                <w:rFonts w:hint="eastAsia" w:eastAsia="宋体"/>
                <w:szCs w:val="21"/>
                <w:lang w:eastAsia="zh-CN"/>
              </w:rPr>
            </w:pPr>
            <w:r>
              <w:rPr>
                <w:rFonts w:hint="eastAsia"/>
                <w:szCs w:val="21"/>
                <w:lang w:val="en-US" w:eastAsia="zh-CN"/>
              </w:rPr>
              <w:t>炉渣</w:t>
            </w:r>
          </w:p>
        </w:tc>
        <w:tc>
          <w:tcPr>
            <w:tcW w:w="1630" w:type="dxa"/>
            <w:vAlign w:val="center"/>
          </w:tcPr>
          <w:p w14:paraId="699C61EA">
            <w:pPr>
              <w:jc w:val="center"/>
              <w:rPr>
                <w:snapToGrid w:val="0"/>
                <w:kern w:val="21"/>
                <w:szCs w:val="21"/>
              </w:rPr>
            </w:pPr>
            <w:r>
              <w:rPr>
                <w:rFonts w:hint="eastAsia"/>
                <w:szCs w:val="21"/>
              </w:rPr>
              <w:t>-</w:t>
            </w:r>
          </w:p>
        </w:tc>
        <w:tc>
          <w:tcPr>
            <w:tcW w:w="1276" w:type="dxa"/>
            <w:vAlign w:val="center"/>
          </w:tcPr>
          <w:p w14:paraId="6C2C43EA">
            <w:pPr>
              <w:jc w:val="center"/>
              <w:rPr>
                <w:snapToGrid w:val="0"/>
                <w:kern w:val="21"/>
                <w:szCs w:val="21"/>
              </w:rPr>
            </w:pPr>
            <w:r>
              <w:rPr>
                <w:rFonts w:hint="eastAsia"/>
                <w:szCs w:val="21"/>
              </w:rPr>
              <w:t>-</w:t>
            </w:r>
          </w:p>
        </w:tc>
        <w:tc>
          <w:tcPr>
            <w:tcW w:w="1701" w:type="dxa"/>
            <w:vAlign w:val="center"/>
          </w:tcPr>
          <w:p w14:paraId="7787C2EE">
            <w:pPr>
              <w:jc w:val="center"/>
              <w:rPr>
                <w:snapToGrid w:val="0"/>
                <w:kern w:val="21"/>
                <w:szCs w:val="21"/>
              </w:rPr>
            </w:pPr>
            <w:r>
              <w:rPr>
                <w:rFonts w:hint="eastAsia"/>
                <w:szCs w:val="21"/>
              </w:rPr>
              <w:t>-</w:t>
            </w:r>
          </w:p>
        </w:tc>
        <w:tc>
          <w:tcPr>
            <w:tcW w:w="1559" w:type="dxa"/>
            <w:vAlign w:val="center"/>
          </w:tcPr>
          <w:p w14:paraId="5D3A6B1E">
            <w:pPr>
              <w:jc w:val="center"/>
              <w:rPr>
                <w:snapToGrid w:val="0"/>
                <w:color w:val="C00000"/>
                <w:kern w:val="21"/>
                <w:szCs w:val="21"/>
              </w:rPr>
            </w:pPr>
            <w:r>
              <w:rPr>
                <w:rFonts w:hint="eastAsia"/>
                <w:color w:val="C00000"/>
                <w:kern w:val="0"/>
                <w:szCs w:val="21"/>
                <w:lang w:val="en-US" w:eastAsia="zh-CN" w:bidi="ar"/>
              </w:rPr>
              <w:t>131.64</w:t>
            </w:r>
            <w:r>
              <w:rPr>
                <w:rFonts w:hint="eastAsia"/>
                <w:color w:val="C00000"/>
                <w:szCs w:val="21"/>
              </w:rPr>
              <w:t>t/a</w:t>
            </w:r>
            <w:r>
              <w:rPr>
                <w:color w:val="C00000"/>
                <w:kern w:val="0"/>
                <w:sz w:val="22"/>
                <w:szCs w:val="22"/>
                <w:lang w:bidi="ar"/>
              </w:rPr>
              <w:t xml:space="preserve"> </w:t>
            </w:r>
          </w:p>
        </w:tc>
        <w:tc>
          <w:tcPr>
            <w:tcW w:w="1761" w:type="dxa"/>
            <w:vAlign w:val="center"/>
          </w:tcPr>
          <w:p w14:paraId="06EF6AD4">
            <w:pPr>
              <w:jc w:val="center"/>
              <w:rPr>
                <w:snapToGrid w:val="0"/>
                <w:color w:val="auto"/>
                <w:kern w:val="21"/>
                <w:szCs w:val="21"/>
              </w:rPr>
            </w:pPr>
            <w:r>
              <w:rPr>
                <w:rFonts w:hint="eastAsia"/>
                <w:color w:val="auto"/>
                <w:szCs w:val="21"/>
              </w:rPr>
              <w:t>-</w:t>
            </w:r>
          </w:p>
        </w:tc>
        <w:tc>
          <w:tcPr>
            <w:tcW w:w="1573" w:type="dxa"/>
            <w:shd w:val="clear" w:color="auto" w:fill="auto"/>
            <w:vAlign w:val="center"/>
          </w:tcPr>
          <w:p w14:paraId="22B9211B">
            <w:pPr>
              <w:jc w:val="center"/>
              <w:rPr>
                <w:snapToGrid w:val="0"/>
                <w:color w:val="C00000"/>
                <w:kern w:val="21"/>
                <w:szCs w:val="21"/>
              </w:rPr>
            </w:pPr>
            <w:r>
              <w:rPr>
                <w:rFonts w:hint="eastAsia"/>
                <w:color w:val="C00000"/>
                <w:kern w:val="0"/>
                <w:szCs w:val="21"/>
                <w:lang w:val="en-US" w:eastAsia="zh-CN" w:bidi="ar"/>
              </w:rPr>
              <w:t>131.64</w:t>
            </w:r>
            <w:r>
              <w:rPr>
                <w:rFonts w:hint="eastAsia"/>
                <w:color w:val="C00000"/>
                <w:szCs w:val="21"/>
              </w:rPr>
              <w:t>t/a</w:t>
            </w:r>
            <w:r>
              <w:rPr>
                <w:color w:val="C00000"/>
                <w:kern w:val="0"/>
                <w:sz w:val="22"/>
                <w:szCs w:val="22"/>
                <w:lang w:bidi="ar"/>
              </w:rPr>
              <w:t xml:space="preserve"> </w:t>
            </w:r>
          </w:p>
        </w:tc>
        <w:tc>
          <w:tcPr>
            <w:tcW w:w="1212" w:type="dxa"/>
            <w:shd w:val="clear" w:color="auto" w:fill="auto"/>
            <w:vAlign w:val="center"/>
          </w:tcPr>
          <w:p w14:paraId="5FA2C515">
            <w:pPr>
              <w:jc w:val="center"/>
              <w:rPr>
                <w:snapToGrid w:val="0"/>
                <w:color w:val="C00000"/>
                <w:kern w:val="21"/>
                <w:szCs w:val="21"/>
              </w:rPr>
            </w:pPr>
            <w:r>
              <w:rPr>
                <w:rFonts w:hint="eastAsia"/>
                <w:color w:val="C00000"/>
                <w:kern w:val="0"/>
                <w:szCs w:val="21"/>
                <w:lang w:val="en-US" w:eastAsia="zh-CN" w:bidi="ar"/>
              </w:rPr>
              <w:t>+131.64</w:t>
            </w:r>
            <w:r>
              <w:rPr>
                <w:rFonts w:hint="eastAsia"/>
                <w:color w:val="C00000"/>
                <w:szCs w:val="21"/>
              </w:rPr>
              <w:t>t/a</w:t>
            </w:r>
            <w:r>
              <w:rPr>
                <w:color w:val="C00000"/>
                <w:kern w:val="0"/>
                <w:sz w:val="22"/>
                <w:szCs w:val="22"/>
                <w:lang w:bidi="ar"/>
              </w:rPr>
              <w:t xml:space="preserve"> </w:t>
            </w:r>
          </w:p>
        </w:tc>
      </w:tr>
      <w:tr w14:paraId="54D7EE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vMerge w:val="continue"/>
            <w:vAlign w:val="center"/>
          </w:tcPr>
          <w:p w14:paraId="0C28E32F">
            <w:pPr>
              <w:jc w:val="center"/>
              <w:rPr>
                <w:snapToGrid w:val="0"/>
                <w:kern w:val="21"/>
                <w:szCs w:val="21"/>
              </w:rPr>
            </w:pPr>
          </w:p>
        </w:tc>
        <w:tc>
          <w:tcPr>
            <w:tcW w:w="1488" w:type="dxa"/>
            <w:vAlign w:val="center"/>
          </w:tcPr>
          <w:p w14:paraId="2C3917B0">
            <w:pPr>
              <w:adjustRightInd w:val="0"/>
              <w:snapToGrid w:val="0"/>
              <w:jc w:val="center"/>
              <w:rPr>
                <w:szCs w:val="21"/>
              </w:rPr>
            </w:pPr>
            <w:r>
              <w:rPr>
                <w:szCs w:val="21"/>
              </w:rPr>
              <w:t>废布袋</w:t>
            </w:r>
          </w:p>
        </w:tc>
        <w:tc>
          <w:tcPr>
            <w:tcW w:w="1630" w:type="dxa"/>
            <w:vAlign w:val="center"/>
          </w:tcPr>
          <w:p w14:paraId="73ACF2F9">
            <w:pPr>
              <w:jc w:val="center"/>
              <w:rPr>
                <w:snapToGrid w:val="0"/>
                <w:kern w:val="21"/>
                <w:szCs w:val="21"/>
              </w:rPr>
            </w:pPr>
            <w:r>
              <w:rPr>
                <w:rFonts w:hint="eastAsia"/>
                <w:szCs w:val="21"/>
              </w:rPr>
              <w:t>-</w:t>
            </w:r>
          </w:p>
        </w:tc>
        <w:tc>
          <w:tcPr>
            <w:tcW w:w="1276" w:type="dxa"/>
            <w:vAlign w:val="center"/>
          </w:tcPr>
          <w:p w14:paraId="6B8DA73E">
            <w:pPr>
              <w:jc w:val="center"/>
              <w:rPr>
                <w:snapToGrid w:val="0"/>
                <w:kern w:val="21"/>
                <w:szCs w:val="21"/>
              </w:rPr>
            </w:pPr>
            <w:r>
              <w:rPr>
                <w:rFonts w:hint="eastAsia"/>
                <w:szCs w:val="21"/>
              </w:rPr>
              <w:t>-</w:t>
            </w:r>
          </w:p>
        </w:tc>
        <w:tc>
          <w:tcPr>
            <w:tcW w:w="1701" w:type="dxa"/>
            <w:vAlign w:val="center"/>
          </w:tcPr>
          <w:p w14:paraId="081DE441">
            <w:pPr>
              <w:jc w:val="center"/>
              <w:rPr>
                <w:snapToGrid w:val="0"/>
                <w:kern w:val="21"/>
                <w:szCs w:val="21"/>
              </w:rPr>
            </w:pPr>
            <w:r>
              <w:rPr>
                <w:rFonts w:hint="eastAsia"/>
                <w:szCs w:val="21"/>
              </w:rPr>
              <w:t>-</w:t>
            </w:r>
          </w:p>
        </w:tc>
        <w:tc>
          <w:tcPr>
            <w:tcW w:w="1559" w:type="dxa"/>
            <w:vAlign w:val="center"/>
          </w:tcPr>
          <w:p w14:paraId="4941271F">
            <w:pPr>
              <w:jc w:val="center"/>
              <w:rPr>
                <w:snapToGrid w:val="0"/>
                <w:color w:val="C00000"/>
                <w:kern w:val="21"/>
                <w:szCs w:val="21"/>
              </w:rPr>
            </w:pPr>
            <w:r>
              <w:rPr>
                <w:rFonts w:hint="eastAsia"/>
                <w:snapToGrid w:val="0"/>
                <w:color w:val="C00000"/>
                <w:kern w:val="21"/>
                <w:szCs w:val="21"/>
              </w:rPr>
              <w:t>0.1</w:t>
            </w:r>
            <w:r>
              <w:rPr>
                <w:rFonts w:hint="eastAsia"/>
                <w:color w:val="C00000"/>
                <w:szCs w:val="21"/>
              </w:rPr>
              <w:t>t/a</w:t>
            </w:r>
            <w:r>
              <w:rPr>
                <w:color w:val="C00000"/>
                <w:kern w:val="0"/>
                <w:sz w:val="22"/>
                <w:szCs w:val="22"/>
                <w:lang w:bidi="ar"/>
              </w:rPr>
              <w:t xml:space="preserve"> </w:t>
            </w:r>
          </w:p>
        </w:tc>
        <w:tc>
          <w:tcPr>
            <w:tcW w:w="1761" w:type="dxa"/>
            <w:vAlign w:val="center"/>
          </w:tcPr>
          <w:p w14:paraId="25C11FAD">
            <w:pPr>
              <w:jc w:val="center"/>
              <w:rPr>
                <w:snapToGrid w:val="0"/>
                <w:color w:val="auto"/>
                <w:kern w:val="21"/>
                <w:szCs w:val="21"/>
              </w:rPr>
            </w:pPr>
            <w:r>
              <w:rPr>
                <w:rFonts w:hint="eastAsia"/>
                <w:color w:val="auto"/>
                <w:szCs w:val="21"/>
              </w:rPr>
              <w:t>-</w:t>
            </w:r>
          </w:p>
        </w:tc>
        <w:tc>
          <w:tcPr>
            <w:tcW w:w="1573" w:type="dxa"/>
            <w:shd w:val="clear" w:color="auto" w:fill="auto"/>
            <w:vAlign w:val="center"/>
          </w:tcPr>
          <w:p w14:paraId="37B205D5">
            <w:pPr>
              <w:jc w:val="center"/>
              <w:rPr>
                <w:snapToGrid w:val="0"/>
                <w:color w:val="C00000"/>
                <w:kern w:val="21"/>
                <w:szCs w:val="21"/>
              </w:rPr>
            </w:pPr>
            <w:r>
              <w:rPr>
                <w:rFonts w:hint="eastAsia"/>
                <w:snapToGrid w:val="0"/>
                <w:color w:val="C00000"/>
                <w:kern w:val="21"/>
                <w:szCs w:val="21"/>
              </w:rPr>
              <w:t>0.1</w:t>
            </w:r>
            <w:r>
              <w:rPr>
                <w:rFonts w:hint="eastAsia"/>
                <w:color w:val="C00000"/>
                <w:szCs w:val="21"/>
              </w:rPr>
              <w:t>t/a</w:t>
            </w:r>
            <w:r>
              <w:rPr>
                <w:color w:val="C00000"/>
                <w:kern w:val="0"/>
                <w:sz w:val="22"/>
                <w:szCs w:val="22"/>
                <w:lang w:bidi="ar"/>
              </w:rPr>
              <w:t xml:space="preserve"> </w:t>
            </w:r>
          </w:p>
        </w:tc>
        <w:tc>
          <w:tcPr>
            <w:tcW w:w="1212" w:type="dxa"/>
            <w:shd w:val="clear" w:color="auto" w:fill="auto"/>
            <w:vAlign w:val="center"/>
          </w:tcPr>
          <w:p w14:paraId="06EB1B25">
            <w:pPr>
              <w:jc w:val="center"/>
              <w:rPr>
                <w:snapToGrid w:val="0"/>
                <w:color w:val="C00000"/>
                <w:kern w:val="21"/>
                <w:szCs w:val="21"/>
              </w:rPr>
            </w:pPr>
            <w:r>
              <w:rPr>
                <w:rFonts w:hint="eastAsia"/>
                <w:snapToGrid w:val="0"/>
                <w:color w:val="C00000"/>
                <w:kern w:val="21"/>
                <w:szCs w:val="21"/>
                <w:lang w:val="en-US" w:eastAsia="zh-CN"/>
              </w:rPr>
              <w:t>+</w:t>
            </w:r>
            <w:r>
              <w:rPr>
                <w:rFonts w:hint="eastAsia"/>
                <w:snapToGrid w:val="0"/>
                <w:color w:val="C00000"/>
                <w:kern w:val="21"/>
                <w:szCs w:val="21"/>
              </w:rPr>
              <w:t>0.1</w:t>
            </w:r>
            <w:r>
              <w:rPr>
                <w:rFonts w:hint="eastAsia"/>
                <w:color w:val="C00000"/>
                <w:szCs w:val="21"/>
              </w:rPr>
              <w:t>t/a</w:t>
            </w:r>
            <w:r>
              <w:rPr>
                <w:color w:val="C00000"/>
                <w:kern w:val="0"/>
                <w:sz w:val="22"/>
                <w:szCs w:val="22"/>
                <w:lang w:bidi="ar"/>
              </w:rPr>
              <w:t xml:space="preserve"> </w:t>
            </w:r>
          </w:p>
        </w:tc>
      </w:tr>
      <w:tr w14:paraId="730773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vMerge w:val="continue"/>
            <w:vAlign w:val="center"/>
          </w:tcPr>
          <w:p w14:paraId="52A6FC9B">
            <w:pPr>
              <w:jc w:val="center"/>
              <w:rPr>
                <w:snapToGrid w:val="0"/>
                <w:kern w:val="21"/>
                <w:szCs w:val="21"/>
              </w:rPr>
            </w:pPr>
          </w:p>
        </w:tc>
        <w:tc>
          <w:tcPr>
            <w:tcW w:w="1488" w:type="dxa"/>
            <w:vAlign w:val="center"/>
          </w:tcPr>
          <w:p w14:paraId="74E158E8">
            <w:pPr>
              <w:adjustRightInd w:val="0"/>
              <w:snapToGrid w:val="0"/>
              <w:jc w:val="center"/>
              <w:rPr>
                <w:szCs w:val="21"/>
              </w:rPr>
            </w:pPr>
            <w:r>
              <w:rPr>
                <w:szCs w:val="21"/>
              </w:rPr>
              <w:t>筛分杂质</w:t>
            </w:r>
          </w:p>
        </w:tc>
        <w:tc>
          <w:tcPr>
            <w:tcW w:w="1630" w:type="dxa"/>
            <w:vAlign w:val="center"/>
          </w:tcPr>
          <w:p w14:paraId="1135F52E">
            <w:pPr>
              <w:jc w:val="center"/>
              <w:rPr>
                <w:snapToGrid w:val="0"/>
                <w:kern w:val="21"/>
                <w:szCs w:val="21"/>
              </w:rPr>
            </w:pPr>
            <w:r>
              <w:rPr>
                <w:rFonts w:hint="eastAsia"/>
                <w:szCs w:val="21"/>
              </w:rPr>
              <w:t>-</w:t>
            </w:r>
          </w:p>
        </w:tc>
        <w:tc>
          <w:tcPr>
            <w:tcW w:w="1276" w:type="dxa"/>
            <w:vAlign w:val="center"/>
          </w:tcPr>
          <w:p w14:paraId="78E45AC8">
            <w:pPr>
              <w:jc w:val="center"/>
              <w:rPr>
                <w:snapToGrid w:val="0"/>
                <w:kern w:val="21"/>
                <w:szCs w:val="21"/>
              </w:rPr>
            </w:pPr>
            <w:r>
              <w:rPr>
                <w:rFonts w:hint="eastAsia"/>
                <w:szCs w:val="21"/>
              </w:rPr>
              <w:t>-</w:t>
            </w:r>
          </w:p>
        </w:tc>
        <w:tc>
          <w:tcPr>
            <w:tcW w:w="1701" w:type="dxa"/>
            <w:vAlign w:val="center"/>
          </w:tcPr>
          <w:p w14:paraId="49993625">
            <w:pPr>
              <w:jc w:val="center"/>
              <w:rPr>
                <w:snapToGrid w:val="0"/>
                <w:kern w:val="21"/>
                <w:szCs w:val="21"/>
              </w:rPr>
            </w:pPr>
            <w:r>
              <w:rPr>
                <w:rFonts w:hint="eastAsia"/>
                <w:szCs w:val="21"/>
              </w:rPr>
              <w:t>-</w:t>
            </w:r>
          </w:p>
        </w:tc>
        <w:tc>
          <w:tcPr>
            <w:tcW w:w="1559" w:type="dxa"/>
            <w:vAlign w:val="center"/>
          </w:tcPr>
          <w:p w14:paraId="0DC72600">
            <w:pPr>
              <w:jc w:val="center"/>
              <w:rPr>
                <w:snapToGrid w:val="0"/>
                <w:color w:val="C00000"/>
                <w:kern w:val="21"/>
                <w:szCs w:val="21"/>
              </w:rPr>
            </w:pPr>
            <w:r>
              <w:rPr>
                <w:rFonts w:hint="eastAsia"/>
                <w:snapToGrid w:val="0"/>
                <w:color w:val="C00000"/>
                <w:kern w:val="21"/>
                <w:szCs w:val="21"/>
              </w:rPr>
              <w:t>15</w:t>
            </w:r>
            <w:r>
              <w:rPr>
                <w:rFonts w:hint="eastAsia"/>
                <w:color w:val="C00000"/>
                <w:szCs w:val="21"/>
              </w:rPr>
              <w:t>t/a</w:t>
            </w:r>
            <w:r>
              <w:rPr>
                <w:color w:val="C00000"/>
                <w:kern w:val="0"/>
                <w:sz w:val="22"/>
                <w:szCs w:val="22"/>
                <w:lang w:bidi="ar"/>
              </w:rPr>
              <w:t xml:space="preserve"> </w:t>
            </w:r>
          </w:p>
        </w:tc>
        <w:tc>
          <w:tcPr>
            <w:tcW w:w="1761" w:type="dxa"/>
            <w:vAlign w:val="center"/>
          </w:tcPr>
          <w:p w14:paraId="56661B53">
            <w:pPr>
              <w:jc w:val="center"/>
              <w:rPr>
                <w:snapToGrid w:val="0"/>
                <w:color w:val="auto"/>
                <w:kern w:val="21"/>
                <w:szCs w:val="21"/>
              </w:rPr>
            </w:pPr>
            <w:r>
              <w:rPr>
                <w:rFonts w:hint="eastAsia"/>
                <w:color w:val="auto"/>
                <w:szCs w:val="21"/>
              </w:rPr>
              <w:t>-</w:t>
            </w:r>
          </w:p>
        </w:tc>
        <w:tc>
          <w:tcPr>
            <w:tcW w:w="1573" w:type="dxa"/>
            <w:shd w:val="clear" w:color="auto" w:fill="auto"/>
            <w:vAlign w:val="center"/>
          </w:tcPr>
          <w:p w14:paraId="591C6BFE">
            <w:pPr>
              <w:jc w:val="center"/>
              <w:rPr>
                <w:snapToGrid w:val="0"/>
                <w:color w:val="C00000"/>
                <w:kern w:val="21"/>
                <w:szCs w:val="21"/>
              </w:rPr>
            </w:pPr>
            <w:r>
              <w:rPr>
                <w:rFonts w:hint="eastAsia"/>
                <w:snapToGrid w:val="0"/>
                <w:color w:val="C00000"/>
                <w:kern w:val="21"/>
                <w:szCs w:val="21"/>
              </w:rPr>
              <w:t>15</w:t>
            </w:r>
            <w:r>
              <w:rPr>
                <w:rFonts w:hint="eastAsia"/>
                <w:color w:val="C00000"/>
                <w:szCs w:val="21"/>
              </w:rPr>
              <w:t>t/a</w:t>
            </w:r>
            <w:r>
              <w:rPr>
                <w:color w:val="C00000"/>
                <w:kern w:val="0"/>
                <w:sz w:val="22"/>
                <w:szCs w:val="22"/>
                <w:lang w:bidi="ar"/>
              </w:rPr>
              <w:t xml:space="preserve"> </w:t>
            </w:r>
          </w:p>
        </w:tc>
        <w:tc>
          <w:tcPr>
            <w:tcW w:w="1212" w:type="dxa"/>
            <w:shd w:val="clear" w:color="auto" w:fill="auto"/>
            <w:vAlign w:val="center"/>
          </w:tcPr>
          <w:p w14:paraId="4C3AE87E">
            <w:pPr>
              <w:jc w:val="center"/>
              <w:rPr>
                <w:snapToGrid w:val="0"/>
                <w:color w:val="C00000"/>
                <w:kern w:val="21"/>
                <w:szCs w:val="21"/>
              </w:rPr>
            </w:pPr>
            <w:r>
              <w:rPr>
                <w:rFonts w:hint="eastAsia"/>
                <w:snapToGrid w:val="0"/>
                <w:color w:val="C00000"/>
                <w:kern w:val="21"/>
                <w:szCs w:val="21"/>
                <w:lang w:val="en-US" w:eastAsia="zh-CN"/>
              </w:rPr>
              <w:t>+</w:t>
            </w:r>
            <w:r>
              <w:rPr>
                <w:rFonts w:hint="eastAsia"/>
                <w:snapToGrid w:val="0"/>
                <w:color w:val="C00000"/>
                <w:kern w:val="21"/>
                <w:szCs w:val="21"/>
              </w:rPr>
              <w:t>15</w:t>
            </w:r>
            <w:r>
              <w:rPr>
                <w:rFonts w:hint="eastAsia"/>
                <w:color w:val="C00000"/>
                <w:szCs w:val="21"/>
              </w:rPr>
              <w:t>t/a</w:t>
            </w:r>
            <w:r>
              <w:rPr>
                <w:color w:val="C00000"/>
                <w:kern w:val="0"/>
                <w:sz w:val="22"/>
                <w:szCs w:val="22"/>
                <w:lang w:bidi="ar"/>
              </w:rPr>
              <w:t xml:space="preserve"> </w:t>
            </w:r>
          </w:p>
        </w:tc>
      </w:tr>
      <w:tr w14:paraId="7DD898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vMerge w:val="continue"/>
            <w:vAlign w:val="center"/>
          </w:tcPr>
          <w:p w14:paraId="0EC7BD7C">
            <w:pPr>
              <w:jc w:val="center"/>
              <w:rPr>
                <w:snapToGrid w:val="0"/>
                <w:kern w:val="21"/>
                <w:szCs w:val="21"/>
              </w:rPr>
            </w:pPr>
          </w:p>
        </w:tc>
        <w:tc>
          <w:tcPr>
            <w:tcW w:w="1488" w:type="dxa"/>
            <w:vAlign w:val="center"/>
          </w:tcPr>
          <w:p w14:paraId="33135F71">
            <w:pPr>
              <w:adjustRightInd w:val="0"/>
              <w:snapToGrid w:val="0"/>
              <w:jc w:val="center"/>
              <w:rPr>
                <w:szCs w:val="21"/>
              </w:rPr>
            </w:pPr>
            <w:r>
              <w:rPr>
                <w:bCs/>
                <w:szCs w:val="21"/>
              </w:rPr>
              <w:t>布袋收尘灰</w:t>
            </w:r>
          </w:p>
        </w:tc>
        <w:tc>
          <w:tcPr>
            <w:tcW w:w="1630" w:type="dxa"/>
            <w:vAlign w:val="center"/>
          </w:tcPr>
          <w:p w14:paraId="5859C006">
            <w:pPr>
              <w:jc w:val="center"/>
              <w:rPr>
                <w:snapToGrid w:val="0"/>
                <w:kern w:val="21"/>
                <w:szCs w:val="21"/>
              </w:rPr>
            </w:pPr>
            <w:r>
              <w:rPr>
                <w:rFonts w:hint="eastAsia"/>
                <w:szCs w:val="21"/>
              </w:rPr>
              <w:t>-</w:t>
            </w:r>
          </w:p>
        </w:tc>
        <w:tc>
          <w:tcPr>
            <w:tcW w:w="1276" w:type="dxa"/>
            <w:vAlign w:val="center"/>
          </w:tcPr>
          <w:p w14:paraId="618D9B27">
            <w:pPr>
              <w:jc w:val="center"/>
              <w:rPr>
                <w:snapToGrid w:val="0"/>
                <w:kern w:val="21"/>
                <w:szCs w:val="21"/>
              </w:rPr>
            </w:pPr>
            <w:r>
              <w:rPr>
                <w:rFonts w:hint="eastAsia"/>
                <w:szCs w:val="21"/>
              </w:rPr>
              <w:t>-</w:t>
            </w:r>
          </w:p>
        </w:tc>
        <w:tc>
          <w:tcPr>
            <w:tcW w:w="1701" w:type="dxa"/>
            <w:vAlign w:val="center"/>
          </w:tcPr>
          <w:p w14:paraId="26C13CC9">
            <w:pPr>
              <w:jc w:val="center"/>
              <w:rPr>
                <w:snapToGrid w:val="0"/>
                <w:kern w:val="21"/>
                <w:szCs w:val="21"/>
              </w:rPr>
            </w:pPr>
            <w:r>
              <w:rPr>
                <w:rFonts w:hint="eastAsia"/>
                <w:szCs w:val="21"/>
              </w:rPr>
              <w:t>-</w:t>
            </w:r>
          </w:p>
        </w:tc>
        <w:tc>
          <w:tcPr>
            <w:tcW w:w="1559" w:type="dxa"/>
            <w:vAlign w:val="center"/>
          </w:tcPr>
          <w:p w14:paraId="01CDCFDB">
            <w:pPr>
              <w:jc w:val="center"/>
              <w:rPr>
                <w:snapToGrid w:val="0"/>
                <w:color w:val="C00000"/>
                <w:kern w:val="21"/>
                <w:szCs w:val="21"/>
              </w:rPr>
            </w:pPr>
            <w:r>
              <w:rPr>
                <w:rFonts w:hint="eastAsia"/>
                <w:snapToGrid w:val="0"/>
                <w:color w:val="C00000"/>
                <w:kern w:val="21"/>
                <w:szCs w:val="21"/>
                <w:lang w:val="en-US" w:eastAsia="zh-CN"/>
              </w:rPr>
              <w:t>64.48</w:t>
            </w:r>
            <w:r>
              <w:rPr>
                <w:rFonts w:hint="eastAsia"/>
                <w:color w:val="C00000"/>
                <w:szCs w:val="21"/>
              </w:rPr>
              <w:t>t/a</w:t>
            </w:r>
            <w:r>
              <w:rPr>
                <w:color w:val="C00000"/>
                <w:kern w:val="0"/>
                <w:sz w:val="22"/>
                <w:szCs w:val="22"/>
                <w:lang w:bidi="ar"/>
              </w:rPr>
              <w:t xml:space="preserve"> </w:t>
            </w:r>
          </w:p>
        </w:tc>
        <w:tc>
          <w:tcPr>
            <w:tcW w:w="1761" w:type="dxa"/>
            <w:vAlign w:val="center"/>
          </w:tcPr>
          <w:p w14:paraId="033E8AA9">
            <w:pPr>
              <w:jc w:val="center"/>
              <w:rPr>
                <w:snapToGrid w:val="0"/>
                <w:color w:val="auto"/>
                <w:kern w:val="21"/>
                <w:szCs w:val="21"/>
              </w:rPr>
            </w:pPr>
            <w:r>
              <w:rPr>
                <w:rFonts w:hint="eastAsia"/>
                <w:color w:val="auto"/>
                <w:szCs w:val="21"/>
              </w:rPr>
              <w:t>-</w:t>
            </w:r>
          </w:p>
        </w:tc>
        <w:tc>
          <w:tcPr>
            <w:tcW w:w="1573" w:type="dxa"/>
            <w:shd w:val="clear" w:color="auto" w:fill="auto"/>
            <w:vAlign w:val="center"/>
          </w:tcPr>
          <w:p w14:paraId="474D613A">
            <w:pPr>
              <w:jc w:val="center"/>
              <w:rPr>
                <w:snapToGrid w:val="0"/>
                <w:color w:val="C00000"/>
                <w:kern w:val="21"/>
                <w:szCs w:val="21"/>
              </w:rPr>
            </w:pPr>
            <w:r>
              <w:rPr>
                <w:rFonts w:hint="eastAsia"/>
                <w:snapToGrid w:val="0"/>
                <w:color w:val="C00000"/>
                <w:kern w:val="21"/>
                <w:szCs w:val="21"/>
                <w:lang w:val="en-US" w:eastAsia="zh-CN"/>
              </w:rPr>
              <w:t>64.48</w:t>
            </w:r>
            <w:r>
              <w:rPr>
                <w:rFonts w:hint="eastAsia"/>
                <w:color w:val="C00000"/>
                <w:szCs w:val="21"/>
              </w:rPr>
              <w:t>t/a</w:t>
            </w:r>
            <w:r>
              <w:rPr>
                <w:color w:val="C00000"/>
                <w:kern w:val="0"/>
                <w:sz w:val="22"/>
                <w:szCs w:val="22"/>
                <w:lang w:bidi="ar"/>
              </w:rPr>
              <w:t xml:space="preserve"> </w:t>
            </w:r>
          </w:p>
        </w:tc>
        <w:tc>
          <w:tcPr>
            <w:tcW w:w="1212" w:type="dxa"/>
            <w:shd w:val="clear" w:color="auto" w:fill="auto"/>
            <w:vAlign w:val="center"/>
          </w:tcPr>
          <w:p w14:paraId="55EE2F1D">
            <w:pPr>
              <w:jc w:val="center"/>
              <w:rPr>
                <w:snapToGrid w:val="0"/>
                <w:color w:val="C00000"/>
                <w:kern w:val="21"/>
                <w:szCs w:val="21"/>
              </w:rPr>
            </w:pPr>
            <w:r>
              <w:rPr>
                <w:rFonts w:hint="eastAsia"/>
                <w:snapToGrid w:val="0"/>
                <w:color w:val="C00000"/>
                <w:kern w:val="21"/>
                <w:szCs w:val="21"/>
                <w:lang w:val="en-US" w:eastAsia="zh-CN"/>
              </w:rPr>
              <w:t>+64.48</w:t>
            </w:r>
            <w:r>
              <w:rPr>
                <w:rFonts w:hint="eastAsia"/>
                <w:color w:val="C00000"/>
                <w:szCs w:val="21"/>
              </w:rPr>
              <w:t>t/a</w:t>
            </w:r>
            <w:r>
              <w:rPr>
                <w:color w:val="C00000"/>
                <w:kern w:val="0"/>
                <w:sz w:val="22"/>
                <w:szCs w:val="22"/>
                <w:lang w:bidi="ar"/>
              </w:rPr>
              <w:t xml:space="preserve"> </w:t>
            </w:r>
          </w:p>
        </w:tc>
      </w:tr>
      <w:tr w14:paraId="55EEDE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vMerge w:val="restart"/>
            <w:vAlign w:val="center"/>
          </w:tcPr>
          <w:p w14:paraId="742559CC">
            <w:pPr>
              <w:jc w:val="center"/>
              <w:rPr>
                <w:rFonts w:hint="eastAsia" w:eastAsia="宋体"/>
                <w:snapToGrid w:val="0"/>
                <w:color w:val="C00000"/>
                <w:kern w:val="21"/>
                <w:szCs w:val="21"/>
                <w:lang w:val="en-US" w:eastAsia="zh-CN"/>
              </w:rPr>
            </w:pPr>
            <w:r>
              <w:rPr>
                <w:rFonts w:hint="eastAsia"/>
                <w:snapToGrid w:val="0"/>
                <w:color w:val="C00000"/>
                <w:kern w:val="21"/>
                <w:szCs w:val="21"/>
                <w:lang w:val="en-US" w:eastAsia="zh-CN"/>
              </w:rPr>
              <w:t>危险废物</w:t>
            </w:r>
          </w:p>
        </w:tc>
        <w:tc>
          <w:tcPr>
            <w:tcW w:w="1488" w:type="dxa"/>
            <w:vAlign w:val="center"/>
          </w:tcPr>
          <w:p w14:paraId="41E4CD39">
            <w:pPr>
              <w:adjustRightInd w:val="0"/>
              <w:snapToGrid w:val="0"/>
              <w:jc w:val="center"/>
              <w:rPr>
                <w:rFonts w:hint="default" w:eastAsia="宋体"/>
                <w:bCs/>
                <w:color w:val="C00000"/>
                <w:szCs w:val="21"/>
                <w:lang w:val="en-US" w:eastAsia="zh-CN"/>
              </w:rPr>
            </w:pPr>
            <w:r>
              <w:rPr>
                <w:rFonts w:hint="eastAsia"/>
                <w:bCs/>
                <w:color w:val="C00000"/>
                <w:szCs w:val="21"/>
                <w:lang w:val="en-US" w:eastAsia="zh-CN"/>
              </w:rPr>
              <w:t>废润滑油</w:t>
            </w:r>
          </w:p>
        </w:tc>
        <w:tc>
          <w:tcPr>
            <w:tcW w:w="1630" w:type="dxa"/>
            <w:vAlign w:val="center"/>
          </w:tcPr>
          <w:p w14:paraId="042AFE0B">
            <w:pPr>
              <w:jc w:val="center"/>
              <w:rPr>
                <w:rFonts w:hint="eastAsia"/>
                <w:color w:val="C00000"/>
                <w:szCs w:val="21"/>
              </w:rPr>
            </w:pPr>
            <w:r>
              <w:rPr>
                <w:rFonts w:hint="eastAsia"/>
                <w:color w:val="C00000"/>
                <w:szCs w:val="21"/>
              </w:rPr>
              <w:t>-</w:t>
            </w:r>
          </w:p>
        </w:tc>
        <w:tc>
          <w:tcPr>
            <w:tcW w:w="1276" w:type="dxa"/>
            <w:vAlign w:val="center"/>
          </w:tcPr>
          <w:p w14:paraId="1F739D80">
            <w:pPr>
              <w:jc w:val="center"/>
              <w:rPr>
                <w:rFonts w:hint="eastAsia"/>
                <w:color w:val="C00000"/>
                <w:szCs w:val="21"/>
              </w:rPr>
            </w:pPr>
            <w:r>
              <w:rPr>
                <w:rFonts w:hint="eastAsia"/>
                <w:color w:val="C00000"/>
                <w:szCs w:val="21"/>
              </w:rPr>
              <w:t>-</w:t>
            </w:r>
          </w:p>
        </w:tc>
        <w:tc>
          <w:tcPr>
            <w:tcW w:w="1701" w:type="dxa"/>
            <w:vAlign w:val="center"/>
          </w:tcPr>
          <w:p w14:paraId="51204DD5">
            <w:pPr>
              <w:jc w:val="center"/>
              <w:rPr>
                <w:rFonts w:hint="eastAsia"/>
                <w:color w:val="C00000"/>
                <w:szCs w:val="21"/>
              </w:rPr>
            </w:pPr>
            <w:r>
              <w:rPr>
                <w:rFonts w:hint="eastAsia"/>
                <w:color w:val="C00000"/>
                <w:szCs w:val="21"/>
              </w:rPr>
              <w:t>-</w:t>
            </w:r>
          </w:p>
        </w:tc>
        <w:tc>
          <w:tcPr>
            <w:tcW w:w="1559" w:type="dxa"/>
            <w:vAlign w:val="center"/>
          </w:tcPr>
          <w:p w14:paraId="52BB967B">
            <w:pPr>
              <w:jc w:val="center"/>
              <w:rPr>
                <w:rFonts w:hint="default"/>
                <w:snapToGrid w:val="0"/>
                <w:color w:val="C00000"/>
                <w:kern w:val="21"/>
                <w:szCs w:val="21"/>
                <w:lang w:val="en-US" w:eastAsia="zh-CN"/>
              </w:rPr>
            </w:pPr>
            <w:r>
              <w:rPr>
                <w:rFonts w:hint="eastAsia"/>
                <w:snapToGrid w:val="0"/>
                <w:color w:val="C00000"/>
                <w:kern w:val="21"/>
                <w:szCs w:val="21"/>
                <w:lang w:val="en-US" w:eastAsia="zh-CN"/>
              </w:rPr>
              <w:t>0.5</w:t>
            </w:r>
            <w:r>
              <w:rPr>
                <w:rFonts w:hint="eastAsia"/>
                <w:color w:val="C00000"/>
                <w:szCs w:val="21"/>
              </w:rPr>
              <w:t>t/a</w:t>
            </w:r>
            <w:r>
              <w:rPr>
                <w:color w:val="C00000"/>
                <w:kern w:val="0"/>
                <w:sz w:val="22"/>
                <w:szCs w:val="22"/>
                <w:lang w:bidi="ar"/>
              </w:rPr>
              <w:t xml:space="preserve"> </w:t>
            </w:r>
          </w:p>
        </w:tc>
        <w:tc>
          <w:tcPr>
            <w:tcW w:w="1761" w:type="dxa"/>
            <w:vAlign w:val="center"/>
          </w:tcPr>
          <w:p w14:paraId="264931E7">
            <w:pPr>
              <w:jc w:val="center"/>
              <w:rPr>
                <w:rFonts w:hint="eastAsia"/>
                <w:color w:val="auto"/>
                <w:szCs w:val="21"/>
              </w:rPr>
            </w:pPr>
          </w:p>
        </w:tc>
        <w:tc>
          <w:tcPr>
            <w:tcW w:w="1573" w:type="dxa"/>
            <w:shd w:val="clear" w:color="auto" w:fill="auto"/>
            <w:vAlign w:val="center"/>
          </w:tcPr>
          <w:p w14:paraId="09C3978A">
            <w:pPr>
              <w:jc w:val="center"/>
              <w:rPr>
                <w:rFonts w:hint="eastAsia" w:ascii="Times New Roman" w:hAnsi="Times New Roman" w:eastAsia="宋体" w:cs="Times New Roman"/>
                <w:snapToGrid w:val="0"/>
                <w:color w:val="C00000"/>
                <w:kern w:val="21"/>
                <w:sz w:val="21"/>
                <w:szCs w:val="21"/>
                <w:lang w:val="en-US" w:eastAsia="zh-CN" w:bidi="ar-SA"/>
              </w:rPr>
            </w:pPr>
            <w:r>
              <w:rPr>
                <w:rFonts w:hint="eastAsia"/>
                <w:snapToGrid w:val="0"/>
                <w:color w:val="C00000"/>
                <w:kern w:val="21"/>
                <w:szCs w:val="21"/>
                <w:lang w:val="en-US" w:eastAsia="zh-CN"/>
              </w:rPr>
              <w:t>0.5</w:t>
            </w:r>
            <w:r>
              <w:rPr>
                <w:rFonts w:hint="eastAsia"/>
                <w:color w:val="C00000"/>
                <w:szCs w:val="21"/>
              </w:rPr>
              <w:t>t/a</w:t>
            </w:r>
            <w:r>
              <w:rPr>
                <w:color w:val="C00000"/>
                <w:kern w:val="0"/>
                <w:sz w:val="22"/>
                <w:szCs w:val="22"/>
                <w:lang w:bidi="ar"/>
              </w:rPr>
              <w:t xml:space="preserve"> </w:t>
            </w:r>
          </w:p>
        </w:tc>
        <w:tc>
          <w:tcPr>
            <w:tcW w:w="1212" w:type="dxa"/>
            <w:shd w:val="clear" w:color="auto" w:fill="auto"/>
            <w:vAlign w:val="center"/>
          </w:tcPr>
          <w:p w14:paraId="38F1E1D4">
            <w:pPr>
              <w:jc w:val="center"/>
              <w:rPr>
                <w:rFonts w:hint="eastAsia" w:ascii="Times New Roman" w:hAnsi="Times New Roman" w:eastAsia="宋体" w:cs="Times New Roman"/>
                <w:snapToGrid w:val="0"/>
                <w:color w:val="C00000"/>
                <w:kern w:val="21"/>
                <w:sz w:val="21"/>
                <w:szCs w:val="21"/>
                <w:lang w:val="en-US" w:eastAsia="zh-CN" w:bidi="ar-SA"/>
              </w:rPr>
            </w:pPr>
            <w:r>
              <w:rPr>
                <w:rFonts w:hint="eastAsia"/>
                <w:snapToGrid w:val="0"/>
                <w:color w:val="C00000"/>
                <w:kern w:val="21"/>
                <w:szCs w:val="21"/>
                <w:lang w:val="en-US" w:eastAsia="zh-CN"/>
              </w:rPr>
              <w:t>+0.5</w:t>
            </w:r>
            <w:r>
              <w:rPr>
                <w:rFonts w:hint="eastAsia"/>
                <w:color w:val="C00000"/>
                <w:szCs w:val="21"/>
              </w:rPr>
              <w:t>t/a</w:t>
            </w:r>
            <w:r>
              <w:rPr>
                <w:color w:val="C00000"/>
                <w:kern w:val="0"/>
                <w:sz w:val="22"/>
                <w:szCs w:val="22"/>
                <w:lang w:bidi="ar"/>
              </w:rPr>
              <w:t xml:space="preserve"> </w:t>
            </w:r>
          </w:p>
        </w:tc>
      </w:tr>
      <w:tr w14:paraId="218B0F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8" w:type="dxa"/>
            <w:vMerge w:val="continue"/>
            <w:vAlign w:val="center"/>
          </w:tcPr>
          <w:p w14:paraId="443DB714">
            <w:pPr>
              <w:jc w:val="center"/>
              <w:rPr>
                <w:snapToGrid w:val="0"/>
                <w:color w:val="C00000"/>
                <w:kern w:val="21"/>
                <w:szCs w:val="21"/>
              </w:rPr>
            </w:pPr>
          </w:p>
        </w:tc>
        <w:tc>
          <w:tcPr>
            <w:tcW w:w="1488" w:type="dxa"/>
            <w:vAlign w:val="center"/>
          </w:tcPr>
          <w:p w14:paraId="1FB7BDD7">
            <w:pPr>
              <w:adjustRightInd w:val="0"/>
              <w:snapToGrid w:val="0"/>
              <w:jc w:val="center"/>
              <w:rPr>
                <w:rFonts w:hint="default" w:eastAsia="宋体"/>
                <w:bCs/>
                <w:color w:val="C00000"/>
                <w:szCs w:val="21"/>
                <w:lang w:val="en-US" w:eastAsia="zh-CN"/>
              </w:rPr>
            </w:pPr>
            <w:r>
              <w:rPr>
                <w:rFonts w:hint="eastAsia"/>
                <w:bCs/>
                <w:color w:val="C00000"/>
                <w:szCs w:val="21"/>
                <w:lang w:val="en-US" w:eastAsia="zh-CN"/>
              </w:rPr>
              <w:t>废弃含有抹布</w:t>
            </w:r>
          </w:p>
        </w:tc>
        <w:tc>
          <w:tcPr>
            <w:tcW w:w="1630" w:type="dxa"/>
            <w:vAlign w:val="center"/>
          </w:tcPr>
          <w:p w14:paraId="2C73A66B">
            <w:pPr>
              <w:jc w:val="center"/>
              <w:rPr>
                <w:rFonts w:hint="eastAsia"/>
                <w:color w:val="C00000"/>
                <w:szCs w:val="21"/>
              </w:rPr>
            </w:pPr>
            <w:r>
              <w:rPr>
                <w:rFonts w:hint="eastAsia"/>
                <w:color w:val="C00000"/>
                <w:szCs w:val="21"/>
              </w:rPr>
              <w:t>-</w:t>
            </w:r>
          </w:p>
        </w:tc>
        <w:tc>
          <w:tcPr>
            <w:tcW w:w="1276" w:type="dxa"/>
            <w:vAlign w:val="center"/>
          </w:tcPr>
          <w:p w14:paraId="189B85A2">
            <w:pPr>
              <w:jc w:val="center"/>
              <w:rPr>
                <w:rFonts w:hint="eastAsia"/>
                <w:color w:val="C00000"/>
                <w:szCs w:val="21"/>
              </w:rPr>
            </w:pPr>
            <w:r>
              <w:rPr>
                <w:rFonts w:hint="eastAsia"/>
                <w:color w:val="C00000"/>
                <w:szCs w:val="21"/>
              </w:rPr>
              <w:t>-</w:t>
            </w:r>
          </w:p>
        </w:tc>
        <w:tc>
          <w:tcPr>
            <w:tcW w:w="1701" w:type="dxa"/>
            <w:vAlign w:val="center"/>
          </w:tcPr>
          <w:p w14:paraId="63B4A833">
            <w:pPr>
              <w:jc w:val="center"/>
              <w:rPr>
                <w:rFonts w:hint="eastAsia"/>
                <w:color w:val="C00000"/>
                <w:szCs w:val="21"/>
              </w:rPr>
            </w:pPr>
            <w:r>
              <w:rPr>
                <w:rFonts w:hint="eastAsia"/>
                <w:color w:val="C00000"/>
                <w:szCs w:val="21"/>
              </w:rPr>
              <w:t>-</w:t>
            </w:r>
          </w:p>
        </w:tc>
        <w:tc>
          <w:tcPr>
            <w:tcW w:w="1559" w:type="dxa"/>
            <w:vAlign w:val="center"/>
          </w:tcPr>
          <w:p w14:paraId="29DECDB3">
            <w:pPr>
              <w:jc w:val="center"/>
              <w:rPr>
                <w:rFonts w:hint="default"/>
                <w:snapToGrid w:val="0"/>
                <w:color w:val="C00000"/>
                <w:kern w:val="21"/>
                <w:szCs w:val="21"/>
                <w:lang w:val="en-US" w:eastAsia="zh-CN"/>
              </w:rPr>
            </w:pPr>
            <w:r>
              <w:rPr>
                <w:rFonts w:hint="eastAsia"/>
                <w:snapToGrid w:val="0"/>
                <w:color w:val="C00000"/>
                <w:kern w:val="21"/>
                <w:szCs w:val="21"/>
                <w:lang w:val="en-US" w:eastAsia="zh-CN"/>
              </w:rPr>
              <w:t>0.1</w:t>
            </w:r>
            <w:r>
              <w:rPr>
                <w:rFonts w:hint="eastAsia"/>
                <w:color w:val="C00000"/>
                <w:szCs w:val="21"/>
              </w:rPr>
              <w:t>t/a</w:t>
            </w:r>
            <w:r>
              <w:rPr>
                <w:color w:val="C00000"/>
                <w:kern w:val="0"/>
                <w:sz w:val="22"/>
                <w:szCs w:val="22"/>
                <w:lang w:bidi="ar"/>
              </w:rPr>
              <w:t xml:space="preserve"> </w:t>
            </w:r>
          </w:p>
        </w:tc>
        <w:tc>
          <w:tcPr>
            <w:tcW w:w="1761" w:type="dxa"/>
            <w:vAlign w:val="center"/>
          </w:tcPr>
          <w:p w14:paraId="7D4C8759">
            <w:pPr>
              <w:jc w:val="center"/>
              <w:rPr>
                <w:rFonts w:hint="eastAsia"/>
                <w:color w:val="auto"/>
                <w:szCs w:val="21"/>
              </w:rPr>
            </w:pPr>
          </w:p>
        </w:tc>
        <w:tc>
          <w:tcPr>
            <w:tcW w:w="1573" w:type="dxa"/>
            <w:shd w:val="clear" w:color="auto" w:fill="auto"/>
            <w:vAlign w:val="center"/>
          </w:tcPr>
          <w:p w14:paraId="6D8E08B5">
            <w:pPr>
              <w:jc w:val="center"/>
              <w:rPr>
                <w:rFonts w:hint="eastAsia" w:ascii="Times New Roman" w:hAnsi="Times New Roman" w:eastAsia="宋体" w:cs="Times New Roman"/>
                <w:snapToGrid w:val="0"/>
                <w:color w:val="C00000"/>
                <w:kern w:val="21"/>
                <w:sz w:val="21"/>
                <w:szCs w:val="21"/>
                <w:lang w:val="en-US" w:eastAsia="zh-CN" w:bidi="ar-SA"/>
              </w:rPr>
            </w:pPr>
            <w:r>
              <w:rPr>
                <w:rFonts w:hint="eastAsia"/>
                <w:snapToGrid w:val="0"/>
                <w:color w:val="C00000"/>
                <w:kern w:val="21"/>
                <w:szCs w:val="21"/>
                <w:lang w:val="en-US" w:eastAsia="zh-CN"/>
              </w:rPr>
              <w:t>0.1</w:t>
            </w:r>
            <w:r>
              <w:rPr>
                <w:rFonts w:hint="eastAsia"/>
                <w:color w:val="C00000"/>
                <w:szCs w:val="21"/>
              </w:rPr>
              <w:t>t/a</w:t>
            </w:r>
            <w:r>
              <w:rPr>
                <w:color w:val="C00000"/>
                <w:kern w:val="0"/>
                <w:sz w:val="22"/>
                <w:szCs w:val="22"/>
                <w:lang w:bidi="ar"/>
              </w:rPr>
              <w:t xml:space="preserve"> </w:t>
            </w:r>
          </w:p>
        </w:tc>
        <w:tc>
          <w:tcPr>
            <w:tcW w:w="1212" w:type="dxa"/>
            <w:shd w:val="clear" w:color="auto" w:fill="auto"/>
            <w:vAlign w:val="center"/>
          </w:tcPr>
          <w:p w14:paraId="6A5D2BD2">
            <w:pPr>
              <w:jc w:val="center"/>
              <w:rPr>
                <w:rFonts w:hint="eastAsia" w:ascii="Times New Roman" w:hAnsi="Times New Roman" w:eastAsia="宋体" w:cs="Times New Roman"/>
                <w:snapToGrid w:val="0"/>
                <w:color w:val="C00000"/>
                <w:kern w:val="21"/>
                <w:sz w:val="21"/>
                <w:szCs w:val="21"/>
                <w:lang w:val="en-US" w:eastAsia="zh-CN" w:bidi="ar-SA"/>
              </w:rPr>
            </w:pPr>
            <w:r>
              <w:rPr>
                <w:rFonts w:hint="eastAsia"/>
                <w:snapToGrid w:val="0"/>
                <w:color w:val="C00000"/>
                <w:kern w:val="21"/>
                <w:szCs w:val="21"/>
                <w:lang w:val="en-US" w:eastAsia="zh-CN"/>
              </w:rPr>
              <w:t>+0.1</w:t>
            </w:r>
            <w:r>
              <w:rPr>
                <w:rFonts w:hint="eastAsia"/>
                <w:color w:val="C00000"/>
                <w:szCs w:val="21"/>
              </w:rPr>
              <w:t>t/a</w:t>
            </w:r>
            <w:r>
              <w:rPr>
                <w:color w:val="C00000"/>
                <w:kern w:val="0"/>
                <w:sz w:val="22"/>
                <w:szCs w:val="22"/>
                <w:lang w:bidi="ar"/>
              </w:rPr>
              <w:t xml:space="preserve"> </w:t>
            </w:r>
          </w:p>
        </w:tc>
      </w:tr>
    </w:tbl>
    <w:p w14:paraId="322DC49D">
      <w:pPr>
        <w:pStyle w:val="58"/>
        <w:spacing w:before="192" w:beforeLines="80" w:after="24"/>
        <w:jc w:val="left"/>
        <w:rPr>
          <w:rFonts w:ascii="Times New Roman"/>
          <w:snapToGrid w:val="0"/>
          <w:spacing w:val="-6"/>
          <w:kern w:val="21"/>
          <w:szCs w:val="21"/>
        </w:rPr>
      </w:pPr>
      <w:r>
        <w:rPr>
          <w:rFonts w:ascii="Times New Roman"/>
          <w:snapToGrid w:val="0"/>
          <w:kern w:val="21"/>
          <w:szCs w:val="21"/>
        </w:rPr>
        <w:t>注：</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szCs w:val="21"/>
        </w:rPr>
        <w:t>①</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ascii="Times New Roman"/>
          <w:szCs w:val="21"/>
        </w:rPr>
        <w:t>③</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ascii="Times New Roman"/>
          <w:szCs w:val="21"/>
        </w:rPr>
        <w:t>④</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ascii="Times New Roman"/>
          <w:szCs w:val="21"/>
        </w:rPr>
        <w:t>⑤</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ascii="Times New Roman"/>
          <w:szCs w:val="21"/>
        </w:rPr>
        <w:t>⑦</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szCs w:val="21"/>
        </w:rPr>
        <w:t>①</w:t>
      </w:r>
      <w:r>
        <w:rPr>
          <w:rFonts w:ascii="Times New Roman"/>
          <w:snapToGrid w:val="0"/>
          <w:spacing w:val="-6"/>
          <w:kern w:val="21"/>
          <w:szCs w:val="21"/>
        </w:rPr>
        <w:fldChar w:fldCharType="end"/>
      </w:r>
    </w:p>
    <w:p w14:paraId="65EC1C28">
      <w:pPr>
        <w:rPr>
          <w:b/>
          <w:bCs/>
          <w:kern w:val="0"/>
          <w:szCs w:val="21"/>
        </w:rPr>
      </w:pPr>
      <w:r>
        <w:rPr>
          <w:b/>
          <w:bCs/>
          <w:kern w:val="0"/>
          <w:szCs w:val="21"/>
        </w:rPr>
        <w:br w:type="page"/>
      </w:r>
    </w:p>
    <w:p w14:paraId="2C4363C2">
      <w:pPr>
        <w:spacing w:line="360" w:lineRule="auto"/>
        <w:rPr>
          <w:b/>
          <w:bCs/>
          <w:kern w:val="0"/>
          <w:szCs w:val="21"/>
        </w:rPr>
        <w:sectPr>
          <w:footerReference r:id="rId8" w:type="default"/>
          <w:pgSz w:w="16838" w:h="11906" w:orient="landscape"/>
          <w:pgMar w:top="1701" w:right="1531" w:bottom="1701" w:left="1531" w:header="851" w:footer="851" w:gutter="0"/>
          <w:cols w:space="720" w:num="1"/>
          <w:docGrid w:linePitch="312" w:charSpace="0"/>
        </w:sectPr>
      </w:pPr>
    </w:p>
    <w:p w14:paraId="3E9F5865">
      <w:pPr>
        <w:pageBreakBefore/>
        <w:spacing w:line="360" w:lineRule="auto"/>
        <w:jc w:val="left"/>
        <w:outlineLvl w:val="0"/>
        <w:rPr>
          <w:b/>
          <w:bCs/>
          <w:kern w:val="0"/>
          <w:sz w:val="24"/>
        </w:rPr>
      </w:pPr>
      <w:bookmarkStart w:id="32" w:name="_Toc28586"/>
      <w:bookmarkStart w:id="33" w:name="_Toc28396"/>
      <w:r>
        <w:rPr>
          <w:b/>
          <w:bCs/>
          <w:kern w:val="0"/>
          <w:sz w:val="24"/>
        </w:rPr>
        <w:t>附件1营业执照</w:t>
      </w:r>
      <w:bookmarkEnd w:id="32"/>
      <w:bookmarkEnd w:id="33"/>
    </w:p>
    <w:p w14:paraId="39513642">
      <w:pPr>
        <w:jc w:val="center"/>
      </w:pPr>
    </w:p>
    <w:p w14:paraId="4E2D2D59">
      <w:pPr>
        <w:jc w:val="center"/>
        <w:sectPr>
          <w:pgSz w:w="11906" w:h="16838"/>
          <w:pgMar w:top="1531" w:right="1701" w:bottom="1531" w:left="1701" w:header="851" w:footer="851" w:gutter="0"/>
          <w:cols w:space="720" w:num="1"/>
          <w:docGrid w:linePitch="312" w:charSpace="0"/>
        </w:sectPr>
      </w:pPr>
      <w:r>
        <w:drawing>
          <wp:inline distT="0" distB="0" distL="114300" distR="114300">
            <wp:extent cx="5390515" cy="7626350"/>
            <wp:effectExtent l="0" t="0" r="635" b="12700"/>
            <wp:docPr id="95" name="图片 95" descr="3da377958b2eb66456e3e75c5f92a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3da377958b2eb66456e3e75c5f92a906"/>
                    <pic:cNvPicPr>
                      <a:picLocks noChangeAspect="1"/>
                    </pic:cNvPicPr>
                  </pic:nvPicPr>
                  <pic:blipFill>
                    <a:blip r:embed="rId33"/>
                    <a:stretch>
                      <a:fillRect/>
                    </a:stretch>
                  </pic:blipFill>
                  <pic:spPr>
                    <a:xfrm>
                      <a:off x="0" y="0"/>
                      <a:ext cx="5390515" cy="7626350"/>
                    </a:xfrm>
                    <a:prstGeom prst="rect">
                      <a:avLst/>
                    </a:prstGeom>
                  </pic:spPr>
                </pic:pic>
              </a:graphicData>
            </a:graphic>
          </wp:inline>
        </w:drawing>
      </w:r>
    </w:p>
    <w:p w14:paraId="41E5D1D1">
      <w:pPr>
        <w:spacing w:line="360" w:lineRule="auto"/>
        <w:outlineLvl w:val="0"/>
        <w:rPr>
          <w:b/>
          <w:bCs/>
          <w:kern w:val="0"/>
          <w:sz w:val="24"/>
        </w:rPr>
      </w:pPr>
      <w:bookmarkStart w:id="34" w:name="_Toc10935"/>
      <w:bookmarkStart w:id="35" w:name="_Toc22521"/>
      <w:bookmarkStart w:id="36" w:name="_Toc7647"/>
      <w:r>
        <w:rPr>
          <w:b/>
          <w:bCs/>
          <w:kern w:val="0"/>
          <w:sz w:val="24"/>
        </w:rPr>
        <w:t>附件</w:t>
      </w:r>
      <w:bookmarkEnd w:id="34"/>
      <w:r>
        <w:rPr>
          <w:rFonts w:hint="eastAsia"/>
          <w:b/>
          <w:bCs/>
          <w:kern w:val="0"/>
          <w:sz w:val="24"/>
        </w:rPr>
        <w:t>2厂房购买合同</w:t>
      </w:r>
      <w:bookmarkEnd w:id="35"/>
    </w:p>
    <w:p w14:paraId="0D824549">
      <w:pPr>
        <w:spacing w:line="360" w:lineRule="auto"/>
        <w:outlineLvl w:val="0"/>
        <w:rPr>
          <w:b/>
          <w:bCs/>
          <w:kern w:val="0"/>
          <w:szCs w:val="21"/>
        </w:rPr>
      </w:pPr>
      <w:bookmarkStart w:id="37" w:name="_Toc20131"/>
      <w:bookmarkStart w:id="38" w:name="_Toc5884"/>
      <w:bookmarkStart w:id="39" w:name="_Toc28879"/>
      <w:bookmarkStart w:id="40" w:name="_Toc21175"/>
      <w:r>
        <w:rPr>
          <w:b/>
          <w:bCs/>
          <w:kern w:val="0"/>
          <w:szCs w:val="21"/>
        </w:rPr>
        <w:drawing>
          <wp:inline distT="0" distB="0" distL="114300" distR="114300">
            <wp:extent cx="5749925" cy="7669530"/>
            <wp:effectExtent l="0" t="0" r="3175" b="7620"/>
            <wp:docPr id="97" name="图片 97" descr="429855ecab3240b9617758a4abdd86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429855ecab3240b9617758a4abdd862e"/>
                    <pic:cNvPicPr>
                      <a:picLocks noChangeAspect="1"/>
                    </pic:cNvPicPr>
                  </pic:nvPicPr>
                  <pic:blipFill>
                    <a:blip r:embed="rId34"/>
                    <a:stretch>
                      <a:fillRect/>
                    </a:stretch>
                  </pic:blipFill>
                  <pic:spPr>
                    <a:xfrm>
                      <a:off x="0" y="0"/>
                      <a:ext cx="5749925" cy="7669530"/>
                    </a:xfrm>
                    <a:prstGeom prst="rect">
                      <a:avLst/>
                    </a:prstGeom>
                  </pic:spPr>
                </pic:pic>
              </a:graphicData>
            </a:graphic>
          </wp:inline>
        </w:drawing>
      </w:r>
      <w:r>
        <w:rPr>
          <w:b/>
          <w:bCs/>
          <w:kern w:val="0"/>
          <w:szCs w:val="21"/>
        </w:rPr>
        <w:drawing>
          <wp:inline distT="0" distB="0" distL="114300" distR="114300">
            <wp:extent cx="5749925" cy="7669530"/>
            <wp:effectExtent l="0" t="0" r="3175" b="7620"/>
            <wp:docPr id="98" name="图片 98" descr="dfdc4be75bf9b49233e58dbe5d4e4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dfdc4be75bf9b49233e58dbe5d4e4081"/>
                    <pic:cNvPicPr>
                      <a:picLocks noChangeAspect="1"/>
                    </pic:cNvPicPr>
                  </pic:nvPicPr>
                  <pic:blipFill>
                    <a:blip r:embed="rId35"/>
                    <a:stretch>
                      <a:fillRect/>
                    </a:stretch>
                  </pic:blipFill>
                  <pic:spPr>
                    <a:xfrm>
                      <a:off x="0" y="0"/>
                      <a:ext cx="5749925" cy="7669530"/>
                    </a:xfrm>
                    <a:prstGeom prst="rect">
                      <a:avLst/>
                    </a:prstGeom>
                  </pic:spPr>
                </pic:pic>
              </a:graphicData>
            </a:graphic>
          </wp:inline>
        </w:drawing>
      </w:r>
      <w:bookmarkEnd w:id="37"/>
      <w:bookmarkEnd w:id="38"/>
      <w:bookmarkEnd w:id="39"/>
      <w:bookmarkEnd w:id="40"/>
    </w:p>
    <w:p w14:paraId="093C6CB2">
      <w:pPr>
        <w:spacing w:line="360" w:lineRule="auto"/>
        <w:rPr>
          <w:b/>
          <w:bCs/>
          <w:kern w:val="0"/>
          <w:szCs w:val="21"/>
        </w:rPr>
      </w:pPr>
    </w:p>
    <w:p w14:paraId="51413938"/>
    <w:bookmarkEnd w:id="36"/>
    <w:p w14:paraId="19BAD202">
      <w:pPr>
        <w:pStyle w:val="2"/>
        <w:tabs>
          <w:tab w:val="left" w:pos="3600"/>
        </w:tabs>
        <w:spacing w:before="0" w:after="0" w:line="360" w:lineRule="auto"/>
        <w:ind w:left="431" w:hanging="431"/>
        <w:rPr>
          <w:rFonts w:eastAsia="宋体"/>
          <w:color w:val="auto"/>
          <w:sz w:val="24"/>
          <w:szCs w:val="24"/>
        </w:rPr>
      </w:pPr>
      <w:bookmarkStart w:id="41" w:name="_Toc28585"/>
      <w:bookmarkStart w:id="42" w:name="_Toc20207"/>
      <w:r>
        <w:rPr>
          <w:rFonts w:hint="eastAsia" w:eastAsia="宋体"/>
          <w:color w:val="auto"/>
          <w:sz w:val="24"/>
          <w:szCs w:val="24"/>
        </w:rPr>
        <w:t>附件3 土地证明文件</w:t>
      </w:r>
      <w:bookmarkEnd w:id="41"/>
    </w:p>
    <w:p w14:paraId="7805EAF7">
      <w:r>
        <w:rPr>
          <w:rFonts w:hint="eastAsia"/>
        </w:rPr>
        <w:drawing>
          <wp:inline distT="0" distB="0" distL="114300" distR="114300">
            <wp:extent cx="5749925" cy="7669530"/>
            <wp:effectExtent l="0" t="0" r="3175" b="7620"/>
            <wp:docPr id="7" name="图片 7" descr="696bd568f6eadc03d93cf3c42995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96bd568f6eadc03d93cf3c429952588"/>
                    <pic:cNvPicPr>
                      <a:picLocks noChangeAspect="1"/>
                    </pic:cNvPicPr>
                  </pic:nvPicPr>
                  <pic:blipFill>
                    <a:blip r:embed="rId36"/>
                    <a:stretch>
                      <a:fillRect/>
                    </a:stretch>
                  </pic:blipFill>
                  <pic:spPr>
                    <a:xfrm>
                      <a:off x="0" y="0"/>
                      <a:ext cx="5749925" cy="7669530"/>
                    </a:xfrm>
                    <a:prstGeom prst="rect">
                      <a:avLst/>
                    </a:prstGeom>
                  </pic:spPr>
                </pic:pic>
              </a:graphicData>
            </a:graphic>
          </wp:inline>
        </w:drawing>
      </w:r>
      <w:r>
        <w:rPr>
          <w:rFonts w:hint="eastAsia"/>
        </w:rPr>
        <w:drawing>
          <wp:inline distT="0" distB="0" distL="114300" distR="114300">
            <wp:extent cx="5749925" cy="7669530"/>
            <wp:effectExtent l="0" t="0" r="3175" b="7620"/>
            <wp:docPr id="12" name="图片 12" descr="77309afda42a8ed058ad0acc2cedc1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77309afda42a8ed058ad0acc2cedc1c4"/>
                    <pic:cNvPicPr>
                      <a:picLocks noChangeAspect="1"/>
                    </pic:cNvPicPr>
                  </pic:nvPicPr>
                  <pic:blipFill>
                    <a:blip r:embed="rId37"/>
                    <a:stretch>
                      <a:fillRect/>
                    </a:stretch>
                  </pic:blipFill>
                  <pic:spPr>
                    <a:xfrm>
                      <a:off x="0" y="0"/>
                      <a:ext cx="5749925" cy="7669530"/>
                    </a:xfrm>
                    <a:prstGeom prst="rect">
                      <a:avLst/>
                    </a:prstGeom>
                  </pic:spPr>
                </pic:pic>
              </a:graphicData>
            </a:graphic>
          </wp:inline>
        </w:drawing>
      </w:r>
    </w:p>
    <w:p w14:paraId="0F78D8EA"/>
    <w:p w14:paraId="236E9F07"/>
    <w:p w14:paraId="0945D375">
      <w:pPr>
        <w:pStyle w:val="2"/>
        <w:tabs>
          <w:tab w:val="left" w:pos="3600"/>
        </w:tabs>
        <w:spacing w:line="360" w:lineRule="auto"/>
        <w:rPr>
          <w:rFonts w:eastAsia="宋体"/>
          <w:color w:val="auto"/>
          <w:sz w:val="21"/>
          <w:szCs w:val="21"/>
          <w:highlight w:val="yellow"/>
        </w:rPr>
        <w:sectPr>
          <w:pgSz w:w="11906" w:h="16838"/>
          <w:pgMar w:top="1418" w:right="1418" w:bottom="1418" w:left="1418" w:header="851" w:footer="1208" w:gutter="0"/>
          <w:cols w:space="720" w:num="1"/>
          <w:docGrid w:type="lines" w:linePitch="312" w:charSpace="0"/>
        </w:sectPr>
      </w:pPr>
    </w:p>
    <w:p w14:paraId="6D73608C">
      <w:pPr>
        <w:pStyle w:val="2"/>
        <w:tabs>
          <w:tab w:val="left" w:pos="3600"/>
        </w:tabs>
        <w:spacing w:before="0" w:after="0" w:line="360" w:lineRule="auto"/>
        <w:ind w:left="431" w:hanging="431"/>
        <w:rPr>
          <w:rFonts w:eastAsia="宋体"/>
          <w:color w:val="auto"/>
          <w:sz w:val="24"/>
          <w:szCs w:val="24"/>
        </w:rPr>
      </w:pPr>
      <w:bookmarkStart w:id="43" w:name="_Toc14530"/>
      <w:r>
        <w:rPr>
          <w:rFonts w:hint="eastAsia" w:eastAsia="宋体"/>
          <w:color w:val="auto"/>
          <w:sz w:val="24"/>
          <w:szCs w:val="24"/>
        </w:rPr>
        <w:t>附件4 现状评估备案登记表</w:t>
      </w:r>
      <w:bookmarkEnd w:id="43"/>
    </w:p>
    <w:p w14:paraId="59073468">
      <w:pPr>
        <w:sectPr>
          <w:pgSz w:w="11906" w:h="16838"/>
          <w:pgMar w:top="1418" w:right="1418" w:bottom="1418" w:left="1418" w:header="851" w:footer="1208" w:gutter="0"/>
          <w:cols w:space="720" w:num="1"/>
          <w:docGrid w:type="lines" w:linePitch="312" w:charSpace="0"/>
        </w:sectPr>
      </w:pPr>
      <w:r>
        <w:drawing>
          <wp:inline distT="0" distB="0" distL="114300" distR="114300">
            <wp:extent cx="5379085" cy="8279765"/>
            <wp:effectExtent l="0" t="0" r="12065" b="6985"/>
            <wp:docPr id="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
                    <pic:cNvPicPr>
                      <a:picLocks noChangeAspect="1"/>
                    </pic:cNvPicPr>
                  </pic:nvPicPr>
                  <pic:blipFill>
                    <a:blip r:embed="rId38"/>
                    <a:stretch>
                      <a:fillRect/>
                    </a:stretch>
                  </pic:blipFill>
                  <pic:spPr>
                    <a:xfrm>
                      <a:off x="0" y="0"/>
                      <a:ext cx="5379085" cy="8279765"/>
                    </a:xfrm>
                    <a:prstGeom prst="rect">
                      <a:avLst/>
                    </a:prstGeom>
                    <a:noFill/>
                    <a:ln>
                      <a:noFill/>
                    </a:ln>
                  </pic:spPr>
                </pic:pic>
              </a:graphicData>
            </a:graphic>
          </wp:inline>
        </w:drawing>
      </w:r>
      <w:r>
        <w:drawing>
          <wp:inline distT="0" distB="0" distL="114300" distR="114300">
            <wp:extent cx="5380355" cy="8279765"/>
            <wp:effectExtent l="0" t="0" r="10795" b="6985"/>
            <wp:docPr id="10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6"/>
                    <pic:cNvPicPr>
                      <a:picLocks noChangeAspect="1"/>
                    </pic:cNvPicPr>
                  </pic:nvPicPr>
                  <pic:blipFill>
                    <a:blip r:embed="rId39"/>
                    <a:stretch>
                      <a:fillRect/>
                    </a:stretch>
                  </pic:blipFill>
                  <pic:spPr>
                    <a:xfrm>
                      <a:off x="0" y="0"/>
                      <a:ext cx="5380355" cy="8279765"/>
                    </a:xfrm>
                    <a:prstGeom prst="rect">
                      <a:avLst/>
                    </a:prstGeom>
                    <a:noFill/>
                    <a:ln>
                      <a:noFill/>
                    </a:ln>
                  </pic:spPr>
                </pic:pic>
              </a:graphicData>
            </a:graphic>
          </wp:inline>
        </w:drawing>
      </w:r>
      <w:r>
        <w:drawing>
          <wp:inline distT="0" distB="0" distL="114300" distR="114300">
            <wp:extent cx="5461000" cy="8279765"/>
            <wp:effectExtent l="0" t="0" r="6350" b="6985"/>
            <wp:docPr id="10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7"/>
                    <pic:cNvPicPr>
                      <a:picLocks noChangeAspect="1"/>
                    </pic:cNvPicPr>
                  </pic:nvPicPr>
                  <pic:blipFill>
                    <a:blip r:embed="rId40"/>
                    <a:stretch>
                      <a:fillRect/>
                    </a:stretch>
                  </pic:blipFill>
                  <pic:spPr>
                    <a:xfrm>
                      <a:off x="0" y="0"/>
                      <a:ext cx="5461000" cy="8279765"/>
                    </a:xfrm>
                    <a:prstGeom prst="rect">
                      <a:avLst/>
                    </a:prstGeom>
                    <a:noFill/>
                    <a:ln>
                      <a:noFill/>
                    </a:ln>
                  </pic:spPr>
                </pic:pic>
              </a:graphicData>
            </a:graphic>
          </wp:inline>
        </w:drawing>
      </w:r>
    </w:p>
    <w:p w14:paraId="2480D731">
      <w:pPr>
        <w:pStyle w:val="2"/>
        <w:tabs>
          <w:tab w:val="left" w:pos="3600"/>
        </w:tabs>
        <w:spacing w:before="0" w:after="0" w:line="360" w:lineRule="auto"/>
        <w:ind w:left="431" w:hanging="431"/>
        <w:rPr>
          <w:rFonts w:eastAsia="宋体"/>
          <w:color w:val="auto"/>
          <w:sz w:val="24"/>
          <w:szCs w:val="24"/>
        </w:rPr>
      </w:pPr>
      <w:bookmarkStart w:id="44" w:name="_Toc26459"/>
      <w:r>
        <w:rPr>
          <w:rFonts w:eastAsia="宋体"/>
          <w:color w:val="auto"/>
          <w:sz w:val="24"/>
          <w:szCs w:val="24"/>
        </w:rPr>
        <w:t>附件</w:t>
      </w:r>
      <w:r>
        <w:rPr>
          <w:rFonts w:hint="eastAsia" w:eastAsia="宋体"/>
          <w:color w:val="auto"/>
          <w:sz w:val="24"/>
          <w:szCs w:val="24"/>
        </w:rPr>
        <w:t>5现状引用</w:t>
      </w:r>
      <w:r>
        <w:rPr>
          <w:rFonts w:eastAsia="宋体"/>
          <w:color w:val="auto"/>
          <w:sz w:val="24"/>
          <w:szCs w:val="24"/>
        </w:rPr>
        <w:t>检测报告</w:t>
      </w:r>
      <w:bookmarkEnd w:id="42"/>
      <w:bookmarkEnd w:id="44"/>
    </w:p>
    <w:p w14:paraId="4538A22D">
      <w:r>
        <w:drawing>
          <wp:inline distT="0" distB="0" distL="114300" distR="114300">
            <wp:extent cx="5758815" cy="8100060"/>
            <wp:effectExtent l="0" t="0" r="13335" b="15240"/>
            <wp:docPr id="56" name="图片 56" descr="ZYJC202507051 友谊县谊隆粮食经销有限责任公司改造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ZYJC202507051 友谊县谊隆粮食经销有限责任公司改造项目_01"/>
                    <pic:cNvPicPr>
                      <a:picLocks noChangeAspect="1"/>
                    </pic:cNvPicPr>
                  </pic:nvPicPr>
                  <pic:blipFill>
                    <a:blip r:embed="rId41"/>
                    <a:stretch>
                      <a:fillRect/>
                    </a:stretch>
                  </pic:blipFill>
                  <pic:spPr>
                    <a:xfrm>
                      <a:off x="0" y="0"/>
                      <a:ext cx="5758815" cy="8100060"/>
                    </a:xfrm>
                    <a:prstGeom prst="rect">
                      <a:avLst/>
                    </a:prstGeom>
                  </pic:spPr>
                </pic:pic>
              </a:graphicData>
            </a:graphic>
          </wp:inline>
        </w:drawing>
      </w:r>
      <w:r>
        <w:drawing>
          <wp:inline distT="0" distB="0" distL="114300" distR="114300">
            <wp:extent cx="5758815" cy="8079105"/>
            <wp:effectExtent l="0" t="0" r="13335" b="17145"/>
            <wp:docPr id="57" name="图片 57" descr="ZYJC202507051 友谊县谊隆粮食经销有限责任公司改造项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ZYJC202507051 友谊县谊隆粮食经销有限责任公司改造项目_02"/>
                    <pic:cNvPicPr>
                      <a:picLocks noChangeAspect="1"/>
                    </pic:cNvPicPr>
                  </pic:nvPicPr>
                  <pic:blipFill>
                    <a:blip r:embed="rId42"/>
                    <a:stretch>
                      <a:fillRect/>
                    </a:stretch>
                  </pic:blipFill>
                  <pic:spPr>
                    <a:xfrm>
                      <a:off x="0" y="0"/>
                      <a:ext cx="5758815" cy="8079105"/>
                    </a:xfrm>
                    <a:prstGeom prst="rect">
                      <a:avLst/>
                    </a:prstGeom>
                  </pic:spPr>
                </pic:pic>
              </a:graphicData>
            </a:graphic>
          </wp:inline>
        </w:drawing>
      </w:r>
      <w:r>
        <w:drawing>
          <wp:inline distT="0" distB="0" distL="114300" distR="114300">
            <wp:extent cx="5758815" cy="8089265"/>
            <wp:effectExtent l="0" t="0" r="13335" b="6985"/>
            <wp:docPr id="58" name="图片 58" descr="ZYJC202507051 友谊县谊隆粮食经销有限责任公司改造项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ZYJC202507051 友谊县谊隆粮食经销有限责任公司改造项目_03"/>
                    <pic:cNvPicPr>
                      <a:picLocks noChangeAspect="1"/>
                    </pic:cNvPicPr>
                  </pic:nvPicPr>
                  <pic:blipFill>
                    <a:blip r:embed="rId43"/>
                    <a:stretch>
                      <a:fillRect/>
                    </a:stretch>
                  </pic:blipFill>
                  <pic:spPr>
                    <a:xfrm>
                      <a:off x="0" y="0"/>
                      <a:ext cx="5758815" cy="8089265"/>
                    </a:xfrm>
                    <a:prstGeom prst="rect">
                      <a:avLst/>
                    </a:prstGeom>
                  </pic:spPr>
                </pic:pic>
              </a:graphicData>
            </a:graphic>
          </wp:inline>
        </w:drawing>
      </w:r>
      <w:r>
        <w:drawing>
          <wp:inline distT="0" distB="0" distL="114300" distR="114300">
            <wp:extent cx="5758815" cy="8079105"/>
            <wp:effectExtent l="0" t="0" r="13335" b="17145"/>
            <wp:docPr id="55" name="图片 55" descr="ZYJC202507051 友谊县谊隆粮食经销有限责任公司改造项目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ZYJC202507051 友谊县谊隆粮食经销有限责任公司改造项目_04"/>
                    <pic:cNvPicPr>
                      <a:picLocks noChangeAspect="1"/>
                    </pic:cNvPicPr>
                  </pic:nvPicPr>
                  <pic:blipFill>
                    <a:blip r:embed="rId44"/>
                    <a:stretch>
                      <a:fillRect/>
                    </a:stretch>
                  </pic:blipFill>
                  <pic:spPr>
                    <a:xfrm>
                      <a:off x="0" y="0"/>
                      <a:ext cx="5758815" cy="8079105"/>
                    </a:xfrm>
                    <a:prstGeom prst="rect">
                      <a:avLst/>
                    </a:prstGeom>
                  </pic:spPr>
                </pic:pic>
              </a:graphicData>
            </a:graphic>
          </wp:inline>
        </w:drawing>
      </w:r>
    </w:p>
    <w:p w14:paraId="36830E5B"/>
    <w:p w14:paraId="508D9301">
      <w:pPr>
        <w:jc w:val="left"/>
      </w:pPr>
    </w:p>
    <w:p w14:paraId="2783DD42">
      <w:r>
        <w:br w:type="page"/>
      </w:r>
    </w:p>
    <w:p w14:paraId="79C4F084">
      <w:pPr>
        <w:jc w:val="left"/>
        <w:outlineLvl w:val="0"/>
        <w:rPr>
          <w:b/>
          <w:sz w:val="24"/>
          <w:highlight w:val="none"/>
        </w:rPr>
      </w:pPr>
      <w:bookmarkStart w:id="45" w:name="_Toc16595"/>
      <w:bookmarkStart w:id="46" w:name="_Toc3352"/>
      <w:r>
        <w:rPr>
          <w:rFonts w:hint="eastAsia"/>
          <w:b/>
          <w:sz w:val="24"/>
          <w:highlight w:val="none"/>
        </w:rPr>
        <w:t>附件6 现状监测报告</w:t>
      </w:r>
      <w:bookmarkEnd w:id="45"/>
    </w:p>
    <w:p w14:paraId="64D299F3">
      <w:pPr>
        <w:jc w:val="left"/>
        <w:outlineLvl w:val="0"/>
        <w:rPr>
          <w:b/>
          <w:szCs w:val="21"/>
          <w:highlight w:val="yellow"/>
        </w:rPr>
      </w:pPr>
    </w:p>
    <w:p w14:paraId="7D3F5EB3">
      <w:pPr>
        <w:rPr>
          <w:b/>
          <w:szCs w:val="21"/>
        </w:rPr>
      </w:pPr>
      <w:r>
        <w:drawing>
          <wp:inline distT="0" distB="0" distL="114300" distR="114300">
            <wp:extent cx="5581650" cy="7877175"/>
            <wp:effectExtent l="0" t="0" r="0" b="9525"/>
            <wp:docPr id="1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5"/>
                    <pic:cNvPicPr>
                      <a:picLocks noChangeAspect="1"/>
                    </pic:cNvPicPr>
                  </pic:nvPicPr>
                  <pic:blipFill>
                    <a:blip r:embed="rId45"/>
                    <a:stretch>
                      <a:fillRect/>
                    </a:stretch>
                  </pic:blipFill>
                  <pic:spPr>
                    <a:xfrm>
                      <a:off x="0" y="0"/>
                      <a:ext cx="5581650" cy="7877175"/>
                    </a:xfrm>
                    <a:prstGeom prst="rect">
                      <a:avLst/>
                    </a:prstGeom>
                    <a:noFill/>
                    <a:ln>
                      <a:noFill/>
                    </a:ln>
                  </pic:spPr>
                </pic:pic>
              </a:graphicData>
            </a:graphic>
          </wp:inline>
        </w:drawing>
      </w:r>
      <w:r>
        <w:drawing>
          <wp:inline distT="0" distB="0" distL="114300" distR="114300">
            <wp:extent cx="5600700" cy="7886700"/>
            <wp:effectExtent l="0" t="0" r="0" b="0"/>
            <wp:docPr id="1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6"/>
                    <pic:cNvPicPr>
                      <a:picLocks noChangeAspect="1"/>
                    </pic:cNvPicPr>
                  </pic:nvPicPr>
                  <pic:blipFill>
                    <a:blip r:embed="rId46"/>
                    <a:stretch>
                      <a:fillRect/>
                    </a:stretch>
                  </pic:blipFill>
                  <pic:spPr>
                    <a:xfrm>
                      <a:off x="0" y="0"/>
                      <a:ext cx="5600700" cy="7886700"/>
                    </a:xfrm>
                    <a:prstGeom prst="rect">
                      <a:avLst/>
                    </a:prstGeom>
                    <a:noFill/>
                    <a:ln>
                      <a:noFill/>
                    </a:ln>
                  </pic:spPr>
                </pic:pic>
              </a:graphicData>
            </a:graphic>
          </wp:inline>
        </w:drawing>
      </w:r>
      <w:r>
        <w:drawing>
          <wp:inline distT="0" distB="0" distL="114300" distR="114300">
            <wp:extent cx="5581650" cy="7877175"/>
            <wp:effectExtent l="0" t="0" r="0" b="9525"/>
            <wp:docPr id="1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7"/>
                    <pic:cNvPicPr>
                      <a:picLocks noChangeAspect="1"/>
                    </pic:cNvPicPr>
                  </pic:nvPicPr>
                  <pic:blipFill>
                    <a:blip r:embed="rId47"/>
                    <a:stretch>
                      <a:fillRect/>
                    </a:stretch>
                  </pic:blipFill>
                  <pic:spPr>
                    <a:xfrm>
                      <a:off x="0" y="0"/>
                      <a:ext cx="5581650" cy="7877175"/>
                    </a:xfrm>
                    <a:prstGeom prst="rect">
                      <a:avLst/>
                    </a:prstGeom>
                    <a:noFill/>
                    <a:ln>
                      <a:noFill/>
                    </a:ln>
                  </pic:spPr>
                </pic:pic>
              </a:graphicData>
            </a:graphic>
          </wp:inline>
        </w:drawing>
      </w:r>
      <w:r>
        <w:drawing>
          <wp:inline distT="0" distB="0" distL="114300" distR="114300">
            <wp:extent cx="5638800" cy="7915275"/>
            <wp:effectExtent l="0" t="0" r="0" b="9525"/>
            <wp:docPr id="1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8"/>
                    <pic:cNvPicPr>
                      <a:picLocks noChangeAspect="1"/>
                    </pic:cNvPicPr>
                  </pic:nvPicPr>
                  <pic:blipFill>
                    <a:blip r:embed="rId48"/>
                    <a:stretch>
                      <a:fillRect/>
                    </a:stretch>
                  </pic:blipFill>
                  <pic:spPr>
                    <a:xfrm>
                      <a:off x="0" y="0"/>
                      <a:ext cx="5638800" cy="7915275"/>
                    </a:xfrm>
                    <a:prstGeom prst="rect">
                      <a:avLst/>
                    </a:prstGeom>
                    <a:noFill/>
                    <a:ln>
                      <a:noFill/>
                    </a:ln>
                  </pic:spPr>
                </pic:pic>
              </a:graphicData>
            </a:graphic>
          </wp:inline>
        </w:drawing>
      </w:r>
      <w:r>
        <w:rPr>
          <w:rFonts w:hint="eastAsia"/>
          <w:b/>
          <w:szCs w:val="21"/>
        </w:rPr>
        <w:br w:type="page"/>
      </w:r>
    </w:p>
    <w:p w14:paraId="02E78510">
      <w:pPr>
        <w:jc w:val="left"/>
        <w:outlineLvl w:val="0"/>
        <w:rPr>
          <w:b/>
          <w:sz w:val="24"/>
        </w:rPr>
      </w:pPr>
      <w:bookmarkStart w:id="47" w:name="_Toc15312"/>
      <w:r>
        <w:rPr>
          <w:rFonts w:hint="eastAsia"/>
          <w:b/>
          <w:sz w:val="24"/>
        </w:rPr>
        <w:t>附件7 生物质燃料分析报告</w:t>
      </w:r>
      <w:bookmarkEnd w:id="47"/>
    </w:p>
    <w:p w14:paraId="7E6D6C43">
      <w:pPr>
        <w:pStyle w:val="30"/>
        <w:ind w:firstLine="210"/>
      </w:pPr>
      <w:r>
        <w:rPr>
          <w:rFonts w:hint="eastAsia" w:eastAsiaTheme="minorEastAsia"/>
        </w:rPr>
        <w:drawing>
          <wp:inline distT="0" distB="0" distL="114300" distR="114300">
            <wp:extent cx="5270500" cy="7115175"/>
            <wp:effectExtent l="0" t="0" r="6350" b="9525"/>
            <wp:docPr id="15" name="图片 15" descr="26aee2cde348ef0fa49e41fc50614b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6aee2cde348ef0fa49e41fc50614b27"/>
                    <pic:cNvPicPr>
                      <a:picLocks noChangeAspect="1"/>
                    </pic:cNvPicPr>
                  </pic:nvPicPr>
                  <pic:blipFill>
                    <a:blip r:embed="rId49"/>
                    <a:stretch>
                      <a:fillRect/>
                    </a:stretch>
                  </pic:blipFill>
                  <pic:spPr>
                    <a:xfrm>
                      <a:off x="0" y="0"/>
                      <a:ext cx="5270500" cy="7115175"/>
                    </a:xfrm>
                    <a:prstGeom prst="rect">
                      <a:avLst/>
                    </a:prstGeom>
                  </pic:spPr>
                </pic:pic>
              </a:graphicData>
            </a:graphic>
          </wp:inline>
        </w:drawing>
      </w:r>
    </w:p>
    <w:p w14:paraId="30B8473D">
      <w:pPr>
        <w:jc w:val="left"/>
        <w:outlineLvl w:val="0"/>
        <w:rPr>
          <w:b/>
          <w:szCs w:val="21"/>
          <w:highlight w:val="yellow"/>
        </w:rPr>
        <w:sectPr>
          <w:pgSz w:w="11906" w:h="16838"/>
          <w:pgMar w:top="1418" w:right="1418" w:bottom="1418" w:left="1418" w:header="851" w:footer="1208" w:gutter="0"/>
          <w:cols w:space="720" w:num="1"/>
          <w:docGrid w:type="lines" w:linePitch="312" w:charSpace="0"/>
        </w:sectPr>
      </w:pPr>
    </w:p>
    <w:p w14:paraId="7FFF0DF5">
      <w:pPr>
        <w:snapToGrid w:val="0"/>
        <w:spacing w:line="360" w:lineRule="auto"/>
        <w:jc w:val="left"/>
        <w:outlineLvl w:val="0"/>
        <w:rPr>
          <w:b/>
          <w:szCs w:val="21"/>
        </w:rPr>
      </w:pPr>
      <w:bookmarkStart w:id="48" w:name="_Toc20252"/>
      <w:r>
        <w:rPr>
          <w:b/>
          <w:szCs w:val="21"/>
        </w:rPr>
        <w:t>附件</w:t>
      </w:r>
      <w:r>
        <w:rPr>
          <w:rFonts w:hint="eastAsia"/>
          <w:b/>
          <w:szCs w:val="21"/>
        </w:rPr>
        <w:t>8</w:t>
      </w:r>
      <w:r>
        <w:rPr>
          <w:b/>
          <w:szCs w:val="21"/>
        </w:rPr>
        <w:t>总量计算说明</w:t>
      </w:r>
      <w:bookmarkEnd w:id="46"/>
      <w:bookmarkEnd w:id="48"/>
    </w:p>
    <w:p w14:paraId="27BE4D08">
      <w:pPr>
        <w:widowControl/>
        <w:snapToGrid w:val="0"/>
        <w:spacing w:line="360" w:lineRule="auto"/>
        <w:ind w:firstLine="480" w:firstLineChars="200"/>
        <w:rPr>
          <w:sz w:val="24"/>
        </w:rPr>
      </w:pPr>
      <w:r>
        <w:rPr>
          <w:sz w:val="24"/>
        </w:rPr>
        <w:t>1、热风炉烟气</w:t>
      </w:r>
    </w:p>
    <w:p w14:paraId="49323F24">
      <w:pPr>
        <w:pStyle w:val="13"/>
        <w:snapToGrid w:val="0"/>
        <w:spacing w:line="360" w:lineRule="auto"/>
        <w:ind w:firstLine="480" w:firstLineChars="200"/>
        <w:jc w:val="left"/>
        <w:rPr>
          <w:highlight w:val="yellow"/>
        </w:rPr>
      </w:pPr>
      <w:r>
        <w:rPr>
          <w:rFonts w:ascii="Times New Roman"/>
          <w:sz w:val="24"/>
        </w:rPr>
        <w:t>根据《排污许可证申请与核发技术规范</w:t>
      </w:r>
      <w:r>
        <w:rPr>
          <w:rFonts w:hint="eastAsia" w:ascii="Times New Roman"/>
          <w:sz w:val="24"/>
        </w:rPr>
        <w:t xml:space="preserve"> </w:t>
      </w:r>
      <w:r>
        <w:rPr>
          <w:rFonts w:ascii="Times New Roman"/>
          <w:sz w:val="24"/>
        </w:rPr>
        <w:t>工业炉窑》 (HJ1121-2020) 中表6取值表计算本项目颗粒物、二氧化硫、氮氧化物绩效值。本项目所用燃料收到基低位发热量为</w:t>
      </w:r>
      <w:r>
        <w:rPr>
          <w:rFonts w:hint="eastAsia" w:ascii="Times New Roman"/>
          <w:sz w:val="24"/>
        </w:rPr>
        <w:t>14.083</w:t>
      </w:r>
      <w:r>
        <w:rPr>
          <w:rFonts w:ascii="Times New Roman"/>
          <w:sz w:val="24"/>
        </w:rPr>
        <w:t>MJ/kg，由于实际热值介</w:t>
      </w:r>
      <w:r>
        <w:rPr>
          <w:rFonts w:hint="eastAsia" w:ascii="Times New Roman"/>
          <w:sz w:val="24"/>
          <w:lang w:eastAsia="zh-CN"/>
        </w:rPr>
        <w:t>于</w:t>
      </w:r>
      <w:r>
        <w:rPr>
          <w:rFonts w:ascii="Times New Roman"/>
          <w:sz w:val="24"/>
        </w:rPr>
        <w:t>12.56和14.65之间，采用排污许可证申请核发技术规范表6插值法计算绩效值。经计算可知本项目绩效值为：</w:t>
      </w:r>
    </w:p>
    <w:p w14:paraId="1744C5B4">
      <w:pPr>
        <w:pStyle w:val="13"/>
        <w:snapToGrid w:val="0"/>
        <w:spacing w:line="360" w:lineRule="auto"/>
        <w:ind w:firstLine="0"/>
        <w:jc w:val="left"/>
        <w:rPr>
          <w:rFonts w:ascii="Times New Roman"/>
          <w:sz w:val="24"/>
        </w:rPr>
      </w:pPr>
      <w:r>
        <w:rPr>
          <w:rFonts w:ascii="Times New Roman"/>
          <w:sz w:val="24"/>
        </w:rPr>
        <w:t>颗粒物绩效值：0.204+(</w:t>
      </w:r>
      <w:r>
        <w:rPr>
          <w:rFonts w:hint="eastAsia" w:ascii="Times New Roman"/>
          <w:sz w:val="24"/>
        </w:rPr>
        <w:t>14.083</w:t>
      </w:r>
      <w:r>
        <w:rPr>
          <w:rFonts w:ascii="Times New Roman"/>
          <w:sz w:val="24"/>
        </w:rPr>
        <w:t>-12.56)÷(14.65-12.56)×(0.228-0.204)=0.22</w:t>
      </w:r>
      <w:r>
        <w:rPr>
          <w:rFonts w:hint="eastAsia" w:ascii="Times New Roman"/>
          <w:sz w:val="24"/>
        </w:rPr>
        <w:t>1</w:t>
      </w:r>
      <w:r>
        <w:rPr>
          <w:rFonts w:ascii="Times New Roman"/>
          <w:sz w:val="24"/>
        </w:rPr>
        <w:t>kg/t</w:t>
      </w:r>
      <w:r>
        <w:rPr>
          <w:rFonts w:ascii="Times New Roman"/>
          <w:sz w:val="24"/>
          <w:vertAlign w:val="subscript"/>
        </w:rPr>
        <w:t>燃料</w:t>
      </w:r>
      <w:r>
        <w:rPr>
          <w:rFonts w:ascii="Times New Roman"/>
          <w:sz w:val="24"/>
        </w:rPr>
        <w:t>；</w:t>
      </w:r>
    </w:p>
    <w:p w14:paraId="7CEB9605">
      <w:pPr>
        <w:pStyle w:val="13"/>
        <w:snapToGrid w:val="0"/>
        <w:spacing w:line="360" w:lineRule="auto"/>
        <w:ind w:firstLine="0"/>
        <w:jc w:val="left"/>
        <w:rPr>
          <w:rFonts w:ascii="Times New Roman"/>
          <w:sz w:val="24"/>
        </w:rPr>
      </w:pPr>
      <w:r>
        <w:rPr>
          <w:rFonts w:ascii="Times New Roman"/>
          <w:sz w:val="24"/>
        </w:rPr>
        <w:t>二氧化硫绩效值：0.679+(</w:t>
      </w:r>
      <w:r>
        <w:rPr>
          <w:rFonts w:hint="eastAsia" w:ascii="Times New Roman"/>
          <w:sz w:val="24"/>
        </w:rPr>
        <w:t>14.083</w:t>
      </w:r>
      <w:r>
        <w:rPr>
          <w:rFonts w:ascii="Times New Roman"/>
          <w:sz w:val="24"/>
        </w:rPr>
        <w:t>-12.56)÷(14.65-12.56)×(0.759-0.679)=0.7</w:t>
      </w:r>
      <w:r>
        <w:rPr>
          <w:rFonts w:hint="eastAsia" w:ascii="Times New Roman"/>
          <w:sz w:val="24"/>
        </w:rPr>
        <w:t>37</w:t>
      </w:r>
      <w:r>
        <w:rPr>
          <w:rFonts w:ascii="Times New Roman"/>
          <w:sz w:val="24"/>
        </w:rPr>
        <w:t>kg/t</w:t>
      </w:r>
      <w:r>
        <w:rPr>
          <w:rFonts w:ascii="Times New Roman"/>
          <w:sz w:val="24"/>
          <w:vertAlign w:val="subscript"/>
        </w:rPr>
        <w:t>燃料</w:t>
      </w:r>
      <w:r>
        <w:rPr>
          <w:rFonts w:ascii="Times New Roman"/>
          <w:sz w:val="24"/>
        </w:rPr>
        <w:t>；</w:t>
      </w:r>
    </w:p>
    <w:p w14:paraId="002001A7">
      <w:pPr>
        <w:pStyle w:val="14"/>
        <w:snapToGrid w:val="0"/>
        <w:spacing w:before="0" w:after="0" w:line="360" w:lineRule="auto"/>
        <w:ind w:firstLine="0"/>
        <w:jc w:val="left"/>
        <w:rPr>
          <w:color w:val="auto"/>
          <w:sz w:val="24"/>
        </w:rPr>
      </w:pPr>
      <w:r>
        <w:rPr>
          <w:color w:val="auto"/>
          <w:sz w:val="24"/>
        </w:rPr>
        <w:t>氮氧化物绩效值：2.037+(</w:t>
      </w:r>
      <w:r>
        <w:rPr>
          <w:rFonts w:hint="eastAsia"/>
          <w:color w:val="auto"/>
          <w:sz w:val="24"/>
        </w:rPr>
        <w:t>14.083</w:t>
      </w:r>
      <w:r>
        <w:rPr>
          <w:color w:val="auto"/>
          <w:sz w:val="24"/>
        </w:rPr>
        <w:t>-12.56)÷(14.65-12.56)×(2.277-2.037)=2.2</w:t>
      </w:r>
      <w:r>
        <w:rPr>
          <w:rFonts w:hint="eastAsia"/>
          <w:color w:val="auto"/>
          <w:sz w:val="24"/>
        </w:rPr>
        <w:t>12</w:t>
      </w:r>
      <w:r>
        <w:rPr>
          <w:color w:val="auto"/>
          <w:sz w:val="24"/>
        </w:rPr>
        <w:t>kg/t</w:t>
      </w:r>
      <w:r>
        <w:rPr>
          <w:color w:val="auto"/>
          <w:sz w:val="24"/>
          <w:vertAlign w:val="subscript"/>
        </w:rPr>
        <w:t>燃料</w:t>
      </w:r>
      <w:r>
        <w:rPr>
          <w:color w:val="auto"/>
          <w:sz w:val="24"/>
        </w:rPr>
        <w:t>。</w:t>
      </w:r>
    </w:p>
    <w:p w14:paraId="38F0E034">
      <w:pPr>
        <w:adjustRightInd w:val="0"/>
        <w:snapToGrid w:val="0"/>
        <w:spacing w:line="360" w:lineRule="auto"/>
        <w:ind w:firstLine="480" w:firstLineChars="200"/>
        <w:rPr>
          <w:sz w:val="24"/>
        </w:rPr>
      </w:pPr>
      <w:r>
        <w:rPr>
          <w:sz w:val="24"/>
        </w:rPr>
        <w:t>颗粒物绩效值=0.2</w:t>
      </w:r>
      <w:r>
        <w:rPr>
          <w:rFonts w:hint="eastAsia"/>
          <w:sz w:val="24"/>
        </w:rPr>
        <w:t>21</w:t>
      </w:r>
      <w:r>
        <w:rPr>
          <w:sz w:val="24"/>
        </w:rPr>
        <w:t>kg/t原料</w:t>
      </w:r>
    </w:p>
    <w:p w14:paraId="79B13D23">
      <w:pPr>
        <w:adjustRightInd w:val="0"/>
        <w:snapToGrid w:val="0"/>
        <w:spacing w:line="360" w:lineRule="auto"/>
        <w:ind w:firstLine="480" w:firstLineChars="200"/>
        <w:rPr>
          <w:sz w:val="24"/>
        </w:rPr>
      </w:pPr>
      <w:r>
        <w:rPr>
          <w:sz w:val="24"/>
        </w:rPr>
        <w:t>二氧化硫绩效值=0.7</w:t>
      </w:r>
      <w:r>
        <w:rPr>
          <w:rFonts w:hint="eastAsia"/>
          <w:sz w:val="24"/>
        </w:rPr>
        <w:t>37</w:t>
      </w:r>
      <w:r>
        <w:rPr>
          <w:sz w:val="24"/>
        </w:rPr>
        <w:t xml:space="preserve">kg/t原料 </w:t>
      </w:r>
    </w:p>
    <w:p w14:paraId="7C3B6DFF">
      <w:pPr>
        <w:adjustRightInd w:val="0"/>
        <w:snapToGrid w:val="0"/>
        <w:spacing w:line="360" w:lineRule="auto"/>
        <w:ind w:firstLine="480" w:firstLineChars="200"/>
      </w:pPr>
      <w:r>
        <w:rPr>
          <w:sz w:val="24"/>
        </w:rPr>
        <w:t>氮氧化物绩效值=2.2</w:t>
      </w:r>
      <w:r>
        <w:rPr>
          <w:rFonts w:hint="eastAsia"/>
          <w:sz w:val="24"/>
        </w:rPr>
        <w:t>12</w:t>
      </w:r>
      <w:r>
        <w:rPr>
          <w:sz w:val="24"/>
        </w:rPr>
        <w:t xml:space="preserve">kg/t原料 </w:t>
      </w:r>
    </w:p>
    <w:p w14:paraId="4D1161C1">
      <w:pPr>
        <w:snapToGrid w:val="0"/>
        <w:spacing w:line="360" w:lineRule="auto"/>
        <w:ind w:firstLine="480" w:firstLineChars="200"/>
        <w:rPr>
          <w:sz w:val="24"/>
        </w:rPr>
      </w:pPr>
      <w:r>
        <w:rPr>
          <w:sz w:val="24"/>
        </w:rPr>
        <w:t>采用差值法计算得到其对应的颗粒物、二氧化硫、氮氧化物的绩效值分别为0.22</w:t>
      </w:r>
      <w:r>
        <w:rPr>
          <w:rFonts w:hint="eastAsia"/>
          <w:sz w:val="24"/>
        </w:rPr>
        <w:t>1</w:t>
      </w:r>
      <w:r>
        <w:rPr>
          <w:sz w:val="24"/>
        </w:rPr>
        <w:t>kg/t燃料、0.7</w:t>
      </w:r>
      <w:r>
        <w:rPr>
          <w:rFonts w:hint="eastAsia"/>
          <w:sz w:val="24"/>
        </w:rPr>
        <w:t>37</w:t>
      </w:r>
      <w:r>
        <w:rPr>
          <w:sz w:val="24"/>
        </w:rPr>
        <w:t>kg/t燃料、2.2</w:t>
      </w:r>
      <w:r>
        <w:rPr>
          <w:rFonts w:hint="eastAsia"/>
          <w:sz w:val="24"/>
        </w:rPr>
        <w:t>12</w:t>
      </w:r>
      <w:r>
        <w:rPr>
          <w:sz w:val="24"/>
        </w:rPr>
        <w:t>kg/t燃料。</w:t>
      </w:r>
    </w:p>
    <w:p w14:paraId="02CCB2F0">
      <w:pPr>
        <w:snapToGrid w:val="0"/>
        <w:spacing w:line="360" w:lineRule="auto"/>
        <w:ind w:firstLine="480"/>
        <w:rPr>
          <w:sz w:val="24"/>
          <w:highlight w:val="yellow"/>
        </w:rPr>
      </w:pPr>
      <w:r>
        <w:rPr>
          <w:rFonts w:hint="eastAsia"/>
          <w:sz w:val="24"/>
        </w:rPr>
        <w:t>（1）</w:t>
      </w:r>
      <w:r>
        <w:rPr>
          <w:sz w:val="24"/>
        </w:rPr>
        <w:t>本项目烘干塔的烘干用热由一台</w:t>
      </w:r>
      <w:r>
        <w:rPr>
          <w:rFonts w:hint="eastAsia"/>
          <w:sz w:val="24"/>
          <w:lang w:eastAsia="zh-CN"/>
        </w:rPr>
        <w:t>6t/h</w:t>
      </w:r>
      <w:r>
        <w:rPr>
          <w:sz w:val="24"/>
        </w:rPr>
        <w:t>热风炉提供，燃料为生物质成型燃料，消耗量为</w:t>
      </w:r>
      <w:r>
        <w:rPr>
          <w:rFonts w:hint="eastAsia"/>
          <w:sz w:val="24"/>
          <w:lang w:eastAsia="zh-CN"/>
        </w:rPr>
        <w:t>1303</w:t>
      </w:r>
      <w:r>
        <w:rPr>
          <w:sz w:val="24"/>
        </w:rPr>
        <w:t>t/a。热风炉运行时会产生和排放烟尘、SO</w:t>
      </w:r>
      <w:r>
        <w:rPr>
          <w:sz w:val="24"/>
          <w:vertAlign w:val="subscript"/>
        </w:rPr>
        <w:t>2</w:t>
      </w:r>
      <w:r>
        <w:rPr>
          <w:sz w:val="24"/>
        </w:rPr>
        <w:t>、NOx等污染物。本项目烟气量的核算参照《排污许可证申请与核发技术规范 工业炉窑》（HJ1121—2020）中绩效值法计算，排放量计算公式：</w:t>
      </w:r>
    </w:p>
    <w:p w14:paraId="3EAED495">
      <w:pPr>
        <w:pStyle w:val="31"/>
        <w:snapToGrid w:val="0"/>
        <w:spacing w:line="360" w:lineRule="auto"/>
        <w:ind w:firstLine="0" w:firstLineChars="0"/>
        <w:jc w:val="center"/>
        <w:rPr>
          <w:i/>
          <w:iCs/>
          <w:sz w:val="28"/>
          <w:szCs w:val="28"/>
        </w:rPr>
      </w:pPr>
      <w:r>
        <w:rPr>
          <w:position w:val="-16"/>
        </w:rPr>
        <w:object>
          <v:shape id="_x0000_i1025" o:spt="75" type="#_x0000_t75" style="height:23pt;width:83pt;" o:ole="t" filled="f" o:preferrelative="t" stroked="f" coordsize="21600,21600">
            <v:path/>
            <v:fill on="f" focussize="0,0"/>
            <v:stroke on="f" joinstyle="miter"/>
            <v:imagedata r:id="rId51" o:title=""/>
            <o:lock v:ext="edit" aspectratio="t"/>
            <w10:wrap type="none"/>
            <w10:anchorlock/>
          </v:shape>
          <o:OLEObject Type="Embed" ProgID="Equation.3" ShapeID="_x0000_i1025" DrawAspect="Content" ObjectID="_1468075725" r:id="rId50">
            <o:LockedField>false</o:LockedField>
          </o:OLEObject>
        </w:object>
      </w:r>
    </w:p>
    <w:p w14:paraId="2B632C95">
      <w:pPr>
        <w:pStyle w:val="31"/>
        <w:snapToGrid w:val="0"/>
        <w:spacing w:line="360" w:lineRule="auto"/>
        <w:ind w:firstLine="0" w:firstLineChars="0"/>
        <w:jc w:val="center"/>
        <w:rPr>
          <w:i/>
          <w:iCs/>
          <w:sz w:val="28"/>
          <w:szCs w:val="28"/>
        </w:rPr>
      </w:pPr>
      <w:r>
        <w:rPr>
          <w:i/>
          <w:iCs/>
          <w:sz w:val="28"/>
          <w:szCs w:val="28"/>
        </w:rPr>
        <w:t>M=R×G×10</w:t>
      </w:r>
    </w:p>
    <w:p w14:paraId="51EF97FA">
      <w:pPr>
        <w:snapToGrid w:val="0"/>
        <w:spacing w:line="360" w:lineRule="auto"/>
        <w:ind w:firstLine="720" w:firstLineChars="300"/>
        <w:rPr>
          <w:sz w:val="24"/>
        </w:rPr>
      </w:pPr>
      <w:r>
        <w:rPr>
          <w:sz w:val="24"/>
        </w:rPr>
        <w:t>式中：</w:t>
      </w:r>
      <w:r>
        <w:rPr>
          <w:i/>
          <w:iCs/>
          <w:sz w:val="24"/>
        </w:rPr>
        <w:t>M</w:t>
      </w:r>
      <w:r>
        <w:rPr>
          <w:sz w:val="24"/>
        </w:rPr>
        <w:t>—排放口年排放量， t；</w:t>
      </w:r>
    </w:p>
    <w:p w14:paraId="2EFB4965">
      <w:pPr>
        <w:snapToGrid w:val="0"/>
        <w:spacing w:line="360" w:lineRule="auto"/>
        <w:ind w:firstLine="1440" w:firstLineChars="600"/>
        <w:rPr>
          <w:sz w:val="24"/>
        </w:rPr>
      </w:pPr>
      <w:r>
        <w:rPr>
          <w:i/>
          <w:iCs/>
          <w:sz w:val="24"/>
        </w:rPr>
        <w:t>R</w:t>
      </w:r>
      <w:r>
        <w:rPr>
          <w:sz w:val="24"/>
        </w:rPr>
        <w:t>—燃料耗量，万t或万m</w:t>
      </w:r>
      <w:r>
        <w:rPr>
          <w:sz w:val="24"/>
          <w:vertAlign w:val="superscript"/>
        </w:rPr>
        <w:t>3</w:t>
      </w:r>
      <w:r>
        <w:rPr>
          <w:sz w:val="24"/>
        </w:rPr>
        <w:t>，本项目取</w:t>
      </w:r>
      <w:r>
        <w:rPr>
          <w:rFonts w:hint="eastAsia"/>
          <w:sz w:val="24"/>
        </w:rPr>
        <w:t>0.</w:t>
      </w:r>
      <w:r>
        <w:rPr>
          <w:rFonts w:hint="eastAsia"/>
          <w:sz w:val="24"/>
          <w:lang w:eastAsia="zh-CN"/>
        </w:rPr>
        <w:t>1303</w:t>
      </w:r>
      <w:r>
        <w:rPr>
          <w:sz w:val="24"/>
        </w:rPr>
        <w:t>万t；</w:t>
      </w:r>
    </w:p>
    <w:p w14:paraId="026EA3AE">
      <w:pPr>
        <w:snapToGrid w:val="0"/>
        <w:spacing w:line="360" w:lineRule="auto"/>
        <w:ind w:firstLine="1440" w:firstLineChars="600"/>
        <w:rPr>
          <w:sz w:val="24"/>
        </w:rPr>
      </w:pPr>
      <w:r>
        <w:rPr>
          <w:i/>
          <w:iCs/>
          <w:sz w:val="24"/>
        </w:rPr>
        <w:t>G</w:t>
      </w:r>
      <w:r>
        <w:rPr>
          <w:sz w:val="24"/>
        </w:rPr>
        <w:t>—绩效值，kg/t燃料，</w:t>
      </w:r>
    </w:p>
    <w:p w14:paraId="65AFD84F">
      <w:pPr>
        <w:snapToGrid w:val="0"/>
        <w:spacing w:line="360" w:lineRule="auto"/>
        <w:ind w:right="113" w:firstLine="480" w:firstLineChars="200"/>
        <w:rPr>
          <w:sz w:val="24"/>
        </w:rPr>
      </w:pPr>
      <w:r>
        <w:rPr>
          <w:sz w:val="24"/>
        </w:rPr>
        <w:t>则本项目的许可排放量为：</w:t>
      </w:r>
    </w:p>
    <w:p w14:paraId="262D3AC3">
      <w:pPr>
        <w:snapToGrid w:val="0"/>
        <w:spacing w:line="360" w:lineRule="auto"/>
        <w:ind w:firstLine="480"/>
        <w:rPr>
          <w:color w:val="C00000"/>
          <w:sz w:val="24"/>
        </w:rPr>
      </w:pPr>
      <w:r>
        <w:rPr>
          <w:color w:val="C00000"/>
          <w:sz w:val="24"/>
        </w:rPr>
        <w:t>颗粒物核定排放量为</w:t>
      </w:r>
      <w:r>
        <w:rPr>
          <w:rFonts w:hint="eastAsia"/>
          <w:color w:val="C00000"/>
          <w:sz w:val="24"/>
        </w:rPr>
        <w:t>0.</w:t>
      </w:r>
      <w:r>
        <w:rPr>
          <w:rFonts w:hint="eastAsia"/>
          <w:color w:val="C00000"/>
          <w:sz w:val="24"/>
          <w:lang w:eastAsia="zh-CN"/>
        </w:rPr>
        <w:t>1303</w:t>
      </w:r>
      <w:r>
        <w:rPr>
          <w:color w:val="C00000"/>
          <w:sz w:val="24"/>
        </w:rPr>
        <w:t>×</w:t>
      </w:r>
      <w:r>
        <w:rPr>
          <w:rFonts w:hint="eastAsia"/>
          <w:color w:val="C00000"/>
          <w:sz w:val="24"/>
        </w:rPr>
        <w:t>0.221</w:t>
      </w:r>
      <w:r>
        <w:rPr>
          <w:color w:val="C00000"/>
          <w:sz w:val="24"/>
        </w:rPr>
        <w:t>×10=</w:t>
      </w:r>
      <w:r>
        <w:rPr>
          <w:rFonts w:hint="eastAsia"/>
          <w:color w:val="C00000"/>
          <w:sz w:val="24"/>
        </w:rPr>
        <w:t>0.</w:t>
      </w:r>
      <w:r>
        <w:rPr>
          <w:rFonts w:hint="eastAsia"/>
          <w:color w:val="C00000"/>
          <w:sz w:val="24"/>
          <w:lang w:val="en-US" w:eastAsia="zh-CN"/>
        </w:rPr>
        <w:t>288</w:t>
      </w:r>
      <w:r>
        <w:rPr>
          <w:color w:val="C00000"/>
          <w:sz w:val="24"/>
        </w:rPr>
        <w:t>t/a；</w:t>
      </w:r>
    </w:p>
    <w:p w14:paraId="67E44735">
      <w:pPr>
        <w:snapToGrid w:val="0"/>
        <w:spacing w:line="360" w:lineRule="auto"/>
        <w:ind w:firstLine="480"/>
        <w:rPr>
          <w:color w:val="C00000"/>
          <w:sz w:val="24"/>
        </w:rPr>
      </w:pPr>
      <w:r>
        <w:rPr>
          <w:color w:val="C00000"/>
          <w:sz w:val="24"/>
        </w:rPr>
        <w:t>二氧化硫核定排放量为</w:t>
      </w:r>
      <w:r>
        <w:rPr>
          <w:rFonts w:hint="eastAsia"/>
          <w:color w:val="C00000"/>
          <w:sz w:val="24"/>
        </w:rPr>
        <w:t>0.</w:t>
      </w:r>
      <w:r>
        <w:rPr>
          <w:rFonts w:hint="eastAsia"/>
          <w:color w:val="C00000"/>
          <w:sz w:val="24"/>
          <w:lang w:eastAsia="zh-CN"/>
        </w:rPr>
        <w:t>1303</w:t>
      </w:r>
      <w:r>
        <w:rPr>
          <w:color w:val="C00000"/>
          <w:sz w:val="24"/>
        </w:rPr>
        <w:t>×</w:t>
      </w:r>
      <w:r>
        <w:rPr>
          <w:rFonts w:hint="eastAsia"/>
          <w:color w:val="C00000"/>
          <w:sz w:val="24"/>
        </w:rPr>
        <w:t>0.737</w:t>
      </w:r>
      <w:r>
        <w:rPr>
          <w:color w:val="C00000"/>
          <w:sz w:val="24"/>
        </w:rPr>
        <w:t>×10=</w:t>
      </w:r>
      <w:r>
        <w:rPr>
          <w:rFonts w:hint="eastAsia"/>
          <w:color w:val="C00000"/>
          <w:sz w:val="24"/>
          <w:lang w:val="en-US" w:eastAsia="zh-CN"/>
        </w:rPr>
        <w:t>0.961</w:t>
      </w:r>
      <w:r>
        <w:rPr>
          <w:color w:val="C00000"/>
          <w:sz w:val="24"/>
        </w:rPr>
        <w:t>t/a；</w:t>
      </w:r>
    </w:p>
    <w:p w14:paraId="1AF41D52">
      <w:pPr>
        <w:snapToGrid w:val="0"/>
        <w:spacing w:line="360" w:lineRule="auto"/>
        <w:ind w:firstLine="460" w:firstLineChars="192"/>
        <w:rPr>
          <w:color w:val="C00000"/>
          <w:sz w:val="24"/>
        </w:rPr>
      </w:pPr>
      <w:r>
        <w:rPr>
          <w:color w:val="C00000"/>
          <w:sz w:val="24"/>
        </w:rPr>
        <w:t>氮氧化物核定排放量为</w:t>
      </w:r>
      <w:r>
        <w:rPr>
          <w:rFonts w:hint="eastAsia"/>
          <w:color w:val="C00000"/>
          <w:sz w:val="24"/>
        </w:rPr>
        <w:t>0.</w:t>
      </w:r>
      <w:r>
        <w:rPr>
          <w:rFonts w:hint="eastAsia"/>
          <w:color w:val="C00000"/>
          <w:sz w:val="24"/>
          <w:lang w:eastAsia="zh-CN"/>
        </w:rPr>
        <w:t>1303</w:t>
      </w:r>
      <w:r>
        <w:rPr>
          <w:color w:val="C00000"/>
          <w:sz w:val="24"/>
        </w:rPr>
        <w:t>×</w:t>
      </w:r>
      <w:r>
        <w:rPr>
          <w:rFonts w:hint="eastAsia"/>
          <w:color w:val="C00000"/>
          <w:sz w:val="24"/>
        </w:rPr>
        <w:t>2.212</w:t>
      </w:r>
      <w:r>
        <w:rPr>
          <w:color w:val="C00000"/>
          <w:sz w:val="24"/>
        </w:rPr>
        <w:t>×10=</w:t>
      </w:r>
      <w:r>
        <w:rPr>
          <w:rFonts w:hint="eastAsia"/>
          <w:color w:val="C00000"/>
          <w:sz w:val="24"/>
          <w:lang w:val="en-US" w:eastAsia="zh-CN"/>
        </w:rPr>
        <w:t>2.883</w:t>
      </w:r>
      <w:r>
        <w:rPr>
          <w:color w:val="C00000"/>
          <w:sz w:val="24"/>
        </w:rPr>
        <w:t>t/a</w:t>
      </w:r>
    </w:p>
    <w:p w14:paraId="30556ED8">
      <w:pPr>
        <w:snapToGrid w:val="0"/>
        <w:spacing w:line="360" w:lineRule="auto"/>
        <w:ind w:firstLine="482"/>
        <w:rPr>
          <w:color w:val="C00000"/>
          <w:sz w:val="24"/>
        </w:rPr>
      </w:pPr>
      <w:r>
        <w:rPr>
          <w:rFonts w:hint="eastAsia"/>
          <w:color w:val="C00000"/>
          <w:sz w:val="24"/>
        </w:rPr>
        <w:t>综上所述，</w:t>
      </w:r>
      <w:r>
        <w:rPr>
          <w:color w:val="C00000"/>
          <w:sz w:val="24"/>
        </w:rPr>
        <w:t>颗粒物核定排放量为</w:t>
      </w:r>
      <w:r>
        <w:rPr>
          <w:rFonts w:hint="eastAsia"/>
          <w:color w:val="C00000"/>
          <w:sz w:val="24"/>
          <w:lang w:val="en-US" w:eastAsia="zh-CN"/>
        </w:rPr>
        <w:t>0.288</w:t>
      </w:r>
      <w:r>
        <w:rPr>
          <w:color w:val="C00000"/>
          <w:sz w:val="24"/>
        </w:rPr>
        <w:t>t/a，二氧化硫核定排放量为</w:t>
      </w:r>
      <w:r>
        <w:rPr>
          <w:rFonts w:hint="eastAsia"/>
          <w:color w:val="C00000"/>
          <w:sz w:val="24"/>
          <w:lang w:val="en-US" w:eastAsia="zh-CN"/>
        </w:rPr>
        <w:t>0.961</w:t>
      </w:r>
      <w:r>
        <w:rPr>
          <w:color w:val="C00000"/>
          <w:sz w:val="24"/>
        </w:rPr>
        <w:t>t/a</w:t>
      </w:r>
      <w:r>
        <w:rPr>
          <w:rFonts w:hint="eastAsia"/>
          <w:color w:val="C00000"/>
          <w:sz w:val="24"/>
        </w:rPr>
        <w:t>，</w:t>
      </w:r>
      <w:r>
        <w:rPr>
          <w:color w:val="C00000"/>
          <w:sz w:val="24"/>
        </w:rPr>
        <w:t>氮氧化物核定排放量为</w:t>
      </w:r>
      <w:r>
        <w:rPr>
          <w:rFonts w:hint="eastAsia"/>
          <w:color w:val="C00000"/>
          <w:sz w:val="24"/>
          <w:lang w:val="en-US" w:eastAsia="zh-CN"/>
        </w:rPr>
        <w:t>2.883</w:t>
      </w:r>
      <w:r>
        <w:rPr>
          <w:color w:val="C00000"/>
          <w:sz w:val="24"/>
        </w:rPr>
        <w:t>t/a。</w:t>
      </w:r>
    </w:p>
    <w:p w14:paraId="6A881625">
      <w:pPr>
        <w:rPr>
          <w:b/>
          <w:szCs w:val="21"/>
        </w:rPr>
      </w:pPr>
    </w:p>
    <w:p w14:paraId="03AADBE9">
      <w:pPr>
        <w:rPr>
          <w:b/>
          <w:szCs w:val="21"/>
        </w:rPr>
        <w:sectPr>
          <w:pgSz w:w="11906" w:h="16838"/>
          <w:pgMar w:top="1418" w:right="1418" w:bottom="1418" w:left="1418" w:header="851" w:footer="1208" w:gutter="0"/>
          <w:cols w:space="720" w:num="1"/>
          <w:docGrid w:type="lines" w:linePitch="312" w:charSpace="0"/>
        </w:sectPr>
      </w:pPr>
    </w:p>
    <w:p w14:paraId="26DC847A">
      <w:pPr>
        <w:jc w:val="left"/>
        <w:outlineLvl w:val="0"/>
        <w:rPr>
          <w:b/>
          <w:sz w:val="24"/>
        </w:rPr>
      </w:pPr>
      <w:bookmarkStart w:id="49" w:name="_Toc12461"/>
      <w:bookmarkStart w:id="50" w:name="_Toc31004"/>
      <w:r>
        <w:rPr>
          <w:b/>
          <w:sz w:val="24"/>
        </w:rPr>
        <w:t>附件</w:t>
      </w:r>
      <w:r>
        <w:rPr>
          <w:rFonts w:hint="eastAsia"/>
          <w:b/>
          <w:sz w:val="24"/>
        </w:rPr>
        <w:t xml:space="preserve">9 </w:t>
      </w:r>
      <w:r>
        <w:rPr>
          <w:b/>
          <w:sz w:val="24"/>
        </w:rPr>
        <w:t>生态环境分区管控分析报告</w:t>
      </w:r>
      <w:bookmarkEnd w:id="49"/>
      <w:bookmarkEnd w:id="50"/>
    </w:p>
    <w:p w14:paraId="79A31543">
      <w:pPr>
        <w:pStyle w:val="51"/>
        <w:ind w:firstLine="0" w:firstLineChars="0"/>
        <w:jc w:val="center"/>
        <w:sectPr>
          <w:footerReference r:id="rId9" w:type="default"/>
          <w:pgSz w:w="16838" w:h="11906" w:orient="landscape"/>
          <w:pgMar w:top="1531" w:right="1701" w:bottom="1531" w:left="1701" w:header="851" w:footer="851" w:gutter="0"/>
          <w:cols w:space="720" w:num="1"/>
          <w:docGrid w:linePitch="312" w:charSpace="0"/>
        </w:sectPr>
      </w:pPr>
      <w:r>
        <w:drawing>
          <wp:inline distT="0" distB="0" distL="114300" distR="114300">
            <wp:extent cx="7586980" cy="5363845"/>
            <wp:effectExtent l="0" t="0" r="13970" b="8255"/>
            <wp:docPr id="131" name="图片 131" descr="双鸭山市润丰粮食有限公司改建_2025年10月17日110732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双鸭山市润丰粮食有限公司改建_2025年10月17日110732_分析报告_01"/>
                    <pic:cNvPicPr>
                      <a:picLocks noChangeAspect="1"/>
                    </pic:cNvPicPr>
                  </pic:nvPicPr>
                  <pic:blipFill>
                    <a:blip r:embed="rId52"/>
                    <a:stretch>
                      <a:fillRect/>
                    </a:stretch>
                  </pic:blipFill>
                  <pic:spPr>
                    <a:xfrm>
                      <a:off x="0" y="0"/>
                      <a:ext cx="7586980" cy="5363845"/>
                    </a:xfrm>
                    <a:prstGeom prst="rect">
                      <a:avLst/>
                    </a:prstGeom>
                  </pic:spPr>
                </pic:pic>
              </a:graphicData>
            </a:graphic>
          </wp:inline>
        </w:drawing>
      </w:r>
      <w:r>
        <w:drawing>
          <wp:inline distT="0" distB="0" distL="114300" distR="114300">
            <wp:extent cx="7933690" cy="5609590"/>
            <wp:effectExtent l="0" t="0" r="10160" b="10160"/>
            <wp:docPr id="130" name="图片 130" descr="双鸭山市润丰粮食有限公司改建_2025年10月17日110732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双鸭山市润丰粮食有限公司改建_2025年10月17日110732_分析报告_02"/>
                    <pic:cNvPicPr>
                      <a:picLocks noChangeAspect="1"/>
                    </pic:cNvPicPr>
                  </pic:nvPicPr>
                  <pic:blipFill>
                    <a:blip r:embed="rId53"/>
                    <a:stretch>
                      <a:fillRect/>
                    </a:stretch>
                  </pic:blipFill>
                  <pic:spPr>
                    <a:xfrm>
                      <a:off x="0" y="0"/>
                      <a:ext cx="7933690" cy="5609590"/>
                    </a:xfrm>
                    <a:prstGeom prst="rect">
                      <a:avLst/>
                    </a:prstGeom>
                  </pic:spPr>
                </pic:pic>
              </a:graphicData>
            </a:graphic>
          </wp:inline>
        </w:drawing>
      </w:r>
      <w:r>
        <w:drawing>
          <wp:inline distT="0" distB="0" distL="114300" distR="114300">
            <wp:extent cx="7933690" cy="5609590"/>
            <wp:effectExtent l="0" t="0" r="10160" b="10160"/>
            <wp:docPr id="129" name="图片 129" descr="双鸭山市润丰粮食有限公司改建_2025年10月17日110732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双鸭山市润丰粮食有限公司改建_2025年10月17日110732_分析报告_03"/>
                    <pic:cNvPicPr>
                      <a:picLocks noChangeAspect="1"/>
                    </pic:cNvPicPr>
                  </pic:nvPicPr>
                  <pic:blipFill>
                    <a:blip r:embed="rId54"/>
                    <a:stretch>
                      <a:fillRect/>
                    </a:stretch>
                  </pic:blipFill>
                  <pic:spPr>
                    <a:xfrm>
                      <a:off x="0" y="0"/>
                      <a:ext cx="7933690" cy="5609590"/>
                    </a:xfrm>
                    <a:prstGeom prst="rect">
                      <a:avLst/>
                    </a:prstGeom>
                  </pic:spPr>
                </pic:pic>
              </a:graphicData>
            </a:graphic>
          </wp:inline>
        </w:drawing>
      </w:r>
      <w:r>
        <w:drawing>
          <wp:inline distT="0" distB="0" distL="114300" distR="114300">
            <wp:extent cx="7933690" cy="5609590"/>
            <wp:effectExtent l="0" t="0" r="10160" b="10160"/>
            <wp:docPr id="128" name="图片 128" descr="双鸭山市润丰粮食有限公司改建_2025年10月17日110732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双鸭山市润丰粮食有限公司改建_2025年10月17日110732_分析报告_04"/>
                    <pic:cNvPicPr>
                      <a:picLocks noChangeAspect="1"/>
                    </pic:cNvPicPr>
                  </pic:nvPicPr>
                  <pic:blipFill>
                    <a:blip r:embed="rId55"/>
                    <a:stretch>
                      <a:fillRect/>
                    </a:stretch>
                  </pic:blipFill>
                  <pic:spPr>
                    <a:xfrm>
                      <a:off x="0" y="0"/>
                      <a:ext cx="7933690" cy="5609590"/>
                    </a:xfrm>
                    <a:prstGeom prst="rect">
                      <a:avLst/>
                    </a:prstGeom>
                  </pic:spPr>
                </pic:pic>
              </a:graphicData>
            </a:graphic>
          </wp:inline>
        </w:drawing>
      </w:r>
      <w:r>
        <w:drawing>
          <wp:inline distT="0" distB="0" distL="114300" distR="114300">
            <wp:extent cx="7933690" cy="5609590"/>
            <wp:effectExtent l="0" t="0" r="10160" b="10160"/>
            <wp:docPr id="127" name="图片 127" descr="双鸭山市润丰粮食有限公司改建_2025年10月17日110732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双鸭山市润丰粮食有限公司改建_2025年10月17日110732_分析报告_05"/>
                    <pic:cNvPicPr>
                      <a:picLocks noChangeAspect="1"/>
                    </pic:cNvPicPr>
                  </pic:nvPicPr>
                  <pic:blipFill>
                    <a:blip r:embed="rId56"/>
                    <a:stretch>
                      <a:fillRect/>
                    </a:stretch>
                  </pic:blipFill>
                  <pic:spPr>
                    <a:xfrm>
                      <a:off x="0" y="0"/>
                      <a:ext cx="7933690" cy="5609590"/>
                    </a:xfrm>
                    <a:prstGeom prst="rect">
                      <a:avLst/>
                    </a:prstGeom>
                  </pic:spPr>
                </pic:pic>
              </a:graphicData>
            </a:graphic>
          </wp:inline>
        </w:drawing>
      </w:r>
      <w:r>
        <w:drawing>
          <wp:inline distT="0" distB="0" distL="114300" distR="114300">
            <wp:extent cx="7933690" cy="5609590"/>
            <wp:effectExtent l="0" t="0" r="10160" b="10160"/>
            <wp:docPr id="126" name="图片 126" descr="双鸭山市润丰粮食有限公司改建_2025年10月17日110732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双鸭山市润丰粮食有限公司改建_2025年10月17日110732_分析报告_06"/>
                    <pic:cNvPicPr>
                      <a:picLocks noChangeAspect="1"/>
                    </pic:cNvPicPr>
                  </pic:nvPicPr>
                  <pic:blipFill>
                    <a:blip r:embed="rId57"/>
                    <a:stretch>
                      <a:fillRect/>
                    </a:stretch>
                  </pic:blipFill>
                  <pic:spPr>
                    <a:xfrm>
                      <a:off x="0" y="0"/>
                      <a:ext cx="7933690" cy="5609590"/>
                    </a:xfrm>
                    <a:prstGeom prst="rect">
                      <a:avLst/>
                    </a:prstGeom>
                  </pic:spPr>
                </pic:pic>
              </a:graphicData>
            </a:graphic>
          </wp:inline>
        </w:drawing>
      </w:r>
      <w:r>
        <w:drawing>
          <wp:inline distT="0" distB="0" distL="114300" distR="114300">
            <wp:extent cx="7933690" cy="5609590"/>
            <wp:effectExtent l="0" t="0" r="10160" b="10160"/>
            <wp:docPr id="125" name="图片 125" descr="双鸭山市润丰粮食有限公司改建_2025年10月17日110732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双鸭山市润丰粮食有限公司改建_2025年10月17日110732_分析报告_07"/>
                    <pic:cNvPicPr>
                      <a:picLocks noChangeAspect="1"/>
                    </pic:cNvPicPr>
                  </pic:nvPicPr>
                  <pic:blipFill>
                    <a:blip r:embed="rId58"/>
                    <a:stretch>
                      <a:fillRect/>
                    </a:stretch>
                  </pic:blipFill>
                  <pic:spPr>
                    <a:xfrm>
                      <a:off x="0" y="0"/>
                      <a:ext cx="7933690" cy="5609590"/>
                    </a:xfrm>
                    <a:prstGeom prst="rect">
                      <a:avLst/>
                    </a:prstGeom>
                  </pic:spPr>
                </pic:pic>
              </a:graphicData>
            </a:graphic>
          </wp:inline>
        </w:drawing>
      </w:r>
      <w:r>
        <w:drawing>
          <wp:inline distT="0" distB="0" distL="114300" distR="114300">
            <wp:extent cx="7933690" cy="5609590"/>
            <wp:effectExtent l="0" t="0" r="10160" b="10160"/>
            <wp:docPr id="124" name="图片 124" descr="双鸭山市润丰粮食有限公司改建_2025年10月17日110732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双鸭山市润丰粮食有限公司改建_2025年10月17日110732_分析报告_08"/>
                    <pic:cNvPicPr>
                      <a:picLocks noChangeAspect="1"/>
                    </pic:cNvPicPr>
                  </pic:nvPicPr>
                  <pic:blipFill>
                    <a:blip r:embed="rId59"/>
                    <a:stretch>
                      <a:fillRect/>
                    </a:stretch>
                  </pic:blipFill>
                  <pic:spPr>
                    <a:xfrm>
                      <a:off x="0" y="0"/>
                      <a:ext cx="7933690" cy="5609590"/>
                    </a:xfrm>
                    <a:prstGeom prst="rect">
                      <a:avLst/>
                    </a:prstGeom>
                  </pic:spPr>
                </pic:pic>
              </a:graphicData>
            </a:graphic>
          </wp:inline>
        </w:drawing>
      </w:r>
      <w:r>
        <w:drawing>
          <wp:inline distT="0" distB="0" distL="114300" distR="114300">
            <wp:extent cx="7933690" cy="5609590"/>
            <wp:effectExtent l="0" t="0" r="10160" b="10160"/>
            <wp:docPr id="123" name="图片 123" descr="双鸭山市润丰粮食有限公司改建_2025年10月17日110732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双鸭山市润丰粮食有限公司改建_2025年10月17日110732_分析报告_09"/>
                    <pic:cNvPicPr>
                      <a:picLocks noChangeAspect="1"/>
                    </pic:cNvPicPr>
                  </pic:nvPicPr>
                  <pic:blipFill>
                    <a:blip r:embed="rId60"/>
                    <a:stretch>
                      <a:fillRect/>
                    </a:stretch>
                  </pic:blipFill>
                  <pic:spPr>
                    <a:xfrm>
                      <a:off x="0" y="0"/>
                      <a:ext cx="7933690" cy="5609590"/>
                    </a:xfrm>
                    <a:prstGeom prst="rect">
                      <a:avLst/>
                    </a:prstGeom>
                  </pic:spPr>
                </pic:pic>
              </a:graphicData>
            </a:graphic>
          </wp:inline>
        </w:drawing>
      </w:r>
      <w:r>
        <w:drawing>
          <wp:inline distT="0" distB="0" distL="114300" distR="114300">
            <wp:extent cx="7933690" cy="5609590"/>
            <wp:effectExtent l="0" t="0" r="10160" b="10160"/>
            <wp:docPr id="122" name="图片 122" descr="双鸭山市润丰粮食有限公司改建_2025年10月17日110732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双鸭山市润丰粮食有限公司改建_2025年10月17日110732_分析报告_10"/>
                    <pic:cNvPicPr>
                      <a:picLocks noChangeAspect="1"/>
                    </pic:cNvPicPr>
                  </pic:nvPicPr>
                  <pic:blipFill>
                    <a:blip r:embed="rId61"/>
                    <a:stretch>
                      <a:fillRect/>
                    </a:stretch>
                  </pic:blipFill>
                  <pic:spPr>
                    <a:xfrm>
                      <a:off x="0" y="0"/>
                      <a:ext cx="7933690" cy="5609590"/>
                    </a:xfrm>
                    <a:prstGeom prst="rect">
                      <a:avLst/>
                    </a:prstGeom>
                  </pic:spPr>
                </pic:pic>
              </a:graphicData>
            </a:graphic>
          </wp:inline>
        </w:drawing>
      </w:r>
    </w:p>
    <w:p w14:paraId="27D80DBE">
      <w:pPr>
        <w:pStyle w:val="51"/>
        <w:spacing w:line="240" w:lineRule="auto"/>
        <w:ind w:firstLine="0" w:firstLineChars="0"/>
        <w:jc w:val="both"/>
        <w:outlineLvl w:val="0"/>
        <w:rPr>
          <w:rFonts w:hint="eastAsia"/>
          <w:b/>
          <w:bCs/>
          <w:color w:val="C00000"/>
          <w:sz w:val="24"/>
          <w:szCs w:val="24"/>
          <w:highlight w:val="none"/>
          <w:lang w:val="en-US" w:eastAsia="zh-CN"/>
        </w:rPr>
      </w:pPr>
      <w:bookmarkStart w:id="51" w:name="_Toc15717"/>
      <w:r>
        <w:rPr>
          <w:rFonts w:hint="eastAsia"/>
          <w:b/>
          <w:bCs/>
          <w:color w:val="C00000"/>
          <w:sz w:val="24"/>
          <w:szCs w:val="24"/>
          <w:highlight w:val="none"/>
          <w:lang w:val="en-US" w:eastAsia="zh-CN"/>
        </w:rPr>
        <w:t>附件10排污许可年报</w:t>
      </w:r>
      <w:bookmarkEnd w:id="51"/>
    </w:p>
    <w:p w14:paraId="00A5BC29">
      <w:pPr>
        <w:pStyle w:val="51"/>
        <w:spacing w:line="240" w:lineRule="auto"/>
        <w:ind w:firstLine="0" w:firstLineChars="0"/>
        <w:jc w:val="both"/>
        <w:rPr>
          <w:rFonts w:hint="eastAsia"/>
          <w:b/>
          <w:bCs/>
          <w:sz w:val="24"/>
          <w:szCs w:val="24"/>
          <w:lang w:val="en-US" w:eastAsia="zh-CN"/>
        </w:rPr>
      </w:pPr>
    </w:p>
    <w:p w14:paraId="5A633D8F">
      <w:pPr>
        <w:pStyle w:val="51"/>
        <w:ind w:firstLine="0" w:firstLineChars="0"/>
        <w:jc w:val="both"/>
        <w:rPr>
          <w:rFonts w:hint="default"/>
          <w:lang w:val="en-US" w:eastAsia="zh-CN"/>
        </w:rPr>
        <w:sectPr>
          <w:pgSz w:w="16838" w:h="11906" w:orient="landscape"/>
          <w:pgMar w:top="1531" w:right="1701" w:bottom="1531" w:left="1701" w:header="851" w:footer="851" w:gutter="0"/>
          <w:cols w:space="720" w:num="1"/>
          <w:docGrid w:linePitch="312" w:charSpace="0"/>
        </w:sectPr>
      </w:pPr>
      <w:r>
        <w:drawing>
          <wp:inline distT="0" distB="0" distL="114300" distR="114300">
            <wp:extent cx="8521065" cy="3998595"/>
            <wp:effectExtent l="0" t="0" r="13335" b="1905"/>
            <wp:docPr id="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
                    <pic:cNvPicPr>
                      <a:picLocks noChangeAspect="1"/>
                    </pic:cNvPicPr>
                  </pic:nvPicPr>
                  <pic:blipFill>
                    <a:blip r:embed="rId62"/>
                    <a:stretch>
                      <a:fillRect/>
                    </a:stretch>
                  </pic:blipFill>
                  <pic:spPr>
                    <a:xfrm>
                      <a:off x="0" y="0"/>
                      <a:ext cx="8521065" cy="3998595"/>
                    </a:xfrm>
                    <a:prstGeom prst="rect">
                      <a:avLst/>
                    </a:prstGeom>
                    <a:noFill/>
                    <a:ln>
                      <a:noFill/>
                    </a:ln>
                  </pic:spPr>
                </pic:pic>
              </a:graphicData>
            </a:graphic>
          </wp:inline>
        </w:drawing>
      </w:r>
    </w:p>
    <w:p w14:paraId="0D16343E">
      <w:pPr>
        <w:tabs>
          <w:tab w:val="left" w:pos="222"/>
        </w:tabs>
        <w:jc w:val="left"/>
        <w:outlineLvl w:val="0"/>
        <w:rPr>
          <w:sz w:val="24"/>
        </w:rPr>
      </w:pPr>
      <w:bookmarkStart w:id="52" w:name="_Toc8161"/>
      <w:bookmarkStart w:id="53" w:name="_Toc10352"/>
      <w:bookmarkStart w:id="54" w:name="_Toc20106"/>
      <w:bookmarkStart w:id="55" w:name="_Toc3891"/>
      <w:bookmarkStart w:id="56" w:name="_Toc13969"/>
      <w:bookmarkStart w:id="57" w:name="_Toc4828"/>
      <w:r>
        <w:rPr>
          <w:sz w:val="24"/>
        </w:rPr>
        <mc:AlternateContent>
          <mc:Choice Requires="wps">
            <w:drawing>
              <wp:anchor distT="0" distB="0" distL="114300" distR="114300" simplePos="0" relativeHeight="251665408" behindDoc="0" locked="0" layoutInCell="1" allowOverlap="1">
                <wp:simplePos x="0" y="0"/>
                <wp:positionH relativeFrom="column">
                  <wp:posOffset>733425</wp:posOffset>
                </wp:positionH>
                <wp:positionV relativeFrom="paragraph">
                  <wp:posOffset>2260600</wp:posOffset>
                </wp:positionV>
                <wp:extent cx="1311910" cy="581025"/>
                <wp:effectExtent l="0" t="0" r="0" b="0"/>
                <wp:wrapNone/>
                <wp:docPr id="107" name="文本框 107"/>
                <wp:cNvGraphicFramePr/>
                <a:graphic xmlns:a="http://schemas.openxmlformats.org/drawingml/2006/main">
                  <a:graphicData uri="http://schemas.microsoft.com/office/word/2010/wordprocessingShape">
                    <wps:wsp>
                      <wps:cNvSpPr txBox="1"/>
                      <wps:spPr>
                        <a:xfrm>
                          <a:off x="0" y="0"/>
                          <a:ext cx="1311910" cy="581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703510">
                            <w:pPr>
                              <w:rPr>
                                <w:b/>
                                <w:bCs/>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75pt;margin-top:178pt;height:45.75pt;width:103.3pt;z-index:251665408;mso-width-relative:page;mso-height-relative:page;" filled="f" stroked="f" coordsize="21600,21600" o:gfxdata="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2/uodNsAAAALAQAADwAAAAAAAAABACAAAAAiAAAA&#10;ZHJzL2Rvd25yZXYueG1sUEsBAhQAFAAAAAgAh07iQK3SLm49AgAAagQAAA4AAAAAAAAAAQAgAAAA&#10;KgEAAGRycy9lMm9Eb2MueG1sUEsFBgAAAAAGAAYAWQEAANkFAAAAAA==&#10;">
                <v:fill on="f" focussize="0,0"/>
                <v:stroke on="f" weight="0.5pt"/>
                <v:imagedata o:title=""/>
                <o:lock v:ext="edit" aspectratio="f"/>
                <v:textbox>
                  <w:txbxContent>
                    <w:p w14:paraId="4C703510">
                      <w:pPr>
                        <w:rPr>
                          <w:b/>
                          <w:bCs/>
                        </w:rPr>
                      </w:pPr>
                    </w:p>
                  </w:txbxContent>
                </v:textbox>
              </v:shape>
            </w:pict>
          </mc:Fallback>
        </mc:AlternateContent>
      </w:r>
      <w:r>
        <w:rPr>
          <w:b/>
          <w:sz w:val="24"/>
        </w:rPr>
        <w:t>附图1</w:t>
      </w:r>
      <w:r>
        <w:rPr>
          <w:rFonts w:hint="eastAsia"/>
          <w:b/>
          <w:sz w:val="24"/>
        </w:rPr>
        <w:t xml:space="preserve"> </w:t>
      </w:r>
      <w:r>
        <w:rPr>
          <w:b/>
          <w:sz w:val="24"/>
        </w:rPr>
        <w:t>地理位置图</w:t>
      </w:r>
      <w:bookmarkEnd w:id="52"/>
      <w:bookmarkEnd w:id="53"/>
      <w:bookmarkEnd w:id="54"/>
      <w:bookmarkEnd w:id="55"/>
      <w:bookmarkStart w:id="58" w:name="_Toc7224"/>
    </w:p>
    <w:p w14:paraId="19CA34AF">
      <w:r>
        <w:rPr>
          <w:rFonts w:hint="eastAsia"/>
          <w:b/>
          <w:bCs/>
        </w:rPr>
        <w:drawing>
          <wp:anchor distT="0" distB="0" distL="114300" distR="114300" simplePos="0" relativeHeight="251671552" behindDoc="0" locked="0" layoutInCell="1" allowOverlap="1">
            <wp:simplePos x="0" y="0"/>
            <wp:positionH relativeFrom="column">
              <wp:posOffset>7770495</wp:posOffset>
            </wp:positionH>
            <wp:positionV relativeFrom="paragraph">
              <wp:posOffset>151765</wp:posOffset>
            </wp:positionV>
            <wp:extent cx="754380" cy="720090"/>
            <wp:effectExtent l="0" t="0" r="7620" b="3810"/>
            <wp:wrapNone/>
            <wp:docPr id="119" name="图片 11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图片1"/>
                    <pic:cNvPicPr>
                      <a:picLocks noChangeAspect="1"/>
                    </pic:cNvPicPr>
                  </pic:nvPicPr>
                  <pic:blipFill>
                    <a:blip r:embed="rId17"/>
                    <a:stretch>
                      <a:fillRect/>
                    </a:stretch>
                  </pic:blipFill>
                  <pic:spPr>
                    <a:xfrm>
                      <a:off x="0" y="0"/>
                      <a:ext cx="754380" cy="720090"/>
                    </a:xfrm>
                    <a:prstGeom prst="rect">
                      <a:avLst/>
                    </a:prstGeom>
                  </pic:spPr>
                </pic:pic>
              </a:graphicData>
            </a:graphic>
          </wp:anchor>
        </w:drawing>
      </w:r>
    </w:p>
    <w:p w14:paraId="13FE44DA">
      <w:pPr>
        <w:jc w:val="center"/>
        <w:sectPr>
          <w:pgSz w:w="16838" w:h="11906" w:orient="landscape"/>
          <w:pgMar w:top="1531" w:right="1701" w:bottom="1531" w:left="1701" w:header="851" w:footer="851" w:gutter="0"/>
          <w:cols w:space="720" w:num="1"/>
          <w:docGrid w:linePitch="312" w:charSpace="0"/>
        </w:sectPr>
      </w:pPr>
      <w:r>
        <w:rPr>
          <w:sz w:val="24"/>
        </w:rPr>
        <mc:AlternateContent>
          <mc:Choice Requires="wps">
            <w:drawing>
              <wp:anchor distT="0" distB="0" distL="114300" distR="114300" simplePos="0" relativeHeight="251672576" behindDoc="0" locked="0" layoutInCell="1" allowOverlap="1">
                <wp:simplePos x="0" y="0"/>
                <wp:positionH relativeFrom="column">
                  <wp:posOffset>7396480</wp:posOffset>
                </wp:positionH>
                <wp:positionV relativeFrom="paragraph">
                  <wp:posOffset>4572000</wp:posOffset>
                </wp:positionV>
                <wp:extent cx="1133475" cy="647700"/>
                <wp:effectExtent l="7620" t="7620" r="20955" b="11430"/>
                <wp:wrapNone/>
                <wp:docPr id="120" name="文本框 120"/>
                <wp:cNvGraphicFramePr/>
                <a:graphic xmlns:a="http://schemas.openxmlformats.org/drawingml/2006/main">
                  <a:graphicData uri="http://schemas.microsoft.com/office/word/2010/wordprocessingShape">
                    <wps:wsp>
                      <wps:cNvSpPr txBox="1"/>
                      <wps:spPr>
                        <a:xfrm>
                          <a:off x="0" y="0"/>
                          <a:ext cx="1133475" cy="647700"/>
                        </a:xfrm>
                        <a:prstGeom prst="rect">
                          <a:avLst/>
                        </a:prstGeom>
                        <a:gradFill rotWithShape="0">
                          <a:gsLst>
                            <a:gs pos="0">
                              <a:srgbClr val="FFFFFF"/>
                            </a:gs>
                            <a:gs pos="100000">
                              <a:srgbClr val="FFFFFF"/>
                            </a:gs>
                          </a:gsLst>
                          <a:lin ang="0"/>
                          <a:tileRect/>
                        </a:gradFill>
                        <a:ln w="15875" cap="flat" cmpd="sng">
                          <a:solidFill>
                            <a:schemeClr val="tx1"/>
                          </a:solidFill>
                          <a:prstDash val="solid"/>
                          <a:miter/>
                          <a:headEnd type="none" w="med" len="med"/>
                          <a:tailEnd type="none" w="med" len="med"/>
                        </a:ln>
                      </wps:spPr>
                      <wps:txbx>
                        <w:txbxContent>
                          <w:p w14:paraId="64067C04">
                            <w:pPr>
                              <w:spacing w:line="360" w:lineRule="auto"/>
                              <w:jc w:val="center"/>
                            </w:pPr>
                            <w:r>
                              <w:rPr>
                                <w:rFonts w:hint="eastAsia"/>
                              </w:rPr>
                              <w:t>图例</w:t>
                            </w:r>
                          </w:p>
                          <w:p w14:paraId="70B1949A">
                            <w:pPr>
                              <w:pStyle w:val="51"/>
                              <w:spacing w:after="120" w:afterLines="50" w:line="240" w:lineRule="auto"/>
                              <w:ind w:firstLine="0" w:firstLineChars="0"/>
                              <w:rPr>
                                <w:sz w:val="21"/>
                                <w:szCs w:val="21"/>
                              </w:rPr>
                            </w:pPr>
                            <w:r>
                              <w:rPr>
                                <w:rFonts w:hint="eastAsia"/>
                                <w:sz w:val="21"/>
                                <w:szCs w:val="21"/>
                              </w:rPr>
                              <w:t xml:space="preserve">项目位置  </w:t>
                            </w:r>
                            <w:r>
                              <w:drawing>
                                <wp:inline distT="0" distB="0" distL="114300" distR="114300">
                                  <wp:extent cx="196215" cy="179705"/>
                                  <wp:effectExtent l="0" t="0" r="13335" b="10795"/>
                                  <wp:docPr id="1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0"/>
                                          <pic:cNvPicPr>
                                            <a:picLocks noChangeAspect="1"/>
                                          </pic:cNvPicPr>
                                        </pic:nvPicPr>
                                        <pic:blipFill>
                                          <a:blip r:embed="rId63"/>
                                          <a:stretch>
                                            <a:fillRect/>
                                          </a:stretch>
                                        </pic:blipFill>
                                        <pic:spPr>
                                          <a:xfrm>
                                            <a:off x="0" y="0"/>
                                            <a:ext cx="196215" cy="179705"/>
                                          </a:xfrm>
                                          <a:prstGeom prst="rect">
                                            <a:avLst/>
                                          </a:prstGeom>
                                          <a:noFill/>
                                          <a:ln>
                                            <a:noFill/>
                                          </a:ln>
                                        </pic:spPr>
                                      </pic:pic>
                                    </a:graphicData>
                                  </a:graphic>
                                </wp:inline>
                              </w:drawing>
                            </w:r>
                          </w:p>
                        </w:txbxContent>
                      </wps:txbx>
                      <wps:bodyPr upright="1"/>
                    </wps:wsp>
                  </a:graphicData>
                </a:graphic>
              </wp:anchor>
            </w:drawing>
          </mc:Choice>
          <mc:Fallback>
            <w:pict>
              <v:shape id="_x0000_s1026" o:spid="_x0000_s1026" o:spt="202" type="#_x0000_t202" style="position:absolute;left:0pt;margin-left:582.4pt;margin-top:360pt;height:51pt;width:89.25pt;z-index:251672576;mso-width-relative:page;mso-height-relative:page;" fillcolor="#FFFFFF" filled="t" stroked="t" coordsize="21600,21600" o:gfxdata="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Dr4miNkAAAANAQAADwAAAAAAAAABACAA&#10;AAAiAAAAZHJzL2Rvd25yZXYueG1sUEsBAhQAFAAAAAgAh07iQH6XML9FAgAAwgQAAA4AAAAAAAAA&#10;AQAgAAAAKAEAAGRycy9lMm9Eb2MueG1sUEsFBgAAAAAGAAYAWQEAAN8FAAAAAA==&#10;">
                <v:fill type="gradient" on="t" color2="#FFFFFF" angle="90" focus="100%" focussize="0,0">
                  <o:fill type="gradientUnscaled" v:ext="backwardCompatible"/>
                </v:fill>
                <v:stroke weight="1.25pt" color="#000000 [3213]" joinstyle="miter"/>
                <v:imagedata o:title=""/>
                <o:lock v:ext="edit" aspectratio="f"/>
                <v:textbox>
                  <w:txbxContent>
                    <w:p w14:paraId="64067C04">
                      <w:pPr>
                        <w:spacing w:line="360" w:lineRule="auto"/>
                        <w:jc w:val="center"/>
                      </w:pPr>
                      <w:r>
                        <w:rPr>
                          <w:rFonts w:hint="eastAsia"/>
                        </w:rPr>
                        <w:t>图例</w:t>
                      </w:r>
                    </w:p>
                    <w:p w14:paraId="70B1949A">
                      <w:pPr>
                        <w:pStyle w:val="51"/>
                        <w:spacing w:after="120" w:afterLines="50" w:line="240" w:lineRule="auto"/>
                        <w:ind w:firstLine="0" w:firstLineChars="0"/>
                        <w:rPr>
                          <w:sz w:val="21"/>
                          <w:szCs w:val="21"/>
                        </w:rPr>
                      </w:pPr>
                      <w:r>
                        <w:rPr>
                          <w:rFonts w:hint="eastAsia"/>
                          <w:sz w:val="21"/>
                          <w:szCs w:val="21"/>
                        </w:rPr>
                        <w:t xml:space="preserve">项目位置  </w:t>
                      </w:r>
                      <w:r>
                        <w:drawing>
                          <wp:inline distT="0" distB="0" distL="114300" distR="114300">
                            <wp:extent cx="196215" cy="179705"/>
                            <wp:effectExtent l="0" t="0" r="13335" b="10795"/>
                            <wp:docPr id="1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0"/>
                                    <pic:cNvPicPr>
                                      <a:picLocks noChangeAspect="1"/>
                                    </pic:cNvPicPr>
                                  </pic:nvPicPr>
                                  <pic:blipFill>
                                    <a:blip r:embed="rId63"/>
                                    <a:stretch>
                                      <a:fillRect/>
                                    </a:stretch>
                                  </pic:blipFill>
                                  <pic:spPr>
                                    <a:xfrm>
                                      <a:off x="0" y="0"/>
                                      <a:ext cx="196215" cy="179705"/>
                                    </a:xfrm>
                                    <a:prstGeom prst="rect">
                                      <a:avLst/>
                                    </a:prstGeom>
                                    <a:noFill/>
                                    <a:ln>
                                      <a:noFill/>
                                    </a:ln>
                                  </pic:spPr>
                                </pic:pic>
                              </a:graphicData>
                            </a:graphic>
                          </wp:inline>
                        </w:drawing>
                      </w:r>
                    </w:p>
                  </w:txbxContent>
                </v:textbox>
              </v:shape>
            </w:pict>
          </mc:Fallback>
        </mc:AlternateContent>
      </w:r>
      <w:r>
        <w:drawing>
          <wp:inline distT="0" distB="0" distL="114300" distR="114300">
            <wp:extent cx="8524875" cy="5215255"/>
            <wp:effectExtent l="0" t="0" r="9525" b="4445"/>
            <wp:docPr id="1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
                    <pic:cNvPicPr>
                      <a:picLocks noChangeAspect="1"/>
                    </pic:cNvPicPr>
                  </pic:nvPicPr>
                  <pic:blipFill>
                    <a:blip r:embed="rId64"/>
                    <a:stretch>
                      <a:fillRect/>
                    </a:stretch>
                  </pic:blipFill>
                  <pic:spPr>
                    <a:xfrm>
                      <a:off x="0" y="0"/>
                      <a:ext cx="8524875" cy="5215255"/>
                    </a:xfrm>
                    <a:prstGeom prst="rect">
                      <a:avLst/>
                    </a:prstGeom>
                    <a:noFill/>
                    <a:ln>
                      <a:noFill/>
                    </a:ln>
                  </pic:spPr>
                </pic:pic>
              </a:graphicData>
            </a:graphic>
          </wp:inline>
        </w:drawing>
      </w:r>
    </w:p>
    <w:bookmarkEnd w:id="58"/>
    <w:p w14:paraId="231F3B90">
      <w:pPr>
        <w:spacing w:line="360" w:lineRule="auto"/>
        <w:jc w:val="left"/>
        <w:outlineLvl w:val="0"/>
        <w:rPr>
          <w:b/>
          <w:bCs/>
          <w:sz w:val="24"/>
        </w:rPr>
      </w:pPr>
      <w:bookmarkStart w:id="59" w:name="_Toc18386"/>
      <w:r>
        <mc:AlternateContent>
          <mc:Choice Requires="wps">
            <w:drawing>
              <wp:anchor distT="0" distB="0" distL="114300" distR="114300" simplePos="0" relativeHeight="251681792" behindDoc="0" locked="0" layoutInCell="1" allowOverlap="1">
                <wp:simplePos x="0" y="0"/>
                <wp:positionH relativeFrom="column">
                  <wp:posOffset>8180070</wp:posOffset>
                </wp:positionH>
                <wp:positionV relativeFrom="paragraph">
                  <wp:posOffset>-97155</wp:posOffset>
                </wp:positionV>
                <wp:extent cx="393065" cy="40259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393065" cy="402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B26E86">
                            <w:pPr>
                              <w:rPr>
                                <w:rFonts w:hint="eastAsia" w:eastAsia="宋体"/>
                                <w:sz w:val="28"/>
                                <w:szCs w:val="28"/>
                                <w:lang w:val="en-US" w:eastAsia="zh-CN"/>
                              </w:rPr>
                            </w:pPr>
                            <w:r>
                              <w:rPr>
                                <w:rFonts w:hint="eastAsia"/>
                                <w:sz w:val="28"/>
                                <w:szCs w:val="28"/>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4.1pt;margin-top:-7.65pt;height:31.7pt;width:30.95pt;z-index:251681792;mso-width-relative:page;mso-height-relative:page;" filled="f" stroked="f" coordsize="21600,21600" o:gfxdata="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AE8wHcAAAADAEAAA8AAAAAAAAAAQAgAAAAIgAA&#10;AGRycy9kb3ducmV2LnhtbFBLAQIUABQAAAAIAIdO4kB3doehPQIAAGcEAAAOAAAAAAAAAAEAIAAA&#10;ACsBAABkcnMvZTJvRG9jLnhtbFBLBQYAAAAABgAGAFkBAADaBQAAAAA=&#10;">
                <v:fill on="f" focussize="0,0"/>
                <v:stroke on="f" weight="0.5pt"/>
                <v:imagedata o:title=""/>
                <o:lock v:ext="edit" aspectratio="f"/>
                <v:textbox>
                  <w:txbxContent>
                    <w:p w14:paraId="70B26E86">
                      <w:pPr>
                        <w:rPr>
                          <w:rFonts w:hint="eastAsia" w:eastAsia="宋体"/>
                          <w:sz w:val="28"/>
                          <w:szCs w:val="28"/>
                          <w:lang w:val="en-US" w:eastAsia="zh-CN"/>
                        </w:rPr>
                      </w:pPr>
                      <w:r>
                        <w:rPr>
                          <w:rFonts w:hint="eastAsia"/>
                          <w:sz w:val="28"/>
                          <w:szCs w:val="28"/>
                          <w:lang w:val="en-US" w:eastAsia="zh-CN"/>
                        </w:rPr>
                        <w:t>N</w:t>
                      </w:r>
                    </w:p>
                  </w:txbxContent>
                </v:textbox>
              </v:shape>
            </w:pict>
          </mc:Fallback>
        </mc:AlternateContent>
      </w:r>
      <w:r>
        <w:rPr>
          <w:sz w:val="24"/>
        </w:rPr>
        <mc:AlternateContent>
          <mc:Choice Requires="wps">
            <w:drawing>
              <wp:anchor distT="0" distB="0" distL="114300" distR="114300" simplePos="0" relativeHeight="251680768" behindDoc="0" locked="0" layoutInCell="1" allowOverlap="1">
                <wp:simplePos x="0" y="0"/>
                <wp:positionH relativeFrom="column">
                  <wp:posOffset>8575675</wp:posOffset>
                </wp:positionH>
                <wp:positionV relativeFrom="paragraph">
                  <wp:posOffset>-69215</wp:posOffset>
                </wp:positionV>
                <wp:extent cx="0" cy="581025"/>
                <wp:effectExtent l="38100" t="0" r="38100" b="9525"/>
                <wp:wrapNone/>
                <wp:docPr id="22" name="直接箭头连接符 22"/>
                <wp:cNvGraphicFramePr/>
                <a:graphic xmlns:a="http://schemas.openxmlformats.org/drawingml/2006/main">
                  <a:graphicData uri="http://schemas.microsoft.com/office/word/2010/wordprocessingShape">
                    <wps:wsp>
                      <wps:cNvCnPr/>
                      <wps:spPr>
                        <a:xfrm flipV="1">
                          <a:off x="9665335" y="912495"/>
                          <a:ext cx="0" cy="581025"/>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675.25pt;margin-top:-5.45pt;height:45.75pt;width:0pt;z-index:251680768;mso-width-relative:page;mso-height-relative:page;" filled="f" stroked="t" coordsize="21600,21600" o:gfxdata="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MLiglfWAAAADAEAAA8AAAAAAAAAAQAgAAAAIgAAAGRycy9kb3ducmV2LnhtbFBLAQIU&#10;ABQAAAAIAIdO4kBTSmymLgIAACIEAAAOAAAAAAAAAAEAIAAAACUBAABkcnMvZTJvRG9jLnhtbFBL&#10;BQYAAAAABgAGAFkBAADFBQAAAAA=&#10;">
                <v:fill on="f" focussize="0,0"/>
                <v:stroke weight="1pt" color="#000000 [3213]" miterlimit="8" joinstyle="miter" endarrow="block"/>
                <v:imagedata o:title=""/>
                <o:lock v:ext="edit" aspectratio="f"/>
              </v:shape>
            </w:pict>
          </mc:Fallback>
        </mc:AlternateContent>
      </w:r>
      <w:r>
        <w:rPr>
          <w:b/>
          <w:bCs/>
          <w:sz w:val="24"/>
        </w:rPr>
        <w:t>附图2</w:t>
      </w:r>
      <w:r>
        <w:rPr>
          <w:rFonts w:hint="eastAsia"/>
          <w:b/>
          <w:bCs/>
          <w:sz w:val="24"/>
        </w:rPr>
        <w:t xml:space="preserve"> </w:t>
      </w:r>
      <w:r>
        <w:rPr>
          <w:b/>
          <w:bCs/>
          <w:sz w:val="24"/>
        </w:rPr>
        <w:t>本项目平面布置图</w:t>
      </w:r>
      <w:bookmarkEnd w:id="56"/>
      <w:bookmarkEnd w:id="57"/>
      <w:bookmarkEnd w:id="59"/>
    </w:p>
    <w:p w14:paraId="7A57B2CF">
      <w:pPr>
        <w:pStyle w:val="9"/>
        <w:rPr>
          <w:rFonts w:eastAsia="宋体"/>
          <w:b/>
          <w:bCs/>
          <w:highlight w:val="yellow"/>
        </w:rPr>
      </w:pPr>
      <w:r>
        <mc:AlternateContent>
          <mc:Choice Requires="wps">
            <w:drawing>
              <wp:anchor distT="0" distB="0" distL="114300" distR="114300" simplePos="0" relativeHeight="251677696" behindDoc="0" locked="0" layoutInCell="1" allowOverlap="1">
                <wp:simplePos x="0" y="0"/>
                <wp:positionH relativeFrom="column">
                  <wp:posOffset>3018155</wp:posOffset>
                </wp:positionH>
                <wp:positionV relativeFrom="paragraph">
                  <wp:posOffset>109220</wp:posOffset>
                </wp:positionV>
                <wp:extent cx="533400" cy="271145"/>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533400" cy="271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B9CFA8">
                            <w:pPr>
                              <w:rPr>
                                <w:sz w:val="18"/>
                                <w:szCs w:val="18"/>
                              </w:rPr>
                            </w:pPr>
                            <w:r>
                              <w:rPr>
                                <w:rFonts w:hint="eastAsia"/>
                                <w:sz w:val="18"/>
                                <w:szCs w:val="18"/>
                              </w:rPr>
                              <w:t>灰渣仓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7.65pt;margin-top:8.6pt;height:21.35pt;width:42pt;z-index:251677696;mso-width-relative:page;mso-height-relative:page;" filled="f" stroked="f" coordsize="21600,21600" o:gfxdata="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&#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9GIbnaAAAACQEAAA8AAAAAAAAAAQAgAAAAIgAAAGRy&#10;cy9kb3ducmV2LnhtbFBLAQIUABQAAAAIAIdO4kCXSkK2PAIAAGcEAAAOAAAAAAAAAAEAIAAAACkB&#10;AABkcnMvZTJvRG9jLnhtbFBLBQYAAAAABgAGAFkBAADXBQAAAAA=&#10;">
                <v:fill on="f" focussize="0,0"/>
                <v:stroke on="f" weight="0.5pt"/>
                <v:imagedata o:title=""/>
                <o:lock v:ext="edit" aspectratio="f"/>
                <v:textbox>
                  <w:txbxContent>
                    <w:p w14:paraId="65B9CFA8">
                      <w:pPr>
                        <w:rPr>
                          <w:sz w:val="18"/>
                          <w:szCs w:val="18"/>
                        </w:rPr>
                      </w:pPr>
                      <w:r>
                        <w:rPr>
                          <w:rFonts w:hint="eastAsia"/>
                          <w:sz w:val="18"/>
                          <w:szCs w:val="18"/>
                        </w:rPr>
                        <w:t>灰渣仓</w:t>
                      </w:r>
                    </w:p>
                  </w:txbxContent>
                </v:textbox>
              </v:shape>
            </w:pict>
          </mc:Fallback>
        </mc:AlternateContent>
      </w:r>
      <w:r>
        <mc:AlternateContent>
          <mc:Choice Requires="wpg">
            <w:drawing>
              <wp:anchor distT="0" distB="0" distL="114300" distR="114300" simplePos="0" relativeHeight="251679744" behindDoc="0" locked="0" layoutInCell="1" allowOverlap="1">
                <wp:simplePos x="0" y="0"/>
                <wp:positionH relativeFrom="column">
                  <wp:posOffset>133985</wp:posOffset>
                </wp:positionH>
                <wp:positionV relativeFrom="paragraph">
                  <wp:posOffset>108585</wp:posOffset>
                </wp:positionV>
                <wp:extent cx="8150860" cy="4994910"/>
                <wp:effectExtent l="9525" t="9525" r="12065" b="24765"/>
                <wp:wrapNone/>
                <wp:docPr id="93" name="组合 93"/>
                <wp:cNvGraphicFramePr/>
                <a:graphic xmlns:a="http://schemas.openxmlformats.org/drawingml/2006/main">
                  <a:graphicData uri="http://schemas.microsoft.com/office/word/2010/wordprocessingGroup">
                    <wpg:wgp>
                      <wpg:cNvGrpSpPr/>
                      <wpg:grpSpPr>
                        <a:xfrm>
                          <a:off x="0" y="0"/>
                          <a:ext cx="8150860" cy="4994910"/>
                          <a:chOff x="5955" y="1210203"/>
                          <a:chExt cx="12836" cy="7866"/>
                        </a:xfrm>
                      </wpg:grpSpPr>
                      <wpg:grpSp>
                        <wpg:cNvPr id="43" name="组合 43"/>
                        <wpg:cNvGrpSpPr/>
                        <wpg:grpSpPr>
                          <a:xfrm>
                            <a:off x="5955" y="1210203"/>
                            <a:ext cx="12836" cy="7866"/>
                            <a:chOff x="8038" y="1210203"/>
                            <a:chExt cx="12836" cy="7866"/>
                          </a:xfrm>
                        </wpg:grpSpPr>
                        <wpg:grpSp>
                          <wpg:cNvPr id="42" name="组合 42"/>
                          <wpg:cNvGrpSpPr/>
                          <wpg:grpSpPr>
                            <a:xfrm>
                              <a:off x="8038" y="1210203"/>
                              <a:ext cx="12836" cy="7866"/>
                              <a:chOff x="8038" y="1210203"/>
                              <a:chExt cx="12836" cy="7866"/>
                            </a:xfrm>
                          </wpg:grpSpPr>
                          <wps:wsp>
                            <wps:cNvPr id="23" name="矩形 23"/>
                            <wps:cNvSpPr/>
                            <wps:spPr>
                              <a:xfrm>
                                <a:off x="8038" y="1210203"/>
                                <a:ext cx="12829" cy="7855"/>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4" name="矩形 24"/>
                            <wps:cNvSpPr/>
                            <wps:spPr>
                              <a:xfrm>
                                <a:off x="8130" y="1210321"/>
                                <a:ext cx="2579" cy="7658"/>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7" name="文本框 27"/>
                            <wps:cNvSpPr txBox="1"/>
                            <wps:spPr>
                              <a:xfrm>
                                <a:off x="8973" y="1213208"/>
                                <a:ext cx="1223" cy="103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6D47C2">
                                  <w:pPr>
                                    <w:rPr>
                                      <w:sz w:val="28"/>
                                      <w:szCs w:val="28"/>
                                    </w:rPr>
                                  </w:pPr>
                                  <w:r>
                                    <w:rPr>
                                      <w:rFonts w:hint="eastAsia"/>
                                      <w:sz w:val="28"/>
                                      <w:szCs w:val="28"/>
                                    </w:rPr>
                                    <w:t>仓库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 name="矩形 29"/>
                            <wps:cNvSpPr/>
                            <wps:spPr>
                              <a:xfrm>
                                <a:off x="12000" y="1210555"/>
                                <a:ext cx="2266" cy="1249"/>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0" name="矩形 30"/>
                            <wps:cNvSpPr/>
                            <wps:spPr>
                              <a:xfrm>
                                <a:off x="14809" y="1210444"/>
                                <a:ext cx="3941" cy="1325"/>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1" name="矩形 31"/>
                            <wps:cNvSpPr/>
                            <wps:spPr>
                              <a:xfrm>
                                <a:off x="20165" y="1210429"/>
                                <a:ext cx="700" cy="1904"/>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3" name="矩形 33"/>
                            <wps:cNvSpPr/>
                            <wps:spPr>
                              <a:xfrm>
                                <a:off x="19301" y="1210443"/>
                                <a:ext cx="863" cy="1899"/>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4" name="矩形 34"/>
                            <wps:cNvSpPr/>
                            <wps:spPr>
                              <a:xfrm>
                                <a:off x="11425" y="1212312"/>
                                <a:ext cx="750" cy="783"/>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5" name="椭圆 35"/>
                            <wps:cNvSpPr/>
                            <wps:spPr>
                              <a:xfrm>
                                <a:off x="12782" y="1212544"/>
                                <a:ext cx="1261" cy="1261"/>
                              </a:xfrm>
                              <a:prstGeom prst="ellipse">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6" name="矩形 36"/>
                            <wps:cNvSpPr/>
                            <wps:spPr>
                              <a:xfrm>
                                <a:off x="14745" y="1217269"/>
                                <a:ext cx="2363" cy="800"/>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7" name="矩形 37"/>
                            <wps:cNvSpPr/>
                            <wps:spPr>
                              <a:xfrm>
                                <a:off x="19374" y="1217274"/>
                                <a:ext cx="750" cy="783"/>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9" name="矩形 39"/>
                            <wps:cNvSpPr/>
                            <wps:spPr>
                              <a:xfrm>
                                <a:off x="20124" y="1217274"/>
                                <a:ext cx="750" cy="783"/>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s:wsp>
                          <wps:cNvPr id="41" name="文本框 41"/>
                          <wps:cNvSpPr txBox="1"/>
                          <wps:spPr>
                            <a:xfrm>
                              <a:off x="11384" y="1212314"/>
                              <a:ext cx="888" cy="89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52450B">
                                <w:pPr>
                                  <w:rPr>
                                    <w:sz w:val="24"/>
                                  </w:rPr>
                                </w:pPr>
                                <w:r>
                                  <w:rPr>
                                    <w:rFonts w:hint="eastAsia"/>
                                    <w:sz w:val="24"/>
                                  </w:rPr>
                                  <w:t>烘干</w:t>
                                </w:r>
                              </w:p>
                              <w:p w14:paraId="51B21594">
                                <w:pPr>
                                  <w:rPr>
                                    <w:sz w:val="24"/>
                                  </w:rPr>
                                </w:pPr>
                                <w:r>
                                  <w:rPr>
                                    <w:rFonts w:hint="eastAsia"/>
                                    <w:sz w:val="24"/>
                                  </w:rPr>
                                  <w:t>塔</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48" name="文本框 48"/>
                        <wps:cNvSpPr txBox="1"/>
                        <wps:spPr>
                          <a:xfrm>
                            <a:off x="17366" y="1210853"/>
                            <a:ext cx="619" cy="103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04D6C3">
                              <w:pPr>
                                <w:rPr>
                                  <w:sz w:val="28"/>
                                  <w:szCs w:val="28"/>
                                </w:rPr>
                              </w:pPr>
                              <w:r>
                                <w:rPr>
                                  <w:rFonts w:hint="eastAsia"/>
                                  <w:sz w:val="28"/>
                                  <w:szCs w:val="28"/>
                                </w:rPr>
                                <w:t>地</w:t>
                              </w:r>
                            </w:p>
                            <w:p w14:paraId="4DDD2366">
                              <w:pPr>
                                <w:rPr>
                                  <w:sz w:val="28"/>
                                  <w:szCs w:val="28"/>
                                </w:rPr>
                              </w:pPr>
                              <w:r>
                                <w:rPr>
                                  <w:rFonts w:hint="eastAsia"/>
                                  <w:sz w:val="28"/>
                                  <w:szCs w:val="28"/>
                                </w:rPr>
                                <w:t>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9" name="文本框 49"/>
                        <wps:cNvSpPr txBox="1"/>
                        <wps:spPr>
                          <a:xfrm>
                            <a:off x="18179" y="1210876"/>
                            <a:ext cx="488" cy="11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29B0F4">
                              <w:pPr>
                                <w:rPr>
                                  <w:sz w:val="28"/>
                                  <w:szCs w:val="28"/>
                                </w:rPr>
                              </w:pPr>
                              <w:r>
                                <w:rPr>
                                  <w:rFonts w:hint="eastAsia"/>
                                  <w:sz w:val="28"/>
                                  <w:szCs w:val="28"/>
                                </w:rPr>
                                <w:t>称</w:t>
                              </w:r>
                            </w:p>
                            <w:p w14:paraId="11AD0911">
                              <w:pPr>
                                <w:rPr>
                                  <w:sz w:val="28"/>
                                  <w:szCs w:val="28"/>
                                </w:rPr>
                              </w:pPr>
                              <w:r>
                                <w:rPr>
                                  <w:rFonts w:hint="eastAsia"/>
                                  <w:sz w:val="28"/>
                                  <w:szCs w:val="28"/>
                                </w:rPr>
                                <w:t>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1" name="矩形 51"/>
                        <wps:cNvSpPr/>
                        <wps:spPr>
                          <a:xfrm>
                            <a:off x="12179" y="1210557"/>
                            <a:ext cx="370" cy="943"/>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9" name="矩形 59"/>
                        <wps:cNvSpPr/>
                        <wps:spPr>
                          <a:xfrm flipH="1">
                            <a:off x="10524" y="1210210"/>
                            <a:ext cx="936" cy="338"/>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0" name="文本框 70"/>
                        <wps:cNvSpPr txBox="1"/>
                        <wps:spPr>
                          <a:xfrm>
                            <a:off x="12113" y="1210628"/>
                            <a:ext cx="609" cy="90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FF09AB">
                              <w:pPr>
                                <w:rPr>
                                  <w:sz w:val="18"/>
                                  <w:szCs w:val="18"/>
                                </w:rPr>
                              </w:pPr>
                              <w:r>
                                <w:rPr>
                                  <w:rFonts w:hint="eastAsia"/>
                                  <w:sz w:val="18"/>
                                  <w:szCs w:val="18"/>
                                </w:rPr>
                                <w:t>燃料仓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1" name="椭圆 91"/>
                        <wps:cNvSpPr/>
                        <wps:spPr>
                          <a:xfrm>
                            <a:off x="9679" y="1210528"/>
                            <a:ext cx="250" cy="274"/>
                          </a:xfrm>
                          <a:prstGeom prst="ellipse">
                            <a:avLst/>
                          </a:prstGeom>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2" name="文本框 92"/>
                        <wps:cNvSpPr txBox="1"/>
                        <wps:spPr>
                          <a:xfrm>
                            <a:off x="8933" y="1210785"/>
                            <a:ext cx="1223" cy="51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0E5E49">
                              <w:pPr>
                                <w:rPr>
                                  <w:sz w:val="28"/>
                                  <w:szCs w:val="28"/>
                                </w:rPr>
                              </w:pPr>
                              <w:r>
                                <w:rPr>
                                  <w:rFonts w:hint="eastAsia"/>
                                  <w:sz w:val="28"/>
                                  <w:szCs w:val="28"/>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0.55pt;margin-top:8.55pt;height:393.3pt;width:641.8pt;z-index:251679744;mso-width-relative:page;mso-height-relative:page;" coordorigin="5955,1210203" coordsize="12836,7866" o:gfxdata="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">
                <o:lock v:ext="edit" aspectratio="f"/>
                <v:group id="_x0000_s1026" o:spid="_x0000_s1026" o:spt="203" style="position:absolute;left:5955;top:1210203;height:7866;width:12836;" coordorigin="8038,1210203" coordsize="12836,7866" o:gfxdata="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EW8gf70AAADbAAAADwAAAAAAAAABACAAAAAiAAAAZHJzL2Rvd25yZXYueG1s&#10;UEsBAhQAFAAAAAgAh07iQDMvBZ47AAAAOQAAABUAAAAAAAAAAQAgAAAADAEAAGRycy9ncm91cHNo&#10;YXBleG1sLnhtbFBLBQYAAAAABgAGAGABAADJAwAAAAA=&#10;">
                  <o:lock v:ext="edit" aspectratio="f"/>
                  <v:group id="_x0000_s1026" o:spid="_x0000_s1026" o:spt="203" style="position:absolute;left:8038;top:1210203;height:7866;width:12836;" coordorigin="8038,1210203" coordsize="12836,7866" o:gfxdata="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I4XkvwAAANsAAAAPAAAAAAAAAAEAIAAAACIAAABkcnMvZG93bnJldi54&#10;bWxQSwECFAAUAAAACACHTuJAMy8FnjsAAAA5AAAAFQAAAAAAAAABACAAAAAOAQAAZHJzL2dyb3Vw&#10;c2hhcGV4bWwueG1sUEsFBgAAAAAGAAYAYAEAAMsDAAAAAA==&#10;">
                    <o:lock v:ext="edit" aspectratio="f"/>
                    <v:rect id="_x0000_s1026" o:spid="_x0000_s1026" o:spt="1" style="position:absolute;left:8038;top:1210203;height:7855;width:12829;v-text-anchor:middle;" filled="f" stroked="t" coordsize="21600,21600" o:gfxdata="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Sv1t2/&#10;AAAA2wAAAA8AAAAAAAAAAQAgAAAAIgAAAGRycy9kb3ducmV2LnhtbFBLAQIUABQAAAAIAIdO4kAz&#10;LwWeOwAAADkAAAAQAAAAAAAAAAEAIAAAAA4BAABkcnMvc2hhcGV4bWwueG1sUEsFBgAAAAAGAAYA&#10;WwEAALgDAAAAAA==&#10;">
                      <v:fill on="f" focussize="0,0"/>
                      <v:stroke weight="1.5pt" color="#000000 [3213]" miterlimit="8" joinstyle="miter"/>
                      <v:imagedata o:title=""/>
                      <o:lock v:ext="edit" aspectratio="f"/>
                    </v:rect>
                    <v:rect id="_x0000_s1026" o:spid="_x0000_s1026" o:spt="1" style="position:absolute;left:8130;top:1210321;height:7658;width:2579;v-text-anchor:middle;" filled="f" stroked="t" coordsize="21600,21600" o:gfxdata="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Rk6pvQAA&#10;ANsAAAAPAAAAAAAAAAEAIAAAACIAAABkcnMvZG93bnJldi54bWxQSwECFAAUAAAACACHTuJAMy8F&#10;njsAAAA5AAAAEAAAAAAAAAABACAAAAAMAQAAZHJzL3NoYXBleG1sLnhtbFBLBQYAAAAABgAGAFsB&#10;AAC2AwAAAAA=&#10;">
                      <v:fill on="f" focussize="0,0"/>
                      <v:stroke weight="1.5pt" color="#000000 [3213]" miterlimit="8" joinstyle="miter"/>
                      <v:imagedata o:title=""/>
                      <o:lock v:ext="edit" aspectratio="f"/>
                    </v:rect>
                    <v:shape id="_x0000_s1026" o:spid="_x0000_s1026" o:spt="202" type="#_x0000_t202" style="position:absolute;left:8973;top:1213208;height:1039;width:1223;" filled="f" stroked="f" coordsize="21600,21600" o:gfxdata="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qEbS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446D47C2">
                            <w:pPr>
                              <w:rPr>
                                <w:sz w:val="28"/>
                                <w:szCs w:val="28"/>
                              </w:rPr>
                            </w:pPr>
                            <w:r>
                              <w:rPr>
                                <w:rFonts w:hint="eastAsia"/>
                                <w:sz w:val="28"/>
                                <w:szCs w:val="28"/>
                              </w:rPr>
                              <w:t>仓库</w:t>
                            </w:r>
                          </w:p>
                        </w:txbxContent>
                      </v:textbox>
                    </v:shape>
                    <v:rect id="_x0000_s1026" o:spid="_x0000_s1026" o:spt="1" style="position:absolute;left:12000;top:1210555;height:1249;width:2266;v-text-anchor:middle;" filled="f" stroked="t" coordsize="21600,21600" o:gfxdata="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R+E3vQAA&#10;ANsAAAAPAAAAAAAAAAEAIAAAACIAAABkcnMvZG93bnJldi54bWxQSwECFAAUAAAACACHTuJAMy8F&#10;njsAAAA5AAAAEAAAAAAAAAABACAAAAAMAQAAZHJzL3NoYXBleG1sLnhtbFBLBQYAAAAABgAGAFsB&#10;AAC2AwAAAAA=&#10;">
                      <v:fill on="f" focussize="0,0"/>
                      <v:stroke weight="1.5pt" color="#000000 [3213]" miterlimit="8" joinstyle="miter"/>
                      <v:imagedata o:title=""/>
                      <o:lock v:ext="edit" aspectratio="f"/>
                    </v:rect>
                    <v:rect id="_x0000_s1026" o:spid="_x0000_s1026" o:spt="1" style="position:absolute;left:14809;top:1210444;height:1325;width:3941;v-text-anchor:middle;" filled="f" stroked="t" coordsize="21600,21600" o:gfxdata="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UaTed7gAAADbAAAA&#10;DwAAAAAAAAABACAAAAAiAAAAZHJzL2Rvd25yZXYueG1sUEsBAhQAFAAAAAgAh07iQDMvBZ47AAAA&#10;OQAAABAAAAAAAAAAAQAgAAAABwEAAGRycy9zaGFwZXhtbC54bWxQSwUGAAAAAAYABgBbAQAAsQMA&#10;AAAA&#10;">
                      <v:fill on="f" focussize="0,0"/>
                      <v:stroke weight="1.5pt" color="#000000 [3213]" miterlimit="8" joinstyle="miter"/>
                      <v:imagedata o:title=""/>
                      <o:lock v:ext="edit" aspectratio="f"/>
                    </v:rect>
                    <v:rect id="_x0000_s1026" o:spid="_x0000_s1026" o:spt="1" style="position:absolute;left:20165;top:1210429;height:1904;width:700;v-text-anchor:middle;" filled="f" stroked="t" coordsize="21600,21600" o:gfxdata="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7oe+y/&#10;AAAA2wAAAA8AAAAAAAAAAQAgAAAAIgAAAGRycy9kb3ducmV2LnhtbFBLAQIUABQAAAAIAIdO4kAz&#10;LwWeOwAAADkAAAAQAAAAAAAAAAEAIAAAAA4BAABkcnMvc2hhcGV4bWwueG1sUEsFBgAAAAAGAAYA&#10;WwEAALgDAAAAAA==&#10;">
                      <v:fill on="f" focussize="0,0"/>
                      <v:stroke weight="1.5pt" color="#000000 [3213]" miterlimit="8" joinstyle="miter"/>
                      <v:imagedata o:title=""/>
                      <o:lock v:ext="edit" aspectratio="f"/>
                    </v:rect>
                    <v:rect id="_x0000_s1026" o:spid="_x0000_s1026" o:spt="1" style="position:absolute;left:19301;top:1210443;height:1899;width:863;v-text-anchor:middle;" filled="f" stroked="t" coordsize="21600,21600" o:gfxdata="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F2QAC/&#10;AAAA2wAAAA8AAAAAAAAAAQAgAAAAIgAAAGRycy9kb3ducmV2LnhtbFBLAQIUABQAAAAIAIdO4kAz&#10;LwWeOwAAADkAAAAQAAAAAAAAAAEAIAAAAA4BAABkcnMvc2hhcGV4bWwueG1sUEsFBgAAAAAGAAYA&#10;WwEAALgDAAAAAA==&#10;">
                      <v:fill on="f" focussize="0,0"/>
                      <v:stroke weight="1.5pt" color="#000000 [3213]" miterlimit="8" joinstyle="miter"/>
                      <v:imagedata o:title=""/>
                      <o:lock v:ext="edit" aspectratio="f"/>
                    </v:rect>
                    <v:rect id="_x0000_s1026" o:spid="_x0000_s1026" o:spt="1" style="position:absolute;left:11425;top:1212312;height:783;width:750;v-text-anchor:middle;" filled="f" stroked="t" coordsize="21600,21600" o:gfxdata="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n9h0vQAA&#10;ANsAAAAPAAAAAAAAAAEAIAAAACIAAABkcnMvZG93bnJldi54bWxQSwECFAAUAAAACACHTuJAMy8F&#10;njsAAAA5AAAAEAAAAAAAAAABACAAAAAMAQAAZHJzL3NoYXBleG1sLnhtbFBLBQYAAAAABgAGAFsB&#10;AAC2AwAAAAA=&#10;">
                      <v:fill on="f" focussize="0,0"/>
                      <v:stroke weight="1.5pt" color="#000000 [3213]" miterlimit="8" joinstyle="miter"/>
                      <v:imagedata o:title=""/>
                      <o:lock v:ext="edit" aspectratio="f"/>
                    </v:rect>
                    <v:shape id="_x0000_s1026" o:spid="_x0000_s1026" o:spt="3" type="#_x0000_t3" style="position:absolute;left:12782;top:1212544;height:1261;width:1261;v-text-anchor:middle;" filled="f" stroked="t" coordsize="21600,21600" o:gfxdata="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AOF2G8AAAA&#10;2wAAAA8AAAAAAAAAAQAgAAAAIgAAAGRycy9kb3ducmV2LnhtbFBLAQIUABQAAAAIAIdO4kAzLwWe&#10;OwAAADkAAAAQAAAAAAAAAAEAIAAAAAsBAABkcnMvc2hhcGV4bWwueG1sUEsFBgAAAAAGAAYAWwEA&#10;ALUDAAAAAA==&#10;">
                      <v:fill on="f" focussize="0,0"/>
                      <v:stroke weight="1.5pt" color="#000000 [3213]" miterlimit="8" joinstyle="miter"/>
                      <v:imagedata o:title=""/>
                      <o:lock v:ext="edit" aspectratio="f"/>
                    </v:shape>
                    <v:rect id="_x0000_s1026" o:spid="_x0000_s1026" o:spt="1" style="position:absolute;left:14745;top:1217269;height:800;width:2363;v-text-anchor:middle;" filled="f" stroked="t" coordsize="21600,21600" o:gfxdata="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EB45i/&#10;AAAA2wAAAA8AAAAAAAAAAQAgAAAAIgAAAGRycy9kb3ducmV2LnhtbFBLAQIUABQAAAAIAIdO4kAz&#10;LwWeOwAAADkAAAAQAAAAAAAAAAEAIAAAAA4BAABkcnMvc2hhcGV4bWwueG1sUEsFBgAAAAAGAAYA&#10;WwEAALgDAAAAAA==&#10;">
                      <v:fill on="f" focussize="0,0"/>
                      <v:stroke weight="1.5pt" color="#000000 [3213]" miterlimit="8" joinstyle="miter"/>
                      <v:imagedata o:title=""/>
                      <o:lock v:ext="edit" aspectratio="f"/>
                    </v:rect>
                    <v:rect id="_x0000_s1026" o:spid="_x0000_s1026" o:spt="1" style="position:absolute;left:19374;top:1217274;height:783;width:750;v-text-anchor:middle;" filled="f" stroked="t" coordsize="21600,21600" o:gfxdata="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TUYDvQAA&#10;ANsAAAAPAAAAAAAAAAEAIAAAACIAAABkcnMvZG93bnJldi54bWxQSwECFAAUAAAACACHTuJAMy8F&#10;njsAAAA5AAAAEAAAAAAAAAABACAAAAAMAQAAZHJzL3NoYXBleG1sLnhtbFBLBQYAAAAABgAGAFsB&#10;AAC2AwAAAAA=&#10;">
                      <v:fill on="f" focussize="0,0"/>
                      <v:stroke weight="1.5pt" color="#000000 [3213]" miterlimit="8" joinstyle="miter"/>
                      <v:imagedata o:title=""/>
                      <o:lock v:ext="edit" aspectratio="f"/>
                    </v:rect>
                    <v:rect id="_x0000_s1026" o:spid="_x0000_s1026" o:spt="1" style="position:absolute;left:20124;top:1217274;height:783;width:750;v-text-anchor:middle;" filled="f" stroked="t" coordsize="21600,21600" o:gfxdata="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nnfqvQAA&#10;ANsAAAAPAAAAAAAAAAEAIAAAACIAAABkcnMvZG93bnJldi54bWxQSwECFAAUAAAACACHTuJAMy8F&#10;njsAAAA5AAAAEAAAAAAAAAABACAAAAAMAQAAZHJzL3NoYXBleG1sLnhtbFBLBQYAAAAABgAGAFsB&#10;AAC2AwAAAAA=&#10;">
                      <v:fill on="f" focussize="0,0"/>
                      <v:stroke weight="1.5pt" color="#000000 [3213]" miterlimit="8" joinstyle="miter"/>
                      <v:imagedata o:title=""/>
                      <o:lock v:ext="edit" aspectratio="f"/>
                    </v:rect>
                  </v:group>
                  <v:shape id="_x0000_s1026" o:spid="_x0000_s1026" o:spt="202" type="#_x0000_t202" style="position:absolute;left:11384;top:1212314;height:896;width:888;" filled="f" stroked="f" coordsize="21600,21600" o:gfxdata="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9vDBr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6852450B">
                          <w:pPr>
                            <w:rPr>
                              <w:sz w:val="24"/>
                            </w:rPr>
                          </w:pPr>
                          <w:r>
                            <w:rPr>
                              <w:rFonts w:hint="eastAsia"/>
                              <w:sz w:val="24"/>
                            </w:rPr>
                            <w:t>烘干</w:t>
                          </w:r>
                        </w:p>
                        <w:p w14:paraId="51B21594">
                          <w:pPr>
                            <w:rPr>
                              <w:sz w:val="24"/>
                            </w:rPr>
                          </w:pPr>
                          <w:r>
                            <w:rPr>
                              <w:rFonts w:hint="eastAsia"/>
                              <w:sz w:val="24"/>
                            </w:rPr>
                            <w:t>塔</w:t>
                          </w:r>
                        </w:p>
                      </w:txbxContent>
                    </v:textbox>
                  </v:shape>
                </v:group>
                <v:shape id="_x0000_s1026" o:spid="_x0000_s1026" o:spt="202" type="#_x0000_t202" style="position:absolute;left:17366;top:1210853;height:1039;width:619;" filled="f" stroked="f" coordsize="21600,21600" o:gfxdata="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uFqm7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14:paraId="0D04D6C3">
                        <w:pPr>
                          <w:rPr>
                            <w:sz w:val="28"/>
                            <w:szCs w:val="28"/>
                          </w:rPr>
                        </w:pPr>
                        <w:r>
                          <w:rPr>
                            <w:rFonts w:hint="eastAsia"/>
                            <w:sz w:val="28"/>
                            <w:szCs w:val="28"/>
                          </w:rPr>
                          <w:t>地</w:t>
                        </w:r>
                      </w:p>
                      <w:p w14:paraId="4DDD2366">
                        <w:pPr>
                          <w:rPr>
                            <w:sz w:val="28"/>
                            <w:szCs w:val="28"/>
                          </w:rPr>
                        </w:pPr>
                        <w:r>
                          <w:rPr>
                            <w:rFonts w:hint="eastAsia"/>
                            <w:sz w:val="28"/>
                            <w:szCs w:val="28"/>
                          </w:rPr>
                          <w:t>称</w:t>
                        </w:r>
                      </w:p>
                    </w:txbxContent>
                  </v:textbox>
                </v:shape>
                <v:shape id="_x0000_s1026" o:spid="_x0000_s1026" o:spt="202" type="#_x0000_t202" style="position:absolute;left:18179;top:1210876;height:1140;width:488;" filled="f" stroked="f" coordsize="21600,21600" o:gfxdata="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a3PA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7029B0F4">
                        <w:pPr>
                          <w:rPr>
                            <w:sz w:val="28"/>
                            <w:szCs w:val="28"/>
                          </w:rPr>
                        </w:pPr>
                        <w:r>
                          <w:rPr>
                            <w:rFonts w:hint="eastAsia"/>
                            <w:sz w:val="28"/>
                            <w:szCs w:val="28"/>
                          </w:rPr>
                          <w:t>称</w:t>
                        </w:r>
                      </w:p>
                      <w:p w14:paraId="11AD0911">
                        <w:pPr>
                          <w:rPr>
                            <w:sz w:val="28"/>
                            <w:szCs w:val="28"/>
                          </w:rPr>
                        </w:pPr>
                        <w:r>
                          <w:rPr>
                            <w:rFonts w:hint="eastAsia"/>
                            <w:sz w:val="28"/>
                            <w:szCs w:val="28"/>
                          </w:rPr>
                          <w:t>房</w:t>
                        </w:r>
                      </w:p>
                    </w:txbxContent>
                  </v:textbox>
                </v:shape>
                <v:rect id="_x0000_s1026" o:spid="_x0000_s1026" o:spt="1" style="position:absolute;left:12179;top:1210557;height:943;width:370;v-text-anchor:middle;" filled="f" stroked="t" coordsize="21600,21600" o:gfxdata="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zeeTL4A&#10;AADbAAAADwAAAAAAAAABACAAAAAiAAAAZHJzL2Rvd25yZXYueG1sUEsBAhQAFAAAAAgAh07iQDMv&#10;BZ47AAAAOQAAABAAAAAAAAAAAQAgAAAADQEAAGRycy9zaGFwZXhtbC54bWxQSwUGAAAAAAYABgBb&#10;AQAAtwMAAAAA&#10;">
                  <v:fill on="f" focussize="0,0"/>
                  <v:stroke weight="1.5pt" color="#000000 [3213]" miterlimit="8" joinstyle="miter"/>
                  <v:imagedata o:title=""/>
                  <o:lock v:ext="edit" aspectratio="f"/>
                </v:rect>
                <v:rect id="_x0000_s1026" o:spid="_x0000_s1026" o:spt="1" style="position:absolute;left:10524;top:1210210;flip:x;height:338;width:936;v-text-anchor:middle;" filled="f" stroked="t" coordsize="21600,21600" o:gfxdata="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B5bIb4A&#10;AADbAAAADwAAAAAAAAABACAAAAAiAAAAZHJzL2Rvd25yZXYueG1sUEsBAhQAFAAAAAgAh07iQDMv&#10;BZ47AAAAOQAAABAAAAAAAAAAAQAgAAAADQEAAGRycy9zaGFwZXhtbC54bWxQSwUGAAAAAAYABgBb&#10;AQAAtwMAAAAA&#10;">
                  <v:fill on="f" focussize="0,0"/>
                  <v:stroke weight="1.5pt" color="#000000 [3213]" miterlimit="8" joinstyle="miter"/>
                  <v:imagedata o:title=""/>
                  <o:lock v:ext="edit" aspectratio="f"/>
                </v:rect>
                <v:shape id="_x0000_s1026" o:spid="_x0000_s1026" o:spt="202" type="#_x0000_t202" style="position:absolute;left:12113;top:1210628;height:903;width:609;" filled="f" stroked="f" coordsize="21600,21600" o:gfxdata="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vusIL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14:paraId="1CFF09AB">
                        <w:pPr>
                          <w:rPr>
                            <w:sz w:val="18"/>
                            <w:szCs w:val="18"/>
                          </w:rPr>
                        </w:pPr>
                        <w:r>
                          <w:rPr>
                            <w:rFonts w:hint="eastAsia"/>
                            <w:sz w:val="18"/>
                            <w:szCs w:val="18"/>
                          </w:rPr>
                          <w:t>燃料仓</w:t>
                        </w:r>
                      </w:p>
                    </w:txbxContent>
                  </v:textbox>
                </v:shape>
                <v:shape id="_x0000_s1026" o:spid="_x0000_s1026" o:spt="3" type="#_x0000_t3" style="position:absolute;left:9679;top:1210528;height:274;width:250;v-text-anchor:middle;" fillcolor="#5B9BD5 [3204]" filled="t" stroked="f" coordsize="21600,21600" o:gfxdata="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kbhLm8AAAA&#10;2wAAAA8AAAAAAAAAAQAgAAAAIgAAAGRycy9kb3ducmV2LnhtbFBLAQIUABQAAAAIAIdO4kAzLwWe&#10;OwAAADkAAAAQAAAAAAAAAAEAIAAAAAsBAABkcnMvc2hhcGV4bWwueG1sUEsFBgAAAAAGAAYAWwEA&#10;ALUDAAAAAA==&#10;">
                  <v:fill on="t" focussize="0,0"/>
                  <v:stroke on="f" weight="1pt" miterlimit="8" joinstyle="miter"/>
                  <v:imagedata o:title=""/>
                  <o:lock v:ext="edit" aspectratio="f"/>
                </v:shape>
                <v:shape id="_x0000_s1026" o:spid="_x0000_s1026" o:spt="202" type="#_x0000_t202" style="position:absolute;left:8933;top:1210785;height:513;width:1223;" filled="f" stroked="f" coordsize="21600,21600" o:gfxdata="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lpcTa/&#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270E5E49">
                        <w:pPr>
                          <w:rPr>
                            <w:sz w:val="28"/>
                            <w:szCs w:val="28"/>
                          </w:rPr>
                        </w:pPr>
                        <w:r>
                          <w:rPr>
                            <w:rFonts w:hint="eastAsia"/>
                            <w:sz w:val="28"/>
                            <w:szCs w:val="28"/>
                          </w:rPr>
                          <w:t>DA001</w:t>
                        </w:r>
                      </w:p>
                    </w:txbxContent>
                  </v:textbox>
                </v:shape>
              </v:group>
            </w:pict>
          </mc:Fallback>
        </mc:AlternateContent>
      </w:r>
    </w:p>
    <w:p w14:paraId="49FDE65E">
      <w:pPr>
        <w:pStyle w:val="48"/>
        <w:rPr>
          <w:rFonts w:ascii="Times New Roman"/>
          <w:b/>
          <w:bCs/>
          <w:highlight w:val="yellow"/>
        </w:rPr>
      </w:pPr>
    </w:p>
    <w:p w14:paraId="3A40FCF6">
      <w:pPr>
        <w:pStyle w:val="49"/>
        <w:ind w:left="5250"/>
        <w:rPr>
          <w:b/>
          <w:bCs/>
          <w:highlight w:val="yellow"/>
        </w:rPr>
      </w:pPr>
      <w:r>
        <mc:AlternateContent>
          <mc:Choice Requires="wps">
            <w:drawing>
              <wp:anchor distT="0" distB="0" distL="114300" distR="114300" simplePos="0" relativeHeight="251676672" behindDoc="0" locked="0" layoutInCell="1" allowOverlap="1">
                <wp:simplePos x="0" y="0"/>
                <wp:positionH relativeFrom="column">
                  <wp:posOffset>3048635</wp:posOffset>
                </wp:positionH>
                <wp:positionV relativeFrom="paragraph">
                  <wp:posOffset>18415</wp:posOffset>
                </wp:positionV>
                <wp:extent cx="776605" cy="49784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776605" cy="497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C7716E">
                            <w:pPr>
                              <w:rPr>
                                <w:sz w:val="28"/>
                                <w:szCs w:val="28"/>
                              </w:rPr>
                            </w:pPr>
                            <w:r>
                              <w:rPr>
                                <w:rFonts w:hint="eastAsia"/>
                                <w:sz w:val="28"/>
                                <w:szCs w:val="28"/>
                              </w:rPr>
                              <w:t>锅炉房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0.05pt;margin-top:1.45pt;height:39.2pt;width:61.15pt;z-index:251676672;mso-width-relative:page;mso-height-relative:page;" filled="f" stroked="f" coordsize="21600,21600" o:gfxdata="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thxFk2QAAAAgBAAAPAAAAAAAAAAEAIAAAACIAAABkcnMv&#10;ZG93bnJldi54bWxQSwECFAAUAAAACACHTuJAoC81VzsCAABnBAAADgAAAAAAAAABACAAAAAoAQAA&#10;ZHJzL2Uyb0RvYy54bWxQSwUGAAAAAAYABgBZAQAA1QUAAAAA&#10;">
                <v:fill on="f" focussize="0,0"/>
                <v:stroke on="f" weight="0.5pt"/>
                <v:imagedata o:title=""/>
                <o:lock v:ext="edit" aspectratio="f"/>
                <v:textbox>
                  <w:txbxContent>
                    <w:p w14:paraId="17C7716E">
                      <w:pPr>
                        <w:rPr>
                          <w:sz w:val="28"/>
                          <w:szCs w:val="28"/>
                        </w:rPr>
                      </w:pPr>
                      <w:r>
                        <w:rPr>
                          <w:rFonts w:hint="eastAsia"/>
                          <w:sz w:val="28"/>
                          <w:szCs w:val="28"/>
                        </w:rPr>
                        <w:t>锅炉房</w:t>
                      </w:r>
                    </w:p>
                  </w:txbxContent>
                </v:textbox>
              </v:shape>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5226685</wp:posOffset>
                </wp:positionH>
                <wp:positionV relativeFrom="paragraph">
                  <wp:posOffset>73025</wp:posOffset>
                </wp:positionV>
                <wp:extent cx="776605" cy="49784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776605" cy="497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0EB89F">
                            <w:pPr>
                              <w:rPr>
                                <w:sz w:val="28"/>
                                <w:szCs w:val="28"/>
                              </w:rPr>
                            </w:pPr>
                            <w:r>
                              <w:rPr>
                                <w:rFonts w:hint="eastAsia"/>
                                <w:sz w:val="28"/>
                                <w:szCs w:val="28"/>
                              </w:rPr>
                              <w:t>办公室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1.55pt;margin-top:5.75pt;height:39.2pt;width:61.15pt;z-index:251675648;mso-width-relative:page;mso-height-relative:page;" filled="f" stroked="f" coordsize="21600,21600" o:gfxdata="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BYY6edoAAAAJAQAADwAAAAAAAAABACAAAAAiAAAA&#10;ZHJzL2Rvd25yZXYueG1sUEsBAhQAFAAAAAgAh07iQHAiuCs+AgAAZwQAAA4AAAAAAAAAAQAgAAAA&#10;KQEAAGRycy9lMm9Eb2MueG1sUEsFBgAAAAAGAAYAWQEAANkFAAAAAA==&#10;">
                <v:fill on="f" focussize="0,0"/>
                <v:stroke on="f" weight="0.5pt"/>
                <v:imagedata o:title=""/>
                <o:lock v:ext="edit" aspectratio="f"/>
                <v:textbox>
                  <w:txbxContent>
                    <w:p w14:paraId="010EB89F">
                      <w:pPr>
                        <w:rPr>
                          <w:sz w:val="28"/>
                          <w:szCs w:val="28"/>
                        </w:rPr>
                      </w:pPr>
                      <w:r>
                        <w:rPr>
                          <w:rFonts w:hint="eastAsia"/>
                          <w:sz w:val="28"/>
                          <w:szCs w:val="28"/>
                        </w:rPr>
                        <w:t>办公室</w:t>
                      </w:r>
                    </w:p>
                  </w:txbxContent>
                </v:textbox>
              </v:shape>
            </w:pict>
          </mc:Fallback>
        </mc:AlternateContent>
      </w:r>
    </w:p>
    <w:p w14:paraId="3A533FB3">
      <w:r>
        <mc:AlternateContent>
          <mc:Choice Requires="wps">
            <w:drawing>
              <wp:anchor distT="0" distB="0" distL="114300" distR="114300" simplePos="0" relativeHeight="251678720" behindDoc="0" locked="0" layoutInCell="1" allowOverlap="1">
                <wp:simplePos x="0" y="0"/>
                <wp:positionH relativeFrom="column">
                  <wp:posOffset>4658995</wp:posOffset>
                </wp:positionH>
                <wp:positionV relativeFrom="paragraph">
                  <wp:posOffset>4043680</wp:posOffset>
                </wp:positionV>
                <wp:extent cx="1070610" cy="396240"/>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1070610" cy="3962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940064">
                            <w:pPr>
                              <w:rPr>
                                <w:sz w:val="28"/>
                                <w:szCs w:val="28"/>
                              </w:rPr>
                            </w:pPr>
                            <w:r>
                              <w:rPr>
                                <w:rFonts w:hint="eastAsia"/>
                                <w:sz w:val="28"/>
                                <w:szCs w:val="28"/>
                              </w:rPr>
                              <w:t>闲置厂房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6.85pt;margin-top:318.4pt;height:31.2pt;width:84.3pt;z-index:251678720;mso-width-relative:page;mso-height-relative:page;" filled="f" stroked="f" coordsize="21600,21600" o:gfxdata="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&#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cqTTS2wAAAAsBAAAPAAAAAAAAAAEAIAAAACIAAABk&#10;cnMvZG93bnJldi54bWxQSwECFAAUAAAACACHTuJAw0Od6jwCAABoBAAADgAAAAAAAAABACAAAAAq&#10;AQAAZHJzL2Uyb0RvYy54bWxQSwUGAAAAAAYABgBZAQAA2AUAAAAA&#10;">
                <v:fill on="f" focussize="0,0"/>
                <v:stroke on="f" weight="0.5pt"/>
                <v:imagedata o:title=""/>
                <o:lock v:ext="edit" aspectratio="f"/>
                <v:textbox>
                  <w:txbxContent>
                    <w:p w14:paraId="73940064">
                      <w:pPr>
                        <w:rPr>
                          <w:sz w:val="28"/>
                          <w:szCs w:val="28"/>
                        </w:rPr>
                      </w:pPr>
                      <w:r>
                        <w:rPr>
                          <w:rFonts w:hint="eastAsia"/>
                          <w:sz w:val="28"/>
                          <w:szCs w:val="28"/>
                        </w:rPr>
                        <w:t>闲置厂房</w:t>
                      </w:r>
                    </w:p>
                  </w:txbxContent>
                </v:textbox>
              </v:shape>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7771765</wp:posOffset>
                </wp:positionH>
                <wp:positionV relativeFrom="paragraph">
                  <wp:posOffset>4054475</wp:posOffset>
                </wp:positionV>
                <wp:extent cx="574040" cy="437515"/>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574040" cy="4375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9A3818">
                            <w:pPr>
                              <w:rPr>
                                <w:sz w:val="28"/>
                                <w:szCs w:val="28"/>
                              </w:rPr>
                            </w:pPr>
                            <w:r>
                              <w:rPr>
                                <w:rFonts w:hint="eastAsia"/>
                                <w:sz w:val="28"/>
                                <w:szCs w:val="28"/>
                              </w:rPr>
                              <w:t>库房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1.95pt;margin-top:319.25pt;height:34.45pt;width:45.2pt;z-index:251674624;mso-width-relative:page;mso-height-relative:page;" filled="f" stroked="f" coordsize="21600,21600" o:gfxdata="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hXuq/3gAAAA0BAAAPAAAAAAAAAAEAIAAAACIA&#10;AABkcnMvZG93bnJldi54bWxQSwECFAAUAAAACACHTuJAhPdkTTwCAABnBAAADgAAAAAAAAABACAA&#10;AAAtAQAAZHJzL2Uyb0RvYy54bWxQSwUGAAAAAAYABgBZAQAA2wUAAAAA&#10;">
                <v:fill on="f" focussize="0,0"/>
                <v:stroke on="f" weight="0.5pt"/>
                <v:imagedata o:title=""/>
                <o:lock v:ext="edit" aspectratio="f"/>
                <v:textbox>
                  <w:txbxContent>
                    <w:p w14:paraId="049A3818">
                      <w:pPr>
                        <w:rPr>
                          <w:sz w:val="28"/>
                          <w:szCs w:val="28"/>
                        </w:rPr>
                      </w:pPr>
                      <w:r>
                        <w:rPr>
                          <w:rFonts w:hint="eastAsia"/>
                          <w:sz w:val="28"/>
                          <w:szCs w:val="28"/>
                        </w:rPr>
                        <w:t>库房</w:t>
                      </w:r>
                    </w:p>
                  </w:txbxContent>
                </v:textbox>
              </v:shape>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3241675</wp:posOffset>
                </wp:positionH>
                <wp:positionV relativeFrom="paragraph">
                  <wp:posOffset>1216660</wp:posOffset>
                </wp:positionV>
                <wp:extent cx="776605" cy="437515"/>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776605" cy="4375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B44226">
                            <w:pPr>
                              <w:rPr>
                                <w:sz w:val="28"/>
                                <w:szCs w:val="28"/>
                              </w:rPr>
                            </w:pPr>
                            <w:r>
                              <w:rPr>
                                <w:rFonts w:hint="eastAsia"/>
                                <w:sz w:val="28"/>
                                <w:szCs w:val="28"/>
                              </w:rPr>
                              <w:t>粮仓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5.25pt;margin-top:95.8pt;height:34.45pt;width:61.15pt;z-index:251673600;mso-width-relative:page;mso-height-relative:page;" filled="f" stroked="f" coordsize="21600,21600" o:gfxdata="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v8yie2gAAAAsBAAAPAAAAAAAAAAEAIAAAACIAAABk&#10;cnMvZG93bnJldi54bWxQSwECFAAUAAAACACHTuJAr3FIFj0CAABnBAAADgAAAAAAAAABACAAAAAp&#10;AQAAZHJzL2Uyb0RvYy54bWxQSwUGAAAAAAYABgBZAQAA2AUAAAAA&#10;">
                <v:fill on="f" focussize="0,0"/>
                <v:stroke on="f" weight="0.5pt"/>
                <v:imagedata o:title=""/>
                <o:lock v:ext="edit" aspectratio="f"/>
                <v:textbox>
                  <w:txbxContent>
                    <w:p w14:paraId="06B44226">
                      <w:pPr>
                        <w:rPr>
                          <w:sz w:val="28"/>
                          <w:szCs w:val="28"/>
                        </w:rPr>
                      </w:pPr>
                      <w:r>
                        <w:rPr>
                          <w:rFonts w:hint="eastAsia"/>
                          <w:sz w:val="28"/>
                          <w:szCs w:val="28"/>
                        </w:rPr>
                        <w:t>粮仓</w:t>
                      </w:r>
                    </w:p>
                  </w:txbxContent>
                </v:textbox>
              </v:shape>
            </w:pict>
          </mc:Fallback>
        </mc:AlternateContent>
      </w:r>
    </w:p>
    <w:p w14:paraId="7C910780">
      <w:pPr>
        <w:jc w:val="center"/>
        <w:sectPr>
          <w:footerReference r:id="rId10" w:type="default"/>
          <w:pgSz w:w="16838" w:h="11906" w:orient="landscape"/>
          <w:pgMar w:top="1531" w:right="1701" w:bottom="1531" w:left="1701" w:header="851" w:footer="851" w:gutter="0"/>
          <w:cols w:space="720" w:num="1"/>
          <w:docGrid w:linePitch="312" w:charSpace="0"/>
        </w:sectPr>
      </w:pPr>
      <w:r>
        <mc:AlternateContent>
          <mc:Choice Requires="wps">
            <w:drawing>
              <wp:anchor distT="0" distB="0" distL="114300" distR="114300" simplePos="0" relativeHeight="251682816" behindDoc="0" locked="0" layoutInCell="1" allowOverlap="1">
                <wp:simplePos x="0" y="0"/>
                <wp:positionH relativeFrom="column">
                  <wp:posOffset>7285990</wp:posOffset>
                </wp:positionH>
                <wp:positionV relativeFrom="paragraph">
                  <wp:posOffset>3797300</wp:posOffset>
                </wp:positionV>
                <wp:extent cx="574040" cy="570865"/>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574040" cy="570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C995FF">
                            <w:pPr>
                              <w:rPr>
                                <w:rFonts w:hint="default" w:eastAsia="宋体"/>
                                <w:sz w:val="18"/>
                                <w:szCs w:val="18"/>
                                <w:lang w:val="en-US" w:eastAsia="zh-CN"/>
                              </w:rPr>
                            </w:pPr>
                            <w:r>
                              <w:rPr>
                                <w:rFonts w:hint="eastAsia"/>
                                <w:sz w:val="18"/>
                                <w:szCs w:val="18"/>
                                <w:lang w:val="en-US" w:eastAsia="zh-CN"/>
                              </w:rPr>
                              <w:t>危险废物贮存点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3.7pt;margin-top:299pt;height:44.95pt;width:45.2pt;z-index:251682816;mso-width-relative:page;mso-height-relative:page;" filled="f" stroked="f" coordsize="21600,21600" o:gfxdata="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Ebr3LdAAAADQEAAA8AAAAAAAAAAQAgAAAAIgAA&#10;AGRycy9kb3ducmV2LnhtbFBLAQIUABQAAAAIAIdO4kBomu8aPAIAAGkEAAAOAAAAAAAAAAEAIAAA&#10;ACwBAABkcnMvZTJvRG9jLnhtbFBLBQYAAAAABgAGAFkBAADaBQAAAAA=&#10;">
                <v:fill on="f" focussize="0,0"/>
                <v:stroke on="f" weight="0.5pt"/>
                <v:imagedata o:title=""/>
                <o:lock v:ext="edit" aspectratio="f"/>
                <v:textbox>
                  <w:txbxContent>
                    <w:p w14:paraId="2BC995FF">
                      <w:pPr>
                        <w:rPr>
                          <w:rFonts w:hint="default" w:eastAsia="宋体"/>
                          <w:sz w:val="18"/>
                          <w:szCs w:val="18"/>
                          <w:lang w:val="en-US" w:eastAsia="zh-CN"/>
                        </w:rPr>
                      </w:pPr>
                      <w:r>
                        <w:rPr>
                          <w:rFonts w:hint="eastAsia"/>
                          <w:sz w:val="18"/>
                          <w:szCs w:val="18"/>
                          <w:lang w:val="en-US" w:eastAsia="zh-CN"/>
                        </w:rPr>
                        <w:t>危险废物贮存点</w:t>
                      </w:r>
                    </w:p>
                  </w:txbxContent>
                </v:textbox>
              </v:shape>
            </w:pict>
          </mc:Fallback>
        </mc:AlternateContent>
      </w:r>
    </w:p>
    <w:p w14:paraId="0387169A">
      <w:pPr>
        <w:outlineLvl w:val="0"/>
        <w:rPr>
          <w:b/>
          <w:bCs/>
          <w:sz w:val="24"/>
        </w:rPr>
      </w:pPr>
      <w:bookmarkStart w:id="60" w:name="_Toc2429"/>
      <w:bookmarkStart w:id="61" w:name="_Toc5411"/>
      <w:r>
        <w:rPr>
          <w:b/>
          <w:bCs/>
          <w:sz w:val="24"/>
        </w:rPr>
        <w:t>附图3</w:t>
      </w:r>
      <w:r>
        <w:rPr>
          <w:rFonts w:hint="eastAsia"/>
          <w:b/>
          <w:bCs/>
          <w:sz w:val="24"/>
        </w:rPr>
        <w:t xml:space="preserve"> </w:t>
      </w:r>
      <w:r>
        <w:rPr>
          <w:b/>
          <w:bCs/>
          <w:sz w:val="24"/>
        </w:rPr>
        <w:t>环境保护目标分布图</w:t>
      </w:r>
      <w:bookmarkEnd w:id="60"/>
      <w:bookmarkEnd w:id="61"/>
    </w:p>
    <w:p w14:paraId="736F830E">
      <w:pPr>
        <w:pStyle w:val="30"/>
        <w:ind w:firstLine="210"/>
        <w:jc w:val="center"/>
      </w:pPr>
      <w:r>
        <mc:AlternateContent>
          <mc:Choice Requires="wpg">
            <w:drawing>
              <wp:anchor distT="0" distB="0" distL="114300" distR="114300" simplePos="0" relativeHeight="251670528" behindDoc="0" locked="0" layoutInCell="1" allowOverlap="1">
                <wp:simplePos x="0" y="0"/>
                <wp:positionH relativeFrom="column">
                  <wp:posOffset>7197725</wp:posOffset>
                </wp:positionH>
                <wp:positionV relativeFrom="paragraph">
                  <wp:posOffset>3731260</wp:posOffset>
                </wp:positionV>
                <wp:extent cx="1471930" cy="1557020"/>
                <wp:effectExtent l="4445" t="4445" r="9525" b="19685"/>
                <wp:wrapNone/>
                <wp:docPr id="116" name="组合 116"/>
                <wp:cNvGraphicFramePr/>
                <a:graphic xmlns:a="http://schemas.openxmlformats.org/drawingml/2006/main">
                  <a:graphicData uri="http://schemas.microsoft.com/office/word/2010/wordprocessingGroup">
                    <wpg:wgp>
                      <wpg:cNvGrpSpPr/>
                      <wpg:grpSpPr>
                        <a:xfrm>
                          <a:off x="0" y="0"/>
                          <a:ext cx="1471930" cy="1557020"/>
                          <a:chOff x="17067" y="1083910"/>
                          <a:chExt cx="2318" cy="2452"/>
                        </a:xfrm>
                      </wpg:grpSpPr>
                      <wps:wsp>
                        <wps:cNvPr id="9" name="文本框 9"/>
                        <wps:cNvSpPr txBox="1"/>
                        <wps:spPr>
                          <a:xfrm>
                            <a:off x="17067" y="1083910"/>
                            <a:ext cx="2318" cy="2453"/>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8BF1C4D">
                              <w:pPr>
                                <w:spacing w:line="360" w:lineRule="auto"/>
                                <w:jc w:val="center"/>
                                <w:rPr>
                                  <w:rFonts w:ascii="黑体" w:hAnsi="黑体" w:eastAsia="黑体" w:cs="黑体"/>
                                </w:rPr>
                              </w:pPr>
                              <w:r>
                                <w:rPr>
                                  <w:rFonts w:hint="eastAsia" w:ascii="黑体" w:hAnsi="黑体" w:eastAsia="黑体" w:cs="黑体"/>
                                </w:rPr>
                                <w:t>图例</w:t>
                              </w:r>
                            </w:p>
                            <w:p w14:paraId="269147A8">
                              <w:pPr>
                                <w:pStyle w:val="9"/>
                                <w:spacing w:line="360" w:lineRule="auto"/>
                                <w:rPr>
                                  <w:rFonts w:eastAsiaTheme="minorEastAsia"/>
                                  <w:sz w:val="21"/>
                                  <w:szCs w:val="21"/>
                                </w:rPr>
                              </w:pPr>
                              <w:r>
                                <w:rPr>
                                  <w:rFonts w:eastAsiaTheme="minorEastAsia"/>
                                  <w:sz w:val="21"/>
                                  <w:szCs w:val="21"/>
                                </w:rPr>
                                <w:t>项目厂址</w:t>
                              </w:r>
                            </w:p>
                            <w:p w14:paraId="72AD93FD">
                              <w:pPr>
                                <w:pStyle w:val="48"/>
                                <w:spacing w:line="360" w:lineRule="auto"/>
                                <w:rPr>
                                  <w:rFonts w:ascii="Times New Roman" w:eastAsiaTheme="minorEastAsia"/>
                                  <w:sz w:val="21"/>
                                </w:rPr>
                              </w:pPr>
                              <w:r>
                                <w:rPr>
                                  <w:rFonts w:ascii="Times New Roman" w:eastAsiaTheme="minorEastAsia"/>
                                  <w:sz w:val="21"/>
                                </w:rPr>
                                <w:t>大气评价范围</w:t>
                              </w:r>
                            </w:p>
                            <w:p w14:paraId="023E498B">
                              <w:pPr>
                                <w:pStyle w:val="48"/>
                                <w:spacing w:line="360" w:lineRule="auto"/>
                                <w:rPr>
                                  <w:rFonts w:ascii="Times New Roman" w:eastAsiaTheme="minorEastAsia"/>
                                  <w:sz w:val="21"/>
                                </w:rPr>
                              </w:pPr>
                              <w:r>
                                <w:rPr>
                                  <w:rFonts w:ascii="Times New Roman" w:eastAsiaTheme="minorEastAsia"/>
                                  <w:sz w:val="21"/>
                                </w:rPr>
                                <w:t>声评价范围</w:t>
                              </w:r>
                            </w:p>
                            <w:p w14:paraId="4F59738A">
                              <w:pPr>
                                <w:pStyle w:val="48"/>
                                <w:spacing w:line="360" w:lineRule="auto"/>
                                <w:rPr>
                                  <w:rFonts w:ascii="Times New Roman" w:eastAsiaTheme="minorEastAsia"/>
                                  <w:sz w:val="21"/>
                                </w:rPr>
                              </w:pPr>
                              <w:r>
                                <w:rPr>
                                  <w:rFonts w:ascii="Times New Roman" w:eastAsiaTheme="minorEastAsia"/>
                                  <w:sz w:val="21"/>
                                </w:rPr>
                                <w:t>大气保护目标</w:t>
                              </w:r>
                            </w:p>
                            <w:p w14:paraId="31F72D82">
                              <w:pPr>
                                <w:pStyle w:val="48"/>
                                <w:spacing w:line="360" w:lineRule="auto"/>
                                <w:rPr>
                                  <w:rFonts w:ascii="Times New Roman" w:eastAsiaTheme="minorEastAsia"/>
                                  <w:sz w:val="21"/>
                                </w:rPr>
                              </w:pPr>
                              <w:r>
                                <w:rPr>
                                  <w:rFonts w:hint="eastAsia" w:ascii="Times New Roman" w:eastAsiaTheme="minorEastAsia"/>
                                  <w:sz w:val="21"/>
                                </w:rPr>
                                <w:t>声环境保护目标</w:t>
                              </w:r>
                            </w:p>
                            <w:p w14:paraId="6A73CDE1">
                              <w:pPr>
                                <w:pStyle w:val="49"/>
                                <w:ind w:left="5250"/>
                              </w:pPr>
                            </w:p>
                            <w:p w14:paraId="76D58BEC">
                              <w:pPr>
                                <w:pStyle w:val="49"/>
                                <w:ind w:left="5250"/>
                              </w:pPr>
                            </w:p>
                            <w:p w14:paraId="3189098A">
                              <w:pPr>
                                <w:pStyle w:val="49"/>
                                <w:ind w:left="5250"/>
                              </w:pPr>
                            </w:p>
                            <w:p w14:paraId="18F0B622">
                              <w:pPr>
                                <w:pStyle w:val="49"/>
                                <w:ind w:left="5250"/>
                              </w:pPr>
                            </w:p>
                            <w:p w14:paraId="27042062">
                              <w:pPr>
                                <w:pStyle w:val="49"/>
                                <w:ind w:left="5250"/>
                              </w:pPr>
                              <w:r>
                                <w:rPr>
                                  <w:rFonts w:hint="eastAsia"/>
                                </w:rPr>
                                <w:t>声评价范围</w:t>
                              </w:r>
                            </w:p>
                            <w:p w14:paraId="4C47337E">
                              <w:pPr>
                                <w:pStyle w:val="49"/>
                                <w:ind w:left="5250"/>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 name="矩形 17"/>
                        <wps:cNvSpPr/>
                        <wps:spPr>
                          <a:xfrm>
                            <a:off x="18802" y="1084429"/>
                            <a:ext cx="520" cy="222"/>
                          </a:xfrm>
                          <a:prstGeom prst="rect">
                            <a:avLst/>
                          </a:prstGeom>
                          <a:noFill/>
                          <a:ln w="19050">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3" name="矩形 20"/>
                        <wps:cNvSpPr/>
                        <wps:spPr>
                          <a:xfrm>
                            <a:off x="18802" y="1085251"/>
                            <a:ext cx="520" cy="207"/>
                          </a:xfrm>
                          <a:prstGeom prst="rect">
                            <a:avLst/>
                          </a:prstGeom>
                          <a:noFill/>
                          <a:ln w="19050">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2" name="矩形 52"/>
                        <wps:cNvSpPr/>
                        <wps:spPr>
                          <a:xfrm>
                            <a:off x="18802" y="1084840"/>
                            <a:ext cx="520" cy="222"/>
                          </a:xfrm>
                          <a:prstGeom prst="rect">
                            <a:avLst/>
                          </a:prstGeom>
                          <a:noFill/>
                          <a:ln w="19050">
                            <a:solidFill>
                              <a:srgbClr val="0000E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4" name="矩形 53"/>
                        <wps:cNvSpPr/>
                        <wps:spPr>
                          <a:xfrm>
                            <a:off x="18802" y="1085647"/>
                            <a:ext cx="520" cy="207"/>
                          </a:xfrm>
                          <a:prstGeom prst="rect">
                            <a:avLst/>
                          </a:prstGeom>
                          <a:solidFill>
                            <a:srgbClr val="92D050"/>
                          </a:solidFill>
                          <a:ln w="19050">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5" name="矩形 53"/>
                        <wps:cNvSpPr/>
                        <wps:spPr>
                          <a:xfrm>
                            <a:off x="18802" y="1086043"/>
                            <a:ext cx="520" cy="222"/>
                          </a:xfrm>
                          <a:prstGeom prst="rect">
                            <a:avLst/>
                          </a:prstGeom>
                          <a:solidFill>
                            <a:srgbClr val="FFFF00"/>
                          </a:solidFill>
                          <a:ln w="19050">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66.75pt;margin-top:293.8pt;height:122.6pt;width:115.9pt;z-index:251670528;mso-width-relative:page;mso-height-relative:page;" coordorigin="17067,1083910" coordsize="2318,2452" o:gfxdata="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">
                <o:lock v:ext="edit" aspectratio="f"/>
                <v:shape id="_x0000_s1026" o:spid="_x0000_s1026" o:spt="202" type="#_x0000_t202" style="position:absolute;left:17067;top:1083910;height:2453;width:2318;" fillcolor="#FFFFFF [3201]" filled="t" stroked="t" coordsize="21600,21600" o:gfxdata="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JhUpG62AAAA2g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14:paraId="48BF1C4D">
                        <w:pPr>
                          <w:spacing w:line="360" w:lineRule="auto"/>
                          <w:jc w:val="center"/>
                          <w:rPr>
                            <w:rFonts w:ascii="黑体" w:hAnsi="黑体" w:eastAsia="黑体" w:cs="黑体"/>
                          </w:rPr>
                        </w:pPr>
                        <w:r>
                          <w:rPr>
                            <w:rFonts w:hint="eastAsia" w:ascii="黑体" w:hAnsi="黑体" w:eastAsia="黑体" w:cs="黑体"/>
                          </w:rPr>
                          <w:t>图例</w:t>
                        </w:r>
                      </w:p>
                      <w:p w14:paraId="269147A8">
                        <w:pPr>
                          <w:pStyle w:val="9"/>
                          <w:spacing w:line="360" w:lineRule="auto"/>
                          <w:rPr>
                            <w:rFonts w:eastAsiaTheme="minorEastAsia"/>
                            <w:sz w:val="21"/>
                            <w:szCs w:val="21"/>
                          </w:rPr>
                        </w:pPr>
                        <w:r>
                          <w:rPr>
                            <w:rFonts w:eastAsiaTheme="minorEastAsia"/>
                            <w:sz w:val="21"/>
                            <w:szCs w:val="21"/>
                          </w:rPr>
                          <w:t>项目厂址</w:t>
                        </w:r>
                      </w:p>
                      <w:p w14:paraId="72AD93FD">
                        <w:pPr>
                          <w:pStyle w:val="48"/>
                          <w:spacing w:line="360" w:lineRule="auto"/>
                          <w:rPr>
                            <w:rFonts w:ascii="Times New Roman" w:eastAsiaTheme="minorEastAsia"/>
                            <w:sz w:val="21"/>
                          </w:rPr>
                        </w:pPr>
                        <w:r>
                          <w:rPr>
                            <w:rFonts w:ascii="Times New Roman" w:eastAsiaTheme="minorEastAsia"/>
                            <w:sz w:val="21"/>
                          </w:rPr>
                          <w:t>大气评价范围</w:t>
                        </w:r>
                      </w:p>
                      <w:p w14:paraId="023E498B">
                        <w:pPr>
                          <w:pStyle w:val="48"/>
                          <w:spacing w:line="360" w:lineRule="auto"/>
                          <w:rPr>
                            <w:rFonts w:ascii="Times New Roman" w:eastAsiaTheme="minorEastAsia"/>
                            <w:sz w:val="21"/>
                          </w:rPr>
                        </w:pPr>
                        <w:r>
                          <w:rPr>
                            <w:rFonts w:ascii="Times New Roman" w:eastAsiaTheme="minorEastAsia"/>
                            <w:sz w:val="21"/>
                          </w:rPr>
                          <w:t>声评价范围</w:t>
                        </w:r>
                      </w:p>
                      <w:p w14:paraId="4F59738A">
                        <w:pPr>
                          <w:pStyle w:val="48"/>
                          <w:spacing w:line="360" w:lineRule="auto"/>
                          <w:rPr>
                            <w:rFonts w:ascii="Times New Roman" w:eastAsiaTheme="minorEastAsia"/>
                            <w:sz w:val="21"/>
                          </w:rPr>
                        </w:pPr>
                        <w:r>
                          <w:rPr>
                            <w:rFonts w:ascii="Times New Roman" w:eastAsiaTheme="minorEastAsia"/>
                            <w:sz w:val="21"/>
                          </w:rPr>
                          <w:t>大气保护目标</w:t>
                        </w:r>
                      </w:p>
                      <w:p w14:paraId="31F72D82">
                        <w:pPr>
                          <w:pStyle w:val="48"/>
                          <w:spacing w:line="360" w:lineRule="auto"/>
                          <w:rPr>
                            <w:rFonts w:ascii="Times New Roman" w:eastAsiaTheme="minorEastAsia"/>
                            <w:sz w:val="21"/>
                          </w:rPr>
                        </w:pPr>
                        <w:r>
                          <w:rPr>
                            <w:rFonts w:hint="eastAsia" w:ascii="Times New Roman" w:eastAsiaTheme="minorEastAsia"/>
                            <w:sz w:val="21"/>
                          </w:rPr>
                          <w:t>声环境保护目标</w:t>
                        </w:r>
                      </w:p>
                      <w:p w14:paraId="6A73CDE1">
                        <w:pPr>
                          <w:pStyle w:val="49"/>
                          <w:ind w:left="5250"/>
                        </w:pPr>
                      </w:p>
                      <w:p w14:paraId="76D58BEC">
                        <w:pPr>
                          <w:pStyle w:val="49"/>
                          <w:ind w:left="5250"/>
                        </w:pPr>
                      </w:p>
                      <w:p w14:paraId="3189098A">
                        <w:pPr>
                          <w:pStyle w:val="49"/>
                          <w:ind w:left="5250"/>
                        </w:pPr>
                      </w:p>
                      <w:p w14:paraId="18F0B622">
                        <w:pPr>
                          <w:pStyle w:val="49"/>
                          <w:ind w:left="5250"/>
                        </w:pPr>
                      </w:p>
                      <w:p w14:paraId="27042062">
                        <w:pPr>
                          <w:pStyle w:val="49"/>
                          <w:ind w:left="5250"/>
                        </w:pPr>
                        <w:r>
                          <w:rPr>
                            <w:rFonts w:hint="eastAsia"/>
                          </w:rPr>
                          <w:t>声评价范围</w:t>
                        </w:r>
                      </w:p>
                      <w:p w14:paraId="4C47337E">
                        <w:pPr>
                          <w:pStyle w:val="49"/>
                          <w:ind w:left="5250"/>
                        </w:pPr>
                      </w:p>
                    </w:txbxContent>
                  </v:textbox>
                </v:shape>
                <v:rect id="_x0000_s1026" o:spid="_x0000_s1026" o:spt="1" style="position:absolute;left:18802;top:1084429;height:222;width:520;v-text-anchor:middle;" filled="f" stroked="t" coordsize="21600,21600" o:gfxdata="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R7lmLsAAADb&#10;AAAADwAAAAAAAAABACAAAAAiAAAAZHJzL2Rvd25yZXYueG1sUEsBAhQAFAAAAAgAh07iQDMvBZ47&#10;AAAAOQAAABAAAAAAAAAAAQAgAAAACgEAAGRycy9zaGFwZXhtbC54bWxQSwUGAAAAAAYABgBbAQAA&#10;tAMAAAAA&#10;">
                  <v:fill on="f" focussize="0,0"/>
                  <v:stroke weight="1.5pt" color="#C00000 [2404]" miterlimit="8" joinstyle="miter"/>
                  <v:imagedata o:title=""/>
                  <o:lock v:ext="edit" aspectratio="f"/>
                </v:rect>
                <v:rect id="矩形 20" o:spid="_x0000_s1026" o:spt="1" style="position:absolute;left:18802;top:1085251;height:207;width:520;v-text-anchor:middle;" filled="f" stroked="t" coordsize="21600,21600" o:gfxdata="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4cFDS8AAAA&#10;3AAAAA8AAAAAAAAAAQAgAAAAIgAAAGRycy9kb3ducmV2LnhtbFBLAQIUABQAAAAIAIdO4kAzLwWe&#10;OwAAADkAAAAQAAAAAAAAAAEAIAAAAAsBAABkcnMvc2hhcGV4bWwueG1sUEsFBgAAAAAGAAYAWwEA&#10;ALUDAAAAAA==&#10;">
                  <v:fill on="f" focussize="0,0"/>
                  <v:stroke weight="1.5pt" color="#92D050 [2404]" miterlimit="8" joinstyle="miter"/>
                  <v:imagedata o:title=""/>
                  <o:lock v:ext="edit" aspectratio="f"/>
                </v:rect>
                <v:rect id="_x0000_s1026" o:spid="_x0000_s1026" o:spt="1" style="position:absolute;left:18802;top:1084840;height:222;width:520;v-text-anchor:middle;" filled="f" stroked="t" coordsize="21600,21600" o:gfxdata="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CL4bS8AAAA&#10;2wAAAA8AAAAAAAAAAQAgAAAAIgAAAGRycy9kb3ducmV2LnhtbFBLAQIUABQAAAAIAIdO4kAzLwWe&#10;OwAAADkAAAAQAAAAAAAAAAEAIAAAAAsBAABkcnMvc2hhcGV4bWwueG1sUEsFBgAAAAAGAAYAWwEA&#10;ALUDAAAAAA==&#10;">
                  <v:fill on="f" focussize="0,0"/>
                  <v:stroke weight="1.5pt" color="#0000E1 [2404]" miterlimit="8" joinstyle="miter"/>
                  <v:imagedata o:title=""/>
                  <o:lock v:ext="edit" aspectratio="f"/>
                </v:rect>
                <v:rect id="矩形 53" o:spid="_x0000_s1026" o:spt="1" style="position:absolute;left:18802;top:1085647;height:207;width:520;v-text-anchor:middle;" fillcolor="#92D050" filled="t" stroked="t" coordsize="21600,21600" o:gfxdata="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ODbKvQAA&#10;ANwAAAAPAAAAAAAAAAEAIAAAACIAAABkcnMvZG93bnJldi54bWxQSwECFAAUAAAACACHTuJAMy8F&#10;njsAAAA5AAAAEAAAAAAAAAABACAAAAAMAQAAZHJzL3NoYXBleG1sLnhtbFBLBQYAAAAABgAGAFsB&#10;AAC2AwAAAAA=&#10;">
                  <v:fill on="t" focussize="0,0"/>
                  <v:stroke weight="1.5pt" color="#92D050 [2404]" miterlimit="8" joinstyle="miter"/>
                  <v:imagedata o:title=""/>
                  <o:lock v:ext="edit" aspectratio="f"/>
                </v:rect>
                <v:rect id="矩形 53" o:spid="_x0000_s1026" o:spt="1" style="position:absolute;left:18802;top:1086043;height:222;width:520;v-text-anchor:middle;" fillcolor="#FFFF00" filled="t" stroked="f" coordsize="21600,21600" o:gfxdata="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0hz6LsAAADc&#10;AAAADwAAAAAAAAABACAAAAAiAAAAZHJzL2Rvd25yZXYueG1sUEsBAhQAFAAAAAgAh07iQDMvBZ47&#10;AAAAOQAAABAAAAAAAAAAAQAgAAAACgEAAGRycy9zaGFwZXhtbC54bWxQSwUGAAAAAAYABgBbAQAA&#10;tAMAAAAA&#10;">
                  <v:fill on="t" focussize="0,0"/>
                  <v:stroke on="f" weight="1.5pt" miterlimit="8" joinstyle="miter"/>
                  <v:imagedata o:title=""/>
                  <o:lock v:ext="edit" aspectratio="f"/>
                </v:rect>
              </v:group>
            </w:pict>
          </mc:Fallback>
        </mc:AlternateContent>
      </w:r>
      <w:r>
        <w:rPr>
          <w:rFonts w:hint="eastAsia"/>
          <w:b/>
          <w:bCs/>
          <w:sz w:val="24"/>
        </w:rPr>
        <w:drawing>
          <wp:anchor distT="0" distB="0" distL="114300" distR="114300" simplePos="0" relativeHeight="251669504" behindDoc="0" locked="0" layoutInCell="1" allowOverlap="1">
            <wp:simplePos x="0" y="0"/>
            <wp:positionH relativeFrom="column">
              <wp:posOffset>7947660</wp:posOffset>
            </wp:positionH>
            <wp:positionV relativeFrom="paragraph">
              <wp:posOffset>4445</wp:posOffset>
            </wp:positionV>
            <wp:extent cx="754380" cy="720090"/>
            <wp:effectExtent l="0" t="0" r="7620" b="3810"/>
            <wp:wrapNone/>
            <wp:docPr id="110" name="图片 11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图片1"/>
                    <pic:cNvPicPr>
                      <a:picLocks noChangeAspect="1"/>
                    </pic:cNvPicPr>
                  </pic:nvPicPr>
                  <pic:blipFill>
                    <a:blip r:embed="rId17"/>
                    <a:stretch>
                      <a:fillRect/>
                    </a:stretch>
                  </pic:blipFill>
                  <pic:spPr>
                    <a:xfrm>
                      <a:off x="0" y="0"/>
                      <a:ext cx="754380" cy="720090"/>
                    </a:xfrm>
                    <a:prstGeom prst="rect">
                      <a:avLst/>
                    </a:prstGeom>
                  </pic:spPr>
                </pic:pic>
              </a:graphicData>
            </a:graphic>
          </wp:anchor>
        </w:drawing>
      </w:r>
      <w:r>
        <w:drawing>
          <wp:inline distT="0" distB="0" distL="114300" distR="114300">
            <wp:extent cx="8527415" cy="5287010"/>
            <wp:effectExtent l="0" t="0" r="0" b="0"/>
            <wp:docPr id="1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
                    <pic:cNvPicPr>
                      <a:picLocks noChangeAspect="1"/>
                    </pic:cNvPicPr>
                  </pic:nvPicPr>
                  <pic:blipFill>
                    <a:blip r:embed="rId65"/>
                    <a:srcRect t="11095"/>
                    <a:stretch>
                      <a:fillRect/>
                    </a:stretch>
                  </pic:blipFill>
                  <pic:spPr>
                    <a:xfrm>
                      <a:off x="0" y="0"/>
                      <a:ext cx="8527415" cy="5287010"/>
                    </a:xfrm>
                    <a:prstGeom prst="rect">
                      <a:avLst/>
                    </a:prstGeom>
                    <a:noFill/>
                    <a:ln>
                      <a:noFill/>
                    </a:ln>
                  </pic:spPr>
                </pic:pic>
              </a:graphicData>
            </a:graphic>
          </wp:inline>
        </w:drawing>
      </w:r>
    </w:p>
    <w:p w14:paraId="5994C45F">
      <w:pPr>
        <w:outlineLvl w:val="0"/>
        <w:rPr>
          <w:b/>
          <w:bCs/>
        </w:rPr>
        <w:sectPr>
          <w:footerReference r:id="rId11" w:type="default"/>
          <w:pgSz w:w="16838" w:h="11906" w:orient="landscape"/>
          <w:pgMar w:top="1531" w:right="1701" w:bottom="1531" w:left="1701" w:header="851" w:footer="851" w:gutter="0"/>
          <w:cols w:space="720" w:num="1"/>
          <w:docGrid w:linePitch="312" w:charSpace="0"/>
        </w:sectPr>
      </w:pPr>
    </w:p>
    <w:p w14:paraId="5A06D00A">
      <w:pPr>
        <w:pStyle w:val="30"/>
        <w:ind w:firstLine="0" w:firstLineChars="0"/>
        <w:jc w:val="left"/>
        <w:outlineLvl w:val="0"/>
        <w:rPr>
          <w:sz w:val="24"/>
        </w:rPr>
      </w:pPr>
      <w:bookmarkStart w:id="62" w:name="_Toc24820"/>
      <w:bookmarkStart w:id="63" w:name="_Toc28538"/>
      <w:r>
        <w:rPr>
          <w:b/>
          <w:sz w:val="24"/>
        </w:rPr>
        <w:t>附图</w:t>
      </w:r>
      <w:r>
        <w:rPr>
          <w:rFonts w:hint="eastAsia"/>
          <w:b/>
          <w:sz w:val="24"/>
        </w:rPr>
        <w:t xml:space="preserve">4 </w:t>
      </w:r>
      <w:r>
        <w:rPr>
          <w:b/>
          <w:sz w:val="24"/>
        </w:rPr>
        <w:t>厂区四周环境现状</w:t>
      </w:r>
      <w:bookmarkEnd w:id="62"/>
      <w:bookmarkEnd w:id="63"/>
    </w:p>
    <w:tbl>
      <w:tblPr>
        <w:tblStyle w:val="33"/>
        <w:tblW w:w="89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92"/>
        <w:gridCol w:w="4467"/>
      </w:tblGrid>
      <w:tr w14:paraId="15CDA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9" w:hRule="atLeast"/>
          <w:jc w:val="center"/>
        </w:trPr>
        <w:tc>
          <w:tcPr>
            <w:tcW w:w="4492" w:type="dxa"/>
            <w:vAlign w:val="center"/>
          </w:tcPr>
          <w:p w14:paraId="58C68840">
            <w:pPr>
              <w:pStyle w:val="55"/>
              <w:ind w:firstLine="0" w:firstLineChars="0"/>
              <w:jc w:val="center"/>
              <w:rPr>
                <w:rFonts w:ascii="Times New Roman" w:hAnsi="Times New Roman"/>
              </w:rPr>
            </w:pPr>
            <w:r>
              <w:rPr>
                <w:rFonts w:ascii="Times New Roman" w:hAnsi="Times New Roman"/>
              </w:rPr>
              <w:drawing>
                <wp:inline distT="0" distB="0" distL="114300" distR="114300">
                  <wp:extent cx="2706370" cy="2059305"/>
                  <wp:effectExtent l="0" t="0" r="17780" b="17145"/>
                  <wp:docPr id="105" name="图片 105" descr="1c62af377f182364d392892341686c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c62af377f182364d392892341686c93"/>
                          <pic:cNvPicPr>
                            <a:picLocks noChangeAspect="1"/>
                          </pic:cNvPicPr>
                        </pic:nvPicPr>
                        <pic:blipFill>
                          <a:blip r:embed="rId66"/>
                          <a:stretch>
                            <a:fillRect/>
                          </a:stretch>
                        </pic:blipFill>
                        <pic:spPr>
                          <a:xfrm>
                            <a:off x="0" y="0"/>
                            <a:ext cx="2706370" cy="2059305"/>
                          </a:xfrm>
                          <a:prstGeom prst="rect">
                            <a:avLst/>
                          </a:prstGeom>
                        </pic:spPr>
                      </pic:pic>
                    </a:graphicData>
                  </a:graphic>
                </wp:inline>
              </w:drawing>
            </w:r>
          </w:p>
        </w:tc>
        <w:tc>
          <w:tcPr>
            <w:tcW w:w="4467" w:type="dxa"/>
            <w:vAlign w:val="center"/>
          </w:tcPr>
          <w:p w14:paraId="0ADDBFCB">
            <w:pPr>
              <w:pStyle w:val="55"/>
              <w:ind w:firstLine="0" w:firstLineChars="0"/>
              <w:jc w:val="center"/>
              <w:rPr>
                <w:rFonts w:ascii="Times New Roman" w:hAnsi="Times New Roman"/>
              </w:rPr>
            </w:pPr>
            <w:r>
              <w:rPr>
                <w:rFonts w:ascii="Times New Roman" w:hAnsi="Times New Roman"/>
              </w:rPr>
              <w:drawing>
                <wp:inline distT="0" distB="0" distL="114300" distR="114300">
                  <wp:extent cx="2688590" cy="2005965"/>
                  <wp:effectExtent l="0" t="0" r="16510" b="13335"/>
                  <wp:docPr id="102" name="图片 102" descr="73928f3fc412ff6429efcb04639ee2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73928f3fc412ff6429efcb04639ee2c5"/>
                          <pic:cNvPicPr>
                            <a:picLocks noChangeAspect="1"/>
                          </pic:cNvPicPr>
                        </pic:nvPicPr>
                        <pic:blipFill>
                          <a:blip r:embed="rId67"/>
                          <a:stretch>
                            <a:fillRect/>
                          </a:stretch>
                        </pic:blipFill>
                        <pic:spPr>
                          <a:xfrm>
                            <a:off x="0" y="0"/>
                            <a:ext cx="2688590" cy="2005965"/>
                          </a:xfrm>
                          <a:prstGeom prst="rect">
                            <a:avLst/>
                          </a:prstGeom>
                        </pic:spPr>
                      </pic:pic>
                    </a:graphicData>
                  </a:graphic>
                </wp:inline>
              </w:drawing>
            </w:r>
          </w:p>
        </w:tc>
      </w:tr>
      <w:tr w14:paraId="42E72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4492" w:type="dxa"/>
            <w:vAlign w:val="center"/>
          </w:tcPr>
          <w:p w14:paraId="45914CF7">
            <w:pPr>
              <w:pStyle w:val="55"/>
              <w:ind w:firstLine="0" w:firstLineChars="0"/>
              <w:jc w:val="center"/>
              <w:rPr>
                <w:rFonts w:ascii="Times New Roman" w:hAnsi="Times New Roman"/>
              </w:rPr>
            </w:pPr>
            <w:r>
              <w:rPr>
                <w:rFonts w:ascii="Times New Roman" w:hAnsi="Times New Roman"/>
              </w:rPr>
              <w:t>东侧</w:t>
            </w:r>
          </w:p>
        </w:tc>
        <w:tc>
          <w:tcPr>
            <w:tcW w:w="4467" w:type="dxa"/>
            <w:vAlign w:val="center"/>
          </w:tcPr>
          <w:p w14:paraId="269E14A7">
            <w:pPr>
              <w:pStyle w:val="55"/>
              <w:ind w:firstLine="0" w:firstLineChars="0"/>
              <w:jc w:val="center"/>
              <w:rPr>
                <w:rFonts w:ascii="Times New Roman" w:hAnsi="Times New Roman"/>
              </w:rPr>
            </w:pPr>
            <w:r>
              <w:rPr>
                <w:rFonts w:ascii="Times New Roman" w:hAnsi="Times New Roman"/>
              </w:rPr>
              <w:t>南侧</w:t>
            </w:r>
          </w:p>
        </w:tc>
      </w:tr>
      <w:tr w14:paraId="5DF82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5" w:hRule="atLeast"/>
          <w:jc w:val="center"/>
        </w:trPr>
        <w:tc>
          <w:tcPr>
            <w:tcW w:w="4492" w:type="dxa"/>
            <w:vAlign w:val="center"/>
          </w:tcPr>
          <w:p w14:paraId="1A750558">
            <w:pPr>
              <w:pStyle w:val="55"/>
              <w:ind w:firstLine="0" w:firstLineChars="0"/>
              <w:jc w:val="center"/>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2705735" cy="2371725"/>
                  <wp:effectExtent l="0" t="0" r="18415" b="9525"/>
                  <wp:docPr id="45" name="图片 45" descr="fcf5e42cc4e0e332de742deb2f42e7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fcf5e42cc4e0e332de742deb2f42e70c"/>
                          <pic:cNvPicPr>
                            <a:picLocks noChangeAspect="1"/>
                          </pic:cNvPicPr>
                        </pic:nvPicPr>
                        <pic:blipFill>
                          <a:blip r:embed="rId68"/>
                          <a:srcRect r="62506"/>
                          <a:stretch>
                            <a:fillRect/>
                          </a:stretch>
                        </pic:blipFill>
                        <pic:spPr>
                          <a:xfrm>
                            <a:off x="0" y="0"/>
                            <a:ext cx="2705735" cy="2371725"/>
                          </a:xfrm>
                          <a:prstGeom prst="rect">
                            <a:avLst/>
                          </a:prstGeom>
                        </pic:spPr>
                      </pic:pic>
                    </a:graphicData>
                  </a:graphic>
                </wp:inline>
              </w:drawing>
            </w:r>
          </w:p>
        </w:tc>
        <w:tc>
          <w:tcPr>
            <w:tcW w:w="4467" w:type="dxa"/>
            <w:vAlign w:val="center"/>
          </w:tcPr>
          <w:p w14:paraId="2A1113B1">
            <w:pPr>
              <w:pStyle w:val="55"/>
              <w:ind w:firstLine="0" w:firstLineChars="0"/>
              <w:jc w:val="center"/>
              <w:rPr>
                <w:rFonts w:hint="eastAsia" w:ascii="Times New Roman" w:hAnsi="Times New Roman" w:eastAsia="宋体"/>
                <w:lang w:eastAsia="zh-CN"/>
              </w:rPr>
            </w:pPr>
            <w:r>
              <w:rPr>
                <w:rFonts w:hint="eastAsia" w:ascii="Times New Roman" w:hAnsi="Times New Roman" w:eastAsia="宋体"/>
                <w:lang w:eastAsia="zh-CN"/>
              </w:rPr>
              <w:drawing>
                <wp:inline distT="0" distB="0" distL="114300" distR="114300">
                  <wp:extent cx="2698750" cy="2372995"/>
                  <wp:effectExtent l="0" t="0" r="6350" b="8255"/>
                  <wp:docPr id="111" name="图片 111" descr="6741747aa2e950aa2eac2d21546c20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6741747aa2e950aa2eac2d21546c20e3"/>
                          <pic:cNvPicPr>
                            <a:picLocks noChangeAspect="1"/>
                          </pic:cNvPicPr>
                        </pic:nvPicPr>
                        <pic:blipFill>
                          <a:blip r:embed="rId69"/>
                          <a:srcRect r="56661"/>
                          <a:stretch>
                            <a:fillRect/>
                          </a:stretch>
                        </pic:blipFill>
                        <pic:spPr>
                          <a:xfrm>
                            <a:off x="0" y="0"/>
                            <a:ext cx="2698750" cy="2372995"/>
                          </a:xfrm>
                          <a:prstGeom prst="rect">
                            <a:avLst/>
                          </a:prstGeom>
                        </pic:spPr>
                      </pic:pic>
                    </a:graphicData>
                  </a:graphic>
                </wp:inline>
              </w:drawing>
            </w:r>
          </w:p>
        </w:tc>
      </w:tr>
      <w:tr w14:paraId="01080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4492" w:type="dxa"/>
            <w:vAlign w:val="center"/>
          </w:tcPr>
          <w:p w14:paraId="0A25F9D9">
            <w:pPr>
              <w:pStyle w:val="55"/>
              <w:ind w:firstLine="0" w:firstLineChars="0"/>
              <w:jc w:val="center"/>
              <w:rPr>
                <w:rFonts w:ascii="Times New Roman" w:hAnsi="Times New Roman"/>
              </w:rPr>
            </w:pPr>
            <w:r>
              <w:rPr>
                <w:rFonts w:ascii="Times New Roman" w:hAnsi="Times New Roman"/>
              </w:rPr>
              <w:t>西侧</w:t>
            </w:r>
          </w:p>
        </w:tc>
        <w:tc>
          <w:tcPr>
            <w:tcW w:w="4467" w:type="dxa"/>
            <w:vAlign w:val="center"/>
          </w:tcPr>
          <w:p w14:paraId="7CC25099">
            <w:pPr>
              <w:pStyle w:val="55"/>
              <w:ind w:firstLine="0" w:firstLineChars="0"/>
              <w:jc w:val="center"/>
              <w:rPr>
                <w:rFonts w:ascii="Times New Roman" w:hAnsi="Times New Roman"/>
              </w:rPr>
            </w:pPr>
            <w:r>
              <w:rPr>
                <w:rFonts w:ascii="Times New Roman" w:hAnsi="Times New Roman"/>
              </w:rPr>
              <w:t>北侧</w:t>
            </w:r>
          </w:p>
        </w:tc>
      </w:tr>
      <w:tr w14:paraId="4E637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4492" w:type="dxa"/>
            <w:vAlign w:val="center"/>
          </w:tcPr>
          <w:p w14:paraId="2D73E96B">
            <w:pPr>
              <w:pStyle w:val="55"/>
              <w:ind w:firstLine="0" w:firstLineChars="0"/>
              <w:jc w:val="center"/>
              <w:rPr>
                <w:rFonts w:ascii="Times New Roman" w:hAnsi="Times New Roman"/>
              </w:rPr>
            </w:pPr>
            <w:r>
              <w:rPr>
                <w:rFonts w:hint="eastAsia" w:eastAsiaTheme="minorEastAsia"/>
                <w:lang w:eastAsia="zh-CN"/>
              </w:rPr>
              <w:drawing>
                <wp:inline distT="0" distB="0" distL="114300" distR="114300">
                  <wp:extent cx="2661285" cy="2430145"/>
                  <wp:effectExtent l="0" t="0" r="5715" b="8255"/>
                  <wp:docPr id="61" name="图片 61" descr="c35a6581c57b986d9b573063bd04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35a6581c57b986d9b573063bd047674"/>
                          <pic:cNvPicPr>
                            <a:picLocks noChangeAspect="1"/>
                          </pic:cNvPicPr>
                        </pic:nvPicPr>
                        <pic:blipFill>
                          <a:blip r:embed="rId70"/>
                          <a:srcRect l="45723" t="48448" b="22390"/>
                          <a:stretch>
                            <a:fillRect/>
                          </a:stretch>
                        </pic:blipFill>
                        <pic:spPr>
                          <a:xfrm>
                            <a:off x="0" y="0"/>
                            <a:ext cx="2661285" cy="2430145"/>
                          </a:xfrm>
                          <a:prstGeom prst="rect">
                            <a:avLst/>
                          </a:prstGeom>
                        </pic:spPr>
                      </pic:pic>
                    </a:graphicData>
                  </a:graphic>
                </wp:inline>
              </w:drawing>
            </w:r>
          </w:p>
        </w:tc>
        <w:tc>
          <w:tcPr>
            <w:tcW w:w="4467" w:type="dxa"/>
            <w:vAlign w:val="center"/>
          </w:tcPr>
          <w:p w14:paraId="16EB8C15">
            <w:pPr>
              <w:pStyle w:val="55"/>
              <w:ind w:firstLine="0" w:firstLineChars="0"/>
              <w:jc w:val="center"/>
              <w:rPr>
                <w:rFonts w:ascii="Times New Roman" w:hAnsi="Times New Roman"/>
              </w:rPr>
            </w:pPr>
          </w:p>
        </w:tc>
      </w:tr>
      <w:tr w14:paraId="7C997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4492" w:type="dxa"/>
            <w:vAlign w:val="center"/>
          </w:tcPr>
          <w:p w14:paraId="5609139C">
            <w:pPr>
              <w:pStyle w:val="55"/>
              <w:ind w:firstLine="0" w:firstLineChars="0"/>
              <w:jc w:val="center"/>
              <w:rPr>
                <w:rFonts w:hint="default" w:ascii="Times New Roman" w:hAnsi="Times New Roman" w:eastAsia="宋体"/>
                <w:lang w:val="en-US" w:eastAsia="zh-CN"/>
              </w:rPr>
            </w:pPr>
            <w:r>
              <w:rPr>
                <w:rFonts w:hint="eastAsia" w:ascii="Times New Roman" w:hAnsi="Times New Roman"/>
                <w:lang w:val="en-US" w:eastAsia="zh-CN"/>
              </w:rPr>
              <w:t>声环境保护目标（2层建筑物约为5高）</w:t>
            </w:r>
          </w:p>
        </w:tc>
        <w:tc>
          <w:tcPr>
            <w:tcW w:w="4467" w:type="dxa"/>
            <w:vAlign w:val="center"/>
          </w:tcPr>
          <w:p w14:paraId="510A1DD4">
            <w:pPr>
              <w:pStyle w:val="55"/>
              <w:ind w:firstLine="0" w:firstLineChars="0"/>
              <w:jc w:val="center"/>
              <w:rPr>
                <w:rFonts w:ascii="Times New Roman" w:hAnsi="Times New Roman"/>
              </w:rPr>
            </w:pPr>
          </w:p>
        </w:tc>
      </w:tr>
    </w:tbl>
    <w:p w14:paraId="420C03C4"/>
    <w:sectPr>
      <w:pgSz w:w="11906" w:h="16838"/>
      <w:pgMar w:top="1701" w:right="1531" w:bottom="1701" w:left="153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altName w:val="宋体"/>
    <w:panose1 w:val="02010600040101010101"/>
    <w:charset w:val="86"/>
    <w:family w:val="auto"/>
    <w:pitch w:val="default"/>
    <w:sig w:usb0="00000000" w:usb1="00000000" w:usb2="00000010" w:usb3="00000000" w:csb0="0004009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微软雅黑">
    <w:panose1 w:val="020B0503020204020204"/>
    <w:charset w:val="86"/>
    <w:family w:val="swiss"/>
    <w:pitch w:val="default"/>
    <w:sig w:usb0="80000287" w:usb1="2ACF3C50" w:usb2="00000016" w:usb3="00000000" w:csb0="0004001F" w:csb1="00000000"/>
  </w:font>
  <w:font w:name="Kingsoft UE">
    <w:panose1 w:val="02000100010000000000"/>
    <w:charset w:val="00"/>
    <w:family w:val="auto"/>
    <w:pitch w:val="default"/>
    <w:sig w:usb0="00000001" w:usb1="00004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A554AE">
    <w:pPr>
      <w:pStyle w:val="20"/>
      <w:ind w:right="360" w:firstLine="360"/>
    </w:pPr>
  </w:p>
  <w:p w14:paraId="25833883"/>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FA85CE">
    <w:pPr>
      <w:pStyle w:val="20"/>
      <w:framePr w:wrap="around" w:vAnchor="text" w:hAnchor="margin" w:xAlign="center" w:y="1"/>
      <w:rPr>
        <w:rStyle w:val="35"/>
      </w:rPr>
    </w:pPr>
    <w:r>
      <w:fldChar w:fldCharType="begin"/>
    </w:r>
    <w:r>
      <w:rPr>
        <w:rStyle w:val="35"/>
      </w:rPr>
      <w:instrText xml:space="preserve">PAGE  </w:instrText>
    </w:r>
    <w:r>
      <w:fldChar w:fldCharType="end"/>
    </w:r>
  </w:p>
  <w:p w14:paraId="3956DF65">
    <w:pPr>
      <w:pStyle w:val="2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415835">
    <w:pPr>
      <w:pStyle w:val="20"/>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66847A">
    <w:pPr>
      <w:pStyle w:val="20"/>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3815BA">
    <w:pPr>
      <w:pStyle w:val="20"/>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CD9E2E">
                          <w:pPr>
                            <w:pStyle w:val="20"/>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4</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p w14:paraId="51CD9E2E">
                    <w:pPr>
                      <w:pStyle w:val="20"/>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4</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B713B6">
    <w:pPr>
      <w:pStyle w:val="20"/>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4169CC">
                          <w:pPr>
                            <w:pStyle w:val="20"/>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59</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p w14:paraId="044169CC">
                    <w:pPr>
                      <w:pStyle w:val="20"/>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59</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7C68E5">
    <w:pPr>
      <w:pStyle w:val="20"/>
      <w:ind w:right="360" w:firstLine="360"/>
      <w:jc w:val="cente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4202E5">
                          <w:pPr>
                            <w:pStyle w:val="20"/>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70</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p w14:paraId="794202E5">
                    <w:pPr>
                      <w:pStyle w:val="20"/>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70</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5411E9">
    <w:pPr>
      <w:pStyle w:val="20"/>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1CF69A">
                          <w:pPr>
                            <w:pStyle w:val="20"/>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71</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7A1CF69A">
                    <w:pPr>
                      <w:pStyle w:val="20"/>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71</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42F2D7">
    <w:pPr>
      <w:pStyle w:val="20"/>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6667B1">
                          <w:pPr>
                            <w:pStyle w:val="20"/>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72</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14:paraId="7F6667B1">
                    <w:pPr>
                      <w:pStyle w:val="20"/>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Style w:val="35"/>
                        <w:rFonts w:ascii="宋体" w:hAnsi="宋体"/>
                        <w:sz w:val="26"/>
                        <w:szCs w:val="26"/>
                      </w:rPr>
                      <w:fldChar w:fldCharType="begin"/>
                    </w:r>
                    <w:r>
                      <w:rPr>
                        <w:rStyle w:val="35"/>
                        <w:rFonts w:ascii="宋体" w:hAnsi="宋体"/>
                        <w:sz w:val="26"/>
                        <w:szCs w:val="26"/>
                      </w:rPr>
                      <w:instrText xml:space="preserve">PAGE  </w:instrText>
                    </w:r>
                    <w:r>
                      <w:rPr>
                        <w:rStyle w:val="35"/>
                        <w:rFonts w:ascii="宋体" w:hAnsi="宋体"/>
                        <w:sz w:val="26"/>
                        <w:szCs w:val="26"/>
                      </w:rPr>
                      <w:fldChar w:fldCharType="separate"/>
                    </w:r>
                    <w:r>
                      <w:rPr>
                        <w:rStyle w:val="35"/>
                        <w:rFonts w:ascii="宋体" w:hAnsi="宋体"/>
                        <w:sz w:val="26"/>
                        <w:szCs w:val="26"/>
                      </w:rPr>
                      <w:t>72</w:t>
                    </w:r>
                    <w:r>
                      <w:rPr>
                        <w:rStyle w:val="35"/>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97F3FD9"/>
    <w:multiLevelType w:val="singleLevel"/>
    <w:tmpl w:val="B97F3FD9"/>
    <w:lvl w:ilvl="0" w:tentative="0">
      <w:start w:val="1"/>
      <w:numFmt w:val="bullet"/>
      <w:pStyle w:val="17"/>
      <w:lvlText w:val=""/>
      <w:lvlJc w:val="left"/>
      <w:pPr>
        <w:tabs>
          <w:tab w:val="left" w:pos="2040"/>
        </w:tabs>
        <w:ind w:left="2040" w:hanging="360"/>
      </w:pPr>
      <w:rPr>
        <w:rFonts w:hint="default" w:ascii="Wingdings" w:hAnsi="Wingdings"/>
      </w:rPr>
    </w:lvl>
  </w:abstractNum>
  <w:abstractNum w:abstractNumId="1">
    <w:nsid w:val="C35A60AB"/>
    <w:multiLevelType w:val="singleLevel"/>
    <w:tmpl w:val="C35A60AB"/>
    <w:lvl w:ilvl="0" w:tentative="0">
      <w:start w:val="1"/>
      <w:numFmt w:val="bullet"/>
      <w:pStyle w:val="11"/>
      <w:lvlText w:val=""/>
      <w:lvlJc w:val="left"/>
      <w:pPr>
        <w:tabs>
          <w:tab w:val="left" w:pos="780"/>
        </w:tabs>
        <w:ind w:left="780" w:hanging="360"/>
      </w:pPr>
      <w:rPr>
        <w:rFonts w:hint="default" w:ascii="Wingdings" w:hAnsi="Wingdings"/>
      </w:rPr>
    </w:lvl>
  </w:abstractNum>
  <w:abstractNum w:abstractNumId="2">
    <w:nsid w:val="02A65424"/>
    <w:multiLevelType w:val="singleLevel"/>
    <w:tmpl w:val="02A65424"/>
    <w:lvl w:ilvl="0" w:tentative="0">
      <w:start w:val="1"/>
      <w:numFmt w:val="decimal"/>
      <w:lvlText w:val="%1."/>
      <w:lvlJc w:val="left"/>
      <w:pPr>
        <w:tabs>
          <w:tab w:val="left" w:pos="312"/>
        </w:tabs>
      </w:pPr>
    </w:lvl>
  </w:abstractNum>
  <w:abstractNum w:abstractNumId="3">
    <w:nsid w:val="0D663E45"/>
    <w:multiLevelType w:val="multilevel"/>
    <w:tmpl w:val="0D663E45"/>
    <w:lvl w:ilvl="0" w:tentative="0">
      <w:start w:val="1"/>
      <w:numFmt w:val="decimal"/>
      <w:suff w:val="space"/>
      <w:lvlText w:val="%1"/>
      <w:lvlJc w:val="left"/>
      <w:pPr>
        <w:ind w:left="425" w:hanging="425"/>
      </w:pPr>
      <w:rPr>
        <w:rFonts w:hint="eastAsia"/>
      </w:rPr>
    </w:lvl>
    <w:lvl w:ilvl="1" w:tentative="0">
      <w:start w:val="1"/>
      <w:numFmt w:val="decimal"/>
      <w:suff w:val="space"/>
      <w:lvlText w:val="%1.%2"/>
      <w:lvlJc w:val="left"/>
      <w:pPr>
        <w:ind w:left="567" w:hanging="567"/>
      </w:pPr>
      <w:rPr>
        <w:rFonts w:hint="eastAsia"/>
      </w:rPr>
    </w:lvl>
    <w:lvl w:ilvl="2" w:tentative="0">
      <w:start w:val="1"/>
      <w:numFmt w:val="decimal"/>
      <w:suff w:val="space"/>
      <w:lvlText w:val="%1.%2.%3"/>
      <w:lvlJc w:val="left"/>
      <w:pPr>
        <w:ind w:left="709" w:hanging="709"/>
      </w:pPr>
      <w:rPr>
        <w:rFonts w:hint="eastAsia"/>
      </w:rPr>
    </w:lvl>
    <w:lvl w:ilvl="3" w:tentative="0">
      <w:start w:val="1"/>
      <w:numFmt w:val="decimal"/>
      <w:pStyle w:val="5"/>
      <w:lvlText w:val="%1.%2.%3.%4"/>
      <w:lvlJc w:val="left"/>
      <w:pPr>
        <w:tabs>
          <w:tab w:val="left" w:pos="0"/>
        </w:tabs>
        <w:ind w:left="630" w:firstLine="0"/>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cwM2MzMzE5YjRmZTU0ZTMwMzRiYTE3NzI3NjA4YzUifQ=="/>
  </w:docVars>
  <w:rsids>
    <w:rsidRoot w:val="00172A27"/>
    <w:rsid w:val="000011FF"/>
    <w:rsid w:val="00015551"/>
    <w:rsid w:val="000248B5"/>
    <w:rsid w:val="00060C6A"/>
    <w:rsid w:val="000725CD"/>
    <w:rsid w:val="000E49E2"/>
    <w:rsid w:val="001172D4"/>
    <w:rsid w:val="00172A27"/>
    <w:rsid w:val="001D3B55"/>
    <w:rsid w:val="00204540"/>
    <w:rsid w:val="002120EB"/>
    <w:rsid w:val="00250EED"/>
    <w:rsid w:val="002651BF"/>
    <w:rsid w:val="00305CE7"/>
    <w:rsid w:val="003D21B2"/>
    <w:rsid w:val="003F29E4"/>
    <w:rsid w:val="00430633"/>
    <w:rsid w:val="00440241"/>
    <w:rsid w:val="00510BDF"/>
    <w:rsid w:val="005141A4"/>
    <w:rsid w:val="00582B2B"/>
    <w:rsid w:val="00584BC9"/>
    <w:rsid w:val="005A7F2B"/>
    <w:rsid w:val="005D7FA7"/>
    <w:rsid w:val="00634FF1"/>
    <w:rsid w:val="00636EE2"/>
    <w:rsid w:val="00644A0A"/>
    <w:rsid w:val="00644D35"/>
    <w:rsid w:val="0065607C"/>
    <w:rsid w:val="00694D38"/>
    <w:rsid w:val="006B0807"/>
    <w:rsid w:val="006F02F1"/>
    <w:rsid w:val="00702588"/>
    <w:rsid w:val="00713FCF"/>
    <w:rsid w:val="007622FE"/>
    <w:rsid w:val="007A0E3C"/>
    <w:rsid w:val="00831C23"/>
    <w:rsid w:val="008576BA"/>
    <w:rsid w:val="00935EB8"/>
    <w:rsid w:val="00976FD3"/>
    <w:rsid w:val="00A003B3"/>
    <w:rsid w:val="00AB58C2"/>
    <w:rsid w:val="00AF3F61"/>
    <w:rsid w:val="00C213E6"/>
    <w:rsid w:val="00C51687"/>
    <w:rsid w:val="00C953E2"/>
    <w:rsid w:val="00D760AE"/>
    <w:rsid w:val="00D83CD8"/>
    <w:rsid w:val="00DD39BE"/>
    <w:rsid w:val="00DE2338"/>
    <w:rsid w:val="00E3287E"/>
    <w:rsid w:val="00EC0290"/>
    <w:rsid w:val="00ED1809"/>
    <w:rsid w:val="00EE32D4"/>
    <w:rsid w:val="00EF27AC"/>
    <w:rsid w:val="00F06499"/>
    <w:rsid w:val="00F266F7"/>
    <w:rsid w:val="00F8685F"/>
    <w:rsid w:val="00FD223C"/>
    <w:rsid w:val="01154EDD"/>
    <w:rsid w:val="0116678C"/>
    <w:rsid w:val="011904B1"/>
    <w:rsid w:val="013D67D6"/>
    <w:rsid w:val="017A38CC"/>
    <w:rsid w:val="018F0BBA"/>
    <w:rsid w:val="01B57C13"/>
    <w:rsid w:val="01D17003"/>
    <w:rsid w:val="01D910F9"/>
    <w:rsid w:val="01DC1BB9"/>
    <w:rsid w:val="01E871EF"/>
    <w:rsid w:val="01FF1661"/>
    <w:rsid w:val="020F79CD"/>
    <w:rsid w:val="02393A77"/>
    <w:rsid w:val="023A0830"/>
    <w:rsid w:val="025C1E8E"/>
    <w:rsid w:val="02965762"/>
    <w:rsid w:val="0298460C"/>
    <w:rsid w:val="02A86BB2"/>
    <w:rsid w:val="02B27E77"/>
    <w:rsid w:val="02B32C00"/>
    <w:rsid w:val="02B726F0"/>
    <w:rsid w:val="02E132C9"/>
    <w:rsid w:val="02F200B2"/>
    <w:rsid w:val="03065425"/>
    <w:rsid w:val="0314369E"/>
    <w:rsid w:val="03175122"/>
    <w:rsid w:val="031C69F7"/>
    <w:rsid w:val="03264B28"/>
    <w:rsid w:val="032A4E78"/>
    <w:rsid w:val="0334178C"/>
    <w:rsid w:val="033654A5"/>
    <w:rsid w:val="03525F75"/>
    <w:rsid w:val="03565CCB"/>
    <w:rsid w:val="0361091F"/>
    <w:rsid w:val="0368103A"/>
    <w:rsid w:val="036B4CD9"/>
    <w:rsid w:val="036E135A"/>
    <w:rsid w:val="0375601B"/>
    <w:rsid w:val="03830824"/>
    <w:rsid w:val="03A622A7"/>
    <w:rsid w:val="03B55892"/>
    <w:rsid w:val="03C2759E"/>
    <w:rsid w:val="03C72872"/>
    <w:rsid w:val="03E65362"/>
    <w:rsid w:val="03E94B2B"/>
    <w:rsid w:val="03EC2FA8"/>
    <w:rsid w:val="03FB5A5B"/>
    <w:rsid w:val="03FF51A8"/>
    <w:rsid w:val="041D5D64"/>
    <w:rsid w:val="041E0DF8"/>
    <w:rsid w:val="04206073"/>
    <w:rsid w:val="042F0EFB"/>
    <w:rsid w:val="043B7FCA"/>
    <w:rsid w:val="0460074E"/>
    <w:rsid w:val="04630A40"/>
    <w:rsid w:val="04683F9E"/>
    <w:rsid w:val="047B57F4"/>
    <w:rsid w:val="047D6348"/>
    <w:rsid w:val="048216AC"/>
    <w:rsid w:val="048D3646"/>
    <w:rsid w:val="04915F07"/>
    <w:rsid w:val="04AB3A0E"/>
    <w:rsid w:val="04AE18D1"/>
    <w:rsid w:val="04AE505A"/>
    <w:rsid w:val="04C9752F"/>
    <w:rsid w:val="04F70879"/>
    <w:rsid w:val="04F76DD4"/>
    <w:rsid w:val="054933A7"/>
    <w:rsid w:val="054D10EA"/>
    <w:rsid w:val="05504B38"/>
    <w:rsid w:val="055923B7"/>
    <w:rsid w:val="056401E1"/>
    <w:rsid w:val="05651755"/>
    <w:rsid w:val="05681A7F"/>
    <w:rsid w:val="056C49FA"/>
    <w:rsid w:val="05803398"/>
    <w:rsid w:val="05A42F4A"/>
    <w:rsid w:val="05AB7BBE"/>
    <w:rsid w:val="05B04089"/>
    <w:rsid w:val="05B127AC"/>
    <w:rsid w:val="05BE447A"/>
    <w:rsid w:val="05BE78F1"/>
    <w:rsid w:val="05C72213"/>
    <w:rsid w:val="05D06823"/>
    <w:rsid w:val="05D07A7F"/>
    <w:rsid w:val="05D11D1B"/>
    <w:rsid w:val="05D7534F"/>
    <w:rsid w:val="060B24DC"/>
    <w:rsid w:val="061C7A97"/>
    <w:rsid w:val="063522A9"/>
    <w:rsid w:val="063D4CBA"/>
    <w:rsid w:val="06627C49"/>
    <w:rsid w:val="06655E1E"/>
    <w:rsid w:val="06754648"/>
    <w:rsid w:val="067568DE"/>
    <w:rsid w:val="067E02C3"/>
    <w:rsid w:val="069A34CB"/>
    <w:rsid w:val="069B49E3"/>
    <w:rsid w:val="069E4688"/>
    <w:rsid w:val="06B2148E"/>
    <w:rsid w:val="06BA02B4"/>
    <w:rsid w:val="06BA27AF"/>
    <w:rsid w:val="06BB3E7B"/>
    <w:rsid w:val="06D25D4A"/>
    <w:rsid w:val="07232D4E"/>
    <w:rsid w:val="073267E9"/>
    <w:rsid w:val="073836D3"/>
    <w:rsid w:val="074D53D1"/>
    <w:rsid w:val="075324D4"/>
    <w:rsid w:val="07575CA8"/>
    <w:rsid w:val="076218F6"/>
    <w:rsid w:val="07741536"/>
    <w:rsid w:val="07755C25"/>
    <w:rsid w:val="0776560E"/>
    <w:rsid w:val="077A2F74"/>
    <w:rsid w:val="077C680D"/>
    <w:rsid w:val="077F2227"/>
    <w:rsid w:val="07910674"/>
    <w:rsid w:val="07917FDC"/>
    <w:rsid w:val="07A91EDF"/>
    <w:rsid w:val="07B002E1"/>
    <w:rsid w:val="07B509B3"/>
    <w:rsid w:val="07C86708"/>
    <w:rsid w:val="07CA0B06"/>
    <w:rsid w:val="07CD02C0"/>
    <w:rsid w:val="07CF04AF"/>
    <w:rsid w:val="07CF4E9D"/>
    <w:rsid w:val="07DF01B8"/>
    <w:rsid w:val="07E8792A"/>
    <w:rsid w:val="07EA2C20"/>
    <w:rsid w:val="08147C9D"/>
    <w:rsid w:val="0817778D"/>
    <w:rsid w:val="081952B3"/>
    <w:rsid w:val="082B571B"/>
    <w:rsid w:val="08356CC6"/>
    <w:rsid w:val="083A342A"/>
    <w:rsid w:val="08400A92"/>
    <w:rsid w:val="084A7AD8"/>
    <w:rsid w:val="084C7436"/>
    <w:rsid w:val="08500BB1"/>
    <w:rsid w:val="085202FC"/>
    <w:rsid w:val="085C7F21"/>
    <w:rsid w:val="085D33D8"/>
    <w:rsid w:val="08602958"/>
    <w:rsid w:val="08966904"/>
    <w:rsid w:val="08AA1D90"/>
    <w:rsid w:val="08B576D2"/>
    <w:rsid w:val="08C568EA"/>
    <w:rsid w:val="08E70994"/>
    <w:rsid w:val="08ED372A"/>
    <w:rsid w:val="09000221"/>
    <w:rsid w:val="090E61F2"/>
    <w:rsid w:val="09187370"/>
    <w:rsid w:val="09324868"/>
    <w:rsid w:val="093C424A"/>
    <w:rsid w:val="09695826"/>
    <w:rsid w:val="0972053F"/>
    <w:rsid w:val="09727371"/>
    <w:rsid w:val="097310FF"/>
    <w:rsid w:val="097711BC"/>
    <w:rsid w:val="09875F67"/>
    <w:rsid w:val="099E259B"/>
    <w:rsid w:val="09A573B2"/>
    <w:rsid w:val="09A8602C"/>
    <w:rsid w:val="09AD5B9C"/>
    <w:rsid w:val="09B41737"/>
    <w:rsid w:val="09BF138A"/>
    <w:rsid w:val="09C6146A"/>
    <w:rsid w:val="09E0697D"/>
    <w:rsid w:val="09E4588C"/>
    <w:rsid w:val="09F61177"/>
    <w:rsid w:val="0A006153"/>
    <w:rsid w:val="0A0E62F2"/>
    <w:rsid w:val="0A145B94"/>
    <w:rsid w:val="0A1C72DC"/>
    <w:rsid w:val="0A244E20"/>
    <w:rsid w:val="0A25783A"/>
    <w:rsid w:val="0A283AAC"/>
    <w:rsid w:val="0A5401AE"/>
    <w:rsid w:val="0A67318D"/>
    <w:rsid w:val="0A786C09"/>
    <w:rsid w:val="0A7A0C07"/>
    <w:rsid w:val="0A876E4C"/>
    <w:rsid w:val="0A8E475F"/>
    <w:rsid w:val="0A9652E1"/>
    <w:rsid w:val="0A9A7B48"/>
    <w:rsid w:val="0AA551DA"/>
    <w:rsid w:val="0AB90E98"/>
    <w:rsid w:val="0AEC3153"/>
    <w:rsid w:val="0AEF054D"/>
    <w:rsid w:val="0AF7539B"/>
    <w:rsid w:val="0AFF5E49"/>
    <w:rsid w:val="0B016BFE"/>
    <w:rsid w:val="0B097861"/>
    <w:rsid w:val="0B262F2A"/>
    <w:rsid w:val="0B315722"/>
    <w:rsid w:val="0B381EF4"/>
    <w:rsid w:val="0B5A6EFC"/>
    <w:rsid w:val="0B7F62AE"/>
    <w:rsid w:val="0B885568"/>
    <w:rsid w:val="0B9470A7"/>
    <w:rsid w:val="0B986811"/>
    <w:rsid w:val="0BCB4B16"/>
    <w:rsid w:val="0BCB76EF"/>
    <w:rsid w:val="0BCF3806"/>
    <w:rsid w:val="0BD414C0"/>
    <w:rsid w:val="0BF43CC0"/>
    <w:rsid w:val="0BFF569C"/>
    <w:rsid w:val="0C0A0CE8"/>
    <w:rsid w:val="0C110E52"/>
    <w:rsid w:val="0C232BA4"/>
    <w:rsid w:val="0C2B05B0"/>
    <w:rsid w:val="0C2F6111"/>
    <w:rsid w:val="0C45012D"/>
    <w:rsid w:val="0C484448"/>
    <w:rsid w:val="0C4B197C"/>
    <w:rsid w:val="0C52404E"/>
    <w:rsid w:val="0C5A4160"/>
    <w:rsid w:val="0C5C1C12"/>
    <w:rsid w:val="0C640AE5"/>
    <w:rsid w:val="0C7D1DD1"/>
    <w:rsid w:val="0C7E04F6"/>
    <w:rsid w:val="0C8B02FF"/>
    <w:rsid w:val="0CA66724"/>
    <w:rsid w:val="0CBB04AB"/>
    <w:rsid w:val="0CBE467B"/>
    <w:rsid w:val="0CD218F6"/>
    <w:rsid w:val="0CD961FF"/>
    <w:rsid w:val="0CDF3393"/>
    <w:rsid w:val="0CE42333"/>
    <w:rsid w:val="0CE4467C"/>
    <w:rsid w:val="0CFD1647"/>
    <w:rsid w:val="0D1117BF"/>
    <w:rsid w:val="0D1C448B"/>
    <w:rsid w:val="0D2A3ABE"/>
    <w:rsid w:val="0D42705A"/>
    <w:rsid w:val="0D5C19EC"/>
    <w:rsid w:val="0D5D3E94"/>
    <w:rsid w:val="0D7817AE"/>
    <w:rsid w:val="0D9033E3"/>
    <w:rsid w:val="0D9052D7"/>
    <w:rsid w:val="0D971EF9"/>
    <w:rsid w:val="0DC161D1"/>
    <w:rsid w:val="0DDF60A2"/>
    <w:rsid w:val="0DDF6F9F"/>
    <w:rsid w:val="0E413AC5"/>
    <w:rsid w:val="0E4D606E"/>
    <w:rsid w:val="0E4F7176"/>
    <w:rsid w:val="0E707BF7"/>
    <w:rsid w:val="0E863DEA"/>
    <w:rsid w:val="0E926D4C"/>
    <w:rsid w:val="0E9F31C9"/>
    <w:rsid w:val="0EC817E1"/>
    <w:rsid w:val="0ECB340D"/>
    <w:rsid w:val="0EDC7981"/>
    <w:rsid w:val="0EDD34DE"/>
    <w:rsid w:val="0F1B7AF0"/>
    <w:rsid w:val="0F2A5EBD"/>
    <w:rsid w:val="0F504CE9"/>
    <w:rsid w:val="0F5D2661"/>
    <w:rsid w:val="0F601A19"/>
    <w:rsid w:val="0F6129AE"/>
    <w:rsid w:val="0F674C3D"/>
    <w:rsid w:val="0F6E2388"/>
    <w:rsid w:val="0F7166FB"/>
    <w:rsid w:val="0F762090"/>
    <w:rsid w:val="0F85236A"/>
    <w:rsid w:val="0F875D14"/>
    <w:rsid w:val="0F881E00"/>
    <w:rsid w:val="0F942E19"/>
    <w:rsid w:val="0FAB155C"/>
    <w:rsid w:val="0FD25AEF"/>
    <w:rsid w:val="0FDA5278"/>
    <w:rsid w:val="0FDB555F"/>
    <w:rsid w:val="0FDC5544"/>
    <w:rsid w:val="0FEE34C9"/>
    <w:rsid w:val="0FF94348"/>
    <w:rsid w:val="101734A1"/>
    <w:rsid w:val="101B6EFC"/>
    <w:rsid w:val="103A1F10"/>
    <w:rsid w:val="104C49AD"/>
    <w:rsid w:val="1064174C"/>
    <w:rsid w:val="10790FE5"/>
    <w:rsid w:val="107C6D27"/>
    <w:rsid w:val="109E5E6D"/>
    <w:rsid w:val="10BE2E9B"/>
    <w:rsid w:val="10BE4C49"/>
    <w:rsid w:val="10C9531F"/>
    <w:rsid w:val="10E84F81"/>
    <w:rsid w:val="10EC5C5A"/>
    <w:rsid w:val="11357601"/>
    <w:rsid w:val="116D086E"/>
    <w:rsid w:val="118842BB"/>
    <w:rsid w:val="1194488D"/>
    <w:rsid w:val="119B176A"/>
    <w:rsid w:val="11AB0F1C"/>
    <w:rsid w:val="11B103D0"/>
    <w:rsid w:val="11BB0E58"/>
    <w:rsid w:val="11C56AAF"/>
    <w:rsid w:val="11CD3EE3"/>
    <w:rsid w:val="11D5049D"/>
    <w:rsid w:val="11DA7587"/>
    <w:rsid w:val="11E20E0C"/>
    <w:rsid w:val="11E608FC"/>
    <w:rsid w:val="11EB7CC0"/>
    <w:rsid w:val="11F22FD3"/>
    <w:rsid w:val="12377C77"/>
    <w:rsid w:val="123D1830"/>
    <w:rsid w:val="12433E61"/>
    <w:rsid w:val="1245717A"/>
    <w:rsid w:val="12647A72"/>
    <w:rsid w:val="126F08F1"/>
    <w:rsid w:val="12737421"/>
    <w:rsid w:val="12887AF9"/>
    <w:rsid w:val="12B22DFF"/>
    <w:rsid w:val="12B57855"/>
    <w:rsid w:val="12C10042"/>
    <w:rsid w:val="12EC7849"/>
    <w:rsid w:val="12FD2AB7"/>
    <w:rsid w:val="130B1D43"/>
    <w:rsid w:val="131F5307"/>
    <w:rsid w:val="13220E71"/>
    <w:rsid w:val="132C66F5"/>
    <w:rsid w:val="136A2E67"/>
    <w:rsid w:val="13830454"/>
    <w:rsid w:val="13A91BE1"/>
    <w:rsid w:val="13C00E46"/>
    <w:rsid w:val="13D5217F"/>
    <w:rsid w:val="140C03C2"/>
    <w:rsid w:val="140D0E07"/>
    <w:rsid w:val="14162226"/>
    <w:rsid w:val="142E1B4C"/>
    <w:rsid w:val="14303DA6"/>
    <w:rsid w:val="14483D22"/>
    <w:rsid w:val="144A39ED"/>
    <w:rsid w:val="14542E95"/>
    <w:rsid w:val="14565CA3"/>
    <w:rsid w:val="14700951"/>
    <w:rsid w:val="1479388A"/>
    <w:rsid w:val="14824672"/>
    <w:rsid w:val="14A95C11"/>
    <w:rsid w:val="14B161C4"/>
    <w:rsid w:val="14B21D93"/>
    <w:rsid w:val="14B5553D"/>
    <w:rsid w:val="14C42D08"/>
    <w:rsid w:val="14DF438F"/>
    <w:rsid w:val="14E34CFE"/>
    <w:rsid w:val="14E51352"/>
    <w:rsid w:val="14F90661"/>
    <w:rsid w:val="14FC50B3"/>
    <w:rsid w:val="150037A8"/>
    <w:rsid w:val="150712B5"/>
    <w:rsid w:val="15082937"/>
    <w:rsid w:val="1509746F"/>
    <w:rsid w:val="15103A81"/>
    <w:rsid w:val="151E73B2"/>
    <w:rsid w:val="152446DB"/>
    <w:rsid w:val="15326E2E"/>
    <w:rsid w:val="153812C2"/>
    <w:rsid w:val="15555F4F"/>
    <w:rsid w:val="1562473D"/>
    <w:rsid w:val="156C736A"/>
    <w:rsid w:val="1585042C"/>
    <w:rsid w:val="159B19FD"/>
    <w:rsid w:val="159F546F"/>
    <w:rsid w:val="15A47B04"/>
    <w:rsid w:val="15AD0B11"/>
    <w:rsid w:val="15AF76A1"/>
    <w:rsid w:val="15CA22E2"/>
    <w:rsid w:val="15EA64E1"/>
    <w:rsid w:val="15F52A63"/>
    <w:rsid w:val="160213C4"/>
    <w:rsid w:val="1604702E"/>
    <w:rsid w:val="161F262E"/>
    <w:rsid w:val="16241E2A"/>
    <w:rsid w:val="16471E92"/>
    <w:rsid w:val="16761F5C"/>
    <w:rsid w:val="169828CD"/>
    <w:rsid w:val="16AB475D"/>
    <w:rsid w:val="16B94831"/>
    <w:rsid w:val="16E32AC7"/>
    <w:rsid w:val="16E66C6E"/>
    <w:rsid w:val="16FF205F"/>
    <w:rsid w:val="17005E29"/>
    <w:rsid w:val="170653B0"/>
    <w:rsid w:val="171958DD"/>
    <w:rsid w:val="17201509"/>
    <w:rsid w:val="17217BBD"/>
    <w:rsid w:val="172F064F"/>
    <w:rsid w:val="17377504"/>
    <w:rsid w:val="17397D36"/>
    <w:rsid w:val="174877D6"/>
    <w:rsid w:val="174F484D"/>
    <w:rsid w:val="17503CF1"/>
    <w:rsid w:val="175A5F97"/>
    <w:rsid w:val="175E5149"/>
    <w:rsid w:val="178E7A6B"/>
    <w:rsid w:val="1793338A"/>
    <w:rsid w:val="17977E4F"/>
    <w:rsid w:val="179C1FE7"/>
    <w:rsid w:val="17B80499"/>
    <w:rsid w:val="17BC040C"/>
    <w:rsid w:val="17BC189D"/>
    <w:rsid w:val="17F84EE5"/>
    <w:rsid w:val="17F92A0B"/>
    <w:rsid w:val="182D1F73"/>
    <w:rsid w:val="1835515B"/>
    <w:rsid w:val="18474E99"/>
    <w:rsid w:val="184D2BCE"/>
    <w:rsid w:val="186528AD"/>
    <w:rsid w:val="188243DB"/>
    <w:rsid w:val="188D022E"/>
    <w:rsid w:val="18A132D7"/>
    <w:rsid w:val="18A21388"/>
    <w:rsid w:val="18A45F03"/>
    <w:rsid w:val="18DA428E"/>
    <w:rsid w:val="18E51EF0"/>
    <w:rsid w:val="190A41D3"/>
    <w:rsid w:val="190A4292"/>
    <w:rsid w:val="192B3098"/>
    <w:rsid w:val="192D32CA"/>
    <w:rsid w:val="19320572"/>
    <w:rsid w:val="19404D95"/>
    <w:rsid w:val="19451F34"/>
    <w:rsid w:val="195378FD"/>
    <w:rsid w:val="19675B8F"/>
    <w:rsid w:val="196B3644"/>
    <w:rsid w:val="199B2808"/>
    <w:rsid w:val="19B149FA"/>
    <w:rsid w:val="19B7492C"/>
    <w:rsid w:val="19E020D4"/>
    <w:rsid w:val="19FD4A34"/>
    <w:rsid w:val="19FE1985"/>
    <w:rsid w:val="19FF74FD"/>
    <w:rsid w:val="1A0D6DB7"/>
    <w:rsid w:val="1A355C89"/>
    <w:rsid w:val="1A4C36CB"/>
    <w:rsid w:val="1A550118"/>
    <w:rsid w:val="1A630E17"/>
    <w:rsid w:val="1A6360F1"/>
    <w:rsid w:val="1A6870C8"/>
    <w:rsid w:val="1A8B7526"/>
    <w:rsid w:val="1AA475A6"/>
    <w:rsid w:val="1AB01AA7"/>
    <w:rsid w:val="1AB4704E"/>
    <w:rsid w:val="1ACE1D74"/>
    <w:rsid w:val="1AD00BF4"/>
    <w:rsid w:val="1AF61D19"/>
    <w:rsid w:val="1B193602"/>
    <w:rsid w:val="1B2B737F"/>
    <w:rsid w:val="1B5569AC"/>
    <w:rsid w:val="1B923FB5"/>
    <w:rsid w:val="1B9969DF"/>
    <w:rsid w:val="1B9B5D47"/>
    <w:rsid w:val="1B9B600E"/>
    <w:rsid w:val="1BAA234B"/>
    <w:rsid w:val="1BB87E40"/>
    <w:rsid w:val="1C062BD8"/>
    <w:rsid w:val="1C2D7FB3"/>
    <w:rsid w:val="1C4F0E85"/>
    <w:rsid w:val="1C6074FD"/>
    <w:rsid w:val="1C6078B6"/>
    <w:rsid w:val="1C6326A7"/>
    <w:rsid w:val="1C6C68B8"/>
    <w:rsid w:val="1C731E9C"/>
    <w:rsid w:val="1C752FA8"/>
    <w:rsid w:val="1C760ACE"/>
    <w:rsid w:val="1C800036"/>
    <w:rsid w:val="1C8A35E0"/>
    <w:rsid w:val="1C9A0B26"/>
    <w:rsid w:val="1CA43C68"/>
    <w:rsid w:val="1CC57360"/>
    <w:rsid w:val="1CDE31C3"/>
    <w:rsid w:val="1CDF6B52"/>
    <w:rsid w:val="1CE1063D"/>
    <w:rsid w:val="1CEE22A2"/>
    <w:rsid w:val="1CF32970"/>
    <w:rsid w:val="1D05389B"/>
    <w:rsid w:val="1D0962DE"/>
    <w:rsid w:val="1D186C81"/>
    <w:rsid w:val="1D25050C"/>
    <w:rsid w:val="1D323153"/>
    <w:rsid w:val="1D436C02"/>
    <w:rsid w:val="1D4D182F"/>
    <w:rsid w:val="1D7E40DE"/>
    <w:rsid w:val="1D9A259A"/>
    <w:rsid w:val="1DA231CD"/>
    <w:rsid w:val="1DA26E0E"/>
    <w:rsid w:val="1DA87DC9"/>
    <w:rsid w:val="1DC6338F"/>
    <w:rsid w:val="1DD9245C"/>
    <w:rsid w:val="1DDA783D"/>
    <w:rsid w:val="1E0F45E2"/>
    <w:rsid w:val="1E135CC5"/>
    <w:rsid w:val="1E3D5039"/>
    <w:rsid w:val="1E5B77BA"/>
    <w:rsid w:val="1E6373F8"/>
    <w:rsid w:val="1E7D4396"/>
    <w:rsid w:val="1E997892"/>
    <w:rsid w:val="1EB65D77"/>
    <w:rsid w:val="1EBF050A"/>
    <w:rsid w:val="1EE45D47"/>
    <w:rsid w:val="1EE66CA9"/>
    <w:rsid w:val="1EE709B0"/>
    <w:rsid w:val="1EF51396"/>
    <w:rsid w:val="1F073C5F"/>
    <w:rsid w:val="1F277F3D"/>
    <w:rsid w:val="1F38206B"/>
    <w:rsid w:val="1F38650F"/>
    <w:rsid w:val="1F5D3B99"/>
    <w:rsid w:val="1F612539"/>
    <w:rsid w:val="1F7A08D5"/>
    <w:rsid w:val="1F7A3CB3"/>
    <w:rsid w:val="1F843502"/>
    <w:rsid w:val="1F925C1F"/>
    <w:rsid w:val="1F9E45C4"/>
    <w:rsid w:val="1FAA3FE4"/>
    <w:rsid w:val="1FB9412A"/>
    <w:rsid w:val="1FCA638A"/>
    <w:rsid w:val="1FCE6554"/>
    <w:rsid w:val="1FD41A8A"/>
    <w:rsid w:val="1FEA7809"/>
    <w:rsid w:val="201B6A96"/>
    <w:rsid w:val="20356F3C"/>
    <w:rsid w:val="20550044"/>
    <w:rsid w:val="20755DD0"/>
    <w:rsid w:val="208438D2"/>
    <w:rsid w:val="208A7CD2"/>
    <w:rsid w:val="208D5C91"/>
    <w:rsid w:val="208F7A8A"/>
    <w:rsid w:val="20933547"/>
    <w:rsid w:val="209C5930"/>
    <w:rsid w:val="20AC2D49"/>
    <w:rsid w:val="20B63B8F"/>
    <w:rsid w:val="20C056D4"/>
    <w:rsid w:val="20D64231"/>
    <w:rsid w:val="20D83371"/>
    <w:rsid w:val="20F40301"/>
    <w:rsid w:val="20F701FA"/>
    <w:rsid w:val="210040D4"/>
    <w:rsid w:val="21075DA5"/>
    <w:rsid w:val="21084D17"/>
    <w:rsid w:val="2117172D"/>
    <w:rsid w:val="21224D81"/>
    <w:rsid w:val="21355B5D"/>
    <w:rsid w:val="213D4EB6"/>
    <w:rsid w:val="215E7734"/>
    <w:rsid w:val="21766065"/>
    <w:rsid w:val="217742D8"/>
    <w:rsid w:val="218562F2"/>
    <w:rsid w:val="21914F4E"/>
    <w:rsid w:val="21A67B45"/>
    <w:rsid w:val="21AA4BCD"/>
    <w:rsid w:val="21B07155"/>
    <w:rsid w:val="21B34857"/>
    <w:rsid w:val="21B55A5D"/>
    <w:rsid w:val="21BF3B5D"/>
    <w:rsid w:val="21C975B9"/>
    <w:rsid w:val="21D342CD"/>
    <w:rsid w:val="21D4251F"/>
    <w:rsid w:val="21EE4DAA"/>
    <w:rsid w:val="21FA5D52"/>
    <w:rsid w:val="21FD4681"/>
    <w:rsid w:val="220509B7"/>
    <w:rsid w:val="2225279A"/>
    <w:rsid w:val="222673C0"/>
    <w:rsid w:val="224376A4"/>
    <w:rsid w:val="22513B6F"/>
    <w:rsid w:val="22611DE0"/>
    <w:rsid w:val="227819DE"/>
    <w:rsid w:val="228A52D3"/>
    <w:rsid w:val="228D0920"/>
    <w:rsid w:val="22953AEA"/>
    <w:rsid w:val="22A5210D"/>
    <w:rsid w:val="22BD1294"/>
    <w:rsid w:val="22D0536B"/>
    <w:rsid w:val="22D24584"/>
    <w:rsid w:val="22E80541"/>
    <w:rsid w:val="22F031F2"/>
    <w:rsid w:val="22F4341E"/>
    <w:rsid w:val="22F51FAC"/>
    <w:rsid w:val="231D7560"/>
    <w:rsid w:val="231F4397"/>
    <w:rsid w:val="232D0468"/>
    <w:rsid w:val="23595906"/>
    <w:rsid w:val="23647381"/>
    <w:rsid w:val="23743A7A"/>
    <w:rsid w:val="2378591E"/>
    <w:rsid w:val="237E22E0"/>
    <w:rsid w:val="23A6613D"/>
    <w:rsid w:val="23B3128C"/>
    <w:rsid w:val="23B56380"/>
    <w:rsid w:val="23BC326A"/>
    <w:rsid w:val="23BD0474"/>
    <w:rsid w:val="23EA55CF"/>
    <w:rsid w:val="23EE24B9"/>
    <w:rsid w:val="242F5EE0"/>
    <w:rsid w:val="24351B60"/>
    <w:rsid w:val="24594A1C"/>
    <w:rsid w:val="2459739C"/>
    <w:rsid w:val="245C1981"/>
    <w:rsid w:val="246F54CD"/>
    <w:rsid w:val="247C0C4C"/>
    <w:rsid w:val="2485290C"/>
    <w:rsid w:val="24A974EB"/>
    <w:rsid w:val="24B41C1B"/>
    <w:rsid w:val="24C5739B"/>
    <w:rsid w:val="24C63868"/>
    <w:rsid w:val="24CA650D"/>
    <w:rsid w:val="24D87C4A"/>
    <w:rsid w:val="24DF4CA5"/>
    <w:rsid w:val="252B7B5C"/>
    <w:rsid w:val="253D3E45"/>
    <w:rsid w:val="254406E3"/>
    <w:rsid w:val="25495689"/>
    <w:rsid w:val="254968C3"/>
    <w:rsid w:val="2589549B"/>
    <w:rsid w:val="258B24DE"/>
    <w:rsid w:val="258C2B25"/>
    <w:rsid w:val="2593624D"/>
    <w:rsid w:val="25A533D7"/>
    <w:rsid w:val="25A8314A"/>
    <w:rsid w:val="25B95B60"/>
    <w:rsid w:val="25CA1F2F"/>
    <w:rsid w:val="25F153F9"/>
    <w:rsid w:val="25F7724B"/>
    <w:rsid w:val="25F93D57"/>
    <w:rsid w:val="26020F16"/>
    <w:rsid w:val="260B390D"/>
    <w:rsid w:val="261904D2"/>
    <w:rsid w:val="26215F4F"/>
    <w:rsid w:val="26217CFD"/>
    <w:rsid w:val="26223B77"/>
    <w:rsid w:val="262B1F12"/>
    <w:rsid w:val="26545306"/>
    <w:rsid w:val="265C3D07"/>
    <w:rsid w:val="265D4D42"/>
    <w:rsid w:val="26766C32"/>
    <w:rsid w:val="2677791D"/>
    <w:rsid w:val="267859A5"/>
    <w:rsid w:val="268527A3"/>
    <w:rsid w:val="269229A8"/>
    <w:rsid w:val="26A5092E"/>
    <w:rsid w:val="26D23852"/>
    <w:rsid w:val="26DD1E76"/>
    <w:rsid w:val="26DE5BEE"/>
    <w:rsid w:val="26DF1937"/>
    <w:rsid w:val="26E56163"/>
    <w:rsid w:val="270513CC"/>
    <w:rsid w:val="271A7F1C"/>
    <w:rsid w:val="27225A29"/>
    <w:rsid w:val="272A2BE1"/>
    <w:rsid w:val="272B0C7B"/>
    <w:rsid w:val="274C2B57"/>
    <w:rsid w:val="274E68CF"/>
    <w:rsid w:val="27B04EA2"/>
    <w:rsid w:val="27B16EF7"/>
    <w:rsid w:val="27C6422B"/>
    <w:rsid w:val="27D1465E"/>
    <w:rsid w:val="27D176F1"/>
    <w:rsid w:val="27DF5779"/>
    <w:rsid w:val="27DF7C2B"/>
    <w:rsid w:val="27E94D69"/>
    <w:rsid w:val="27F60D15"/>
    <w:rsid w:val="280C0339"/>
    <w:rsid w:val="28127485"/>
    <w:rsid w:val="2818648E"/>
    <w:rsid w:val="281E30DC"/>
    <w:rsid w:val="28234431"/>
    <w:rsid w:val="282622CE"/>
    <w:rsid w:val="28304227"/>
    <w:rsid w:val="28464A49"/>
    <w:rsid w:val="284A56C6"/>
    <w:rsid w:val="285000BD"/>
    <w:rsid w:val="285A38FC"/>
    <w:rsid w:val="286914E7"/>
    <w:rsid w:val="2870290D"/>
    <w:rsid w:val="289444BD"/>
    <w:rsid w:val="28982582"/>
    <w:rsid w:val="289C28CA"/>
    <w:rsid w:val="28AA249C"/>
    <w:rsid w:val="28B33BAD"/>
    <w:rsid w:val="28BC42CC"/>
    <w:rsid w:val="28C31E6D"/>
    <w:rsid w:val="29061A17"/>
    <w:rsid w:val="29101E93"/>
    <w:rsid w:val="291853E7"/>
    <w:rsid w:val="293672E8"/>
    <w:rsid w:val="293D746B"/>
    <w:rsid w:val="29572373"/>
    <w:rsid w:val="295C5A5F"/>
    <w:rsid w:val="296B2169"/>
    <w:rsid w:val="296F6AE0"/>
    <w:rsid w:val="29727017"/>
    <w:rsid w:val="2984482A"/>
    <w:rsid w:val="29AB77DD"/>
    <w:rsid w:val="29BB5D72"/>
    <w:rsid w:val="29C7407A"/>
    <w:rsid w:val="29CC7F7F"/>
    <w:rsid w:val="29D22436"/>
    <w:rsid w:val="29DB01C2"/>
    <w:rsid w:val="29F64ED0"/>
    <w:rsid w:val="2A0177EC"/>
    <w:rsid w:val="2A0F1BF2"/>
    <w:rsid w:val="2A11626C"/>
    <w:rsid w:val="2A1410FD"/>
    <w:rsid w:val="2A1D31F1"/>
    <w:rsid w:val="2A224043"/>
    <w:rsid w:val="2A273408"/>
    <w:rsid w:val="2A300A37"/>
    <w:rsid w:val="2A5F4540"/>
    <w:rsid w:val="2A625EEB"/>
    <w:rsid w:val="2A7A4F03"/>
    <w:rsid w:val="2A93599D"/>
    <w:rsid w:val="2AA50EFC"/>
    <w:rsid w:val="2ACF3CEB"/>
    <w:rsid w:val="2AD0584D"/>
    <w:rsid w:val="2AD616F8"/>
    <w:rsid w:val="2AD82639"/>
    <w:rsid w:val="2AF325AB"/>
    <w:rsid w:val="2AFB0A91"/>
    <w:rsid w:val="2AFB4B18"/>
    <w:rsid w:val="2AFF2EF6"/>
    <w:rsid w:val="2AFF60B4"/>
    <w:rsid w:val="2B25203D"/>
    <w:rsid w:val="2B2A1C67"/>
    <w:rsid w:val="2B365FF8"/>
    <w:rsid w:val="2B3A531B"/>
    <w:rsid w:val="2B447161"/>
    <w:rsid w:val="2B483D44"/>
    <w:rsid w:val="2B552BDC"/>
    <w:rsid w:val="2B766E03"/>
    <w:rsid w:val="2B814238"/>
    <w:rsid w:val="2B834F5F"/>
    <w:rsid w:val="2B8E1625"/>
    <w:rsid w:val="2B8F395A"/>
    <w:rsid w:val="2BAD66FB"/>
    <w:rsid w:val="2BBA46A2"/>
    <w:rsid w:val="2BDC4ABF"/>
    <w:rsid w:val="2BDF3F0E"/>
    <w:rsid w:val="2BF612E4"/>
    <w:rsid w:val="2BFC6415"/>
    <w:rsid w:val="2C002570"/>
    <w:rsid w:val="2C1F083A"/>
    <w:rsid w:val="2C212804"/>
    <w:rsid w:val="2C271DE5"/>
    <w:rsid w:val="2C287932"/>
    <w:rsid w:val="2C47098C"/>
    <w:rsid w:val="2C566B76"/>
    <w:rsid w:val="2C6B12E3"/>
    <w:rsid w:val="2C9B4422"/>
    <w:rsid w:val="2CAB6572"/>
    <w:rsid w:val="2CD520DA"/>
    <w:rsid w:val="2D193C99"/>
    <w:rsid w:val="2D214A86"/>
    <w:rsid w:val="2D2D25FE"/>
    <w:rsid w:val="2D393B7E"/>
    <w:rsid w:val="2D3E3216"/>
    <w:rsid w:val="2D6949AB"/>
    <w:rsid w:val="2DA2379A"/>
    <w:rsid w:val="2DA52174"/>
    <w:rsid w:val="2DAC1F58"/>
    <w:rsid w:val="2DDB3709"/>
    <w:rsid w:val="2DE147A0"/>
    <w:rsid w:val="2DF31F7F"/>
    <w:rsid w:val="2DF41B83"/>
    <w:rsid w:val="2DF45CF7"/>
    <w:rsid w:val="2DF852DB"/>
    <w:rsid w:val="2E221380"/>
    <w:rsid w:val="2E350EB1"/>
    <w:rsid w:val="2E3D31FA"/>
    <w:rsid w:val="2E485486"/>
    <w:rsid w:val="2E5E50BC"/>
    <w:rsid w:val="2E737B77"/>
    <w:rsid w:val="2E756E38"/>
    <w:rsid w:val="2E8F3DCE"/>
    <w:rsid w:val="2E987C19"/>
    <w:rsid w:val="2E9F1B81"/>
    <w:rsid w:val="2EA95F61"/>
    <w:rsid w:val="2EBD3586"/>
    <w:rsid w:val="2ED36A75"/>
    <w:rsid w:val="2EDC2C37"/>
    <w:rsid w:val="2EDE49DD"/>
    <w:rsid w:val="2EE97A93"/>
    <w:rsid w:val="2F137F56"/>
    <w:rsid w:val="2F192DA2"/>
    <w:rsid w:val="2F2859BB"/>
    <w:rsid w:val="2F2A5C90"/>
    <w:rsid w:val="2F4A2072"/>
    <w:rsid w:val="2F551599"/>
    <w:rsid w:val="2F6C326A"/>
    <w:rsid w:val="2F764F97"/>
    <w:rsid w:val="2F823EB2"/>
    <w:rsid w:val="2FAF1ED5"/>
    <w:rsid w:val="2FB15C39"/>
    <w:rsid w:val="2FBF4B99"/>
    <w:rsid w:val="30063EE1"/>
    <w:rsid w:val="300C557A"/>
    <w:rsid w:val="300F506A"/>
    <w:rsid w:val="30281B67"/>
    <w:rsid w:val="302835A5"/>
    <w:rsid w:val="302C3F5B"/>
    <w:rsid w:val="30456A53"/>
    <w:rsid w:val="305C6868"/>
    <w:rsid w:val="30664386"/>
    <w:rsid w:val="306C426A"/>
    <w:rsid w:val="306E3B3E"/>
    <w:rsid w:val="30742179"/>
    <w:rsid w:val="307C289A"/>
    <w:rsid w:val="309B210D"/>
    <w:rsid w:val="30A2656F"/>
    <w:rsid w:val="30B71989"/>
    <w:rsid w:val="30CF3E65"/>
    <w:rsid w:val="30ED2B93"/>
    <w:rsid w:val="30F57DBC"/>
    <w:rsid w:val="30F73B34"/>
    <w:rsid w:val="31126ABD"/>
    <w:rsid w:val="311E0DAC"/>
    <w:rsid w:val="312545DC"/>
    <w:rsid w:val="315272F2"/>
    <w:rsid w:val="315A2F0D"/>
    <w:rsid w:val="315C398E"/>
    <w:rsid w:val="315F792B"/>
    <w:rsid w:val="31642300"/>
    <w:rsid w:val="31760324"/>
    <w:rsid w:val="317E6003"/>
    <w:rsid w:val="31837ABD"/>
    <w:rsid w:val="31873769"/>
    <w:rsid w:val="31945827"/>
    <w:rsid w:val="3199316A"/>
    <w:rsid w:val="319A6200"/>
    <w:rsid w:val="31A126F3"/>
    <w:rsid w:val="31A249C6"/>
    <w:rsid w:val="31AF7AB0"/>
    <w:rsid w:val="31B71515"/>
    <w:rsid w:val="31C26A70"/>
    <w:rsid w:val="31C674EE"/>
    <w:rsid w:val="31C935DF"/>
    <w:rsid w:val="31DA34FE"/>
    <w:rsid w:val="31DA6D9D"/>
    <w:rsid w:val="31DD5420"/>
    <w:rsid w:val="31E04995"/>
    <w:rsid w:val="31E64FB2"/>
    <w:rsid w:val="31F42769"/>
    <w:rsid w:val="31F9440D"/>
    <w:rsid w:val="320C675D"/>
    <w:rsid w:val="322A38C2"/>
    <w:rsid w:val="324234D5"/>
    <w:rsid w:val="325129E7"/>
    <w:rsid w:val="32547FF2"/>
    <w:rsid w:val="325B00F2"/>
    <w:rsid w:val="328B299C"/>
    <w:rsid w:val="32933D30"/>
    <w:rsid w:val="32982486"/>
    <w:rsid w:val="32A33B61"/>
    <w:rsid w:val="32A40677"/>
    <w:rsid w:val="32A66E34"/>
    <w:rsid w:val="32B240EB"/>
    <w:rsid w:val="32B42E64"/>
    <w:rsid w:val="32DD4FAB"/>
    <w:rsid w:val="32FE1B4E"/>
    <w:rsid w:val="33036385"/>
    <w:rsid w:val="33235693"/>
    <w:rsid w:val="33401EE2"/>
    <w:rsid w:val="336B30A3"/>
    <w:rsid w:val="33745910"/>
    <w:rsid w:val="337F42B4"/>
    <w:rsid w:val="338C4089"/>
    <w:rsid w:val="339C09C3"/>
    <w:rsid w:val="33DF2D6C"/>
    <w:rsid w:val="33E67E90"/>
    <w:rsid w:val="33E840E7"/>
    <w:rsid w:val="33EB36F8"/>
    <w:rsid w:val="33FC76B3"/>
    <w:rsid w:val="34050C5E"/>
    <w:rsid w:val="340B78F6"/>
    <w:rsid w:val="34330D6F"/>
    <w:rsid w:val="34511DF7"/>
    <w:rsid w:val="3459273C"/>
    <w:rsid w:val="34610249"/>
    <w:rsid w:val="34664261"/>
    <w:rsid w:val="346A286F"/>
    <w:rsid w:val="34963664"/>
    <w:rsid w:val="34974E37"/>
    <w:rsid w:val="34A51B2B"/>
    <w:rsid w:val="34B2310F"/>
    <w:rsid w:val="34B63D69"/>
    <w:rsid w:val="34BB56EC"/>
    <w:rsid w:val="34BB681E"/>
    <w:rsid w:val="34C44675"/>
    <w:rsid w:val="34CF35D9"/>
    <w:rsid w:val="34D84C33"/>
    <w:rsid w:val="350D601C"/>
    <w:rsid w:val="352B0250"/>
    <w:rsid w:val="35527E1C"/>
    <w:rsid w:val="355758DE"/>
    <w:rsid w:val="355C2C2D"/>
    <w:rsid w:val="35A931C6"/>
    <w:rsid w:val="35C91A55"/>
    <w:rsid w:val="35D24B6F"/>
    <w:rsid w:val="35E45EC4"/>
    <w:rsid w:val="35E55944"/>
    <w:rsid w:val="360F7B72"/>
    <w:rsid w:val="36213401"/>
    <w:rsid w:val="36356EAC"/>
    <w:rsid w:val="36433BB5"/>
    <w:rsid w:val="36603F29"/>
    <w:rsid w:val="367D28AE"/>
    <w:rsid w:val="367F4CF7"/>
    <w:rsid w:val="369E4A52"/>
    <w:rsid w:val="36A65852"/>
    <w:rsid w:val="36BF3346"/>
    <w:rsid w:val="36E2187F"/>
    <w:rsid w:val="36EE7B6C"/>
    <w:rsid w:val="370F5D0D"/>
    <w:rsid w:val="370F5DB1"/>
    <w:rsid w:val="37120011"/>
    <w:rsid w:val="371615F3"/>
    <w:rsid w:val="37206D95"/>
    <w:rsid w:val="37373880"/>
    <w:rsid w:val="37387421"/>
    <w:rsid w:val="374142AD"/>
    <w:rsid w:val="3748030C"/>
    <w:rsid w:val="37590935"/>
    <w:rsid w:val="376F42E9"/>
    <w:rsid w:val="37780630"/>
    <w:rsid w:val="3786692C"/>
    <w:rsid w:val="378A352C"/>
    <w:rsid w:val="378C0316"/>
    <w:rsid w:val="378E3F01"/>
    <w:rsid w:val="37931D11"/>
    <w:rsid w:val="37934AC1"/>
    <w:rsid w:val="37A05773"/>
    <w:rsid w:val="37B96298"/>
    <w:rsid w:val="37BA53C4"/>
    <w:rsid w:val="37C47469"/>
    <w:rsid w:val="37C62556"/>
    <w:rsid w:val="37C90785"/>
    <w:rsid w:val="37D0253A"/>
    <w:rsid w:val="37D61448"/>
    <w:rsid w:val="37DC76D7"/>
    <w:rsid w:val="381A63F2"/>
    <w:rsid w:val="382516C5"/>
    <w:rsid w:val="38291C8B"/>
    <w:rsid w:val="38303F16"/>
    <w:rsid w:val="38481054"/>
    <w:rsid w:val="38521F98"/>
    <w:rsid w:val="387269F1"/>
    <w:rsid w:val="38741A24"/>
    <w:rsid w:val="387D686F"/>
    <w:rsid w:val="38827A57"/>
    <w:rsid w:val="38B07AE4"/>
    <w:rsid w:val="38B40483"/>
    <w:rsid w:val="38C70290"/>
    <w:rsid w:val="38DA3195"/>
    <w:rsid w:val="38E30EE3"/>
    <w:rsid w:val="38EF4739"/>
    <w:rsid w:val="38F2729F"/>
    <w:rsid w:val="39010928"/>
    <w:rsid w:val="39025C9D"/>
    <w:rsid w:val="390C5008"/>
    <w:rsid w:val="391A4B2B"/>
    <w:rsid w:val="392240E1"/>
    <w:rsid w:val="39300492"/>
    <w:rsid w:val="393879C1"/>
    <w:rsid w:val="394C3839"/>
    <w:rsid w:val="395C1320"/>
    <w:rsid w:val="395C1674"/>
    <w:rsid w:val="396C26B6"/>
    <w:rsid w:val="397B064F"/>
    <w:rsid w:val="399F2FBB"/>
    <w:rsid w:val="39B60850"/>
    <w:rsid w:val="39CB3D75"/>
    <w:rsid w:val="39DC59D8"/>
    <w:rsid w:val="39DF1625"/>
    <w:rsid w:val="39F00CB4"/>
    <w:rsid w:val="39FC3546"/>
    <w:rsid w:val="39FE4185"/>
    <w:rsid w:val="39FF62DB"/>
    <w:rsid w:val="3A0B14F7"/>
    <w:rsid w:val="3A0C422A"/>
    <w:rsid w:val="3A0D03B7"/>
    <w:rsid w:val="3A0D389E"/>
    <w:rsid w:val="3A0E1554"/>
    <w:rsid w:val="3A183191"/>
    <w:rsid w:val="3A1C41CD"/>
    <w:rsid w:val="3A1F234D"/>
    <w:rsid w:val="3A30530C"/>
    <w:rsid w:val="3A4673E0"/>
    <w:rsid w:val="3A557951"/>
    <w:rsid w:val="3A5E69D2"/>
    <w:rsid w:val="3AA05D00"/>
    <w:rsid w:val="3AAB0EF3"/>
    <w:rsid w:val="3AB903F2"/>
    <w:rsid w:val="3ABD5DEE"/>
    <w:rsid w:val="3AC03371"/>
    <w:rsid w:val="3AC75A6B"/>
    <w:rsid w:val="3ADC3018"/>
    <w:rsid w:val="3AE45EC9"/>
    <w:rsid w:val="3AEA521D"/>
    <w:rsid w:val="3AEA64B7"/>
    <w:rsid w:val="3AED3866"/>
    <w:rsid w:val="3B100D86"/>
    <w:rsid w:val="3B181276"/>
    <w:rsid w:val="3B191501"/>
    <w:rsid w:val="3B1C1856"/>
    <w:rsid w:val="3B1D611E"/>
    <w:rsid w:val="3B2E793F"/>
    <w:rsid w:val="3B4A1523"/>
    <w:rsid w:val="3B6C5C8A"/>
    <w:rsid w:val="3B9B3E6B"/>
    <w:rsid w:val="3BD26037"/>
    <w:rsid w:val="3BD34F10"/>
    <w:rsid w:val="3BE964F8"/>
    <w:rsid w:val="3BFE7AFC"/>
    <w:rsid w:val="3BFF0A22"/>
    <w:rsid w:val="3C0A0F88"/>
    <w:rsid w:val="3C381705"/>
    <w:rsid w:val="3C3F5AD5"/>
    <w:rsid w:val="3C68688C"/>
    <w:rsid w:val="3C792F8B"/>
    <w:rsid w:val="3C9115B1"/>
    <w:rsid w:val="3CA40BE8"/>
    <w:rsid w:val="3CA90722"/>
    <w:rsid w:val="3CC53D9E"/>
    <w:rsid w:val="3CC66AB0"/>
    <w:rsid w:val="3CC92BAC"/>
    <w:rsid w:val="3CCE58A2"/>
    <w:rsid w:val="3CCE6FE3"/>
    <w:rsid w:val="3CD020A8"/>
    <w:rsid w:val="3CD226DE"/>
    <w:rsid w:val="3CD35C82"/>
    <w:rsid w:val="3CF03B2D"/>
    <w:rsid w:val="3CF1267B"/>
    <w:rsid w:val="3CFC24D2"/>
    <w:rsid w:val="3D044CBD"/>
    <w:rsid w:val="3D2B0342"/>
    <w:rsid w:val="3D2B23E0"/>
    <w:rsid w:val="3D334208"/>
    <w:rsid w:val="3D432F0F"/>
    <w:rsid w:val="3D4E5423"/>
    <w:rsid w:val="3D562440"/>
    <w:rsid w:val="3D7C0D43"/>
    <w:rsid w:val="3D8373C7"/>
    <w:rsid w:val="3D8B4904"/>
    <w:rsid w:val="3D991233"/>
    <w:rsid w:val="3D9C5F88"/>
    <w:rsid w:val="3DA6700D"/>
    <w:rsid w:val="3DAE5EC2"/>
    <w:rsid w:val="3DB17517"/>
    <w:rsid w:val="3DB54EC7"/>
    <w:rsid w:val="3DC1710B"/>
    <w:rsid w:val="3DF27DB9"/>
    <w:rsid w:val="3E043D34"/>
    <w:rsid w:val="3E137334"/>
    <w:rsid w:val="3E366647"/>
    <w:rsid w:val="3E4B13BF"/>
    <w:rsid w:val="3E686071"/>
    <w:rsid w:val="3E6E11AD"/>
    <w:rsid w:val="3E7E5894"/>
    <w:rsid w:val="3E81566A"/>
    <w:rsid w:val="3E8D1F7B"/>
    <w:rsid w:val="3E9C5D1B"/>
    <w:rsid w:val="3EBD62D6"/>
    <w:rsid w:val="3ECA7A13"/>
    <w:rsid w:val="3ED64D24"/>
    <w:rsid w:val="3EDF510F"/>
    <w:rsid w:val="3EEB00E7"/>
    <w:rsid w:val="3EEC1CE4"/>
    <w:rsid w:val="3EF71CE3"/>
    <w:rsid w:val="3F1B6CCD"/>
    <w:rsid w:val="3F281EB3"/>
    <w:rsid w:val="3F3A7CA4"/>
    <w:rsid w:val="3F3B1256"/>
    <w:rsid w:val="3F3E4AD5"/>
    <w:rsid w:val="3F5E52AE"/>
    <w:rsid w:val="3F631C2F"/>
    <w:rsid w:val="3F7908E5"/>
    <w:rsid w:val="3F87243F"/>
    <w:rsid w:val="3FA71C27"/>
    <w:rsid w:val="3FBC0BF0"/>
    <w:rsid w:val="3FF537B9"/>
    <w:rsid w:val="400E49F6"/>
    <w:rsid w:val="4011275E"/>
    <w:rsid w:val="402B1A4C"/>
    <w:rsid w:val="402D2C5C"/>
    <w:rsid w:val="4051124B"/>
    <w:rsid w:val="408B3E57"/>
    <w:rsid w:val="40A87B4D"/>
    <w:rsid w:val="40B3129A"/>
    <w:rsid w:val="40B51316"/>
    <w:rsid w:val="40C07840"/>
    <w:rsid w:val="40CE260D"/>
    <w:rsid w:val="40CF525F"/>
    <w:rsid w:val="40D80116"/>
    <w:rsid w:val="40E93BC0"/>
    <w:rsid w:val="40FE6F93"/>
    <w:rsid w:val="41103C3B"/>
    <w:rsid w:val="412F47E6"/>
    <w:rsid w:val="415C005D"/>
    <w:rsid w:val="41850CE8"/>
    <w:rsid w:val="419109F5"/>
    <w:rsid w:val="41994793"/>
    <w:rsid w:val="41C94C3A"/>
    <w:rsid w:val="41CE4C50"/>
    <w:rsid w:val="41E42CF6"/>
    <w:rsid w:val="41E5236A"/>
    <w:rsid w:val="41E76104"/>
    <w:rsid w:val="41F12821"/>
    <w:rsid w:val="41FA2C96"/>
    <w:rsid w:val="41FD427D"/>
    <w:rsid w:val="420004D8"/>
    <w:rsid w:val="42251E3E"/>
    <w:rsid w:val="42267C93"/>
    <w:rsid w:val="422E312E"/>
    <w:rsid w:val="42351C26"/>
    <w:rsid w:val="424D1378"/>
    <w:rsid w:val="424E37D0"/>
    <w:rsid w:val="42507232"/>
    <w:rsid w:val="42584344"/>
    <w:rsid w:val="425B3188"/>
    <w:rsid w:val="426137A1"/>
    <w:rsid w:val="42664FBD"/>
    <w:rsid w:val="427A7609"/>
    <w:rsid w:val="42975177"/>
    <w:rsid w:val="42AC4713"/>
    <w:rsid w:val="42B67B76"/>
    <w:rsid w:val="42CA0102"/>
    <w:rsid w:val="42DC16BF"/>
    <w:rsid w:val="42E53B03"/>
    <w:rsid w:val="42E87ED2"/>
    <w:rsid w:val="42FA6BE5"/>
    <w:rsid w:val="43063DC7"/>
    <w:rsid w:val="431805FE"/>
    <w:rsid w:val="431B5484"/>
    <w:rsid w:val="433573A9"/>
    <w:rsid w:val="43362BE2"/>
    <w:rsid w:val="4339622E"/>
    <w:rsid w:val="434E727C"/>
    <w:rsid w:val="43522BF4"/>
    <w:rsid w:val="435B43F6"/>
    <w:rsid w:val="435D7AF7"/>
    <w:rsid w:val="436532AA"/>
    <w:rsid w:val="43712CDF"/>
    <w:rsid w:val="43833676"/>
    <w:rsid w:val="43836CE5"/>
    <w:rsid w:val="439B5935"/>
    <w:rsid w:val="43A044FF"/>
    <w:rsid w:val="43C32489"/>
    <w:rsid w:val="43CC2BFE"/>
    <w:rsid w:val="43D3615D"/>
    <w:rsid w:val="43D57507"/>
    <w:rsid w:val="43D9531B"/>
    <w:rsid w:val="43E50164"/>
    <w:rsid w:val="43E54170"/>
    <w:rsid w:val="43E923B7"/>
    <w:rsid w:val="44024979"/>
    <w:rsid w:val="4421006E"/>
    <w:rsid w:val="44435D3A"/>
    <w:rsid w:val="445D2C4C"/>
    <w:rsid w:val="447334B4"/>
    <w:rsid w:val="44735795"/>
    <w:rsid w:val="4481692F"/>
    <w:rsid w:val="448C05DF"/>
    <w:rsid w:val="44AF6894"/>
    <w:rsid w:val="44CA4B3E"/>
    <w:rsid w:val="44CB170E"/>
    <w:rsid w:val="44CF4924"/>
    <w:rsid w:val="44D57096"/>
    <w:rsid w:val="44E21A5B"/>
    <w:rsid w:val="45100B57"/>
    <w:rsid w:val="45196317"/>
    <w:rsid w:val="4529065D"/>
    <w:rsid w:val="45345CB8"/>
    <w:rsid w:val="45352E5C"/>
    <w:rsid w:val="456976B9"/>
    <w:rsid w:val="457D7781"/>
    <w:rsid w:val="458A3FD1"/>
    <w:rsid w:val="45B3035E"/>
    <w:rsid w:val="45B548F0"/>
    <w:rsid w:val="45CF2E79"/>
    <w:rsid w:val="45D30732"/>
    <w:rsid w:val="45DC1C20"/>
    <w:rsid w:val="45F77F1F"/>
    <w:rsid w:val="4615224D"/>
    <w:rsid w:val="46173CC5"/>
    <w:rsid w:val="4647123E"/>
    <w:rsid w:val="46513F59"/>
    <w:rsid w:val="46807F04"/>
    <w:rsid w:val="46B91EE6"/>
    <w:rsid w:val="46BD0F24"/>
    <w:rsid w:val="46BD2B0D"/>
    <w:rsid w:val="46D8457B"/>
    <w:rsid w:val="46DA7AE8"/>
    <w:rsid w:val="46E464B1"/>
    <w:rsid w:val="46F0122C"/>
    <w:rsid w:val="46F75570"/>
    <w:rsid w:val="4707219F"/>
    <w:rsid w:val="472114B3"/>
    <w:rsid w:val="472965B9"/>
    <w:rsid w:val="47372A84"/>
    <w:rsid w:val="473A6997"/>
    <w:rsid w:val="4748624D"/>
    <w:rsid w:val="474B0490"/>
    <w:rsid w:val="47637A8E"/>
    <w:rsid w:val="477A17E7"/>
    <w:rsid w:val="47910CF4"/>
    <w:rsid w:val="479954ED"/>
    <w:rsid w:val="47A91A9C"/>
    <w:rsid w:val="47AB5220"/>
    <w:rsid w:val="47AB52F6"/>
    <w:rsid w:val="47B2035D"/>
    <w:rsid w:val="47B93F31"/>
    <w:rsid w:val="47D91D8D"/>
    <w:rsid w:val="47E729B9"/>
    <w:rsid w:val="47F4158C"/>
    <w:rsid w:val="47F80D0E"/>
    <w:rsid w:val="47F941DE"/>
    <w:rsid w:val="48041805"/>
    <w:rsid w:val="481C3988"/>
    <w:rsid w:val="482E588F"/>
    <w:rsid w:val="48482A6F"/>
    <w:rsid w:val="485A1120"/>
    <w:rsid w:val="48731725"/>
    <w:rsid w:val="48743864"/>
    <w:rsid w:val="487B4BF3"/>
    <w:rsid w:val="48916F5A"/>
    <w:rsid w:val="48961A2D"/>
    <w:rsid w:val="48B34853"/>
    <w:rsid w:val="48B53108"/>
    <w:rsid w:val="48C20A74"/>
    <w:rsid w:val="48CC36A0"/>
    <w:rsid w:val="48E72A05"/>
    <w:rsid w:val="490B67D7"/>
    <w:rsid w:val="4911265C"/>
    <w:rsid w:val="49151081"/>
    <w:rsid w:val="49247038"/>
    <w:rsid w:val="49296D45"/>
    <w:rsid w:val="492B486B"/>
    <w:rsid w:val="492B62DA"/>
    <w:rsid w:val="493858B0"/>
    <w:rsid w:val="494C2319"/>
    <w:rsid w:val="49601D37"/>
    <w:rsid w:val="496647B0"/>
    <w:rsid w:val="49744582"/>
    <w:rsid w:val="4977360C"/>
    <w:rsid w:val="49886E4D"/>
    <w:rsid w:val="498E12ED"/>
    <w:rsid w:val="499627A9"/>
    <w:rsid w:val="49AD702E"/>
    <w:rsid w:val="49ED77DE"/>
    <w:rsid w:val="4A0F3AA0"/>
    <w:rsid w:val="4A17314E"/>
    <w:rsid w:val="4A317C5F"/>
    <w:rsid w:val="4A392FB7"/>
    <w:rsid w:val="4A51126D"/>
    <w:rsid w:val="4A72617A"/>
    <w:rsid w:val="4A7463D1"/>
    <w:rsid w:val="4A792FBD"/>
    <w:rsid w:val="4A8A736F"/>
    <w:rsid w:val="4AA20B5D"/>
    <w:rsid w:val="4AC26B09"/>
    <w:rsid w:val="4AC2736B"/>
    <w:rsid w:val="4ACF0F07"/>
    <w:rsid w:val="4AD80097"/>
    <w:rsid w:val="4AE271AB"/>
    <w:rsid w:val="4AE751F1"/>
    <w:rsid w:val="4AE90539"/>
    <w:rsid w:val="4B052E99"/>
    <w:rsid w:val="4B201A81"/>
    <w:rsid w:val="4B2257F9"/>
    <w:rsid w:val="4B3550CD"/>
    <w:rsid w:val="4B4713C3"/>
    <w:rsid w:val="4B4B3962"/>
    <w:rsid w:val="4B5A31E5"/>
    <w:rsid w:val="4B684257"/>
    <w:rsid w:val="4B890858"/>
    <w:rsid w:val="4B8B38A7"/>
    <w:rsid w:val="4B90639C"/>
    <w:rsid w:val="4BC11C44"/>
    <w:rsid w:val="4BDA08B9"/>
    <w:rsid w:val="4C0D2006"/>
    <w:rsid w:val="4C0F67E2"/>
    <w:rsid w:val="4C4C6CED"/>
    <w:rsid w:val="4C52321B"/>
    <w:rsid w:val="4C634A0F"/>
    <w:rsid w:val="4C7B7B45"/>
    <w:rsid w:val="4C8A7D81"/>
    <w:rsid w:val="4C912C37"/>
    <w:rsid w:val="4C9921B7"/>
    <w:rsid w:val="4CA07BC6"/>
    <w:rsid w:val="4CAD7399"/>
    <w:rsid w:val="4CDE5BD3"/>
    <w:rsid w:val="4CF60C26"/>
    <w:rsid w:val="4D0372FC"/>
    <w:rsid w:val="4D2B35A7"/>
    <w:rsid w:val="4D2B4E4D"/>
    <w:rsid w:val="4D343E46"/>
    <w:rsid w:val="4D3A1520"/>
    <w:rsid w:val="4D3C7046"/>
    <w:rsid w:val="4D561208"/>
    <w:rsid w:val="4D90789C"/>
    <w:rsid w:val="4DA17ECE"/>
    <w:rsid w:val="4DB15B8A"/>
    <w:rsid w:val="4DBE3EFF"/>
    <w:rsid w:val="4DC843A5"/>
    <w:rsid w:val="4DD23507"/>
    <w:rsid w:val="4DD67B34"/>
    <w:rsid w:val="4E0A60CA"/>
    <w:rsid w:val="4E192B90"/>
    <w:rsid w:val="4E1B35C4"/>
    <w:rsid w:val="4E1B63C8"/>
    <w:rsid w:val="4E4D3C1B"/>
    <w:rsid w:val="4E764A36"/>
    <w:rsid w:val="4E922C96"/>
    <w:rsid w:val="4EE04F09"/>
    <w:rsid w:val="4F061A14"/>
    <w:rsid w:val="4F0E0F61"/>
    <w:rsid w:val="4F24273B"/>
    <w:rsid w:val="4F6317C3"/>
    <w:rsid w:val="4F65001B"/>
    <w:rsid w:val="4F6B5FB0"/>
    <w:rsid w:val="4F892E78"/>
    <w:rsid w:val="4F8E72C7"/>
    <w:rsid w:val="4F973257"/>
    <w:rsid w:val="4F995F33"/>
    <w:rsid w:val="4F9F30B6"/>
    <w:rsid w:val="4FA2361E"/>
    <w:rsid w:val="4FA3493A"/>
    <w:rsid w:val="4FB259C5"/>
    <w:rsid w:val="4FB85168"/>
    <w:rsid w:val="4FC22971"/>
    <w:rsid w:val="4FCB449C"/>
    <w:rsid w:val="4FE51CA7"/>
    <w:rsid w:val="4FE635C3"/>
    <w:rsid w:val="4FF15C31"/>
    <w:rsid w:val="50005C7E"/>
    <w:rsid w:val="501E0C85"/>
    <w:rsid w:val="50243AD5"/>
    <w:rsid w:val="502F450F"/>
    <w:rsid w:val="503334D4"/>
    <w:rsid w:val="503C0DC6"/>
    <w:rsid w:val="504718C4"/>
    <w:rsid w:val="505A77E4"/>
    <w:rsid w:val="5072026C"/>
    <w:rsid w:val="50746A1B"/>
    <w:rsid w:val="507F23E8"/>
    <w:rsid w:val="50870323"/>
    <w:rsid w:val="50A2158B"/>
    <w:rsid w:val="50A80CD7"/>
    <w:rsid w:val="50D37CC2"/>
    <w:rsid w:val="50E56BC4"/>
    <w:rsid w:val="50F21048"/>
    <w:rsid w:val="50F45296"/>
    <w:rsid w:val="50FA5ADF"/>
    <w:rsid w:val="51053BF3"/>
    <w:rsid w:val="510A4649"/>
    <w:rsid w:val="511625FC"/>
    <w:rsid w:val="511F771D"/>
    <w:rsid w:val="517465F2"/>
    <w:rsid w:val="51752349"/>
    <w:rsid w:val="517D4757"/>
    <w:rsid w:val="51804301"/>
    <w:rsid w:val="51A42D3D"/>
    <w:rsid w:val="51A87C0F"/>
    <w:rsid w:val="51B74EB7"/>
    <w:rsid w:val="51CB78FE"/>
    <w:rsid w:val="51D07D5D"/>
    <w:rsid w:val="51ED5BF1"/>
    <w:rsid w:val="52020E9A"/>
    <w:rsid w:val="520908F3"/>
    <w:rsid w:val="522E2CD6"/>
    <w:rsid w:val="523E5A46"/>
    <w:rsid w:val="526801AD"/>
    <w:rsid w:val="527942A5"/>
    <w:rsid w:val="52846D9A"/>
    <w:rsid w:val="528829A3"/>
    <w:rsid w:val="528867F3"/>
    <w:rsid w:val="52B70F1D"/>
    <w:rsid w:val="52B72CCB"/>
    <w:rsid w:val="52C6511E"/>
    <w:rsid w:val="52D66E3F"/>
    <w:rsid w:val="52D7511B"/>
    <w:rsid w:val="52F72E2D"/>
    <w:rsid w:val="531447B9"/>
    <w:rsid w:val="53393896"/>
    <w:rsid w:val="537A08C9"/>
    <w:rsid w:val="53862C9C"/>
    <w:rsid w:val="538F2C99"/>
    <w:rsid w:val="53FD45F1"/>
    <w:rsid w:val="5402095A"/>
    <w:rsid w:val="54065012"/>
    <w:rsid w:val="540F6813"/>
    <w:rsid w:val="542D76E9"/>
    <w:rsid w:val="543366E2"/>
    <w:rsid w:val="543502BD"/>
    <w:rsid w:val="543A30B4"/>
    <w:rsid w:val="543F11CA"/>
    <w:rsid w:val="54434FDD"/>
    <w:rsid w:val="54803D68"/>
    <w:rsid w:val="54945E2E"/>
    <w:rsid w:val="549C72CE"/>
    <w:rsid w:val="54CB6F02"/>
    <w:rsid w:val="54E81862"/>
    <w:rsid w:val="54ED0C26"/>
    <w:rsid w:val="55004201"/>
    <w:rsid w:val="55122D61"/>
    <w:rsid w:val="55172B69"/>
    <w:rsid w:val="55306D65"/>
    <w:rsid w:val="55481935"/>
    <w:rsid w:val="555C3CBC"/>
    <w:rsid w:val="55797FBA"/>
    <w:rsid w:val="55B47A2A"/>
    <w:rsid w:val="55C73B6D"/>
    <w:rsid w:val="55D907AD"/>
    <w:rsid w:val="55DD7DEC"/>
    <w:rsid w:val="55E27144"/>
    <w:rsid w:val="55E847F2"/>
    <w:rsid w:val="55FF50B5"/>
    <w:rsid w:val="56100079"/>
    <w:rsid w:val="56386A7C"/>
    <w:rsid w:val="564855E0"/>
    <w:rsid w:val="564F2B09"/>
    <w:rsid w:val="56521689"/>
    <w:rsid w:val="565A7B1F"/>
    <w:rsid w:val="56627C20"/>
    <w:rsid w:val="56664956"/>
    <w:rsid w:val="56726A98"/>
    <w:rsid w:val="567315FF"/>
    <w:rsid w:val="567B46D5"/>
    <w:rsid w:val="56A11B28"/>
    <w:rsid w:val="56B85264"/>
    <w:rsid w:val="56C54CD4"/>
    <w:rsid w:val="56F5765A"/>
    <w:rsid w:val="570122F7"/>
    <w:rsid w:val="571B5158"/>
    <w:rsid w:val="571B6867"/>
    <w:rsid w:val="57227540"/>
    <w:rsid w:val="5780349A"/>
    <w:rsid w:val="57841110"/>
    <w:rsid w:val="578A4E52"/>
    <w:rsid w:val="57AA0610"/>
    <w:rsid w:val="57AC3F00"/>
    <w:rsid w:val="57AE0558"/>
    <w:rsid w:val="57C32112"/>
    <w:rsid w:val="57D04F5B"/>
    <w:rsid w:val="57D32355"/>
    <w:rsid w:val="58065AD5"/>
    <w:rsid w:val="58111660"/>
    <w:rsid w:val="5814471C"/>
    <w:rsid w:val="581C2F61"/>
    <w:rsid w:val="58297442"/>
    <w:rsid w:val="583E1EC1"/>
    <w:rsid w:val="583F7715"/>
    <w:rsid w:val="584C2108"/>
    <w:rsid w:val="585267E8"/>
    <w:rsid w:val="587F072F"/>
    <w:rsid w:val="588A3D6A"/>
    <w:rsid w:val="5896536D"/>
    <w:rsid w:val="58B57158"/>
    <w:rsid w:val="58B971FC"/>
    <w:rsid w:val="58D934E2"/>
    <w:rsid w:val="58DB3067"/>
    <w:rsid w:val="58E169C3"/>
    <w:rsid w:val="58E97957"/>
    <w:rsid w:val="58FC58DC"/>
    <w:rsid w:val="58FE78A6"/>
    <w:rsid w:val="591276BE"/>
    <w:rsid w:val="5929493D"/>
    <w:rsid w:val="592E21E6"/>
    <w:rsid w:val="597436C4"/>
    <w:rsid w:val="59780880"/>
    <w:rsid w:val="597B28C5"/>
    <w:rsid w:val="598002BB"/>
    <w:rsid w:val="598853C1"/>
    <w:rsid w:val="598B33A2"/>
    <w:rsid w:val="598F769E"/>
    <w:rsid w:val="59904EF5"/>
    <w:rsid w:val="599B481D"/>
    <w:rsid w:val="59AE7815"/>
    <w:rsid w:val="59B91508"/>
    <w:rsid w:val="59D95C1D"/>
    <w:rsid w:val="59DB132F"/>
    <w:rsid w:val="59DF76D7"/>
    <w:rsid w:val="5A04713E"/>
    <w:rsid w:val="5A481B21"/>
    <w:rsid w:val="5A4A2677"/>
    <w:rsid w:val="5A640F10"/>
    <w:rsid w:val="5A757CA3"/>
    <w:rsid w:val="5A8E2FFF"/>
    <w:rsid w:val="5ABD72ED"/>
    <w:rsid w:val="5AC84AD9"/>
    <w:rsid w:val="5B03515E"/>
    <w:rsid w:val="5B087DD5"/>
    <w:rsid w:val="5B150A03"/>
    <w:rsid w:val="5B174C4F"/>
    <w:rsid w:val="5B29073E"/>
    <w:rsid w:val="5B354900"/>
    <w:rsid w:val="5B4204A3"/>
    <w:rsid w:val="5B6138E8"/>
    <w:rsid w:val="5B7B221C"/>
    <w:rsid w:val="5B876808"/>
    <w:rsid w:val="5B8F6A94"/>
    <w:rsid w:val="5B90055D"/>
    <w:rsid w:val="5BB60859"/>
    <w:rsid w:val="5BD4177D"/>
    <w:rsid w:val="5BD551C2"/>
    <w:rsid w:val="5BD62414"/>
    <w:rsid w:val="5BE72873"/>
    <w:rsid w:val="5BF42115"/>
    <w:rsid w:val="5C142867"/>
    <w:rsid w:val="5C154FB0"/>
    <w:rsid w:val="5C2E6034"/>
    <w:rsid w:val="5C3377FC"/>
    <w:rsid w:val="5C515F3F"/>
    <w:rsid w:val="5C787938"/>
    <w:rsid w:val="5C8C51C9"/>
    <w:rsid w:val="5CB17754"/>
    <w:rsid w:val="5CC91F79"/>
    <w:rsid w:val="5CCF4F47"/>
    <w:rsid w:val="5D027239"/>
    <w:rsid w:val="5D1F5DC9"/>
    <w:rsid w:val="5D26561D"/>
    <w:rsid w:val="5D2C288D"/>
    <w:rsid w:val="5D5A72EE"/>
    <w:rsid w:val="5D5F28DD"/>
    <w:rsid w:val="5D6677C8"/>
    <w:rsid w:val="5D6961B0"/>
    <w:rsid w:val="5D722BA0"/>
    <w:rsid w:val="5D8440F2"/>
    <w:rsid w:val="5D8D310D"/>
    <w:rsid w:val="5DA56542"/>
    <w:rsid w:val="5DA81501"/>
    <w:rsid w:val="5DCA1372"/>
    <w:rsid w:val="5DEF3441"/>
    <w:rsid w:val="5DFA7B3C"/>
    <w:rsid w:val="5DFC54C6"/>
    <w:rsid w:val="5E155EC7"/>
    <w:rsid w:val="5E244E86"/>
    <w:rsid w:val="5E2F22B0"/>
    <w:rsid w:val="5E3E4683"/>
    <w:rsid w:val="5E520B77"/>
    <w:rsid w:val="5E58012C"/>
    <w:rsid w:val="5E5B745B"/>
    <w:rsid w:val="5E604B5F"/>
    <w:rsid w:val="5E73602C"/>
    <w:rsid w:val="5E746563"/>
    <w:rsid w:val="5E783D07"/>
    <w:rsid w:val="5E800D5D"/>
    <w:rsid w:val="5E9C7069"/>
    <w:rsid w:val="5EA44206"/>
    <w:rsid w:val="5EA54938"/>
    <w:rsid w:val="5EAD7058"/>
    <w:rsid w:val="5EF14AD5"/>
    <w:rsid w:val="5EFA598A"/>
    <w:rsid w:val="5EFC725B"/>
    <w:rsid w:val="5EFD5F0A"/>
    <w:rsid w:val="5F052390"/>
    <w:rsid w:val="5F0E45BB"/>
    <w:rsid w:val="5F482700"/>
    <w:rsid w:val="5F5E7019"/>
    <w:rsid w:val="5F623764"/>
    <w:rsid w:val="5F737A81"/>
    <w:rsid w:val="5F8108E9"/>
    <w:rsid w:val="5F9E4C02"/>
    <w:rsid w:val="5FB567E4"/>
    <w:rsid w:val="5FCB0728"/>
    <w:rsid w:val="5FD55896"/>
    <w:rsid w:val="5FE514E0"/>
    <w:rsid w:val="5FF81B89"/>
    <w:rsid w:val="5FFF0A5C"/>
    <w:rsid w:val="6000078C"/>
    <w:rsid w:val="6013249E"/>
    <w:rsid w:val="601F5ACF"/>
    <w:rsid w:val="60201767"/>
    <w:rsid w:val="602045A6"/>
    <w:rsid w:val="602A40C1"/>
    <w:rsid w:val="602B51F2"/>
    <w:rsid w:val="604229D5"/>
    <w:rsid w:val="604A4363"/>
    <w:rsid w:val="60777C56"/>
    <w:rsid w:val="608E3C25"/>
    <w:rsid w:val="60937701"/>
    <w:rsid w:val="609E0107"/>
    <w:rsid w:val="60BB42CE"/>
    <w:rsid w:val="60CE7B5E"/>
    <w:rsid w:val="60CF38D6"/>
    <w:rsid w:val="60D40EEC"/>
    <w:rsid w:val="60D74D6C"/>
    <w:rsid w:val="60F06394"/>
    <w:rsid w:val="60F22306"/>
    <w:rsid w:val="60F5158E"/>
    <w:rsid w:val="6106379C"/>
    <w:rsid w:val="610F0788"/>
    <w:rsid w:val="6124530A"/>
    <w:rsid w:val="61377DF9"/>
    <w:rsid w:val="6143228A"/>
    <w:rsid w:val="61447E20"/>
    <w:rsid w:val="61526091"/>
    <w:rsid w:val="615269E1"/>
    <w:rsid w:val="61582574"/>
    <w:rsid w:val="615B6DE0"/>
    <w:rsid w:val="61665E34"/>
    <w:rsid w:val="616C5699"/>
    <w:rsid w:val="61721986"/>
    <w:rsid w:val="618C76A3"/>
    <w:rsid w:val="61AB355C"/>
    <w:rsid w:val="61B01959"/>
    <w:rsid w:val="61D45648"/>
    <w:rsid w:val="61D84602"/>
    <w:rsid w:val="61E138C1"/>
    <w:rsid w:val="6216517A"/>
    <w:rsid w:val="62347E94"/>
    <w:rsid w:val="623520D2"/>
    <w:rsid w:val="625D1976"/>
    <w:rsid w:val="62697DE3"/>
    <w:rsid w:val="62917095"/>
    <w:rsid w:val="62B00EBA"/>
    <w:rsid w:val="62B32F76"/>
    <w:rsid w:val="62B34A4C"/>
    <w:rsid w:val="62BE4D1C"/>
    <w:rsid w:val="62CF3159"/>
    <w:rsid w:val="62DF5E56"/>
    <w:rsid w:val="62E25B42"/>
    <w:rsid w:val="62EF165B"/>
    <w:rsid w:val="63013369"/>
    <w:rsid w:val="6302525B"/>
    <w:rsid w:val="63086285"/>
    <w:rsid w:val="630A5099"/>
    <w:rsid w:val="63116428"/>
    <w:rsid w:val="632D6B95"/>
    <w:rsid w:val="63384EEB"/>
    <w:rsid w:val="633A4165"/>
    <w:rsid w:val="63422A85"/>
    <w:rsid w:val="634B04AA"/>
    <w:rsid w:val="635051A2"/>
    <w:rsid w:val="636A00E4"/>
    <w:rsid w:val="63733013"/>
    <w:rsid w:val="63C06722"/>
    <w:rsid w:val="63C94E27"/>
    <w:rsid w:val="63CA1A6F"/>
    <w:rsid w:val="63EB0A27"/>
    <w:rsid w:val="63FB2005"/>
    <w:rsid w:val="640E418C"/>
    <w:rsid w:val="64106ED5"/>
    <w:rsid w:val="642142BA"/>
    <w:rsid w:val="64236413"/>
    <w:rsid w:val="643101B4"/>
    <w:rsid w:val="643D4406"/>
    <w:rsid w:val="6454481E"/>
    <w:rsid w:val="64772B19"/>
    <w:rsid w:val="64883414"/>
    <w:rsid w:val="648B532D"/>
    <w:rsid w:val="6497631F"/>
    <w:rsid w:val="64CC2606"/>
    <w:rsid w:val="64CD637E"/>
    <w:rsid w:val="64E81E96"/>
    <w:rsid w:val="65012E8F"/>
    <w:rsid w:val="65085608"/>
    <w:rsid w:val="6527584D"/>
    <w:rsid w:val="65293EFC"/>
    <w:rsid w:val="652C01BA"/>
    <w:rsid w:val="652F0DE7"/>
    <w:rsid w:val="65310536"/>
    <w:rsid w:val="65372FD8"/>
    <w:rsid w:val="656C3255"/>
    <w:rsid w:val="658E1770"/>
    <w:rsid w:val="658E4C66"/>
    <w:rsid w:val="65967861"/>
    <w:rsid w:val="659E23D6"/>
    <w:rsid w:val="65AD450C"/>
    <w:rsid w:val="65C07C91"/>
    <w:rsid w:val="65CA45AC"/>
    <w:rsid w:val="65CF695E"/>
    <w:rsid w:val="65DE5C5E"/>
    <w:rsid w:val="65DF788F"/>
    <w:rsid w:val="65E872EC"/>
    <w:rsid w:val="65EA1F91"/>
    <w:rsid w:val="65EE2A50"/>
    <w:rsid w:val="660233D6"/>
    <w:rsid w:val="66170676"/>
    <w:rsid w:val="661B1663"/>
    <w:rsid w:val="662841B4"/>
    <w:rsid w:val="662B0C58"/>
    <w:rsid w:val="662F3FFE"/>
    <w:rsid w:val="6634276C"/>
    <w:rsid w:val="663F6AE4"/>
    <w:rsid w:val="664C20C4"/>
    <w:rsid w:val="66523CE7"/>
    <w:rsid w:val="66545B6B"/>
    <w:rsid w:val="66780355"/>
    <w:rsid w:val="667E3B26"/>
    <w:rsid w:val="668B7CF1"/>
    <w:rsid w:val="668D2F76"/>
    <w:rsid w:val="669D111B"/>
    <w:rsid w:val="66A9361C"/>
    <w:rsid w:val="66BC3E0D"/>
    <w:rsid w:val="66C51A03"/>
    <w:rsid w:val="66FD2667"/>
    <w:rsid w:val="67024795"/>
    <w:rsid w:val="67332E10"/>
    <w:rsid w:val="67412203"/>
    <w:rsid w:val="67432FA1"/>
    <w:rsid w:val="675F4C1F"/>
    <w:rsid w:val="6764712C"/>
    <w:rsid w:val="678E06F0"/>
    <w:rsid w:val="679663D1"/>
    <w:rsid w:val="67A64AC5"/>
    <w:rsid w:val="67A663D1"/>
    <w:rsid w:val="67E10ABE"/>
    <w:rsid w:val="681A18DB"/>
    <w:rsid w:val="681E4062"/>
    <w:rsid w:val="6845216B"/>
    <w:rsid w:val="684A3125"/>
    <w:rsid w:val="68640337"/>
    <w:rsid w:val="6864524C"/>
    <w:rsid w:val="686A09E3"/>
    <w:rsid w:val="687834B4"/>
    <w:rsid w:val="687E00BB"/>
    <w:rsid w:val="68924132"/>
    <w:rsid w:val="68A4505F"/>
    <w:rsid w:val="68AA4E91"/>
    <w:rsid w:val="68BB19A5"/>
    <w:rsid w:val="68D8234A"/>
    <w:rsid w:val="68FE0B80"/>
    <w:rsid w:val="690C715D"/>
    <w:rsid w:val="69324368"/>
    <w:rsid w:val="695E1C9B"/>
    <w:rsid w:val="6978335F"/>
    <w:rsid w:val="69872FA0"/>
    <w:rsid w:val="69883508"/>
    <w:rsid w:val="69B4065B"/>
    <w:rsid w:val="69EB49EF"/>
    <w:rsid w:val="69F543AD"/>
    <w:rsid w:val="6A0348C0"/>
    <w:rsid w:val="6A0561E6"/>
    <w:rsid w:val="6A0E3484"/>
    <w:rsid w:val="6A2B4DE4"/>
    <w:rsid w:val="6A411CF3"/>
    <w:rsid w:val="6A525B54"/>
    <w:rsid w:val="6A554E4C"/>
    <w:rsid w:val="6A5634DD"/>
    <w:rsid w:val="6A6D29EA"/>
    <w:rsid w:val="6A6D66A9"/>
    <w:rsid w:val="6A7D0229"/>
    <w:rsid w:val="6A8C3AEA"/>
    <w:rsid w:val="6A923047"/>
    <w:rsid w:val="6ADE79A4"/>
    <w:rsid w:val="6B0A5709"/>
    <w:rsid w:val="6B0D04D9"/>
    <w:rsid w:val="6B20463D"/>
    <w:rsid w:val="6B2A62D8"/>
    <w:rsid w:val="6B420E6A"/>
    <w:rsid w:val="6B452600"/>
    <w:rsid w:val="6B4827F0"/>
    <w:rsid w:val="6B5A7BC6"/>
    <w:rsid w:val="6B64510C"/>
    <w:rsid w:val="6B68067C"/>
    <w:rsid w:val="6B6A52A7"/>
    <w:rsid w:val="6B7262E7"/>
    <w:rsid w:val="6B7632CC"/>
    <w:rsid w:val="6B7E1C3B"/>
    <w:rsid w:val="6B9A6652"/>
    <w:rsid w:val="6B9B255F"/>
    <w:rsid w:val="6B9B7D99"/>
    <w:rsid w:val="6BA93BCD"/>
    <w:rsid w:val="6BB23283"/>
    <w:rsid w:val="6BB6110A"/>
    <w:rsid w:val="6BD33444"/>
    <w:rsid w:val="6BFD0A30"/>
    <w:rsid w:val="6C283EAB"/>
    <w:rsid w:val="6C30278D"/>
    <w:rsid w:val="6C44301A"/>
    <w:rsid w:val="6C472A06"/>
    <w:rsid w:val="6C5731DE"/>
    <w:rsid w:val="6C793DE0"/>
    <w:rsid w:val="6C7D5A44"/>
    <w:rsid w:val="6C82448F"/>
    <w:rsid w:val="6C865790"/>
    <w:rsid w:val="6C93778B"/>
    <w:rsid w:val="6CA200F0"/>
    <w:rsid w:val="6CB120C5"/>
    <w:rsid w:val="6CB57E24"/>
    <w:rsid w:val="6CBA2CA5"/>
    <w:rsid w:val="6CEF35E6"/>
    <w:rsid w:val="6D144A3B"/>
    <w:rsid w:val="6D1720A2"/>
    <w:rsid w:val="6D273402"/>
    <w:rsid w:val="6D276BA7"/>
    <w:rsid w:val="6D2C2D1C"/>
    <w:rsid w:val="6D550ED5"/>
    <w:rsid w:val="6D5B09CB"/>
    <w:rsid w:val="6D5B6E2D"/>
    <w:rsid w:val="6D6C477F"/>
    <w:rsid w:val="6D721C26"/>
    <w:rsid w:val="6D730F9E"/>
    <w:rsid w:val="6D74197E"/>
    <w:rsid w:val="6D7C6B93"/>
    <w:rsid w:val="6DBC51E2"/>
    <w:rsid w:val="6DC05B50"/>
    <w:rsid w:val="6DD4764A"/>
    <w:rsid w:val="6DDE7A33"/>
    <w:rsid w:val="6DDE7DCD"/>
    <w:rsid w:val="6DDF6C4C"/>
    <w:rsid w:val="6DE501CF"/>
    <w:rsid w:val="6DFB3F5C"/>
    <w:rsid w:val="6E211B37"/>
    <w:rsid w:val="6E414065"/>
    <w:rsid w:val="6E454862"/>
    <w:rsid w:val="6E4A38D7"/>
    <w:rsid w:val="6E517793"/>
    <w:rsid w:val="6E783BC2"/>
    <w:rsid w:val="6E9F0F98"/>
    <w:rsid w:val="6EB52283"/>
    <w:rsid w:val="6EB8662B"/>
    <w:rsid w:val="6ECA1584"/>
    <w:rsid w:val="6EDD3662"/>
    <w:rsid w:val="6EE449F0"/>
    <w:rsid w:val="6EF03395"/>
    <w:rsid w:val="6EF96336"/>
    <w:rsid w:val="6F0A08FB"/>
    <w:rsid w:val="6F127B3B"/>
    <w:rsid w:val="6F1A00DF"/>
    <w:rsid w:val="6F215C44"/>
    <w:rsid w:val="6F2A5439"/>
    <w:rsid w:val="6F2F65B3"/>
    <w:rsid w:val="6F3431BE"/>
    <w:rsid w:val="6F3E2352"/>
    <w:rsid w:val="6F415567"/>
    <w:rsid w:val="6F5673DF"/>
    <w:rsid w:val="6F770908"/>
    <w:rsid w:val="6F861085"/>
    <w:rsid w:val="6F8F1E48"/>
    <w:rsid w:val="6F9945D8"/>
    <w:rsid w:val="6F9E54E7"/>
    <w:rsid w:val="6FA60AE1"/>
    <w:rsid w:val="6FB0356D"/>
    <w:rsid w:val="6FC543CE"/>
    <w:rsid w:val="6FC95C27"/>
    <w:rsid w:val="6FCE7B7A"/>
    <w:rsid w:val="6FD809F9"/>
    <w:rsid w:val="6FD8131E"/>
    <w:rsid w:val="6FE11EB6"/>
    <w:rsid w:val="6FF033BA"/>
    <w:rsid w:val="700669DE"/>
    <w:rsid w:val="700B748B"/>
    <w:rsid w:val="70231548"/>
    <w:rsid w:val="702376E0"/>
    <w:rsid w:val="70473489"/>
    <w:rsid w:val="705D2CAC"/>
    <w:rsid w:val="705D7E9A"/>
    <w:rsid w:val="706957DA"/>
    <w:rsid w:val="706E310B"/>
    <w:rsid w:val="706F443E"/>
    <w:rsid w:val="7085135F"/>
    <w:rsid w:val="709C56F0"/>
    <w:rsid w:val="709D754D"/>
    <w:rsid w:val="70AC5DF4"/>
    <w:rsid w:val="70AC73C6"/>
    <w:rsid w:val="70BA1505"/>
    <w:rsid w:val="70CA3156"/>
    <w:rsid w:val="70CD6499"/>
    <w:rsid w:val="70DA691A"/>
    <w:rsid w:val="70E3033B"/>
    <w:rsid w:val="70E355E0"/>
    <w:rsid w:val="70F27898"/>
    <w:rsid w:val="711F0DBC"/>
    <w:rsid w:val="712612F0"/>
    <w:rsid w:val="71325C58"/>
    <w:rsid w:val="716408C7"/>
    <w:rsid w:val="71683CEA"/>
    <w:rsid w:val="717770BE"/>
    <w:rsid w:val="71810C1C"/>
    <w:rsid w:val="718A1D1C"/>
    <w:rsid w:val="718A5D23"/>
    <w:rsid w:val="719C7DEC"/>
    <w:rsid w:val="71B11502"/>
    <w:rsid w:val="71B66530"/>
    <w:rsid w:val="71C056F2"/>
    <w:rsid w:val="71D670BC"/>
    <w:rsid w:val="71F563BB"/>
    <w:rsid w:val="720355A3"/>
    <w:rsid w:val="720E039D"/>
    <w:rsid w:val="721E176B"/>
    <w:rsid w:val="724A24DB"/>
    <w:rsid w:val="725105EF"/>
    <w:rsid w:val="72591224"/>
    <w:rsid w:val="725E3F36"/>
    <w:rsid w:val="725F483B"/>
    <w:rsid w:val="72640322"/>
    <w:rsid w:val="72640B40"/>
    <w:rsid w:val="726B3547"/>
    <w:rsid w:val="726D3460"/>
    <w:rsid w:val="72822E9E"/>
    <w:rsid w:val="728E413E"/>
    <w:rsid w:val="729B6B96"/>
    <w:rsid w:val="729F331A"/>
    <w:rsid w:val="72C62809"/>
    <w:rsid w:val="72D7130B"/>
    <w:rsid w:val="72E72D01"/>
    <w:rsid w:val="72F223EB"/>
    <w:rsid w:val="72F3202A"/>
    <w:rsid w:val="72F736F8"/>
    <w:rsid w:val="73027B3B"/>
    <w:rsid w:val="731E2008"/>
    <w:rsid w:val="731F024D"/>
    <w:rsid w:val="732C6966"/>
    <w:rsid w:val="733C69A4"/>
    <w:rsid w:val="733D5272"/>
    <w:rsid w:val="73661E78"/>
    <w:rsid w:val="7369056E"/>
    <w:rsid w:val="736B2FE5"/>
    <w:rsid w:val="73720D18"/>
    <w:rsid w:val="7389353F"/>
    <w:rsid w:val="73B45C20"/>
    <w:rsid w:val="73BB764C"/>
    <w:rsid w:val="73D51D18"/>
    <w:rsid w:val="73D9089C"/>
    <w:rsid w:val="73EF4EDE"/>
    <w:rsid w:val="73F330FA"/>
    <w:rsid w:val="73F817B4"/>
    <w:rsid w:val="74085625"/>
    <w:rsid w:val="74252A61"/>
    <w:rsid w:val="74257971"/>
    <w:rsid w:val="744D4DE6"/>
    <w:rsid w:val="74517D5F"/>
    <w:rsid w:val="74632817"/>
    <w:rsid w:val="74694510"/>
    <w:rsid w:val="7469649B"/>
    <w:rsid w:val="746A6FB8"/>
    <w:rsid w:val="746E2ABD"/>
    <w:rsid w:val="74834AED"/>
    <w:rsid w:val="749926F2"/>
    <w:rsid w:val="74B07143"/>
    <w:rsid w:val="74C81F10"/>
    <w:rsid w:val="74DD29BA"/>
    <w:rsid w:val="74E31D72"/>
    <w:rsid w:val="74F420EF"/>
    <w:rsid w:val="74F852E3"/>
    <w:rsid w:val="75056299"/>
    <w:rsid w:val="75183CFD"/>
    <w:rsid w:val="751F0FBA"/>
    <w:rsid w:val="7531365E"/>
    <w:rsid w:val="753F24CB"/>
    <w:rsid w:val="75485BA0"/>
    <w:rsid w:val="754F3848"/>
    <w:rsid w:val="755740DE"/>
    <w:rsid w:val="755F67E2"/>
    <w:rsid w:val="75616B62"/>
    <w:rsid w:val="756D2859"/>
    <w:rsid w:val="75834F63"/>
    <w:rsid w:val="75891776"/>
    <w:rsid w:val="75975EA9"/>
    <w:rsid w:val="75A16CA0"/>
    <w:rsid w:val="75A82BCA"/>
    <w:rsid w:val="75AB270C"/>
    <w:rsid w:val="75AB4A4B"/>
    <w:rsid w:val="75B1422C"/>
    <w:rsid w:val="75B16389"/>
    <w:rsid w:val="75C335B1"/>
    <w:rsid w:val="76365ED1"/>
    <w:rsid w:val="76382AD2"/>
    <w:rsid w:val="76512F72"/>
    <w:rsid w:val="765C7562"/>
    <w:rsid w:val="76607052"/>
    <w:rsid w:val="767B20DE"/>
    <w:rsid w:val="76852E3F"/>
    <w:rsid w:val="7690083F"/>
    <w:rsid w:val="769479B8"/>
    <w:rsid w:val="76962F22"/>
    <w:rsid w:val="76971335"/>
    <w:rsid w:val="769737B0"/>
    <w:rsid w:val="769A6A08"/>
    <w:rsid w:val="76CB538A"/>
    <w:rsid w:val="76D914DE"/>
    <w:rsid w:val="76E241A3"/>
    <w:rsid w:val="76F31920"/>
    <w:rsid w:val="77185685"/>
    <w:rsid w:val="772C162A"/>
    <w:rsid w:val="77336C0B"/>
    <w:rsid w:val="7742706B"/>
    <w:rsid w:val="774921DC"/>
    <w:rsid w:val="774E4B38"/>
    <w:rsid w:val="776A6350"/>
    <w:rsid w:val="77706E23"/>
    <w:rsid w:val="77914E0D"/>
    <w:rsid w:val="77A54CBD"/>
    <w:rsid w:val="77B07919"/>
    <w:rsid w:val="77B238DE"/>
    <w:rsid w:val="77D40B74"/>
    <w:rsid w:val="77DC24C0"/>
    <w:rsid w:val="781D024C"/>
    <w:rsid w:val="7821671D"/>
    <w:rsid w:val="78227C9A"/>
    <w:rsid w:val="782C2669"/>
    <w:rsid w:val="78514E82"/>
    <w:rsid w:val="78670B6C"/>
    <w:rsid w:val="787216C4"/>
    <w:rsid w:val="78790104"/>
    <w:rsid w:val="78795F4D"/>
    <w:rsid w:val="78843861"/>
    <w:rsid w:val="788D0D8C"/>
    <w:rsid w:val="78905524"/>
    <w:rsid w:val="78AB0423"/>
    <w:rsid w:val="78D11F8B"/>
    <w:rsid w:val="78F46560"/>
    <w:rsid w:val="78FF4DE7"/>
    <w:rsid w:val="79003977"/>
    <w:rsid w:val="790D31EA"/>
    <w:rsid w:val="79104189"/>
    <w:rsid w:val="791E260E"/>
    <w:rsid w:val="793A05E9"/>
    <w:rsid w:val="793D5A12"/>
    <w:rsid w:val="7940675C"/>
    <w:rsid w:val="79426EE3"/>
    <w:rsid w:val="79442010"/>
    <w:rsid w:val="7947274B"/>
    <w:rsid w:val="795B122E"/>
    <w:rsid w:val="795E4240"/>
    <w:rsid w:val="796C5D0E"/>
    <w:rsid w:val="7973709D"/>
    <w:rsid w:val="79803991"/>
    <w:rsid w:val="798B2638"/>
    <w:rsid w:val="79921E57"/>
    <w:rsid w:val="79945405"/>
    <w:rsid w:val="7998540E"/>
    <w:rsid w:val="79BF4A3B"/>
    <w:rsid w:val="79DD09BA"/>
    <w:rsid w:val="79F17337"/>
    <w:rsid w:val="79FB3A1A"/>
    <w:rsid w:val="79FC3536"/>
    <w:rsid w:val="7A0C04FD"/>
    <w:rsid w:val="7A1355D9"/>
    <w:rsid w:val="7A230AC3"/>
    <w:rsid w:val="7A456C8B"/>
    <w:rsid w:val="7A535CD0"/>
    <w:rsid w:val="7A5759FD"/>
    <w:rsid w:val="7A5F7AEB"/>
    <w:rsid w:val="7A804167"/>
    <w:rsid w:val="7A834F93"/>
    <w:rsid w:val="7A91165F"/>
    <w:rsid w:val="7A97391A"/>
    <w:rsid w:val="7A9C4DB8"/>
    <w:rsid w:val="7AA5597C"/>
    <w:rsid w:val="7AAB0F56"/>
    <w:rsid w:val="7AAD5834"/>
    <w:rsid w:val="7AB11DEB"/>
    <w:rsid w:val="7AB24CC5"/>
    <w:rsid w:val="7AB829CC"/>
    <w:rsid w:val="7AC438A2"/>
    <w:rsid w:val="7ACA4D77"/>
    <w:rsid w:val="7ADB4602"/>
    <w:rsid w:val="7B010AC3"/>
    <w:rsid w:val="7B014838"/>
    <w:rsid w:val="7B063BCA"/>
    <w:rsid w:val="7B0A3A31"/>
    <w:rsid w:val="7B0D3F38"/>
    <w:rsid w:val="7B2A40D3"/>
    <w:rsid w:val="7B3B5510"/>
    <w:rsid w:val="7B55321B"/>
    <w:rsid w:val="7B5A6766"/>
    <w:rsid w:val="7B8437E3"/>
    <w:rsid w:val="7B871525"/>
    <w:rsid w:val="7B8B1F77"/>
    <w:rsid w:val="7BD007D6"/>
    <w:rsid w:val="7C02738A"/>
    <w:rsid w:val="7C0B5CB2"/>
    <w:rsid w:val="7C3C5E6C"/>
    <w:rsid w:val="7C776EA4"/>
    <w:rsid w:val="7C9175C1"/>
    <w:rsid w:val="7CCD7AAC"/>
    <w:rsid w:val="7CE80291"/>
    <w:rsid w:val="7CEE6A57"/>
    <w:rsid w:val="7D23320B"/>
    <w:rsid w:val="7D415004"/>
    <w:rsid w:val="7D454800"/>
    <w:rsid w:val="7D480C45"/>
    <w:rsid w:val="7D510D1E"/>
    <w:rsid w:val="7D6116F6"/>
    <w:rsid w:val="7D6B48B5"/>
    <w:rsid w:val="7D753E75"/>
    <w:rsid w:val="7D8C697F"/>
    <w:rsid w:val="7DA131B6"/>
    <w:rsid w:val="7DBB4623"/>
    <w:rsid w:val="7DBD4743"/>
    <w:rsid w:val="7DC90129"/>
    <w:rsid w:val="7DD73298"/>
    <w:rsid w:val="7DE247F1"/>
    <w:rsid w:val="7DED3CF7"/>
    <w:rsid w:val="7E0E55E6"/>
    <w:rsid w:val="7E1A3F8B"/>
    <w:rsid w:val="7E2E4E3D"/>
    <w:rsid w:val="7E2F4430"/>
    <w:rsid w:val="7E3808B5"/>
    <w:rsid w:val="7E3E236F"/>
    <w:rsid w:val="7E682501"/>
    <w:rsid w:val="7E7805A7"/>
    <w:rsid w:val="7E81712E"/>
    <w:rsid w:val="7E977CD1"/>
    <w:rsid w:val="7EAA248B"/>
    <w:rsid w:val="7EAD6B68"/>
    <w:rsid w:val="7EDB34B9"/>
    <w:rsid w:val="7EE27E0A"/>
    <w:rsid w:val="7EFE7628"/>
    <w:rsid w:val="7F1457EB"/>
    <w:rsid w:val="7F1530EF"/>
    <w:rsid w:val="7F323556"/>
    <w:rsid w:val="7F376DBE"/>
    <w:rsid w:val="7F5070F9"/>
    <w:rsid w:val="7F596D35"/>
    <w:rsid w:val="7F601E71"/>
    <w:rsid w:val="7F6310E9"/>
    <w:rsid w:val="7F8A13C9"/>
    <w:rsid w:val="7FB56661"/>
    <w:rsid w:val="7FBB179D"/>
    <w:rsid w:val="7FD445A9"/>
    <w:rsid w:val="7FDD1714"/>
    <w:rsid w:val="7FFF7A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qFormat="1" w:unhideWhenUsed="0" w:uiPriority="39" w:semiHidden="0" w:name="toc 5"/>
    <w:lsdException w:unhideWhenUsed="0" w:uiPriority="0" w:semiHidden="0" w:name="toc 6"/>
    <w:lsdException w:unhideWhenUsed="0" w:uiPriority="0" w:semiHidden="0" w:name="toc 7"/>
    <w:lsdException w:unhideWhenUsed="0" w:uiPriority="0" w:semiHidden="0" w:name="toc 8"/>
    <w:lsdException w:qFormat="1"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qFormat="1"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autoRedefine/>
    <w:qFormat/>
    <w:uiPriority w:val="0"/>
    <w:pPr>
      <w:keepNext/>
      <w:tabs>
        <w:tab w:val="left" w:pos="3600"/>
      </w:tabs>
      <w:adjustRightInd w:val="0"/>
      <w:snapToGrid w:val="0"/>
      <w:spacing w:line="500" w:lineRule="exact"/>
      <w:jc w:val="left"/>
      <w:outlineLvl w:val="1"/>
    </w:pPr>
    <w:rPr>
      <w:b/>
      <w:sz w:val="24"/>
    </w:rPr>
  </w:style>
  <w:style w:type="paragraph" w:styleId="4">
    <w:name w:val="heading 3"/>
    <w:basedOn w:val="1"/>
    <w:next w:val="1"/>
    <w:autoRedefine/>
    <w:qFormat/>
    <w:uiPriority w:val="0"/>
    <w:pPr>
      <w:keepNext/>
      <w:keepLines/>
      <w:tabs>
        <w:tab w:val="left" w:pos="1440"/>
      </w:tabs>
      <w:spacing w:before="120" w:after="240"/>
      <w:ind w:left="720" w:hanging="720"/>
      <w:outlineLvl w:val="2"/>
    </w:pPr>
    <w:rPr>
      <w:rFonts w:eastAsia="黑体"/>
      <w:b/>
      <w:kern w:val="0"/>
      <w:sz w:val="28"/>
      <w:szCs w:val="20"/>
    </w:rPr>
  </w:style>
  <w:style w:type="paragraph" w:styleId="5">
    <w:name w:val="heading 4"/>
    <w:basedOn w:val="1"/>
    <w:next w:val="1"/>
    <w:autoRedefine/>
    <w:qFormat/>
    <w:uiPriority w:val="0"/>
    <w:pPr>
      <w:keepNext/>
      <w:keepLines/>
      <w:numPr>
        <w:ilvl w:val="3"/>
        <w:numId w:val="1"/>
      </w:numPr>
      <w:tabs>
        <w:tab w:val="left" w:pos="420"/>
      </w:tabs>
      <w:spacing w:before="60" w:after="60" w:line="377" w:lineRule="auto"/>
      <w:outlineLvl w:val="3"/>
    </w:pPr>
    <w:rPr>
      <w:b/>
      <w:bCs/>
      <w:sz w:val="24"/>
      <w:szCs w:val="28"/>
    </w:rPr>
  </w:style>
  <w:style w:type="character" w:default="1" w:styleId="34">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6">
    <w:name w:val="table of authorities"/>
    <w:basedOn w:val="1"/>
    <w:next w:val="1"/>
    <w:autoRedefine/>
    <w:qFormat/>
    <w:uiPriority w:val="0"/>
    <w:pPr>
      <w:ind w:left="420" w:leftChars="200"/>
    </w:pPr>
  </w:style>
  <w:style w:type="paragraph" w:styleId="7">
    <w:name w:val="Normal Indent"/>
    <w:basedOn w:val="1"/>
    <w:autoRedefine/>
    <w:qFormat/>
    <w:uiPriority w:val="0"/>
    <w:rPr>
      <w:snapToGrid w:val="0"/>
      <w:sz w:val="28"/>
    </w:rPr>
  </w:style>
  <w:style w:type="paragraph" w:styleId="8">
    <w:name w:val="annotation text"/>
    <w:basedOn w:val="1"/>
    <w:link w:val="105"/>
    <w:autoRedefine/>
    <w:qFormat/>
    <w:uiPriority w:val="0"/>
    <w:pPr>
      <w:jc w:val="left"/>
    </w:pPr>
  </w:style>
  <w:style w:type="paragraph" w:styleId="9">
    <w:name w:val="Body Text"/>
    <w:basedOn w:val="1"/>
    <w:next w:val="1"/>
    <w:link w:val="115"/>
    <w:autoRedefine/>
    <w:qFormat/>
    <w:uiPriority w:val="0"/>
    <w:pPr>
      <w:spacing w:line="440" w:lineRule="exact"/>
      <w:textAlignment w:val="center"/>
    </w:pPr>
    <w:rPr>
      <w:rFonts w:eastAsia="华文中宋"/>
      <w:sz w:val="28"/>
    </w:rPr>
  </w:style>
  <w:style w:type="paragraph" w:styleId="10">
    <w:name w:val="Body Text Indent"/>
    <w:basedOn w:val="1"/>
    <w:next w:val="7"/>
    <w:autoRedefine/>
    <w:unhideWhenUsed/>
    <w:qFormat/>
    <w:uiPriority w:val="0"/>
    <w:pPr>
      <w:ind w:firstLine="480" w:firstLineChars="200"/>
    </w:pPr>
    <w:rPr>
      <w:kern w:val="0"/>
      <w:sz w:val="24"/>
    </w:rPr>
  </w:style>
  <w:style w:type="paragraph" w:styleId="11">
    <w:name w:val="List Bullet 2"/>
    <w:basedOn w:val="1"/>
    <w:next w:val="12"/>
    <w:autoRedefine/>
    <w:qFormat/>
    <w:uiPriority w:val="0"/>
    <w:pPr>
      <w:numPr>
        <w:ilvl w:val="0"/>
        <w:numId w:val="2"/>
      </w:numPr>
    </w:pPr>
  </w:style>
  <w:style w:type="paragraph" w:customStyle="1" w:styleId="12">
    <w:name w:val="xl70"/>
    <w:basedOn w:val="1"/>
    <w:next w:val="13"/>
    <w:autoRedefine/>
    <w:qFormat/>
    <w:uiPriority w:val="0"/>
    <w:pPr>
      <w:widowControl/>
      <w:spacing w:before="280" w:after="280"/>
    </w:pPr>
    <w:rPr>
      <w:rFonts w:ascii="宋体"/>
    </w:rPr>
  </w:style>
  <w:style w:type="paragraph" w:customStyle="1" w:styleId="13">
    <w:name w:val="正文缩进1"/>
    <w:basedOn w:val="1"/>
    <w:next w:val="14"/>
    <w:autoRedefine/>
    <w:qFormat/>
    <w:uiPriority w:val="0"/>
    <w:pPr>
      <w:ind w:firstLine="420"/>
    </w:pPr>
    <w:rPr>
      <w:rFonts w:ascii="宋体"/>
      <w:sz w:val="28"/>
    </w:rPr>
  </w:style>
  <w:style w:type="paragraph" w:customStyle="1" w:styleId="14">
    <w:name w:val="td1"/>
    <w:basedOn w:val="1"/>
    <w:next w:val="1"/>
    <w:autoRedefine/>
    <w:qFormat/>
    <w:uiPriority w:val="0"/>
    <w:pPr>
      <w:widowControl/>
      <w:spacing w:before="280" w:after="280" w:line="300" w:lineRule="atLeast"/>
      <w:ind w:firstLine="200"/>
    </w:pPr>
    <w:rPr>
      <w:color w:val="000000"/>
      <w:sz w:val="18"/>
    </w:rPr>
  </w:style>
  <w:style w:type="paragraph" w:styleId="15">
    <w:name w:val="toc 5"/>
    <w:basedOn w:val="1"/>
    <w:next w:val="1"/>
    <w:qFormat/>
    <w:uiPriority w:val="39"/>
    <w:pPr>
      <w:ind w:left="1680" w:leftChars="800"/>
    </w:pPr>
  </w:style>
  <w:style w:type="paragraph" w:styleId="16">
    <w:name w:val="Plain Text"/>
    <w:basedOn w:val="1"/>
    <w:autoRedefine/>
    <w:qFormat/>
    <w:uiPriority w:val="0"/>
    <w:rPr>
      <w:rFonts w:ascii="宋体" w:hAnsi="Courier New"/>
      <w:sz w:val="28"/>
      <w:szCs w:val="21"/>
    </w:rPr>
  </w:style>
  <w:style w:type="paragraph" w:styleId="17">
    <w:name w:val="List Bullet 5"/>
    <w:basedOn w:val="1"/>
    <w:qFormat/>
    <w:uiPriority w:val="0"/>
    <w:pPr>
      <w:numPr>
        <w:ilvl w:val="0"/>
        <w:numId w:val="3"/>
      </w:numPr>
    </w:pPr>
  </w:style>
  <w:style w:type="paragraph" w:styleId="18">
    <w:name w:val="Body Text Indent 2"/>
    <w:basedOn w:val="1"/>
    <w:next w:val="1"/>
    <w:autoRedefine/>
    <w:unhideWhenUsed/>
    <w:qFormat/>
    <w:uiPriority w:val="0"/>
    <w:pPr>
      <w:spacing w:after="120" w:line="480" w:lineRule="auto"/>
      <w:ind w:left="420" w:leftChars="200"/>
    </w:pPr>
    <w:rPr>
      <w:rFonts w:hint="eastAsia"/>
    </w:rPr>
  </w:style>
  <w:style w:type="paragraph" w:styleId="19">
    <w:name w:val="Balloon Text"/>
    <w:basedOn w:val="1"/>
    <w:link w:val="129"/>
    <w:qFormat/>
    <w:uiPriority w:val="0"/>
    <w:rPr>
      <w:sz w:val="18"/>
      <w:szCs w:val="18"/>
    </w:rPr>
  </w:style>
  <w:style w:type="paragraph" w:styleId="20">
    <w:name w:val="footer"/>
    <w:basedOn w:val="1"/>
    <w:next w:val="1"/>
    <w:autoRedefine/>
    <w:qFormat/>
    <w:uiPriority w:val="99"/>
    <w:pPr>
      <w:tabs>
        <w:tab w:val="center" w:pos="4153"/>
        <w:tab w:val="right" w:pos="8306"/>
      </w:tabs>
      <w:snapToGrid w:val="0"/>
      <w:jc w:val="left"/>
    </w:pPr>
    <w:rPr>
      <w:kern w:val="0"/>
      <w:sz w:val="18"/>
      <w:szCs w:val="20"/>
    </w:rPr>
  </w:style>
  <w:style w:type="paragraph" w:styleId="21">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2">
    <w:name w:val="toc 1"/>
    <w:basedOn w:val="1"/>
    <w:next w:val="1"/>
    <w:autoRedefine/>
    <w:qFormat/>
    <w:uiPriority w:val="39"/>
    <w:pPr>
      <w:widowControl/>
      <w:tabs>
        <w:tab w:val="right" w:leader="hyphen" w:pos="9060"/>
      </w:tabs>
      <w:jc w:val="left"/>
    </w:pPr>
    <w:rPr>
      <w:rFonts w:ascii="宋体" w:hAnsi="宋体" w:cs="宋体"/>
      <w:kern w:val="0"/>
      <w:sz w:val="24"/>
    </w:rPr>
  </w:style>
  <w:style w:type="paragraph" w:styleId="23">
    <w:name w:val="List"/>
    <w:basedOn w:val="1"/>
    <w:next w:val="11"/>
    <w:autoRedefine/>
    <w:qFormat/>
    <w:uiPriority w:val="0"/>
    <w:pPr>
      <w:jc w:val="center"/>
    </w:pPr>
    <w:rPr>
      <w:kern w:val="0"/>
      <w:szCs w:val="20"/>
    </w:rPr>
  </w:style>
  <w:style w:type="paragraph" w:styleId="24">
    <w:name w:val="Body Text Indent 3"/>
    <w:basedOn w:val="1"/>
    <w:autoRedefine/>
    <w:qFormat/>
    <w:uiPriority w:val="0"/>
    <w:pPr>
      <w:spacing w:after="120"/>
      <w:ind w:left="420" w:leftChars="200"/>
    </w:pPr>
    <w:rPr>
      <w:sz w:val="16"/>
      <w:szCs w:val="16"/>
    </w:rPr>
  </w:style>
  <w:style w:type="paragraph" w:styleId="25">
    <w:name w:val="toc 2"/>
    <w:basedOn w:val="1"/>
    <w:next w:val="1"/>
    <w:autoRedefine/>
    <w:qFormat/>
    <w:uiPriority w:val="39"/>
    <w:pPr>
      <w:spacing w:line="360" w:lineRule="auto"/>
      <w:ind w:firstLine="200" w:firstLineChars="200"/>
    </w:pPr>
    <w:rPr>
      <w:iCs/>
      <w:szCs w:val="20"/>
    </w:rPr>
  </w:style>
  <w:style w:type="paragraph" w:styleId="26">
    <w:name w:val="Message Header"/>
    <w:basedOn w:val="1"/>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rPr>
  </w:style>
  <w:style w:type="paragraph" w:styleId="27">
    <w:name w:val="Normal (Web)"/>
    <w:basedOn w:val="1"/>
    <w:autoRedefine/>
    <w:qFormat/>
    <w:uiPriority w:val="0"/>
    <w:pPr>
      <w:widowControl/>
      <w:spacing w:before="100" w:beforeAutospacing="1" w:after="100" w:afterAutospacing="1"/>
      <w:jc w:val="left"/>
    </w:pPr>
    <w:rPr>
      <w:rFonts w:ascii="宋体" w:hAnsi="宋体"/>
      <w:kern w:val="0"/>
      <w:sz w:val="24"/>
      <w:szCs w:val="20"/>
    </w:rPr>
  </w:style>
  <w:style w:type="paragraph" w:styleId="28">
    <w:name w:val="Title"/>
    <w:basedOn w:val="1"/>
    <w:next w:val="1"/>
    <w:autoRedefine/>
    <w:qFormat/>
    <w:uiPriority w:val="0"/>
    <w:pPr>
      <w:spacing w:before="240" w:after="60"/>
      <w:jc w:val="center"/>
      <w:outlineLvl w:val="0"/>
    </w:pPr>
    <w:rPr>
      <w:rFonts w:ascii="等线 Light" w:hAnsi="等线 Light"/>
      <w:b/>
      <w:bCs/>
      <w:sz w:val="32"/>
      <w:szCs w:val="32"/>
    </w:rPr>
  </w:style>
  <w:style w:type="paragraph" w:styleId="29">
    <w:name w:val="annotation subject"/>
    <w:basedOn w:val="8"/>
    <w:next w:val="8"/>
    <w:link w:val="106"/>
    <w:autoRedefine/>
    <w:qFormat/>
    <w:uiPriority w:val="0"/>
    <w:rPr>
      <w:b/>
      <w:bCs/>
    </w:rPr>
  </w:style>
  <w:style w:type="paragraph" w:styleId="30">
    <w:name w:val="Body Text First Indent"/>
    <w:basedOn w:val="9"/>
    <w:next w:val="1"/>
    <w:link w:val="116"/>
    <w:autoRedefine/>
    <w:qFormat/>
    <w:uiPriority w:val="0"/>
    <w:pPr>
      <w:spacing w:after="120" w:line="240" w:lineRule="auto"/>
      <w:ind w:firstLine="420" w:firstLineChars="100"/>
      <w:textAlignment w:val="auto"/>
    </w:pPr>
    <w:rPr>
      <w:rFonts w:eastAsia="宋体"/>
      <w:sz w:val="21"/>
    </w:rPr>
  </w:style>
  <w:style w:type="paragraph" w:styleId="31">
    <w:name w:val="Body Text First Indent 2"/>
    <w:basedOn w:val="10"/>
    <w:next w:val="1"/>
    <w:autoRedefine/>
    <w:qFormat/>
    <w:uiPriority w:val="0"/>
    <w:pPr>
      <w:ind w:firstLine="420"/>
    </w:pPr>
  </w:style>
  <w:style w:type="table" w:styleId="33">
    <w:name w:val="Table Grid"/>
    <w:basedOn w:val="3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5">
    <w:name w:val="page number"/>
    <w:basedOn w:val="34"/>
    <w:autoRedefine/>
    <w:qFormat/>
    <w:uiPriority w:val="0"/>
  </w:style>
  <w:style w:type="character" w:styleId="36">
    <w:name w:val="FollowedHyperlink"/>
    <w:basedOn w:val="34"/>
    <w:autoRedefine/>
    <w:qFormat/>
    <w:uiPriority w:val="0"/>
    <w:rPr>
      <w:color w:val="800080"/>
      <w:u w:val="none"/>
    </w:rPr>
  </w:style>
  <w:style w:type="character" w:styleId="37">
    <w:name w:val="Emphasis"/>
    <w:basedOn w:val="34"/>
    <w:autoRedefine/>
    <w:qFormat/>
    <w:uiPriority w:val="0"/>
  </w:style>
  <w:style w:type="character" w:styleId="38">
    <w:name w:val="HTML Definition"/>
    <w:basedOn w:val="34"/>
    <w:autoRedefine/>
    <w:qFormat/>
    <w:uiPriority w:val="0"/>
  </w:style>
  <w:style w:type="character" w:styleId="39">
    <w:name w:val="HTML Variable"/>
    <w:basedOn w:val="34"/>
    <w:autoRedefine/>
    <w:qFormat/>
    <w:uiPriority w:val="0"/>
  </w:style>
  <w:style w:type="character" w:styleId="40">
    <w:name w:val="Hyperlink"/>
    <w:basedOn w:val="34"/>
    <w:autoRedefine/>
    <w:qFormat/>
    <w:uiPriority w:val="0"/>
    <w:rPr>
      <w:color w:val="0000FF"/>
      <w:u w:val="none"/>
    </w:rPr>
  </w:style>
  <w:style w:type="character" w:styleId="41">
    <w:name w:val="HTML Code"/>
    <w:basedOn w:val="34"/>
    <w:autoRedefine/>
    <w:qFormat/>
    <w:uiPriority w:val="0"/>
    <w:rPr>
      <w:rFonts w:ascii="Courier New" w:hAnsi="Courier New"/>
      <w:sz w:val="20"/>
    </w:rPr>
  </w:style>
  <w:style w:type="character" w:styleId="42">
    <w:name w:val="annotation reference"/>
    <w:basedOn w:val="34"/>
    <w:autoRedefine/>
    <w:qFormat/>
    <w:uiPriority w:val="0"/>
    <w:rPr>
      <w:sz w:val="21"/>
      <w:szCs w:val="21"/>
    </w:rPr>
  </w:style>
  <w:style w:type="character" w:styleId="43">
    <w:name w:val="HTML Cite"/>
    <w:basedOn w:val="34"/>
    <w:autoRedefine/>
    <w:qFormat/>
    <w:uiPriority w:val="0"/>
  </w:style>
  <w:style w:type="character" w:styleId="44">
    <w:name w:val="HTML Keyboard"/>
    <w:basedOn w:val="34"/>
    <w:autoRedefine/>
    <w:qFormat/>
    <w:uiPriority w:val="0"/>
    <w:rPr>
      <w:rFonts w:ascii="Courier New" w:hAnsi="Courier New"/>
      <w:sz w:val="20"/>
    </w:rPr>
  </w:style>
  <w:style w:type="character" w:styleId="45">
    <w:name w:val="HTML Sample"/>
    <w:basedOn w:val="34"/>
    <w:autoRedefine/>
    <w:qFormat/>
    <w:uiPriority w:val="0"/>
    <w:rPr>
      <w:rFonts w:ascii="Courier New" w:hAnsi="Courier New"/>
      <w:u w:val="none"/>
    </w:rPr>
  </w:style>
  <w:style w:type="paragraph" w:customStyle="1" w:styleId="46">
    <w:name w:val="Default"/>
    <w:basedOn w:val="47"/>
    <w:next w:val="1"/>
    <w:autoRedefine/>
    <w:qFormat/>
    <w:uiPriority w:val="0"/>
    <w:pPr>
      <w:widowControl w:val="0"/>
      <w:autoSpaceDE w:val="0"/>
      <w:autoSpaceDN w:val="0"/>
    </w:pPr>
    <w:rPr>
      <w:rFonts w:hAnsi="Calibri" w:cs="宋体"/>
      <w:color w:val="000000"/>
      <w:szCs w:val="24"/>
    </w:rPr>
  </w:style>
  <w:style w:type="paragraph" w:customStyle="1" w:styleId="47">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48">
    <w:name w:val="Normal (Web)1"/>
    <w:basedOn w:val="1"/>
    <w:next w:val="49"/>
    <w:autoRedefine/>
    <w:qFormat/>
    <w:uiPriority w:val="0"/>
    <w:pPr>
      <w:widowControl/>
      <w:jc w:val="left"/>
    </w:pPr>
    <w:rPr>
      <w:rFonts w:ascii="宋体"/>
      <w:kern w:val="0"/>
      <w:sz w:val="24"/>
      <w:szCs w:val="21"/>
    </w:rPr>
  </w:style>
  <w:style w:type="paragraph" w:customStyle="1" w:styleId="49">
    <w:name w:val="Date1"/>
    <w:basedOn w:val="1"/>
    <w:next w:val="1"/>
    <w:autoRedefine/>
    <w:qFormat/>
    <w:uiPriority w:val="0"/>
    <w:pPr>
      <w:ind w:left="2500" w:leftChars="2500"/>
    </w:pPr>
  </w:style>
  <w:style w:type="paragraph" w:customStyle="1" w:styleId="50">
    <w:name w:val="0正文"/>
    <w:qFormat/>
    <w:uiPriority w:val="0"/>
    <w:pPr>
      <w:widowControl w:val="0"/>
      <w:spacing w:line="360" w:lineRule="auto"/>
      <w:ind w:firstLine="720" w:firstLineChars="200"/>
    </w:pPr>
    <w:rPr>
      <w:rFonts w:ascii="Calibri" w:hAnsi="Calibri" w:eastAsia="宋体" w:cs="Times New Roman"/>
      <w:sz w:val="24"/>
      <w:szCs w:val="22"/>
      <w:lang w:val="en-US" w:eastAsia="zh-CN" w:bidi="ar-SA"/>
    </w:rPr>
  </w:style>
  <w:style w:type="paragraph" w:customStyle="1" w:styleId="51">
    <w:name w:val="li_正文"/>
    <w:basedOn w:val="1"/>
    <w:qFormat/>
    <w:uiPriority w:val="0"/>
    <w:pPr>
      <w:topLinePunct/>
      <w:adjustRightInd w:val="0"/>
      <w:snapToGrid w:val="0"/>
      <w:spacing w:line="360" w:lineRule="auto"/>
      <w:ind w:firstLine="700" w:firstLineChars="250"/>
    </w:pPr>
    <w:rPr>
      <w:rFonts w:ascii="宋体" w:hAnsi="宋体"/>
      <w:sz w:val="28"/>
      <w:szCs w:val="28"/>
    </w:rPr>
  </w:style>
  <w:style w:type="paragraph" w:customStyle="1" w:styleId="52">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53">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54">
    <w:name w:val="样式 正文首行缩进 + 首行缩进:  2 字符1"/>
    <w:basedOn w:val="1"/>
    <w:next w:val="22"/>
    <w:autoRedefine/>
    <w:qFormat/>
    <w:uiPriority w:val="0"/>
    <w:pPr>
      <w:spacing w:line="360" w:lineRule="auto"/>
      <w:ind w:firstLine="480" w:firstLineChars="200"/>
    </w:pPr>
    <w:rPr>
      <w:sz w:val="24"/>
    </w:rPr>
  </w:style>
  <w:style w:type="paragraph" w:customStyle="1" w:styleId="55">
    <w:name w:val="列出段落1"/>
    <w:basedOn w:val="1"/>
    <w:autoRedefine/>
    <w:qFormat/>
    <w:uiPriority w:val="99"/>
    <w:pPr>
      <w:ind w:firstLine="420" w:firstLineChars="200"/>
    </w:pPr>
    <w:rPr>
      <w:rFonts w:ascii="Calibri" w:hAnsi="Calibri"/>
      <w:szCs w:val="22"/>
    </w:rPr>
  </w:style>
  <w:style w:type="paragraph" w:customStyle="1" w:styleId="56">
    <w:name w:val="xl27"/>
    <w:basedOn w:val="1"/>
    <w:autoRedefine/>
    <w:qFormat/>
    <w:uiPriority w:val="0"/>
    <w:pPr>
      <w:widowControl/>
      <w:pBdr>
        <w:bottom w:val="single" w:color="auto" w:sz="4" w:space="0"/>
        <w:right w:val="single" w:color="auto" w:sz="4" w:space="0"/>
      </w:pBdr>
      <w:spacing w:before="100" w:beforeAutospacing="1" w:after="100" w:afterAutospacing="1"/>
      <w:jc w:val="center"/>
    </w:pPr>
    <w:rPr>
      <w:kern w:val="0"/>
      <w:szCs w:val="20"/>
    </w:rPr>
  </w:style>
  <w:style w:type="paragraph" w:customStyle="1" w:styleId="57">
    <w:name w:val="11111"/>
    <w:basedOn w:val="1"/>
    <w:next w:val="1"/>
    <w:autoRedefine/>
    <w:qFormat/>
    <w:uiPriority w:val="0"/>
    <w:pPr>
      <w:spacing w:line="360" w:lineRule="auto"/>
      <w:ind w:firstLine="200" w:firstLineChars="200"/>
    </w:pPr>
    <w:rPr>
      <w:rFonts w:ascii="宋体" w:hAnsi="宋体" w:cs="宋体"/>
      <w:sz w:val="24"/>
    </w:rPr>
  </w:style>
  <w:style w:type="paragraph" w:customStyle="1" w:styleId="58">
    <w:name w:val="表格"/>
    <w:basedOn w:val="1"/>
    <w:next w:val="1"/>
    <w:autoRedefine/>
    <w:qFormat/>
    <w:uiPriority w:val="0"/>
    <w:pPr>
      <w:adjustRightInd w:val="0"/>
      <w:snapToGrid w:val="0"/>
      <w:spacing w:beforeLines="10" w:afterLines="10" w:line="259" w:lineRule="auto"/>
      <w:jc w:val="center"/>
    </w:pPr>
    <w:rPr>
      <w:rFonts w:ascii="宋体"/>
      <w:kern w:val="0"/>
      <w:szCs w:val="20"/>
    </w:rPr>
  </w:style>
  <w:style w:type="paragraph" w:customStyle="1" w:styleId="59">
    <w:name w:val="【正文】"/>
    <w:basedOn w:val="1"/>
    <w:link w:val="74"/>
    <w:autoRedefine/>
    <w:qFormat/>
    <w:uiPriority w:val="0"/>
    <w:pPr>
      <w:spacing w:line="500" w:lineRule="exact"/>
      <w:ind w:firstLine="200" w:firstLineChars="200"/>
    </w:pPr>
    <w:rPr>
      <w:kern w:val="0"/>
      <w:sz w:val="24"/>
      <w:szCs w:val="20"/>
    </w:rPr>
  </w:style>
  <w:style w:type="paragraph" w:customStyle="1" w:styleId="60">
    <w:name w:val="_Style 4"/>
    <w:basedOn w:val="1"/>
    <w:autoRedefine/>
    <w:qFormat/>
    <w:uiPriority w:val="0"/>
    <w:pPr>
      <w:snapToGrid w:val="0"/>
      <w:spacing w:line="360" w:lineRule="auto"/>
      <w:ind w:firstLine="529" w:firstLineChars="200"/>
    </w:pPr>
  </w:style>
  <w:style w:type="paragraph" w:customStyle="1" w:styleId="61">
    <w:name w:val="【表中文字】"/>
    <w:basedOn w:val="62"/>
    <w:autoRedefine/>
    <w:qFormat/>
    <w:uiPriority w:val="0"/>
    <w:rPr>
      <w:szCs w:val="20"/>
    </w:rPr>
  </w:style>
  <w:style w:type="paragraph" w:customStyle="1" w:styleId="62">
    <w:name w:val=".表1-1-1内容"/>
    <w:basedOn w:val="1"/>
    <w:qFormat/>
    <w:uiPriority w:val="0"/>
    <w:pPr>
      <w:spacing w:line="300" w:lineRule="exact"/>
      <w:jc w:val="center"/>
    </w:pPr>
    <w:rPr>
      <w:kern w:val="0"/>
      <w:szCs w:val="21"/>
    </w:rPr>
  </w:style>
  <w:style w:type="paragraph" w:customStyle="1" w:styleId="63">
    <w:name w:val="表格文字"/>
    <w:basedOn w:val="64"/>
    <w:next w:val="1"/>
    <w:autoRedefine/>
    <w:qFormat/>
    <w:uiPriority w:val="0"/>
    <w:pPr>
      <w:widowControl/>
    </w:pPr>
    <w:rPr>
      <w:rFonts w:ascii="宋体" w:hAnsi="宋体" w:cs="宋体"/>
      <w:color w:val="000000"/>
      <w:kern w:val="0"/>
      <w:szCs w:val="21"/>
    </w:rPr>
  </w:style>
  <w:style w:type="paragraph" w:customStyle="1" w:styleId="64">
    <w:name w:val="表头"/>
    <w:basedOn w:val="65"/>
    <w:next w:val="16"/>
    <w:autoRedefine/>
    <w:qFormat/>
    <w:uiPriority w:val="0"/>
    <w:pPr>
      <w:spacing w:line="360" w:lineRule="auto"/>
    </w:pPr>
    <w:rPr>
      <w:rFonts w:eastAsia="黑体"/>
      <w:szCs w:val="22"/>
    </w:rPr>
  </w:style>
  <w:style w:type="paragraph" w:customStyle="1" w:styleId="65">
    <w:name w:val="样式4"/>
    <w:basedOn w:val="1"/>
    <w:autoRedefine/>
    <w:qFormat/>
    <w:uiPriority w:val="0"/>
    <w:pPr>
      <w:adjustRightInd w:val="0"/>
      <w:snapToGrid w:val="0"/>
      <w:jc w:val="center"/>
    </w:pPr>
    <w:rPr>
      <w:sz w:val="24"/>
      <w:szCs w:val="20"/>
    </w:rPr>
  </w:style>
  <w:style w:type="paragraph" w:customStyle="1" w:styleId="66">
    <w:name w:val="正文1"/>
    <w:basedOn w:val="67"/>
    <w:autoRedefine/>
    <w:qFormat/>
    <w:uiPriority w:val="0"/>
    <w:pPr>
      <w:tabs>
        <w:tab w:val="left" w:pos="567"/>
      </w:tabs>
    </w:pPr>
  </w:style>
  <w:style w:type="paragraph" w:customStyle="1" w:styleId="67">
    <w:name w:val="正文11"/>
    <w:autoRedefine/>
    <w:qFormat/>
    <w:uiPriority w:val="0"/>
    <w:pPr>
      <w:widowControl w:val="0"/>
      <w:tabs>
        <w:tab w:val="left" w:pos="567"/>
      </w:tabs>
      <w:adjustRightInd w:val="0"/>
      <w:spacing w:line="360" w:lineRule="atLeast"/>
      <w:ind w:left="567" w:hanging="567"/>
      <w:textAlignment w:val="baseline"/>
    </w:pPr>
    <w:rPr>
      <w:rFonts w:ascii="宋体" w:hAnsi="Times New Roman" w:eastAsia="宋体" w:cs="Times New Roman"/>
      <w:sz w:val="24"/>
      <w:lang w:val="en-US" w:eastAsia="zh-CN" w:bidi="ar-SA"/>
    </w:rPr>
  </w:style>
  <w:style w:type="paragraph" w:customStyle="1" w:styleId="68">
    <w:name w:val="正文 New New"/>
    <w:autoRedefine/>
    <w:qFormat/>
    <w:uiPriority w:val="0"/>
    <w:pPr>
      <w:widowControl w:val="0"/>
      <w:jc w:val="both"/>
    </w:pPr>
    <w:rPr>
      <w:rFonts w:ascii="Calibri" w:hAnsi="Calibri" w:eastAsia="宋体" w:cs="Times New Roman"/>
      <w:kern w:val="2"/>
      <w:sz w:val="21"/>
      <w:szCs w:val="24"/>
      <w:lang w:val="en-US" w:eastAsia="zh-CN" w:bidi="ar-SA"/>
    </w:rPr>
  </w:style>
  <w:style w:type="paragraph" w:customStyle="1" w:styleId="69">
    <w:name w:val="【表头】"/>
    <w:basedOn w:val="1"/>
    <w:next w:val="1"/>
    <w:autoRedefine/>
    <w:qFormat/>
    <w:uiPriority w:val="0"/>
    <w:pPr>
      <w:spacing w:line="460" w:lineRule="exact"/>
      <w:jc w:val="center"/>
    </w:pPr>
    <w:rPr>
      <w:b/>
      <w:kern w:val="0"/>
      <w:sz w:val="24"/>
      <w:szCs w:val="20"/>
    </w:rPr>
  </w:style>
  <w:style w:type="paragraph" w:customStyle="1" w:styleId="70">
    <w:name w:val="内容"/>
    <w:basedOn w:val="1"/>
    <w:autoRedefine/>
    <w:qFormat/>
    <w:uiPriority w:val="0"/>
    <w:pPr>
      <w:spacing w:beforeLines="50" w:afterLines="50"/>
      <w:ind w:firstLine="200" w:firstLineChars="200"/>
    </w:pPr>
    <w:rPr>
      <w:color w:val="000000"/>
      <w:sz w:val="24"/>
    </w:rPr>
  </w:style>
  <w:style w:type="paragraph" w:customStyle="1" w:styleId="71">
    <w:name w:val="正文00"/>
    <w:basedOn w:val="1"/>
    <w:next w:val="72"/>
    <w:autoRedefine/>
    <w:qFormat/>
    <w:uiPriority w:val="0"/>
    <w:pPr>
      <w:spacing w:line="360" w:lineRule="auto"/>
      <w:ind w:firstLine="480" w:firstLineChars="200"/>
    </w:pPr>
    <w:rPr>
      <w:sz w:val="24"/>
    </w:rPr>
  </w:style>
  <w:style w:type="paragraph" w:customStyle="1" w:styleId="72">
    <w:name w:val="样式 Times New Roman 五号 居中1"/>
    <w:basedOn w:val="1"/>
    <w:next w:val="64"/>
    <w:autoRedefine/>
    <w:qFormat/>
    <w:uiPriority w:val="0"/>
    <w:pPr>
      <w:jc w:val="center"/>
    </w:pPr>
    <w:rPr>
      <w:rFonts w:cs="宋体"/>
    </w:rPr>
  </w:style>
  <w:style w:type="paragraph" w:customStyle="1" w:styleId="73">
    <w:name w:val="表中文字"/>
    <w:basedOn w:val="64"/>
    <w:autoRedefine/>
    <w:qFormat/>
    <w:uiPriority w:val="0"/>
  </w:style>
  <w:style w:type="character" w:customStyle="1" w:styleId="74">
    <w:name w:val="【正文】 Char"/>
    <w:link w:val="59"/>
    <w:autoRedefine/>
    <w:qFormat/>
    <w:uiPriority w:val="0"/>
    <w:rPr>
      <w:kern w:val="0"/>
      <w:sz w:val="24"/>
      <w:szCs w:val="20"/>
    </w:rPr>
  </w:style>
  <w:style w:type="paragraph" w:customStyle="1" w:styleId="75">
    <w:name w:val="巴彦正文"/>
    <w:basedOn w:val="1"/>
    <w:autoRedefine/>
    <w:qFormat/>
    <w:uiPriority w:val="0"/>
    <w:pPr>
      <w:spacing w:line="360" w:lineRule="auto"/>
      <w:ind w:firstLine="200" w:firstLineChars="200"/>
    </w:pPr>
    <w:rPr>
      <w:sz w:val="28"/>
    </w:rPr>
  </w:style>
  <w:style w:type="paragraph" w:customStyle="1" w:styleId="76">
    <w:name w:val="北京正文2"/>
    <w:basedOn w:val="1"/>
    <w:autoRedefine/>
    <w:qFormat/>
    <w:uiPriority w:val="0"/>
    <w:pPr>
      <w:adjustRightInd w:val="0"/>
      <w:snapToGrid w:val="0"/>
      <w:spacing w:line="360" w:lineRule="auto"/>
      <w:ind w:firstLine="200" w:firstLineChars="200"/>
    </w:pPr>
    <w:rPr>
      <w:snapToGrid w:val="0"/>
      <w:color w:val="0070C0"/>
      <w:kern w:val="0"/>
      <w:sz w:val="24"/>
    </w:rPr>
  </w:style>
  <w:style w:type="paragraph" w:customStyle="1" w:styleId="77">
    <w:name w:val="cucd-0"/>
    <w:autoRedefine/>
    <w:qFormat/>
    <w:uiPriority w:val="0"/>
    <w:pPr>
      <w:spacing w:line="360" w:lineRule="auto"/>
      <w:ind w:firstLine="480" w:firstLineChars="200"/>
    </w:pPr>
    <w:rPr>
      <w:rFonts w:ascii="Times New Roman" w:hAnsi="Times New Roman" w:eastAsia="宋体" w:cs="Times New Roman"/>
      <w:kern w:val="2"/>
      <w:sz w:val="24"/>
      <w:szCs w:val="24"/>
      <w:lang w:val="en-US" w:eastAsia="zh-CN" w:bidi="ar-SA"/>
    </w:rPr>
  </w:style>
  <w:style w:type="paragraph" w:customStyle="1" w:styleId="78">
    <w:name w:val="表内文字-lgf"/>
    <w:basedOn w:val="1"/>
    <w:autoRedefine/>
    <w:qFormat/>
    <w:uiPriority w:val="0"/>
    <w:pPr>
      <w:adjustRightInd w:val="0"/>
      <w:snapToGrid w:val="0"/>
      <w:jc w:val="center"/>
    </w:pPr>
    <w:rPr>
      <w:bCs/>
      <w:spacing w:val="-2"/>
      <w:kern w:val="0"/>
      <w:szCs w:val="21"/>
    </w:rPr>
  </w:style>
  <w:style w:type="paragraph" w:customStyle="1" w:styleId="79">
    <w:name w:val="表格文字居中"/>
    <w:basedOn w:val="1"/>
    <w:next w:val="1"/>
    <w:autoRedefine/>
    <w:qFormat/>
    <w:uiPriority w:val="0"/>
    <w:pPr>
      <w:keepNext/>
      <w:adjustRightInd w:val="0"/>
      <w:snapToGrid w:val="0"/>
      <w:spacing w:line="0" w:lineRule="atLeast"/>
      <w:jc w:val="center"/>
    </w:pPr>
    <w:rPr>
      <w:rFonts w:hAnsi="宋体"/>
      <w:color w:val="FF0000"/>
      <w:szCs w:val="21"/>
    </w:rPr>
  </w:style>
  <w:style w:type="character" w:customStyle="1" w:styleId="80">
    <w:name w:val="before4"/>
    <w:basedOn w:val="34"/>
    <w:autoRedefine/>
    <w:qFormat/>
    <w:uiPriority w:val="0"/>
    <w:rPr>
      <w:color w:val="FF6600"/>
      <w:bdr w:val="single" w:color="237C96" w:sz="36" w:space="0"/>
    </w:rPr>
  </w:style>
  <w:style w:type="character" w:customStyle="1" w:styleId="81">
    <w:name w:val="hover15"/>
    <w:basedOn w:val="34"/>
    <w:autoRedefine/>
    <w:qFormat/>
    <w:uiPriority w:val="0"/>
    <w:rPr>
      <w:color w:val="FF6600"/>
    </w:rPr>
  </w:style>
  <w:style w:type="character" w:customStyle="1" w:styleId="82">
    <w:name w:val="before8"/>
    <w:basedOn w:val="34"/>
    <w:autoRedefine/>
    <w:qFormat/>
    <w:uiPriority w:val="0"/>
    <w:rPr>
      <w:color w:val="FF6600"/>
      <w:bdr w:val="single" w:color="237C96" w:sz="36" w:space="0"/>
    </w:rPr>
  </w:style>
  <w:style w:type="character" w:customStyle="1" w:styleId="83">
    <w:name w:val="hover14"/>
    <w:basedOn w:val="34"/>
    <w:autoRedefine/>
    <w:qFormat/>
    <w:uiPriority w:val="0"/>
    <w:rPr>
      <w:color w:val="FF6600"/>
    </w:rPr>
  </w:style>
  <w:style w:type="paragraph" w:customStyle="1" w:styleId="84">
    <w:name w:val="表内字"/>
    <w:autoRedefine/>
    <w:qFormat/>
    <w:uiPriority w:val="0"/>
    <w:pPr>
      <w:spacing w:line="312" w:lineRule="auto"/>
      <w:jc w:val="center"/>
    </w:pPr>
    <w:rPr>
      <w:rFonts w:ascii="Times New Roman" w:hAnsi="Times New Roman" w:eastAsia="宋体" w:cs="Times New Roman"/>
      <w:color w:val="000000"/>
      <w:sz w:val="21"/>
      <w:lang w:val="en-US" w:eastAsia="zh-CN" w:bidi="ar-SA"/>
    </w:rPr>
  </w:style>
  <w:style w:type="paragraph" w:customStyle="1" w:styleId="85">
    <w:name w:val="表文"/>
    <w:basedOn w:val="1"/>
    <w:autoRedefine/>
    <w:qFormat/>
    <w:uiPriority w:val="0"/>
    <w:pPr>
      <w:tabs>
        <w:tab w:val="left" w:pos="1021"/>
      </w:tabs>
      <w:spacing w:line="360" w:lineRule="auto"/>
      <w:jc w:val="center"/>
    </w:pPr>
    <w:rPr>
      <w:kern w:val="0"/>
      <w:position w:val="-24"/>
      <w:szCs w:val="21"/>
    </w:rPr>
  </w:style>
  <w:style w:type="paragraph" w:customStyle="1" w:styleId="86">
    <w:name w:val="Table Paragraph"/>
    <w:basedOn w:val="1"/>
    <w:autoRedefine/>
    <w:qFormat/>
    <w:uiPriority w:val="0"/>
    <w:pPr>
      <w:jc w:val="left"/>
    </w:pPr>
    <w:rPr>
      <w:rFonts w:ascii="Calibri" w:hAnsi="Calibri"/>
      <w:kern w:val="0"/>
      <w:sz w:val="22"/>
      <w:lang w:eastAsia="en-US"/>
    </w:rPr>
  </w:style>
  <w:style w:type="paragraph" w:customStyle="1" w:styleId="87">
    <w:name w:val="表格题目"/>
    <w:basedOn w:val="1"/>
    <w:autoRedefine/>
    <w:qFormat/>
    <w:uiPriority w:val="0"/>
    <w:pPr>
      <w:spacing w:line="240" w:lineRule="atLeast"/>
      <w:jc w:val="center"/>
    </w:pPr>
    <w:rPr>
      <w:rFonts w:ascii="黑体" w:hAnsi="宋体" w:eastAsia="黑体"/>
      <w:sz w:val="24"/>
    </w:rPr>
  </w:style>
  <w:style w:type="paragraph" w:customStyle="1" w:styleId="88">
    <w:name w:val="【表中文字】-"/>
    <w:basedOn w:val="1"/>
    <w:autoRedefine/>
    <w:qFormat/>
    <w:uiPriority w:val="0"/>
    <w:pPr>
      <w:widowControl/>
      <w:jc w:val="center"/>
    </w:pPr>
    <w:rPr>
      <w:kern w:val="0"/>
      <w:sz w:val="20"/>
      <w:szCs w:val="20"/>
    </w:rPr>
  </w:style>
  <w:style w:type="paragraph" w:customStyle="1" w:styleId="89">
    <w:name w:val="正文2"/>
    <w:autoRedefine/>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90">
    <w:name w:val="正文小标题"/>
    <w:basedOn w:val="1"/>
    <w:next w:val="1"/>
    <w:autoRedefine/>
    <w:qFormat/>
    <w:uiPriority w:val="0"/>
    <w:pPr>
      <w:jc w:val="center"/>
    </w:pPr>
    <w:rPr>
      <w:b/>
      <w:kern w:val="0"/>
      <w:szCs w:val="18"/>
    </w:rPr>
  </w:style>
  <w:style w:type="paragraph" w:customStyle="1" w:styleId="91">
    <w:name w:val="正文 表格  居中"/>
    <w:basedOn w:val="1"/>
    <w:next w:val="1"/>
    <w:autoRedefine/>
    <w:qFormat/>
    <w:uiPriority w:val="0"/>
    <w:pPr>
      <w:jc w:val="center"/>
    </w:pPr>
  </w:style>
  <w:style w:type="table" w:customStyle="1" w:styleId="92">
    <w:name w:val="Table Normal"/>
    <w:autoRedefine/>
    <w:unhideWhenUsed/>
    <w:qFormat/>
    <w:uiPriority w:val="0"/>
    <w:tblPr>
      <w:tblCellMar>
        <w:top w:w="0" w:type="dxa"/>
        <w:left w:w="0" w:type="dxa"/>
        <w:bottom w:w="0" w:type="dxa"/>
        <w:right w:w="0" w:type="dxa"/>
      </w:tblCellMar>
    </w:tblPr>
  </w:style>
  <w:style w:type="paragraph" w:customStyle="1" w:styleId="93">
    <w:name w:val="表格正文"/>
    <w:autoRedefine/>
    <w:qFormat/>
    <w:uiPriority w:val="0"/>
    <w:pPr>
      <w:adjustRightInd w:val="0"/>
      <w:snapToGrid w:val="0"/>
      <w:jc w:val="center"/>
    </w:pPr>
    <w:rPr>
      <w:rFonts w:ascii="Times New Roman" w:hAnsi="Times New Roman" w:eastAsia="宋体" w:cs="Times New Roman"/>
      <w:color w:val="FF0000"/>
      <w:kern w:val="2"/>
      <w:sz w:val="21"/>
      <w:szCs w:val="21"/>
      <w:lang w:val="en-US" w:eastAsia="zh-CN" w:bidi="ar-SA"/>
    </w:rPr>
  </w:style>
  <w:style w:type="paragraph" w:customStyle="1" w:styleId="94">
    <w:name w:val="a正文"/>
    <w:basedOn w:val="95"/>
    <w:autoRedefine/>
    <w:qFormat/>
    <w:uiPriority w:val="0"/>
    <w:pPr>
      <w:spacing w:line="520" w:lineRule="exact"/>
      <w:ind w:firstLine="200"/>
    </w:pPr>
    <w:rPr>
      <w:sz w:val="24"/>
    </w:rPr>
  </w:style>
  <w:style w:type="paragraph" w:customStyle="1" w:styleId="95">
    <w:name w:val="正文格式"/>
    <w:basedOn w:val="1"/>
    <w:autoRedefine/>
    <w:qFormat/>
    <w:uiPriority w:val="0"/>
    <w:pPr>
      <w:spacing w:line="360" w:lineRule="auto"/>
      <w:ind w:firstLine="420" w:firstLineChars="200"/>
    </w:pPr>
    <w:rPr>
      <w:kern w:val="0"/>
      <w:szCs w:val="21"/>
    </w:rPr>
  </w:style>
  <w:style w:type="paragraph" w:customStyle="1" w:styleId="96">
    <w:name w:val="表中的文字"/>
    <w:basedOn w:val="28"/>
    <w:autoRedefine/>
    <w:qFormat/>
    <w:uiPriority w:val="0"/>
    <w:pPr>
      <w:spacing w:before="0" w:after="0"/>
      <w:outlineLvl w:val="9"/>
    </w:pPr>
    <w:rPr>
      <w:rFonts w:ascii="Times New Roman" w:hAnsi="Times New Roman"/>
      <w:b w:val="0"/>
      <w:sz w:val="21"/>
      <w:szCs w:val="21"/>
    </w:rPr>
  </w:style>
  <w:style w:type="paragraph" w:customStyle="1" w:styleId="97">
    <w:name w:val="表格内文字"/>
    <w:basedOn w:val="1"/>
    <w:next w:val="1"/>
    <w:autoRedefine/>
    <w:qFormat/>
    <w:uiPriority w:val="0"/>
    <w:pPr>
      <w:widowControl/>
      <w:tabs>
        <w:tab w:val="left" w:pos="3345"/>
      </w:tabs>
      <w:adjustRightInd w:val="0"/>
      <w:snapToGrid w:val="0"/>
      <w:jc w:val="center"/>
    </w:pPr>
    <w:rPr>
      <w:iCs/>
      <w:kern w:val="0"/>
      <w:szCs w:val="18"/>
    </w:rPr>
  </w:style>
  <w:style w:type="paragraph" w:customStyle="1" w:styleId="98">
    <w:name w:val="C首行缩进正文"/>
    <w:basedOn w:val="59"/>
    <w:autoRedefine/>
    <w:qFormat/>
    <w:uiPriority w:val="0"/>
  </w:style>
  <w:style w:type="paragraph" w:customStyle="1" w:styleId="99">
    <w:name w:val="C【表头】"/>
    <w:basedOn w:val="1"/>
    <w:autoRedefine/>
    <w:qFormat/>
    <w:uiPriority w:val="0"/>
    <w:pPr>
      <w:widowControl/>
      <w:adjustRightInd w:val="0"/>
      <w:snapToGrid w:val="0"/>
      <w:jc w:val="center"/>
    </w:pPr>
    <w:rPr>
      <w:rFonts w:eastAsia="黑体" w:cs="宋体"/>
      <w:kern w:val="0"/>
      <w:sz w:val="24"/>
      <w:szCs w:val="20"/>
    </w:rPr>
  </w:style>
  <w:style w:type="paragraph" w:customStyle="1" w:styleId="100">
    <w:name w:val="C【表中文字】-"/>
    <w:basedOn w:val="1"/>
    <w:autoRedefine/>
    <w:qFormat/>
    <w:uiPriority w:val="0"/>
    <w:pPr>
      <w:adjustRightInd w:val="0"/>
      <w:snapToGrid w:val="0"/>
      <w:jc w:val="center"/>
    </w:pPr>
    <w:rPr>
      <w:kern w:val="0"/>
      <w:szCs w:val="20"/>
    </w:rPr>
  </w:style>
  <w:style w:type="character" w:customStyle="1" w:styleId="101">
    <w:name w:val="【正文】 Char1"/>
    <w:autoRedefine/>
    <w:qFormat/>
    <w:uiPriority w:val="0"/>
    <w:rPr>
      <w:rFonts w:ascii="Times New Roman" w:hAnsi="Times New Roman" w:eastAsia="宋体"/>
      <w:sz w:val="24"/>
    </w:rPr>
  </w:style>
  <w:style w:type="paragraph" w:customStyle="1" w:styleId="102">
    <w:name w:val="C表两端"/>
    <w:basedOn w:val="1"/>
    <w:autoRedefine/>
    <w:qFormat/>
    <w:uiPriority w:val="0"/>
    <w:pPr>
      <w:adjustRightInd w:val="0"/>
      <w:snapToGrid w:val="0"/>
    </w:pPr>
    <w:rPr>
      <w:kern w:val="0"/>
      <w:szCs w:val="20"/>
    </w:rPr>
  </w:style>
  <w:style w:type="paragraph" w:customStyle="1" w:styleId="103">
    <w:name w:val="首行缩进正文"/>
    <w:basedOn w:val="59"/>
    <w:autoRedefine/>
    <w:qFormat/>
    <w:uiPriority w:val="0"/>
    <w:pPr>
      <w:spacing w:line="240" w:lineRule="auto"/>
    </w:pPr>
    <w:rPr>
      <w:sz w:val="21"/>
    </w:rPr>
  </w:style>
  <w:style w:type="paragraph" w:customStyle="1" w:styleId="104">
    <w:name w:val="标准正文"/>
    <w:basedOn w:val="1"/>
    <w:autoRedefine/>
    <w:qFormat/>
    <w:uiPriority w:val="0"/>
    <w:pPr>
      <w:widowControl/>
      <w:spacing w:before="60" w:after="60" w:line="360" w:lineRule="auto"/>
      <w:ind w:firstLine="482"/>
      <w:jc w:val="left"/>
    </w:pPr>
    <w:rPr>
      <w:rFonts w:ascii="Arial" w:hAnsi="Arial"/>
      <w:sz w:val="24"/>
      <w:szCs w:val="21"/>
      <w:lang w:eastAsia="en-US" w:bidi="en-US"/>
    </w:rPr>
  </w:style>
  <w:style w:type="character" w:customStyle="1" w:styleId="105">
    <w:name w:val="批注文字 Char"/>
    <w:basedOn w:val="34"/>
    <w:link w:val="8"/>
    <w:autoRedefine/>
    <w:qFormat/>
    <w:uiPriority w:val="0"/>
    <w:rPr>
      <w:kern w:val="2"/>
      <w:sz w:val="21"/>
      <w:szCs w:val="24"/>
    </w:rPr>
  </w:style>
  <w:style w:type="character" w:customStyle="1" w:styleId="106">
    <w:name w:val="批注主题 Char"/>
    <w:basedOn w:val="105"/>
    <w:link w:val="29"/>
    <w:autoRedefine/>
    <w:qFormat/>
    <w:uiPriority w:val="0"/>
    <w:rPr>
      <w:b/>
      <w:bCs/>
      <w:kern w:val="2"/>
      <w:sz w:val="21"/>
      <w:szCs w:val="24"/>
    </w:rPr>
  </w:style>
  <w:style w:type="paragraph" w:customStyle="1" w:styleId="107">
    <w:name w:val="WPSOffice手动目录 1"/>
    <w:autoRedefine/>
    <w:qFormat/>
    <w:uiPriority w:val="0"/>
    <w:rPr>
      <w:rFonts w:ascii="Times New Roman" w:hAnsi="Times New Roman" w:eastAsia="宋体" w:cs="Times New Roman"/>
      <w:lang w:val="en-US" w:eastAsia="zh-CN" w:bidi="ar-SA"/>
    </w:rPr>
  </w:style>
  <w:style w:type="paragraph" w:customStyle="1" w:styleId="108">
    <w:name w:val="报告书正文"/>
    <w:basedOn w:val="1"/>
    <w:autoRedefine/>
    <w:qFormat/>
    <w:uiPriority w:val="0"/>
    <w:pPr>
      <w:adjustRightInd w:val="0"/>
      <w:snapToGrid w:val="0"/>
      <w:spacing w:line="360" w:lineRule="auto"/>
      <w:ind w:firstLine="425"/>
      <w:textAlignment w:val="baseline"/>
    </w:pPr>
    <w:rPr>
      <w:rFonts w:ascii="Arial" w:hAnsi="Arial"/>
      <w:kern w:val="0"/>
      <w:sz w:val="24"/>
    </w:rPr>
  </w:style>
  <w:style w:type="paragraph" w:customStyle="1" w:styleId="109">
    <w:name w:val="填表样式"/>
    <w:basedOn w:val="1"/>
    <w:autoRedefine/>
    <w:qFormat/>
    <w:uiPriority w:val="0"/>
    <w:pPr>
      <w:adjustRightInd w:val="0"/>
      <w:snapToGrid w:val="0"/>
      <w:spacing w:line="360" w:lineRule="auto"/>
      <w:ind w:firstLine="720" w:firstLineChars="200"/>
    </w:pPr>
  </w:style>
  <w:style w:type="paragraph" w:customStyle="1" w:styleId="110">
    <w:name w:val="文本"/>
    <w:basedOn w:val="1"/>
    <w:autoRedefine/>
    <w:qFormat/>
    <w:uiPriority w:val="0"/>
    <w:pPr>
      <w:adjustRightInd w:val="0"/>
      <w:jc w:val="left"/>
      <w:textAlignment w:val="baseline"/>
    </w:pPr>
    <w:rPr>
      <w:rFonts w:ascii="宋体"/>
      <w:kern w:val="0"/>
      <w:sz w:val="28"/>
      <w:szCs w:val="20"/>
    </w:rPr>
  </w:style>
  <w:style w:type="paragraph" w:customStyle="1" w:styleId="111">
    <w:name w:val="表中字"/>
    <w:basedOn w:val="1"/>
    <w:autoRedefine/>
    <w:qFormat/>
    <w:uiPriority w:val="0"/>
    <w:pPr>
      <w:spacing w:line="240" w:lineRule="atLeast"/>
      <w:jc w:val="center"/>
    </w:pPr>
    <w:rPr>
      <w:szCs w:val="22"/>
      <w:lang w:val="zh-CN"/>
    </w:rPr>
  </w:style>
  <w:style w:type="paragraph" w:customStyle="1" w:styleId="112">
    <w:name w:val="Table Text"/>
    <w:basedOn w:val="1"/>
    <w:autoRedefine/>
    <w:semiHidden/>
    <w:qFormat/>
    <w:uiPriority w:val="0"/>
    <w:rPr>
      <w:rFonts w:ascii="宋体" w:hAnsi="宋体" w:cs="宋体"/>
      <w:sz w:val="20"/>
      <w:szCs w:val="20"/>
      <w:lang w:eastAsia="en-US"/>
    </w:rPr>
  </w:style>
  <w:style w:type="paragraph" w:customStyle="1" w:styleId="113">
    <w:name w:val="首行缩进表格正文"/>
    <w:basedOn w:val="1"/>
    <w:autoRedefine/>
    <w:qFormat/>
    <w:uiPriority w:val="0"/>
    <w:pPr>
      <w:spacing w:line="360" w:lineRule="auto"/>
      <w:ind w:firstLine="720" w:firstLineChars="200"/>
      <w:jc w:val="left"/>
    </w:pPr>
    <w:rPr>
      <w:sz w:val="24"/>
    </w:rPr>
  </w:style>
  <w:style w:type="paragraph" w:customStyle="1" w:styleId="114">
    <w:name w:val="正文样式1"/>
    <w:basedOn w:val="1"/>
    <w:qFormat/>
    <w:uiPriority w:val="0"/>
    <w:pPr>
      <w:adjustRightInd w:val="0"/>
      <w:spacing w:line="288" w:lineRule="auto"/>
      <w:ind w:firstLine="360" w:firstLineChars="150"/>
      <w:textAlignment w:val="baseline"/>
    </w:pPr>
    <w:rPr>
      <w:rFonts w:ascii="Calibri" w:hAnsi="Calibri"/>
      <w:kern w:val="0"/>
      <w:sz w:val="24"/>
      <w:szCs w:val="20"/>
    </w:rPr>
  </w:style>
  <w:style w:type="character" w:customStyle="1" w:styleId="115">
    <w:name w:val="正文文本 Char"/>
    <w:basedOn w:val="34"/>
    <w:link w:val="9"/>
    <w:qFormat/>
    <w:uiPriority w:val="0"/>
  </w:style>
  <w:style w:type="character" w:customStyle="1" w:styleId="116">
    <w:name w:val="正文首行缩进 Char"/>
    <w:basedOn w:val="115"/>
    <w:link w:val="30"/>
    <w:qFormat/>
    <w:uiPriority w:val="0"/>
  </w:style>
  <w:style w:type="paragraph" w:customStyle="1" w:styleId="117">
    <w:name w:val="设计表格"/>
    <w:basedOn w:val="1"/>
    <w:qFormat/>
    <w:uiPriority w:val="0"/>
    <w:pPr>
      <w:adjustRightInd w:val="0"/>
      <w:jc w:val="center"/>
    </w:pPr>
    <w:rPr>
      <w:kern w:val="0"/>
      <w:sz w:val="24"/>
    </w:rPr>
  </w:style>
  <w:style w:type="paragraph" w:customStyle="1" w:styleId="118">
    <w:name w:val="表中表-居中"/>
    <w:basedOn w:val="1"/>
    <w:qFormat/>
    <w:uiPriority w:val="0"/>
    <w:pPr>
      <w:autoSpaceDE w:val="0"/>
      <w:autoSpaceDN w:val="0"/>
      <w:adjustRightInd w:val="0"/>
      <w:snapToGrid w:val="0"/>
      <w:jc w:val="center"/>
    </w:pPr>
    <w:rPr>
      <w:rFonts w:eastAsia="仿宋"/>
      <w:szCs w:val="21"/>
    </w:rPr>
  </w:style>
  <w:style w:type="paragraph" w:customStyle="1" w:styleId="119">
    <w:name w:val="表头和图片"/>
    <w:basedOn w:val="16"/>
    <w:next w:val="1"/>
    <w:autoRedefine/>
    <w:qFormat/>
    <w:uiPriority w:val="0"/>
    <w:pPr>
      <w:spacing w:line="480" w:lineRule="exact"/>
      <w:jc w:val="center"/>
    </w:pPr>
    <w:rPr>
      <w:rFonts w:ascii="Times New Roman" w:hAnsi="Times New Roman" w:eastAsia="黑体"/>
      <w:b/>
    </w:rPr>
  </w:style>
  <w:style w:type="paragraph" w:customStyle="1" w:styleId="120">
    <w:name w:val="WW-纯文本"/>
    <w:basedOn w:val="1"/>
    <w:autoRedefine/>
    <w:qFormat/>
    <w:uiPriority w:val="0"/>
    <w:pPr>
      <w:suppressAutoHyphens/>
      <w:spacing w:line="312" w:lineRule="atLeast"/>
      <w:textAlignment w:val="baseline"/>
    </w:pPr>
    <w:rPr>
      <w:rFonts w:ascii="宋体" w:hAnsi="宋体" w:eastAsia="楷体_GB2312" w:cs="Courier New"/>
      <w:szCs w:val="21"/>
    </w:rPr>
  </w:style>
  <w:style w:type="paragraph" w:customStyle="1" w:styleId="121">
    <w:name w:val="Char Char Char Char Char Char Char2"/>
    <w:basedOn w:val="1"/>
    <w:qFormat/>
    <w:uiPriority w:val="0"/>
    <w:pPr>
      <w:snapToGrid w:val="0"/>
      <w:spacing w:line="360" w:lineRule="auto"/>
      <w:ind w:firstLine="529" w:firstLineChars="200"/>
    </w:pPr>
  </w:style>
  <w:style w:type="paragraph" w:customStyle="1" w:styleId="122">
    <w:name w:val="我的正文"/>
    <w:basedOn w:val="1"/>
    <w:autoRedefine/>
    <w:qFormat/>
    <w:uiPriority w:val="0"/>
    <w:pPr>
      <w:adjustRightInd w:val="0"/>
      <w:snapToGrid w:val="0"/>
      <w:spacing w:line="480" w:lineRule="exact"/>
      <w:ind w:firstLine="720" w:firstLineChars="200"/>
      <w:jc w:val="left"/>
    </w:pPr>
    <w:rPr>
      <w:rFonts w:cs="宋体"/>
      <w:bCs/>
      <w:szCs w:val="21"/>
    </w:rPr>
  </w:style>
  <w:style w:type="paragraph" w:customStyle="1" w:styleId="123">
    <w:name w:val="首行缩进2字符"/>
    <w:basedOn w:val="124"/>
    <w:qFormat/>
    <w:uiPriority w:val="0"/>
    <w:pPr>
      <w:ind w:firstLine="480"/>
    </w:pPr>
    <w:rPr>
      <w:color w:val="auto"/>
    </w:rPr>
  </w:style>
  <w:style w:type="paragraph" w:customStyle="1" w:styleId="124">
    <w:name w:val="AAA首行缩进2字符正文"/>
    <w:basedOn w:val="103"/>
    <w:qFormat/>
    <w:uiPriority w:val="0"/>
    <w:pPr>
      <w:adjustRightInd w:val="0"/>
      <w:snapToGrid w:val="0"/>
      <w:spacing w:line="500" w:lineRule="exact"/>
    </w:pPr>
    <w:rPr>
      <w:rFonts w:eastAsia="仿宋"/>
      <w:color w:val="4472C4" w:themeColor="accent5"/>
      <w:sz w:val="24"/>
      <w14:textFill>
        <w14:solidFill>
          <w14:schemeClr w14:val="accent5"/>
        </w14:solidFill>
      </w14:textFill>
    </w:rPr>
  </w:style>
  <w:style w:type="paragraph" w:customStyle="1" w:styleId="125">
    <w:name w:val="样式 10 磅31114"/>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26">
    <w:name w:val="报告表表格内容"/>
    <w:basedOn w:val="1"/>
    <w:qFormat/>
    <w:uiPriority w:val="0"/>
    <w:pPr>
      <w:jc w:val="center"/>
    </w:pPr>
    <w:rPr>
      <w:rFonts w:cs="宋体"/>
      <w:szCs w:val="21"/>
    </w:rPr>
  </w:style>
  <w:style w:type="character" w:customStyle="1" w:styleId="127">
    <w:name w:val="font51"/>
    <w:basedOn w:val="34"/>
    <w:qFormat/>
    <w:uiPriority w:val="0"/>
    <w:rPr>
      <w:rFonts w:hint="default" w:ascii="Times New Roman" w:hAnsi="Times New Roman" w:cs="Times New Roman"/>
      <w:color w:val="000000"/>
      <w:sz w:val="21"/>
      <w:szCs w:val="21"/>
      <w:u w:val="none"/>
      <w:vertAlign w:val="subscript"/>
    </w:rPr>
  </w:style>
  <w:style w:type="paragraph" w:customStyle="1" w:styleId="128">
    <w:name w:val="表格标题"/>
    <w:basedOn w:val="66"/>
    <w:next w:val="66"/>
    <w:autoRedefine/>
    <w:qFormat/>
    <w:uiPriority w:val="0"/>
    <w:pPr>
      <w:ind w:firstLine="0"/>
      <w:jc w:val="center"/>
    </w:pPr>
    <w:rPr>
      <w:rFonts w:ascii="Times New Roman"/>
    </w:rPr>
  </w:style>
  <w:style w:type="character" w:customStyle="1" w:styleId="129">
    <w:name w:val="批注框文本 Char"/>
    <w:basedOn w:val="34"/>
    <w:link w:val="19"/>
    <w:qFormat/>
    <w:uiPriority w:val="0"/>
    <w:rPr>
      <w:kern w:val="2"/>
      <w:sz w:val="18"/>
      <w:szCs w:val="18"/>
    </w:rPr>
  </w:style>
  <w:style w:type="paragraph" w:customStyle="1" w:styleId="130">
    <w:name w:val="表格里"/>
    <w:basedOn w:val="66"/>
    <w:next w:val="66"/>
    <w:autoRedefine/>
    <w:qFormat/>
    <w:uiPriority w:val="0"/>
    <w:pPr>
      <w:spacing w:line="240" w:lineRule="auto"/>
      <w:ind w:left="0" w:firstLine="0" w:firstLineChars="0"/>
      <w:jc w:val="center"/>
    </w:pPr>
    <w:rPr>
      <w:rFonts w:ascii="Times New Roman" w:hAnsi="Times New Roman" w:cs="Times New Roman"/>
      <w:snapToGrid w:val="0"/>
      <w:kern w:val="2"/>
      <w:szCs w:val="24"/>
    </w:rPr>
  </w:style>
  <w:style w:type="paragraph" w:customStyle="1" w:styleId="131">
    <w:name w:val="报告表正文"/>
    <w:basedOn w:val="1"/>
    <w:autoRedefine/>
    <w:qFormat/>
    <w:uiPriority w:val="0"/>
    <w:pPr>
      <w:spacing w:line="360" w:lineRule="auto"/>
      <w:ind w:firstLine="420" w:firstLineChars="200"/>
    </w:pPr>
    <w:rPr>
      <w:rFonts w:cs="Times New Roman"/>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3" Type="http://schemas.openxmlformats.org/officeDocument/2006/relationships/fontTable" Target="fontTable.xml"/><Relationship Id="rId72" Type="http://schemas.openxmlformats.org/officeDocument/2006/relationships/numbering" Target="numbering.xml"/><Relationship Id="rId71" Type="http://schemas.openxmlformats.org/officeDocument/2006/relationships/customXml" Target="../customXml/item1.xml"/><Relationship Id="rId70" Type="http://schemas.openxmlformats.org/officeDocument/2006/relationships/image" Target="media/image57.jpeg"/><Relationship Id="rId7" Type="http://schemas.openxmlformats.org/officeDocument/2006/relationships/footer" Target="footer5.xml"/><Relationship Id="rId69" Type="http://schemas.openxmlformats.org/officeDocument/2006/relationships/image" Target="media/image56.jpeg"/><Relationship Id="rId68" Type="http://schemas.openxmlformats.org/officeDocument/2006/relationships/image" Target="media/image55.jpeg"/><Relationship Id="rId67" Type="http://schemas.openxmlformats.org/officeDocument/2006/relationships/image" Target="media/image54.jpeg"/><Relationship Id="rId66" Type="http://schemas.openxmlformats.org/officeDocument/2006/relationships/image" Target="media/image53.jpe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4.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wmf"/><Relationship Id="rId50" Type="http://schemas.openxmlformats.org/officeDocument/2006/relationships/oleObject" Target="embeddings/oleObject1.bin"/><Relationship Id="rId5" Type="http://schemas.openxmlformats.org/officeDocument/2006/relationships/footer" Target="foot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wmf"/><Relationship Id="rId3" Type="http://schemas.openxmlformats.org/officeDocument/2006/relationships/footer" Target="footer1.xml"/><Relationship Id="rId29" Type="http://schemas.openxmlformats.org/officeDocument/2006/relationships/image" Target="media/image17.wmf"/><Relationship Id="rId28" Type="http://schemas.openxmlformats.org/officeDocument/2006/relationships/image" Target="media/image16.wmf"/><Relationship Id="rId27" Type="http://schemas.openxmlformats.org/officeDocument/2006/relationships/image" Target="media/image15.wmf"/><Relationship Id="rId26" Type="http://schemas.openxmlformats.org/officeDocument/2006/relationships/image" Target="media/image14.wmf"/><Relationship Id="rId25" Type="http://schemas.openxmlformats.org/officeDocument/2006/relationships/image" Target="media/image13.jpe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84</Pages>
  <Words>8071</Words>
  <Characters>8432</Characters>
  <Lines>225</Lines>
  <Paragraphs>63</Paragraphs>
  <TotalTime>16</TotalTime>
  <ScaleCrop>false</ScaleCrop>
  <LinksUpToDate>false</LinksUpToDate>
  <CharactersWithSpaces>8620</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2021-03-10T16:40:00Z</dcterms:created>
  <dc:creator>嘤萦影映</dc:creator>
  <cp:lastModifiedBy>天天爱学习</cp:lastModifiedBy>
  <cp:lastPrinted>2025-07-24T06:35:00Z</cp:lastPrinted>
  <dcterms:modified xsi:type="dcterms:W3CDTF">2025-12-10T08:38:34Z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B277DBC1223D4A35AD3FAB37B16F0041_13</vt:lpwstr>
  </property>
  <property fmtid="{D5CDD505-2E9C-101B-9397-08002B2CF9AE}" pid="4" name="KSOTemplateDocerSaveRecord">
    <vt:lpwstr>eyJoZGlkIjoiZmNlMjE0YThmZjgwNGMzZGVkMjU4ODRmOTI0YjkxYmEiLCJ1c2VySWQiOiI0OTc5OTQ3NDYifQ==</vt:lpwstr>
  </property>
</Properties>
</file>